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heme="minorHAnsi" w:hAnsiTheme="minorHAnsi"/>
          <w:lang w:val="en-US"/>
        </w:rPr>
        <w:id w:val="81258659"/>
        <w:docPartObj>
          <w:docPartGallery w:val="Cover Pages"/>
          <w:docPartUnique/>
        </w:docPartObj>
      </w:sdtPr>
      <w:sdtEndPr/>
      <w:sdtContent>
        <w:p w14:paraId="01608F72" w14:textId="4A563C1D" w:rsidR="00F74987" w:rsidRPr="001F0A89" w:rsidRDefault="005E5761">
          <w:pPr>
            <w:overflowPunct/>
            <w:autoSpaceDE/>
            <w:autoSpaceDN/>
            <w:adjustRightInd/>
            <w:textAlignment w:val="auto"/>
            <w:rPr>
              <w:rFonts w:asciiTheme="minorHAnsi" w:hAnsiTheme="minorHAnsi"/>
              <w:lang w:val="en-US"/>
            </w:rPr>
          </w:pPr>
          <w:r w:rsidRPr="001F0A89">
            <w:rPr>
              <w:rFonts w:asciiTheme="minorHAnsi" w:hAnsiTheme="minorHAnsi"/>
              <w:noProof/>
              <w:lang w:val="en-US"/>
            </w:rPr>
            <mc:AlternateContent>
              <mc:Choice Requires="wps">
                <w:drawing>
                  <wp:anchor distT="0" distB="0" distL="114300" distR="114300" simplePos="0" relativeHeight="251721216" behindDoc="0" locked="0" layoutInCell="1" allowOverlap="1" wp14:anchorId="6BF66A5F" wp14:editId="7B5D00A7">
                    <wp:simplePos x="0" y="0"/>
                    <wp:positionH relativeFrom="column">
                      <wp:posOffset>47625</wp:posOffset>
                    </wp:positionH>
                    <wp:positionV relativeFrom="paragraph">
                      <wp:posOffset>437515</wp:posOffset>
                    </wp:positionV>
                    <wp:extent cx="5708282" cy="6646545"/>
                    <wp:effectExtent l="0" t="0" r="6985" b="8255"/>
                    <wp:wrapNone/>
                    <wp:docPr id="2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282" cy="6646545"/>
                            </a:xfrm>
                            <a:prstGeom prst="rect">
                              <a:avLst/>
                            </a:prstGeom>
                            <a:solidFill>
                              <a:srgbClr val="FFFFFF"/>
                            </a:solidFill>
                            <a:ln w="9525">
                              <a:noFill/>
                              <a:miter lim="800000"/>
                              <a:headEnd/>
                              <a:tailEnd/>
                            </a:ln>
                          </wps:spPr>
                          <wps:txbx>
                            <w:txbxContent>
                              <w:p w14:paraId="486FD656" w14:textId="77777777" w:rsidR="005301E8" w:rsidRPr="008748EA" w:rsidRDefault="005301E8" w:rsidP="008748EA">
                                <w:pPr>
                                  <w:spacing w:line="264" w:lineRule="auto"/>
                                  <w:jc w:val="center"/>
                                  <w:rPr>
                                    <w:rFonts w:asciiTheme="minorHAnsi" w:hAnsiTheme="minorHAnsi" w:cs="Arial"/>
                                    <w:b/>
                                    <w:bCs/>
                                    <w:sz w:val="48"/>
                                    <w:szCs w:val="48"/>
                                  </w:rPr>
                                </w:pPr>
                                <w:r w:rsidRPr="008748EA">
                                  <w:rPr>
                                    <w:rFonts w:asciiTheme="minorHAnsi" w:hAnsiTheme="minorHAnsi" w:cs="Arial"/>
                                    <w:b/>
                                    <w:bCs/>
                                    <w:sz w:val="48"/>
                                    <w:szCs w:val="48"/>
                                  </w:rPr>
                                  <w:t>Terminal Evaluation</w:t>
                                </w:r>
                              </w:p>
                              <w:p w14:paraId="057E8400" w14:textId="77777777" w:rsidR="005301E8" w:rsidRPr="008748EA" w:rsidRDefault="005301E8" w:rsidP="008748EA">
                                <w:pPr>
                                  <w:jc w:val="center"/>
                                  <w:rPr>
                                    <w:rFonts w:asciiTheme="minorHAnsi" w:hAnsiTheme="minorHAnsi" w:cs="Arial"/>
                                    <w:b/>
                                    <w:bCs/>
                                    <w:sz w:val="24"/>
                                    <w:szCs w:val="24"/>
                                    <w:lang w:bidi="th-TH"/>
                                  </w:rPr>
                                </w:pPr>
                                <w:r w:rsidRPr="008748EA">
                                  <w:rPr>
                                    <w:rFonts w:asciiTheme="minorHAnsi" w:hAnsiTheme="minorHAnsi" w:cs="Arial"/>
                                    <w:b/>
                                    <w:bCs/>
                                    <w:sz w:val="24"/>
                                    <w:szCs w:val="24"/>
                                    <w:lang w:bidi="th-TH"/>
                                  </w:rPr>
                                  <w:t>GEF Project ID: 4835; PIMS No. 4732</w:t>
                                </w:r>
                              </w:p>
                              <w:p w14:paraId="619AB6E9" w14:textId="77777777" w:rsidR="005301E8" w:rsidRPr="008748EA" w:rsidRDefault="005301E8" w:rsidP="008748EA">
                                <w:pPr>
                                  <w:spacing w:line="264" w:lineRule="auto"/>
                                  <w:jc w:val="center"/>
                                  <w:rPr>
                                    <w:rFonts w:asciiTheme="minorHAnsi" w:hAnsiTheme="minorHAnsi" w:cs="Arial"/>
                                    <w:b/>
                                    <w:bCs/>
                                    <w:sz w:val="21"/>
                                    <w:szCs w:val="21"/>
                                  </w:rPr>
                                </w:pPr>
                              </w:p>
                              <w:p w14:paraId="0767EA5B" w14:textId="77777777" w:rsidR="005301E8" w:rsidRPr="008748EA" w:rsidRDefault="005301E8" w:rsidP="008748EA">
                                <w:pPr>
                                  <w:spacing w:line="264" w:lineRule="auto"/>
                                  <w:jc w:val="center"/>
                                  <w:rPr>
                                    <w:rFonts w:asciiTheme="minorHAnsi" w:hAnsiTheme="minorHAnsi" w:cs="Arial"/>
                                    <w:b/>
                                    <w:bCs/>
                                    <w:sz w:val="21"/>
                                    <w:szCs w:val="21"/>
                                  </w:rPr>
                                </w:pPr>
                              </w:p>
                              <w:p w14:paraId="38965324" w14:textId="77777777" w:rsidR="005301E8" w:rsidRPr="008748EA" w:rsidRDefault="005301E8" w:rsidP="008748EA">
                                <w:pPr>
                                  <w:spacing w:after="120" w:line="264" w:lineRule="auto"/>
                                  <w:jc w:val="center"/>
                                  <w:rPr>
                                    <w:rFonts w:asciiTheme="minorHAnsi" w:hAnsiTheme="minorHAnsi"/>
                                    <w:b/>
                                    <w:bCs/>
                                    <w:i/>
                                    <w:sz w:val="36"/>
                                    <w:szCs w:val="36"/>
                                    <w:lang w:bidi="th-TH"/>
                                  </w:rPr>
                                </w:pPr>
                                <w:r w:rsidRPr="008748EA">
                                  <w:rPr>
                                    <w:rFonts w:asciiTheme="minorHAnsi" w:hAnsiTheme="minorHAnsi" w:cs="Arial"/>
                                    <w:b/>
                                    <w:bCs/>
                                    <w:i/>
                                    <w:sz w:val="36"/>
                                    <w:szCs w:val="36"/>
                                    <w:lang w:bidi="th-TH"/>
                                  </w:rPr>
                                  <w:t>Expansion and Improved Management Effectiveness of the Achara Region’s Protected Areas</w:t>
                                </w:r>
                              </w:p>
                              <w:p w14:paraId="37F8F73F" w14:textId="2BEC7F97" w:rsidR="005301E8" w:rsidRDefault="00C47952" w:rsidP="00C47952">
                                <w:pPr>
                                  <w:pStyle w:val="Default"/>
                                  <w:pBdr>
                                    <w:top w:val="single" w:sz="18" w:space="6" w:color="31849B" w:themeColor="accent5" w:themeShade="BF"/>
                                    <w:bottom w:val="single" w:sz="18" w:space="1" w:color="31849B" w:themeColor="accent5" w:themeShade="BF"/>
                                  </w:pBdr>
                                  <w:jc w:val="center"/>
                                  <w:rPr>
                                    <w:rFonts w:asciiTheme="minorHAnsi" w:hAnsiTheme="minorHAnsi"/>
                                    <w:sz w:val="28"/>
                                    <w:szCs w:val="28"/>
                                    <w:lang w:val="en-GB"/>
                                  </w:rPr>
                                </w:pPr>
                                <w:r>
                                  <w:rPr>
                                    <w:rFonts w:asciiTheme="minorHAnsi" w:hAnsiTheme="minorHAnsi"/>
                                    <w:noProof/>
                                  </w:rPr>
                                  <w:drawing>
                                    <wp:inline distT="0" distB="0" distL="0" distR="0" wp14:anchorId="2AE79E38" wp14:editId="0075EFC3">
                                      <wp:extent cx="5295900" cy="48800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788a.jpg"/>
                                              <pic:cNvPicPr/>
                                            </pic:nvPicPr>
                                            <pic:blipFill>
                                              <a:blip r:embed="rId8" cstate="print">
                                                <a:extLst>
                                                  <a:ext uri="{28A0092B-C50C-407E-A947-70E740481C1C}">
                                                    <a14:useLocalDpi xmlns:a14="http://schemas.microsoft.com/office/drawing/2010/main"/>
                                                  </a:ext>
                                                </a:extLst>
                                              </a:blip>
                                              <a:stretch>
                                                <a:fillRect/>
                                              </a:stretch>
                                            </pic:blipFill>
                                            <pic:spPr>
                                              <a:xfrm>
                                                <a:off x="0" y="0"/>
                                                <a:ext cx="5301951" cy="4885584"/>
                                              </a:xfrm>
                                              <a:prstGeom prst="rect">
                                                <a:avLst/>
                                              </a:prstGeom>
                                            </pic:spPr>
                                          </pic:pic>
                                        </a:graphicData>
                                      </a:graphic>
                                    </wp:inline>
                                  </w:drawing>
                                </w:r>
                              </w:p>
                              <w:p w14:paraId="65320B6B" w14:textId="77777777" w:rsidR="005301E8" w:rsidRPr="008748EA" w:rsidRDefault="005301E8" w:rsidP="005E5761">
                                <w:pPr>
                                  <w:pStyle w:val="Default"/>
                                  <w:pBdr>
                                    <w:top w:val="single" w:sz="18" w:space="6" w:color="31849B" w:themeColor="accent5" w:themeShade="BF"/>
                                    <w:bottom w:val="single" w:sz="18" w:space="1" w:color="31849B" w:themeColor="accent5" w:themeShade="BF"/>
                                  </w:pBdr>
                                  <w:rPr>
                                    <w:rFonts w:asciiTheme="minorHAnsi" w:hAnsiTheme="minorHAnsi"/>
                                    <w:sz w:val="28"/>
                                    <w:szCs w:val="28"/>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F66A5F" id="_x0000_t202" coordsize="21600,21600" o:spt="202" path="m,l,21600r21600,l21600,xe">
                    <v:stroke joinstyle="miter"/>
                    <v:path gradientshapeok="t" o:connecttype="rect"/>
                  </v:shapetype>
                  <v:shape id="Text Box 2" o:spid="_x0000_s1026" type="#_x0000_t202" style="position:absolute;margin-left:3.75pt;margin-top:34.45pt;width:449.45pt;height:523.3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" stroked="f">
                    <v:textbox>
                      <w:txbxContent>
                        <w:p w14:paraId="486FD656" w14:textId="77777777" w:rsidR="005301E8" w:rsidRPr="008748EA" w:rsidRDefault="005301E8" w:rsidP="008748EA">
                          <w:pPr>
                            <w:spacing w:line="264" w:lineRule="auto"/>
                            <w:jc w:val="center"/>
                            <w:rPr>
                              <w:rFonts w:asciiTheme="minorHAnsi" w:hAnsiTheme="minorHAnsi" w:cs="Arial"/>
                              <w:b/>
                              <w:bCs/>
                              <w:sz w:val="48"/>
                              <w:szCs w:val="48"/>
                            </w:rPr>
                          </w:pPr>
                          <w:r w:rsidRPr="008748EA">
                            <w:rPr>
                              <w:rFonts w:asciiTheme="minorHAnsi" w:hAnsiTheme="minorHAnsi" w:cs="Arial"/>
                              <w:b/>
                              <w:bCs/>
                              <w:sz w:val="48"/>
                              <w:szCs w:val="48"/>
                            </w:rPr>
                            <w:t>Terminal Evaluation</w:t>
                          </w:r>
                        </w:p>
                        <w:p w14:paraId="057E8400" w14:textId="77777777" w:rsidR="005301E8" w:rsidRPr="008748EA" w:rsidRDefault="005301E8" w:rsidP="008748EA">
                          <w:pPr>
                            <w:jc w:val="center"/>
                            <w:rPr>
                              <w:rFonts w:asciiTheme="minorHAnsi" w:hAnsiTheme="minorHAnsi" w:cs="Arial"/>
                              <w:b/>
                              <w:bCs/>
                              <w:sz w:val="24"/>
                              <w:szCs w:val="24"/>
                              <w:lang w:bidi="th-TH"/>
                            </w:rPr>
                          </w:pPr>
                          <w:r w:rsidRPr="008748EA">
                            <w:rPr>
                              <w:rFonts w:asciiTheme="minorHAnsi" w:hAnsiTheme="minorHAnsi" w:cs="Arial"/>
                              <w:b/>
                              <w:bCs/>
                              <w:sz w:val="24"/>
                              <w:szCs w:val="24"/>
                              <w:lang w:bidi="th-TH"/>
                            </w:rPr>
                            <w:t>GEF Project ID: 4835; PIMS No. 4732</w:t>
                          </w:r>
                        </w:p>
                        <w:p w14:paraId="619AB6E9" w14:textId="77777777" w:rsidR="005301E8" w:rsidRPr="008748EA" w:rsidRDefault="005301E8" w:rsidP="008748EA">
                          <w:pPr>
                            <w:spacing w:line="264" w:lineRule="auto"/>
                            <w:jc w:val="center"/>
                            <w:rPr>
                              <w:rFonts w:asciiTheme="minorHAnsi" w:hAnsiTheme="minorHAnsi" w:cs="Arial"/>
                              <w:b/>
                              <w:bCs/>
                              <w:sz w:val="21"/>
                              <w:szCs w:val="21"/>
                            </w:rPr>
                          </w:pPr>
                        </w:p>
                        <w:p w14:paraId="0767EA5B" w14:textId="77777777" w:rsidR="005301E8" w:rsidRPr="008748EA" w:rsidRDefault="005301E8" w:rsidP="008748EA">
                          <w:pPr>
                            <w:spacing w:line="264" w:lineRule="auto"/>
                            <w:jc w:val="center"/>
                            <w:rPr>
                              <w:rFonts w:asciiTheme="minorHAnsi" w:hAnsiTheme="minorHAnsi" w:cs="Arial"/>
                              <w:b/>
                              <w:bCs/>
                              <w:sz w:val="21"/>
                              <w:szCs w:val="21"/>
                            </w:rPr>
                          </w:pPr>
                        </w:p>
                        <w:p w14:paraId="38965324" w14:textId="77777777" w:rsidR="005301E8" w:rsidRPr="008748EA" w:rsidRDefault="005301E8" w:rsidP="008748EA">
                          <w:pPr>
                            <w:spacing w:after="120" w:line="264" w:lineRule="auto"/>
                            <w:jc w:val="center"/>
                            <w:rPr>
                              <w:rFonts w:asciiTheme="minorHAnsi" w:hAnsiTheme="minorHAnsi"/>
                              <w:b/>
                              <w:bCs/>
                              <w:i/>
                              <w:sz w:val="36"/>
                              <w:szCs w:val="36"/>
                              <w:lang w:bidi="th-TH"/>
                            </w:rPr>
                          </w:pPr>
                          <w:r w:rsidRPr="008748EA">
                            <w:rPr>
                              <w:rFonts w:asciiTheme="minorHAnsi" w:hAnsiTheme="minorHAnsi" w:cs="Arial"/>
                              <w:b/>
                              <w:bCs/>
                              <w:i/>
                              <w:sz w:val="36"/>
                              <w:szCs w:val="36"/>
                              <w:lang w:bidi="th-TH"/>
                            </w:rPr>
                            <w:t>Expansion and Improved Management Effectiveness of the Achara Region’s Protected Areas</w:t>
                          </w:r>
                        </w:p>
                        <w:p w14:paraId="37F8F73F" w14:textId="2BEC7F97" w:rsidR="005301E8" w:rsidRDefault="00C47952" w:rsidP="00C47952">
                          <w:pPr>
                            <w:pStyle w:val="Default"/>
                            <w:pBdr>
                              <w:top w:val="single" w:sz="18" w:space="6" w:color="31849B" w:themeColor="accent5" w:themeShade="BF"/>
                              <w:bottom w:val="single" w:sz="18" w:space="1" w:color="31849B" w:themeColor="accent5" w:themeShade="BF"/>
                            </w:pBdr>
                            <w:jc w:val="center"/>
                            <w:rPr>
                              <w:rFonts w:asciiTheme="minorHAnsi" w:hAnsiTheme="minorHAnsi"/>
                              <w:sz w:val="28"/>
                              <w:szCs w:val="28"/>
                              <w:lang w:val="en-GB"/>
                            </w:rPr>
                          </w:pPr>
                          <w:r>
                            <w:rPr>
                              <w:rFonts w:asciiTheme="minorHAnsi" w:hAnsiTheme="minorHAnsi"/>
                              <w:noProof/>
                            </w:rPr>
                            <w:drawing>
                              <wp:inline distT="0" distB="0" distL="0" distR="0" wp14:anchorId="2AE79E38" wp14:editId="0075EFC3">
                                <wp:extent cx="5295900" cy="48800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788a.jpg"/>
                                        <pic:cNvPicPr/>
                                      </pic:nvPicPr>
                                      <pic:blipFill>
                                        <a:blip r:embed="rId8" cstate="print">
                                          <a:extLst>
                                            <a:ext uri="{28A0092B-C50C-407E-A947-70E740481C1C}">
                                              <a14:useLocalDpi xmlns:a14="http://schemas.microsoft.com/office/drawing/2010/main"/>
                                            </a:ext>
                                          </a:extLst>
                                        </a:blip>
                                        <a:stretch>
                                          <a:fillRect/>
                                        </a:stretch>
                                      </pic:blipFill>
                                      <pic:spPr>
                                        <a:xfrm>
                                          <a:off x="0" y="0"/>
                                          <a:ext cx="5301951" cy="4885584"/>
                                        </a:xfrm>
                                        <a:prstGeom prst="rect">
                                          <a:avLst/>
                                        </a:prstGeom>
                                      </pic:spPr>
                                    </pic:pic>
                                  </a:graphicData>
                                </a:graphic>
                              </wp:inline>
                            </w:drawing>
                          </w:r>
                        </w:p>
                        <w:p w14:paraId="65320B6B" w14:textId="77777777" w:rsidR="005301E8" w:rsidRPr="008748EA" w:rsidRDefault="005301E8" w:rsidP="005E5761">
                          <w:pPr>
                            <w:pStyle w:val="Default"/>
                            <w:pBdr>
                              <w:top w:val="single" w:sz="18" w:space="6" w:color="31849B" w:themeColor="accent5" w:themeShade="BF"/>
                              <w:bottom w:val="single" w:sz="18" w:space="1" w:color="31849B" w:themeColor="accent5" w:themeShade="BF"/>
                            </w:pBdr>
                            <w:rPr>
                              <w:rFonts w:asciiTheme="minorHAnsi" w:hAnsiTheme="minorHAnsi"/>
                              <w:sz w:val="28"/>
                              <w:szCs w:val="28"/>
                              <w:lang w:val="en-GB"/>
                            </w:rPr>
                          </w:pPr>
                        </w:p>
                      </w:txbxContent>
                    </v:textbox>
                  </v:shape>
                </w:pict>
              </mc:Fallback>
            </mc:AlternateContent>
          </w:r>
          <w:r w:rsidR="008947B1" w:rsidRPr="001F0A89">
            <w:rPr>
              <w:rFonts w:asciiTheme="minorHAnsi" w:hAnsiTheme="minorHAnsi"/>
              <w:noProof/>
              <w:lang w:val="en-US"/>
            </w:rPr>
            <mc:AlternateContent>
              <mc:Choice Requires="wps">
                <w:drawing>
                  <wp:anchor distT="0" distB="0" distL="114300" distR="114300" simplePos="0" relativeHeight="251727360" behindDoc="0" locked="0" layoutInCell="1" allowOverlap="1" wp14:anchorId="26810660" wp14:editId="7BE6F423">
                    <wp:simplePos x="0" y="0"/>
                    <wp:positionH relativeFrom="column">
                      <wp:posOffset>167167</wp:posOffset>
                    </wp:positionH>
                    <wp:positionV relativeFrom="paragraph">
                      <wp:posOffset>7448432</wp:posOffset>
                    </wp:positionV>
                    <wp:extent cx="5380355" cy="557013"/>
                    <wp:effectExtent l="0" t="0" r="4445" b="1905"/>
                    <wp:wrapNone/>
                    <wp:docPr id="2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0355" cy="557013"/>
                            </a:xfrm>
                            <a:prstGeom prst="rect">
                              <a:avLst/>
                            </a:prstGeom>
                            <a:solidFill>
                              <a:srgbClr val="FFFFFF"/>
                            </a:solidFill>
                            <a:ln w="9525">
                              <a:noFill/>
                              <a:miter lim="800000"/>
                              <a:headEnd/>
                              <a:tailEnd/>
                            </a:ln>
                          </wps:spPr>
                          <wps:txbx>
                            <w:txbxContent>
                              <w:p w14:paraId="63091E98" w14:textId="3F51114F" w:rsidR="005301E8" w:rsidRDefault="005301E8" w:rsidP="008947B1">
                                <w:pPr>
                                  <w:spacing w:after="120"/>
                                  <w:jc w:val="center"/>
                                  <w:rPr>
                                    <w:rFonts w:ascii="Arial" w:hAnsi="Arial" w:cs="Arial"/>
                                    <w:b/>
                                    <w:bCs/>
                                  </w:rPr>
                                </w:pPr>
                                <w:r w:rsidRPr="008947B1">
                                  <w:rPr>
                                    <w:rFonts w:asciiTheme="minorHAnsi" w:hAnsiTheme="minorHAnsi"/>
                                    <w:b/>
                                    <w:sz w:val="24"/>
                                    <w:szCs w:val="24"/>
                                  </w:rPr>
                                  <w:t xml:space="preserve">Michael J.B. Green </w:t>
                                </w:r>
                                <w:r w:rsidRPr="00261105">
                                  <w:rPr>
                                    <w:rFonts w:ascii="Arial" w:hAnsi="Arial" w:cs="Arial"/>
                                    <w:b/>
                                    <w:bCs/>
                                  </w:rPr>
                                  <w:t xml:space="preserve">&amp; </w:t>
                                </w:r>
                                <w:r w:rsidRPr="0053527C">
                                  <w:rPr>
                                    <w:rFonts w:ascii="Arial" w:hAnsi="Arial" w:cs="Arial"/>
                                    <w:b/>
                                    <w:bCs/>
                                  </w:rPr>
                                  <w:t>Giorgi Shubitidze</w:t>
                                </w:r>
                              </w:p>
                              <w:p w14:paraId="40725D30" w14:textId="573D3572" w:rsidR="005301E8" w:rsidRPr="008947B1" w:rsidRDefault="005301E8" w:rsidP="008947B1">
                                <w:pPr>
                                  <w:spacing w:after="120"/>
                                  <w:jc w:val="center"/>
                                  <w:rPr>
                                    <w:rFonts w:asciiTheme="minorHAnsi" w:hAnsiTheme="minorHAnsi"/>
                                    <w:b/>
                                    <w:sz w:val="24"/>
                                    <w:szCs w:val="24"/>
                                  </w:rPr>
                                </w:pPr>
                                <w:r>
                                  <w:rPr>
                                    <w:rFonts w:ascii="Arial" w:hAnsi="Arial" w:cs="Arial"/>
                                    <w:b/>
                                    <w:bCs/>
                                  </w:rPr>
                                  <w:t>February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10660" id="_x0000_s1027" type="#_x0000_t202" style="position:absolute;margin-left:13.15pt;margin-top:586.5pt;width:423.65pt;height:43.8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" stroked="f">
                    <v:textbox>
                      <w:txbxContent>
                        <w:p w14:paraId="63091E98" w14:textId="3F51114F" w:rsidR="005301E8" w:rsidRDefault="005301E8" w:rsidP="008947B1">
                          <w:pPr>
                            <w:spacing w:after="120"/>
                            <w:jc w:val="center"/>
                            <w:rPr>
                              <w:rFonts w:ascii="Arial" w:hAnsi="Arial" w:cs="Arial"/>
                              <w:b/>
                              <w:bCs/>
                            </w:rPr>
                          </w:pPr>
                          <w:r w:rsidRPr="008947B1">
                            <w:rPr>
                              <w:rFonts w:asciiTheme="minorHAnsi" w:hAnsiTheme="minorHAnsi"/>
                              <w:b/>
                              <w:sz w:val="24"/>
                              <w:szCs w:val="24"/>
                            </w:rPr>
                            <w:t xml:space="preserve">Michael J.B. Green </w:t>
                          </w:r>
                          <w:r w:rsidRPr="00261105">
                            <w:rPr>
                              <w:rFonts w:ascii="Arial" w:hAnsi="Arial" w:cs="Arial"/>
                              <w:b/>
                              <w:bCs/>
                            </w:rPr>
                            <w:t xml:space="preserve">&amp; </w:t>
                          </w:r>
                          <w:r w:rsidRPr="0053527C">
                            <w:rPr>
                              <w:rFonts w:ascii="Arial" w:hAnsi="Arial" w:cs="Arial"/>
                              <w:b/>
                              <w:bCs/>
                            </w:rPr>
                            <w:t>Giorgi Shubitidze</w:t>
                          </w:r>
                        </w:p>
                        <w:p w14:paraId="40725D30" w14:textId="573D3572" w:rsidR="005301E8" w:rsidRPr="008947B1" w:rsidRDefault="005301E8" w:rsidP="008947B1">
                          <w:pPr>
                            <w:spacing w:after="120"/>
                            <w:jc w:val="center"/>
                            <w:rPr>
                              <w:rFonts w:asciiTheme="minorHAnsi" w:hAnsiTheme="minorHAnsi"/>
                              <w:b/>
                              <w:sz w:val="24"/>
                              <w:szCs w:val="24"/>
                            </w:rPr>
                          </w:pPr>
                          <w:r>
                            <w:rPr>
                              <w:rFonts w:ascii="Arial" w:hAnsi="Arial" w:cs="Arial"/>
                              <w:b/>
                              <w:bCs/>
                            </w:rPr>
                            <w:t>February 2019</w:t>
                          </w:r>
                        </w:p>
                      </w:txbxContent>
                    </v:textbox>
                  </v:shape>
                </w:pict>
              </mc:Fallback>
            </mc:AlternateContent>
          </w:r>
        </w:p>
      </w:sdtContent>
    </w:sdt>
    <w:p w14:paraId="706BC2EE" w14:textId="77777777" w:rsidR="001A1859" w:rsidRPr="001F0A89" w:rsidRDefault="001A1859" w:rsidP="00D24DF3">
      <w:pPr>
        <w:ind w:firstLine="720"/>
        <w:jc w:val="center"/>
        <w:rPr>
          <w:rFonts w:asciiTheme="minorHAnsi" w:hAnsiTheme="minorHAnsi"/>
          <w:b/>
          <w:sz w:val="28"/>
          <w:lang w:val="en-US"/>
        </w:rPr>
        <w:sectPr w:rsidR="001A1859" w:rsidRPr="001F0A89" w:rsidSect="001B651D">
          <w:headerReference w:type="default" r:id="rId9"/>
          <w:footerReference w:type="default" r:id="rId10"/>
          <w:footnotePr>
            <w:numRestart w:val="eachPage"/>
          </w:footnotePr>
          <w:pgSz w:w="11906" w:h="16838" w:code="1"/>
          <w:pgMar w:top="1440" w:right="1440" w:bottom="1440" w:left="1440" w:header="709" w:footer="709" w:gutter="0"/>
          <w:pgNumType w:start="1"/>
          <w:cols w:space="708"/>
          <w:docGrid w:linePitch="299"/>
        </w:sectPr>
      </w:pPr>
    </w:p>
    <w:p w14:paraId="71221F58" w14:textId="77777777" w:rsidR="009E1413" w:rsidRPr="00E22EBA" w:rsidRDefault="00174B23" w:rsidP="007B55C9">
      <w:pPr>
        <w:shd w:val="clear" w:color="auto" w:fill="215868" w:themeFill="accent5" w:themeFillShade="80"/>
        <w:spacing w:after="120"/>
        <w:rPr>
          <w:rFonts w:asciiTheme="minorHAnsi" w:hAnsiTheme="minorHAnsi"/>
          <w:b/>
          <w:color w:val="FFFFFF" w:themeColor="background1"/>
          <w:sz w:val="28"/>
          <w:lang w:val="en-US"/>
        </w:rPr>
      </w:pPr>
      <w:r w:rsidRPr="00E22EBA">
        <w:rPr>
          <w:rFonts w:asciiTheme="minorHAnsi" w:hAnsiTheme="minorHAnsi"/>
          <w:b/>
          <w:color w:val="FFFFFF" w:themeColor="background1"/>
          <w:sz w:val="28"/>
          <w:lang w:val="en-US"/>
        </w:rPr>
        <w:lastRenderedPageBreak/>
        <w:t>Terminal Evaluation Opening Page:</w:t>
      </w:r>
    </w:p>
    <w:tbl>
      <w:tblPr>
        <w:tblW w:w="5000" w:type="pct"/>
        <w:jc w:val="center"/>
        <w:tblLayout w:type="fixed"/>
        <w:tblLook w:val="01E0" w:firstRow="1" w:lastRow="1" w:firstColumn="1" w:lastColumn="1" w:noHBand="0" w:noVBand="0"/>
      </w:tblPr>
      <w:tblGrid>
        <w:gridCol w:w="2943"/>
        <w:gridCol w:w="6299"/>
      </w:tblGrid>
      <w:tr w:rsidR="00251609" w:rsidRPr="00251609" w14:paraId="32165603" w14:textId="77777777" w:rsidTr="005A5FD6">
        <w:trPr>
          <w:jc w:val="center"/>
        </w:trPr>
        <w:tc>
          <w:tcPr>
            <w:tcW w:w="1592" w:type="pct"/>
            <w:shd w:val="clear" w:color="auto" w:fill="auto"/>
          </w:tcPr>
          <w:p w14:paraId="3F121ECC" w14:textId="77777777" w:rsidR="00251609" w:rsidRPr="00251609" w:rsidRDefault="00251609" w:rsidP="00A95FAD">
            <w:pPr>
              <w:spacing w:before="120" w:after="120"/>
              <w:rPr>
                <w:rFonts w:asciiTheme="minorHAnsi" w:hAnsiTheme="minorHAnsi"/>
                <w:sz w:val="24"/>
                <w:szCs w:val="24"/>
              </w:rPr>
            </w:pPr>
            <w:r w:rsidRPr="00251609">
              <w:rPr>
                <w:rFonts w:asciiTheme="minorHAnsi" w:hAnsiTheme="minorHAnsi"/>
                <w:sz w:val="24"/>
                <w:szCs w:val="24"/>
              </w:rPr>
              <w:t>UNDP/GEF Project Title:</w:t>
            </w:r>
          </w:p>
        </w:tc>
        <w:tc>
          <w:tcPr>
            <w:tcW w:w="3408" w:type="pct"/>
            <w:shd w:val="clear" w:color="auto" w:fill="auto"/>
          </w:tcPr>
          <w:p w14:paraId="35344A62" w14:textId="551F0A22" w:rsidR="00251609" w:rsidRPr="00251609" w:rsidRDefault="00251609" w:rsidP="00A95FAD">
            <w:pPr>
              <w:spacing w:before="120" w:after="120"/>
              <w:rPr>
                <w:rFonts w:asciiTheme="minorHAnsi" w:hAnsiTheme="minorHAnsi"/>
                <w:b/>
                <w:sz w:val="24"/>
                <w:szCs w:val="24"/>
              </w:rPr>
            </w:pPr>
            <w:r w:rsidRPr="00251609">
              <w:rPr>
                <w:rFonts w:asciiTheme="minorHAnsi" w:hAnsiTheme="minorHAnsi"/>
                <w:b/>
                <w:sz w:val="24"/>
                <w:szCs w:val="24"/>
              </w:rPr>
              <w:t xml:space="preserve">Expansion and Improved Management Effectiveness of the </w:t>
            </w:r>
            <w:r w:rsidR="00416C0A">
              <w:rPr>
                <w:rFonts w:asciiTheme="minorHAnsi" w:hAnsiTheme="minorHAnsi"/>
                <w:b/>
                <w:sz w:val="24"/>
                <w:szCs w:val="24"/>
              </w:rPr>
              <w:t>Achara Region’s Protected Areas</w:t>
            </w:r>
          </w:p>
        </w:tc>
      </w:tr>
      <w:tr w:rsidR="00251609" w:rsidRPr="00251609" w14:paraId="4532168F" w14:textId="77777777" w:rsidTr="005A5FD6">
        <w:trPr>
          <w:jc w:val="center"/>
        </w:trPr>
        <w:tc>
          <w:tcPr>
            <w:tcW w:w="1592" w:type="pct"/>
            <w:shd w:val="clear" w:color="auto" w:fill="auto"/>
          </w:tcPr>
          <w:p w14:paraId="1DEE84B6" w14:textId="77777777" w:rsidR="00251609" w:rsidRPr="00251609" w:rsidRDefault="00251609" w:rsidP="00A95FAD">
            <w:pPr>
              <w:spacing w:after="60"/>
              <w:rPr>
                <w:rFonts w:asciiTheme="minorHAnsi" w:hAnsiTheme="minorHAnsi"/>
                <w:sz w:val="24"/>
                <w:szCs w:val="24"/>
              </w:rPr>
            </w:pPr>
            <w:r w:rsidRPr="00251609">
              <w:rPr>
                <w:rFonts w:asciiTheme="minorHAnsi" w:hAnsiTheme="minorHAnsi"/>
                <w:sz w:val="24"/>
                <w:szCs w:val="24"/>
              </w:rPr>
              <w:t>GEF Project ID No:</w:t>
            </w:r>
          </w:p>
          <w:p w14:paraId="626608DD" w14:textId="77777777" w:rsidR="00251609" w:rsidRPr="00251609" w:rsidRDefault="00251609" w:rsidP="00A95FAD">
            <w:pPr>
              <w:spacing w:after="60"/>
              <w:rPr>
                <w:rFonts w:asciiTheme="minorHAnsi" w:hAnsiTheme="minorHAnsi"/>
                <w:sz w:val="24"/>
                <w:szCs w:val="24"/>
              </w:rPr>
            </w:pPr>
            <w:r w:rsidRPr="00251609">
              <w:rPr>
                <w:rFonts w:asciiTheme="minorHAnsi" w:hAnsiTheme="minorHAnsi"/>
                <w:sz w:val="24"/>
                <w:szCs w:val="24"/>
              </w:rPr>
              <w:t>UNDP Project ID No:</w:t>
            </w:r>
          </w:p>
          <w:p w14:paraId="7F6F02D0" w14:textId="77777777" w:rsidR="00251609" w:rsidRPr="00251609" w:rsidRDefault="00251609" w:rsidP="00A95FAD">
            <w:pPr>
              <w:spacing w:after="60"/>
              <w:rPr>
                <w:rFonts w:asciiTheme="minorHAnsi" w:hAnsiTheme="minorHAnsi"/>
                <w:sz w:val="24"/>
                <w:szCs w:val="24"/>
              </w:rPr>
            </w:pPr>
            <w:r w:rsidRPr="00251609">
              <w:rPr>
                <w:rFonts w:asciiTheme="minorHAnsi" w:hAnsiTheme="minorHAnsi"/>
                <w:sz w:val="24"/>
                <w:szCs w:val="24"/>
              </w:rPr>
              <w:t>UNDP PIMS ID</w:t>
            </w:r>
          </w:p>
        </w:tc>
        <w:tc>
          <w:tcPr>
            <w:tcW w:w="3408" w:type="pct"/>
            <w:shd w:val="clear" w:color="auto" w:fill="auto"/>
          </w:tcPr>
          <w:p w14:paraId="60CBE16B" w14:textId="36FE86A4" w:rsidR="00251609" w:rsidRPr="00251609" w:rsidRDefault="003136D7" w:rsidP="00B356E1">
            <w:pPr>
              <w:rPr>
                <w:rFonts w:asciiTheme="minorHAnsi" w:hAnsiTheme="minorHAnsi"/>
                <w:b/>
                <w:sz w:val="24"/>
                <w:szCs w:val="24"/>
              </w:rPr>
            </w:pPr>
            <w:r>
              <w:rPr>
                <w:rFonts w:asciiTheme="minorHAnsi" w:hAnsiTheme="minorHAnsi"/>
                <w:b/>
                <w:sz w:val="24"/>
                <w:szCs w:val="24"/>
              </w:rPr>
              <w:t>4835</w:t>
            </w:r>
            <w:r>
              <w:rPr>
                <w:rFonts w:asciiTheme="minorHAnsi" w:hAnsiTheme="minorHAnsi"/>
                <w:b/>
                <w:sz w:val="24"/>
                <w:szCs w:val="24"/>
              </w:rPr>
              <w:tab/>
            </w:r>
            <w:r w:rsidR="00251609" w:rsidRPr="00251609">
              <w:rPr>
                <w:rFonts w:asciiTheme="minorHAnsi" w:hAnsiTheme="minorHAnsi"/>
                <w:b/>
                <w:sz w:val="24"/>
                <w:szCs w:val="24"/>
              </w:rPr>
              <w:t>(</w:t>
            </w:r>
            <w:r w:rsidR="00251609" w:rsidRPr="00B356E1">
              <w:rPr>
                <w:rFonts w:asciiTheme="minorHAnsi" w:hAnsiTheme="minorHAnsi"/>
                <w:sz w:val="24"/>
                <w:szCs w:val="24"/>
              </w:rPr>
              <w:t>Atlas Project ID:</w:t>
            </w:r>
            <w:r w:rsidR="00AA30DA" w:rsidRPr="00B356E1">
              <w:rPr>
                <w:rFonts w:asciiTheme="minorHAnsi" w:hAnsiTheme="minorHAnsi"/>
                <w:b/>
                <w:sz w:val="24"/>
                <w:szCs w:val="24"/>
              </w:rPr>
              <w:t xml:space="preserve"> </w:t>
            </w:r>
            <w:r w:rsidR="004879FF" w:rsidRPr="00B356E1">
              <w:rPr>
                <w:rFonts w:ascii="Calibri" w:hAnsi="Calibri"/>
                <w:szCs w:val="22"/>
              </w:rPr>
              <w:t>00076819</w:t>
            </w:r>
            <w:r w:rsidR="00251609" w:rsidRPr="00251609">
              <w:rPr>
                <w:rFonts w:asciiTheme="minorHAnsi" w:hAnsiTheme="minorHAnsi"/>
                <w:b/>
                <w:sz w:val="24"/>
                <w:szCs w:val="24"/>
              </w:rPr>
              <w:t>)</w:t>
            </w:r>
          </w:p>
          <w:p w14:paraId="0893A974" w14:textId="77777777" w:rsidR="00251609" w:rsidRPr="00251609" w:rsidRDefault="00251609" w:rsidP="00A95FAD">
            <w:pPr>
              <w:spacing w:after="60"/>
              <w:rPr>
                <w:rFonts w:asciiTheme="minorHAnsi" w:hAnsiTheme="minorHAnsi"/>
                <w:b/>
                <w:sz w:val="24"/>
                <w:szCs w:val="24"/>
              </w:rPr>
            </w:pPr>
            <w:r w:rsidRPr="00251609">
              <w:rPr>
                <w:rFonts w:asciiTheme="minorHAnsi" w:hAnsiTheme="minorHAnsi"/>
                <w:b/>
                <w:sz w:val="24"/>
                <w:szCs w:val="24"/>
              </w:rPr>
              <w:t>00088000</w:t>
            </w:r>
          </w:p>
          <w:p w14:paraId="23D889FB" w14:textId="30223ABA" w:rsidR="00251609" w:rsidRPr="00251609" w:rsidRDefault="006F4496" w:rsidP="006F4496">
            <w:pPr>
              <w:spacing w:after="60"/>
              <w:rPr>
                <w:rFonts w:asciiTheme="minorHAnsi" w:hAnsiTheme="minorHAnsi"/>
                <w:b/>
                <w:sz w:val="24"/>
                <w:szCs w:val="24"/>
              </w:rPr>
            </w:pPr>
            <w:r>
              <w:rPr>
                <w:rFonts w:asciiTheme="minorHAnsi" w:hAnsiTheme="minorHAnsi"/>
                <w:b/>
                <w:sz w:val="24"/>
                <w:szCs w:val="24"/>
              </w:rPr>
              <w:t>4732</w:t>
            </w:r>
          </w:p>
        </w:tc>
      </w:tr>
      <w:tr w:rsidR="00251609" w:rsidRPr="00251609" w14:paraId="3B4B4157" w14:textId="77777777" w:rsidTr="005A5FD6">
        <w:trPr>
          <w:jc w:val="center"/>
        </w:trPr>
        <w:tc>
          <w:tcPr>
            <w:tcW w:w="1592" w:type="pct"/>
            <w:shd w:val="clear" w:color="auto" w:fill="auto"/>
          </w:tcPr>
          <w:p w14:paraId="2D984484" w14:textId="77777777" w:rsidR="00251609" w:rsidRPr="00251609" w:rsidRDefault="00251609" w:rsidP="00A95FAD">
            <w:pPr>
              <w:spacing w:after="60"/>
              <w:rPr>
                <w:rFonts w:asciiTheme="minorHAnsi" w:hAnsiTheme="minorHAnsi"/>
                <w:sz w:val="24"/>
                <w:szCs w:val="24"/>
              </w:rPr>
            </w:pPr>
            <w:r w:rsidRPr="00251609">
              <w:rPr>
                <w:rFonts w:asciiTheme="minorHAnsi" w:hAnsiTheme="minorHAnsi"/>
                <w:sz w:val="24"/>
                <w:szCs w:val="24"/>
              </w:rPr>
              <w:t>Evaluation Time Frame:</w:t>
            </w:r>
          </w:p>
          <w:p w14:paraId="45894A41" w14:textId="77777777" w:rsidR="00251609" w:rsidRPr="00251609" w:rsidRDefault="00251609" w:rsidP="00A95FAD">
            <w:pPr>
              <w:spacing w:after="60"/>
              <w:rPr>
                <w:rFonts w:asciiTheme="minorHAnsi" w:hAnsiTheme="minorHAnsi"/>
                <w:sz w:val="24"/>
                <w:szCs w:val="24"/>
              </w:rPr>
            </w:pPr>
            <w:r w:rsidRPr="00251609">
              <w:rPr>
                <w:rFonts w:asciiTheme="minorHAnsi" w:hAnsiTheme="minorHAnsi"/>
                <w:sz w:val="24"/>
                <w:szCs w:val="24"/>
              </w:rPr>
              <w:t>Date of Evaluation Report:</w:t>
            </w:r>
          </w:p>
        </w:tc>
        <w:tc>
          <w:tcPr>
            <w:tcW w:w="3408" w:type="pct"/>
            <w:shd w:val="clear" w:color="auto" w:fill="auto"/>
          </w:tcPr>
          <w:p w14:paraId="3EF27256" w14:textId="77777777" w:rsidR="00251609" w:rsidRPr="00251609" w:rsidRDefault="00251609" w:rsidP="00A95FAD">
            <w:pPr>
              <w:spacing w:after="60"/>
              <w:rPr>
                <w:rFonts w:asciiTheme="minorHAnsi" w:hAnsiTheme="minorHAnsi"/>
                <w:b/>
                <w:sz w:val="24"/>
                <w:szCs w:val="24"/>
              </w:rPr>
            </w:pPr>
            <w:r w:rsidRPr="00251609">
              <w:rPr>
                <w:rFonts w:asciiTheme="minorHAnsi" w:hAnsiTheme="minorHAnsi"/>
                <w:b/>
                <w:sz w:val="24"/>
                <w:szCs w:val="24"/>
              </w:rPr>
              <w:t>16 September – 31 December 2018</w:t>
            </w:r>
          </w:p>
          <w:p w14:paraId="76191518" w14:textId="576E68D6" w:rsidR="00251609" w:rsidRPr="00251609" w:rsidRDefault="00D712CA" w:rsidP="002D3C1B">
            <w:pPr>
              <w:spacing w:after="60"/>
              <w:rPr>
                <w:rFonts w:asciiTheme="minorHAnsi" w:hAnsiTheme="minorHAnsi"/>
                <w:b/>
                <w:sz w:val="24"/>
                <w:szCs w:val="24"/>
              </w:rPr>
            </w:pPr>
            <w:r w:rsidRPr="002D3C1B">
              <w:rPr>
                <w:rFonts w:asciiTheme="minorHAnsi" w:hAnsiTheme="minorHAnsi"/>
                <w:sz w:val="24"/>
                <w:szCs w:val="24"/>
              </w:rPr>
              <w:t>20 January</w:t>
            </w:r>
            <w:r w:rsidR="00251609" w:rsidRPr="002D3C1B">
              <w:rPr>
                <w:rFonts w:asciiTheme="minorHAnsi" w:hAnsiTheme="minorHAnsi"/>
                <w:sz w:val="24"/>
                <w:szCs w:val="24"/>
              </w:rPr>
              <w:t xml:space="preserve"> (draft),</w:t>
            </w:r>
            <w:r w:rsidR="002D3C1B" w:rsidRPr="002D3C1B">
              <w:rPr>
                <w:rFonts w:asciiTheme="minorHAnsi" w:hAnsiTheme="minorHAnsi"/>
                <w:b/>
                <w:sz w:val="24"/>
                <w:szCs w:val="24"/>
              </w:rPr>
              <w:t xml:space="preserve"> 28 February</w:t>
            </w:r>
            <w:r w:rsidR="00251609" w:rsidRPr="002D3C1B">
              <w:rPr>
                <w:rFonts w:asciiTheme="minorHAnsi" w:hAnsiTheme="minorHAnsi"/>
                <w:b/>
                <w:sz w:val="24"/>
                <w:szCs w:val="24"/>
              </w:rPr>
              <w:t xml:space="preserve"> 201</w:t>
            </w:r>
            <w:r w:rsidRPr="002D3C1B">
              <w:rPr>
                <w:rFonts w:asciiTheme="minorHAnsi" w:hAnsiTheme="minorHAnsi"/>
                <w:b/>
                <w:sz w:val="24"/>
                <w:szCs w:val="24"/>
              </w:rPr>
              <w:t>9</w:t>
            </w:r>
            <w:r w:rsidR="00251609" w:rsidRPr="002D3C1B">
              <w:rPr>
                <w:rFonts w:asciiTheme="minorHAnsi" w:hAnsiTheme="minorHAnsi"/>
                <w:b/>
                <w:sz w:val="24"/>
                <w:szCs w:val="24"/>
              </w:rPr>
              <w:t xml:space="preserve"> (final)</w:t>
            </w:r>
          </w:p>
        </w:tc>
      </w:tr>
      <w:tr w:rsidR="00251609" w:rsidRPr="00251609" w14:paraId="34799511" w14:textId="77777777" w:rsidTr="005A5FD6">
        <w:trPr>
          <w:jc w:val="center"/>
        </w:trPr>
        <w:tc>
          <w:tcPr>
            <w:tcW w:w="1592" w:type="pct"/>
            <w:shd w:val="clear" w:color="auto" w:fill="auto"/>
          </w:tcPr>
          <w:p w14:paraId="511677C1" w14:textId="77777777" w:rsidR="00251609" w:rsidRPr="00251609" w:rsidRDefault="00251609" w:rsidP="00A95FAD">
            <w:pPr>
              <w:spacing w:after="60"/>
              <w:rPr>
                <w:rFonts w:asciiTheme="minorHAnsi" w:hAnsiTheme="minorHAnsi"/>
                <w:sz w:val="24"/>
                <w:szCs w:val="24"/>
              </w:rPr>
            </w:pPr>
            <w:r w:rsidRPr="00251609">
              <w:rPr>
                <w:rFonts w:asciiTheme="minorHAnsi" w:hAnsiTheme="minorHAnsi"/>
                <w:sz w:val="24"/>
                <w:szCs w:val="24"/>
              </w:rPr>
              <w:t>Region and Countries included in the Project:</w:t>
            </w:r>
          </w:p>
        </w:tc>
        <w:tc>
          <w:tcPr>
            <w:tcW w:w="3408" w:type="pct"/>
            <w:shd w:val="clear" w:color="auto" w:fill="auto"/>
          </w:tcPr>
          <w:p w14:paraId="65FCF616" w14:textId="77777777" w:rsidR="00251609" w:rsidRPr="00251609" w:rsidRDefault="00251609" w:rsidP="00A95FAD">
            <w:pPr>
              <w:spacing w:after="60"/>
              <w:rPr>
                <w:rFonts w:asciiTheme="minorHAnsi" w:hAnsiTheme="minorHAnsi"/>
                <w:b/>
                <w:sz w:val="24"/>
                <w:szCs w:val="24"/>
              </w:rPr>
            </w:pPr>
            <w:r w:rsidRPr="00251609">
              <w:rPr>
                <w:rFonts w:asciiTheme="minorHAnsi" w:hAnsiTheme="minorHAnsi"/>
                <w:b/>
                <w:sz w:val="24"/>
                <w:szCs w:val="24"/>
              </w:rPr>
              <w:t>Eastern Europe and Central Asia, Georgia</w:t>
            </w:r>
          </w:p>
        </w:tc>
      </w:tr>
      <w:tr w:rsidR="00251609" w:rsidRPr="00251609" w14:paraId="66AA4565" w14:textId="77777777" w:rsidTr="005A5FD6">
        <w:trPr>
          <w:jc w:val="center"/>
        </w:trPr>
        <w:tc>
          <w:tcPr>
            <w:tcW w:w="1592" w:type="pct"/>
            <w:shd w:val="clear" w:color="auto" w:fill="auto"/>
          </w:tcPr>
          <w:p w14:paraId="3758764F" w14:textId="77777777" w:rsidR="00251609" w:rsidRPr="00251609" w:rsidRDefault="00251609" w:rsidP="00A95FAD">
            <w:pPr>
              <w:spacing w:after="60"/>
              <w:rPr>
                <w:rFonts w:asciiTheme="minorHAnsi" w:hAnsiTheme="minorHAnsi"/>
                <w:sz w:val="24"/>
                <w:szCs w:val="24"/>
              </w:rPr>
            </w:pPr>
            <w:r w:rsidRPr="00251609">
              <w:rPr>
                <w:rFonts w:asciiTheme="minorHAnsi" w:hAnsiTheme="minorHAnsi"/>
                <w:sz w:val="24"/>
                <w:szCs w:val="24"/>
              </w:rPr>
              <w:t>GEF Focal Area:</w:t>
            </w:r>
          </w:p>
        </w:tc>
        <w:tc>
          <w:tcPr>
            <w:tcW w:w="3408" w:type="pct"/>
            <w:shd w:val="clear" w:color="auto" w:fill="auto"/>
          </w:tcPr>
          <w:p w14:paraId="57BF72F7" w14:textId="77777777" w:rsidR="00251609" w:rsidRPr="00251609" w:rsidRDefault="00251609" w:rsidP="00A95FAD">
            <w:pPr>
              <w:spacing w:after="60"/>
              <w:rPr>
                <w:rFonts w:asciiTheme="minorHAnsi" w:hAnsiTheme="minorHAnsi"/>
                <w:b/>
                <w:sz w:val="24"/>
                <w:szCs w:val="24"/>
              </w:rPr>
            </w:pPr>
            <w:r w:rsidRPr="00251609">
              <w:rPr>
                <w:rFonts w:asciiTheme="minorHAnsi" w:hAnsiTheme="minorHAnsi"/>
                <w:b/>
                <w:sz w:val="24"/>
                <w:szCs w:val="24"/>
              </w:rPr>
              <w:t>Biodiversity (GEF-5)</w:t>
            </w:r>
          </w:p>
        </w:tc>
      </w:tr>
      <w:tr w:rsidR="00251609" w:rsidRPr="00251609" w14:paraId="551B9B92" w14:textId="77777777" w:rsidTr="005A5FD6">
        <w:trPr>
          <w:jc w:val="center"/>
        </w:trPr>
        <w:tc>
          <w:tcPr>
            <w:tcW w:w="1592" w:type="pct"/>
            <w:shd w:val="clear" w:color="auto" w:fill="auto"/>
          </w:tcPr>
          <w:p w14:paraId="2D352176" w14:textId="77777777" w:rsidR="00251609" w:rsidRPr="00251609" w:rsidRDefault="00251609" w:rsidP="00A95FAD">
            <w:pPr>
              <w:spacing w:after="60"/>
              <w:rPr>
                <w:rFonts w:asciiTheme="minorHAnsi" w:hAnsiTheme="minorHAnsi"/>
                <w:sz w:val="24"/>
                <w:szCs w:val="24"/>
              </w:rPr>
            </w:pPr>
            <w:r w:rsidRPr="00251609">
              <w:rPr>
                <w:rFonts w:asciiTheme="minorHAnsi" w:hAnsiTheme="minorHAnsi"/>
                <w:sz w:val="24"/>
                <w:szCs w:val="24"/>
              </w:rPr>
              <w:t>GEF Focal Area Objectives:</w:t>
            </w:r>
          </w:p>
        </w:tc>
        <w:tc>
          <w:tcPr>
            <w:tcW w:w="3408" w:type="pct"/>
            <w:shd w:val="clear" w:color="auto" w:fill="auto"/>
          </w:tcPr>
          <w:p w14:paraId="6A5189AD" w14:textId="77777777" w:rsidR="00251609" w:rsidRPr="00251609" w:rsidRDefault="00251609" w:rsidP="00A95FAD">
            <w:pPr>
              <w:spacing w:after="60"/>
              <w:rPr>
                <w:rFonts w:asciiTheme="minorHAnsi" w:hAnsiTheme="minorHAnsi"/>
                <w:b/>
                <w:sz w:val="24"/>
                <w:szCs w:val="24"/>
                <w:highlight w:val="yellow"/>
              </w:rPr>
            </w:pPr>
            <w:r w:rsidRPr="00251609">
              <w:rPr>
                <w:rFonts w:asciiTheme="minorHAnsi" w:hAnsiTheme="minorHAnsi"/>
                <w:b/>
                <w:sz w:val="24"/>
                <w:szCs w:val="24"/>
              </w:rPr>
              <w:t>SO-1, SP-3 Strengthening Terrestrial Protected Areas</w:t>
            </w:r>
          </w:p>
        </w:tc>
      </w:tr>
      <w:tr w:rsidR="00251609" w:rsidRPr="00251609" w14:paraId="32F668B3" w14:textId="77777777" w:rsidTr="005A5FD6">
        <w:trPr>
          <w:jc w:val="center"/>
        </w:trPr>
        <w:tc>
          <w:tcPr>
            <w:tcW w:w="1592" w:type="pct"/>
            <w:shd w:val="clear" w:color="auto" w:fill="auto"/>
          </w:tcPr>
          <w:p w14:paraId="1F2C1532" w14:textId="7360F115" w:rsidR="00251609" w:rsidRPr="00251609" w:rsidRDefault="00251609" w:rsidP="00A95FAD">
            <w:pPr>
              <w:spacing w:after="60"/>
              <w:rPr>
                <w:rFonts w:asciiTheme="minorHAnsi" w:hAnsiTheme="minorHAnsi"/>
                <w:sz w:val="24"/>
                <w:szCs w:val="24"/>
              </w:rPr>
            </w:pPr>
            <w:r w:rsidRPr="00251609">
              <w:rPr>
                <w:rFonts w:asciiTheme="minorHAnsi" w:hAnsiTheme="minorHAnsi"/>
                <w:sz w:val="24"/>
                <w:szCs w:val="24"/>
              </w:rPr>
              <w:t>Implementing Agency</w:t>
            </w:r>
            <w:r w:rsidR="00AA30DA">
              <w:rPr>
                <w:rFonts w:asciiTheme="minorHAnsi" w:hAnsiTheme="minorHAnsi"/>
                <w:sz w:val="24"/>
                <w:szCs w:val="24"/>
              </w:rPr>
              <w:t>:</w:t>
            </w:r>
          </w:p>
          <w:p w14:paraId="7935DAE1" w14:textId="3F821680" w:rsidR="00251609" w:rsidRPr="00251609" w:rsidRDefault="00C43278" w:rsidP="00A95FAD">
            <w:pPr>
              <w:spacing w:after="60"/>
              <w:rPr>
                <w:rFonts w:asciiTheme="minorHAnsi" w:hAnsiTheme="minorHAnsi"/>
                <w:sz w:val="24"/>
                <w:szCs w:val="24"/>
              </w:rPr>
            </w:pPr>
            <w:r>
              <w:rPr>
                <w:rFonts w:asciiTheme="minorHAnsi" w:hAnsiTheme="minorHAnsi"/>
                <w:sz w:val="24"/>
                <w:szCs w:val="24"/>
              </w:rPr>
              <w:t>Implementation Modality</w:t>
            </w:r>
            <w:r w:rsidR="00AA30DA">
              <w:rPr>
                <w:rFonts w:asciiTheme="minorHAnsi" w:hAnsiTheme="minorHAnsi"/>
                <w:sz w:val="24"/>
                <w:szCs w:val="24"/>
              </w:rPr>
              <w:t>:</w:t>
            </w:r>
          </w:p>
          <w:p w14:paraId="47194871" w14:textId="7B8BD05C" w:rsidR="00C43278" w:rsidRDefault="00C43278" w:rsidP="00A95FAD">
            <w:pPr>
              <w:spacing w:after="60"/>
              <w:rPr>
                <w:rFonts w:asciiTheme="minorHAnsi" w:hAnsiTheme="minorHAnsi"/>
                <w:sz w:val="24"/>
                <w:szCs w:val="24"/>
              </w:rPr>
            </w:pPr>
            <w:r>
              <w:rPr>
                <w:rFonts w:asciiTheme="minorHAnsi" w:hAnsiTheme="minorHAnsi"/>
                <w:sz w:val="24"/>
                <w:szCs w:val="24"/>
              </w:rPr>
              <w:t>Implementing Partner</w:t>
            </w:r>
            <w:r w:rsidRPr="00251609">
              <w:rPr>
                <w:rFonts w:asciiTheme="minorHAnsi" w:hAnsiTheme="minorHAnsi"/>
                <w:sz w:val="24"/>
                <w:szCs w:val="24"/>
              </w:rPr>
              <w:t>:</w:t>
            </w:r>
            <w:r>
              <w:rPr>
                <w:rFonts w:asciiTheme="minorHAnsi" w:hAnsiTheme="minorHAnsi"/>
                <w:sz w:val="24"/>
                <w:szCs w:val="24"/>
              </w:rPr>
              <w:t xml:space="preserve"> </w:t>
            </w:r>
          </w:p>
          <w:p w14:paraId="182A900D" w14:textId="77777777" w:rsidR="00C43278" w:rsidRDefault="00C43278" w:rsidP="00C43278">
            <w:pPr>
              <w:spacing w:after="60"/>
              <w:rPr>
                <w:rFonts w:asciiTheme="minorHAnsi" w:hAnsiTheme="minorHAnsi"/>
                <w:sz w:val="24"/>
                <w:szCs w:val="24"/>
              </w:rPr>
            </w:pPr>
          </w:p>
          <w:p w14:paraId="221AE107" w14:textId="6BFAC3D5" w:rsidR="00251609" w:rsidRPr="00251609" w:rsidRDefault="00C43278" w:rsidP="00A83696">
            <w:pPr>
              <w:rPr>
                <w:rFonts w:asciiTheme="minorHAnsi" w:hAnsiTheme="minorHAnsi"/>
                <w:sz w:val="24"/>
                <w:szCs w:val="24"/>
              </w:rPr>
            </w:pPr>
            <w:r w:rsidRPr="002D3C1B">
              <w:rPr>
                <w:rFonts w:asciiTheme="minorHAnsi" w:hAnsiTheme="minorHAnsi"/>
                <w:sz w:val="24"/>
                <w:szCs w:val="24"/>
              </w:rPr>
              <w:t>Other Responsible Parties</w:t>
            </w:r>
            <w:r w:rsidR="00251609" w:rsidRPr="002D3C1B">
              <w:rPr>
                <w:rFonts w:asciiTheme="minorHAnsi" w:hAnsiTheme="minorHAnsi"/>
                <w:sz w:val="24"/>
                <w:szCs w:val="24"/>
              </w:rPr>
              <w:t>:</w:t>
            </w:r>
          </w:p>
          <w:p w14:paraId="47F37D8F" w14:textId="77777777" w:rsidR="00671C04" w:rsidRDefault="00671C04" w:rsidP="00A83696">
            <w:pPr>
              <w:spacing w:after="60"/>
              <w:rPr>
                <w:rFonts w:asciiTheme="minorHAnsi" w:hAnsiTheme="minorHAnsi"/>
                <w:sz w:val="24"/>
                <w:szCs w:val="24"/>
              </w:rPr>
            </w:pPr>
          </w:p>
          <w:p w14:paraId="5CBA76B6" w14:textId="2AFC641A" w:rsidR="00251609" w:rsidRDefault="00B60209" w:rsidP="00A95FAD">
            <w:pPr>
              <w:spacing w:after="60"/>
              <w:rPr>
                <w:rFonts w:asciiTheme="minorHAnsi" w:hAnsiTheme="minorHAnsi"/>
                <w:sz w:val="24"/>
                <w:szCs w:val="24"/>
              </w:rPr>
            </w:pPr>
            <w:r>
              <w:rPr>
                <w:rFonts w:asciiTheme="minorHAnsi" w:hAnsiTheme="minorHAnsi"/>
                <w:sz w:val="24"/>
                <w:szCs w:val="24"/>
              </w:rPr>
              <w:t>GEF Project Grant</w:t>
            </w:r>
            <w:r w:rsidR="00A24CCA">
              <w:rPr>
                <w:rFonts w:asciiTheme="minorHAnsi" w:hAnsiTheme="minorHAnsi"/>
                <w:sz w:val="24"/>
                <w:szCs w:val="24"/>
              </w:rPr>
              <w:t>:</w:t>
            </w:r>
          </w:p>
          <w:p w14:paraId="2D7FBC29" w14:textId="12DC3C91" w:rsidR="00B60209" w:rsidRDefault="00B60209" w:rsidP="00A95FAD">
            <w:pPr>
              <w:spacing w:after="60"/>
              <w:rPr>
                <w:rFonts w:asciiTheme="minorHAnsi" w:hAnsiTheme="minorHAnsi"/>
                <w:sz w:val="24"/>
                <w:szCs w:val="24"/>
              </w:rPr>
            </w:pPr>
            <w:r>
              <w:rPr>
                <w:rFonts w:asciiTheme="minorHAnsi" w:hAnsiTheme="minorHAnsi"/>
                <w:sz w:val="24"/>
                <w:szCs w:val="24"/>
              </w:rPr>
              <w:t xml:space="preserve">Implementing Agency: </w:t>
            </w:r>
          </w:p>
          <w:p w14:paraId="620ABCAB" w14:textId="29BA44FA" w:rsidR="00A24CCA" w:rsidRDefault="00A24CCA" w:rsidP="00B60209">
            <w:pPr>
              <w:spacing w:after="60"/>
              <w:rPr>
                <w:rFonts w:asciiTheme="minorHAnsi" w:hAnsiTheme="minorHAnsi"/>
                <w:sz w:val="24"/>
                <w:szCs w:val="24"/>
              </w:rPr>
            </w:pPr>
            <w:r>
              <w:rPr>
                <w:rFonts w:asciiTheme="minorHAnsi" w:hAnsiTheme="minorHAnsi"/>
                <w:sz w:val="24"/>
                <w:szCs w:val="24"/>
              </w:rPr>
              <w:t>Co-Financing</w:t>
            </w:r>
            <w:r w:rsidR="00B60209">
              <w:rPr>
                <w:rFonts w:asciiTheme="minorHAnsi" w:hAnsiTheme="minorHAnsi"/>
                <w:sz w:val="24"/>
                <w:szCs w:val="24"/>
              </w:rPr>
              <w:t>:</w:t>
            </w:r>
          </w:p>
          <w:p w14:paraId="7FB60E3E" w14:textId="38BFF369" w:rsidR="00B60209" w:rsidRDefault="00B60209" w:rsidP="00B60209">
            <w:pPr>
              <w:spacing w:after="60"/>
              <w:rPr>
                <w:rFonts w:asciiTheme="minorHAnsi" w:hAnsiTheme="minorHAnsi"/>
                <w:sz w:val="24"/>
                <w:szCs w:val="24"/>
              </w:rPr>
            </w:pPr>
            <w:r>
              <w:rPr>
                <w:rFonts w:asciiTheme="minorHAnsi" w:hAnsiTheme="minorHAnsi"/>
                <w:sz w:val="24"/>
                <w:szCs w:val="24"/>
              </w:rPr>
              <w:t>Total Project Cost:</w:t>
            </w:r>
          </w:p>
          <w:p w14:paraId="38356498" w14:textId="77777777" w:rsidR="008C3D68" w:rsidRDefault="008C3D68" w:rsidP="00B60209">
            <w:pPr>
              <w:spacing w:after="60"/>
              <w:rPr>
                <w:rFonts w:asciiTheme="minorHAnsi" w:hAnsiTheme="minorHAnsi"/>
                <w:sz w:val="24"/>
                <w:szCs w:val="24"/>
              </w:rPr>
            </w:pPr>
            <w:r>
              <w:rPr>
                <w:rFonts w:asciiTheme="minorHAnsi" w:hAnsiTheme="minorHAnsi"/>
                <w:sz w:val="24"/>
                <w:szCs w:val="24"/>
              </w:rPr>
              <w:t>ProDoc signed:</w:t>
            </w:r>
          </w:p>
          <w:p w14:paraId="78C0EF1B" w14:textId="716C1358" w:rsidR="008C3D68" w:rsidRPr="00251609" w:rsidRDefault="008C3D68" w:rsidP="00B60209">
            <w:pPr>
              <w:spacing w:after="60"/>
              <w:rPr>
                <w:rFonts w:asciiTheme="minorHAnsi" w:hAnsiTheme="minorHAnsi"/>
                <w:sz w:val="24"/>
                <w:szCs w:val="24"/>
              </w:rPr>
            </w:pPr>
            <w:r>
              <w:rPr>
                <w:rFonts w:asciiTheme="minorHAnsi" w:hAnsiTheme="minorHAnsi"/>
                <w:sz w:val="24"/>
                <w:szCs w:val="24"/>
              </w:rPr>
              <w:t>Operational Closure:</w:t>
            </w:r>
          </w:p>
        </w:tc>
        <w:tc>
          <w:tcPr>
            <w:tcW w:w="3408" w:type="pct"/>
            <w:shd w:val="clear" w:color="auto" w:fill="auto"/>
          </w:tcPr>
          <w:p w14:paraId="1CA1CD55" w14:textId="77777777" w:rsidR="00251609" w:rsidRPr="00251609" w:rsidRDefault="00251609" w:rsidP="00A95FAD">
            <w:pPr>
              <w:spacing w:after="60"/>
              <w:rPr>
                <w:rFonts w:asciiTheme="minorHAnsi" w:hAnsiTheme="minorHAnsi"/>
                <w:b/>
                <w:sz w:val="24"/>
                <w:szCs w:val="24"/>
              </w:rPr>
            </w:pPr>
            <w:r w:rsidRPr="00251609">
              <w:rPr>
                <w:rFonts w:asciiTheme="minorHAnsi" w:hAnsiTheme="minorHAnsi"/>
                <w:b/>
                <w:sz w:val="24"/>
                <w:szCs w:val="24"/>
              </w:rPr>
              <w:t>United Nations Development Programme (UNDP)</w:t>
            </w:r>
          </w:p>
          <w:p w14:paraId="064EE65D" w14:textId="4F21E266" w:rsidR="00251609" w:rsidRPr="00251609" w:rsidRDefault="00C43278" w:rsidP="00A95FAD">
            <w:pPr>
              <w:spacing w:after="60"/>
              <w:rPr>
                <w:rFonts w:asciiTheme="minorHAnsi" w:hAnsiTheme="minorHAnsi"/>
                <w:b/>
                <w:sz w:val="24"/>
                <w:szCs w:val="24"/>
              </w:rPr>
            </w:pPr>
            <w:r>
              <w:rPr>
                <w:rFonts w:asciiTheme="minorHAnsi" w:hAnsiTheme="minorHAnsi"/>
                <w:b/>
                <w:sz w:val="24"/>
                <w:szCs w:val="24"/>
              </w:rPr>
              <w:t>National Implementation</w:t>
            </w:r>
          </w:p>
          <w:p w14:paraId="3BC873AF" w14:textId="37A16E82" w:rsidR="00251609" w:rsidRDefault="00C43278" w:rsidP="00671C04">
            <w:pPr>
              <w:spacing w:after="120"/>
              <w:rPr>
                <w:rFonts w:asciiTheme="minorHAnsi" w:hAnsiTheme="minorHAnsi"/>
                <w:b/>
                <w:sz w:val="24"/>
                <w:szCs w:val="24"/>
              </w:rPr>
            </w:pPr>
            <w:r w:rsidRPr="00251609">
              <w:rPr>
                <w:rFonts w:asciiTheme="minorHAnsi" w:hAnsiTheme="minorHAnsi"/>
                <w:b/>
                <w:sz w:val="24"/>
                <w:szCs w:val="24"/>
              </w:rPr>
              <w:t>Agency for Protected Areas (Ministry of Environment Protection and Agriculture)</w:t>
            </w:r>
          </w:p>
          <w:p w14:paraId="0175BFB7" w14:textId="2166A864" w:rsidR="00A83696" w:rsidRDefault="00C43278" w:rsidP="00A83696">
            <w:pPr>
              <w:rPr>
                <w:rFonts w:asciiTheme="minorHAnsi" w:hAnsiTheme="minorHAnsi"/>
                <w:b/>
                <w:sz w:val="24"/>
                <w:szCs w:val="24"/>
              </w:rPr>
            </w:pPr>
            <w:r>
              <w:rPr>
                <w:rFonts w:asciiTheme="minorHAnsi" w:hAnsiTheme="minorHAnsi"/>
                <w:b/>
                <w:sz w:val="24"/>
                <w:szCs w:val="24"/>
              </w:rPr>
              <w:t>Autonomous Re</w:t>
            </w:r>
            <w:r w:rsidR="00FA16D1">
              <w:rPr>
                <w:rFonts w:asciiTheme="minorHAnsi" w:hAnsiTheme="minorHAnsi"/>
                <w:b/>
                <w:sz w:val="24"/>
                <w:szCs w:val="24"/>
              </w:rPr>
              <w:t>public</w:t>
            </w:r>
            <w:r>
              <w:rPr>
                <w:rFonts w:asciiTheme="minorHAnsi" w:hAnsiTheme="minorHAnsi"/>
                <w:b/>
                <w:sz w:val="24"/>
                <w:szCs w:val="24"/>
              </w:rPr>
              <w:t xml:space="preserve"> of </w:t>
            </w:r>
            <w:r w:rsidR="00D712CA">
              <w:rPr>
                <w:rFonts w:asciiTheme="minorHAnsi" w:hAnsiTheme="minorHAnsi"/>
                <w:b/>
                <w:sz w:val="24"/>
                <w:szCs w:val="24"/>
              </w:rPr>
              <w:t xml:space="preserve">Achara, </w:t>
            </w:r>
            <w:r>
              <w:rPr>
                <w:rFonts w:asciiTheme="minorHAnsi" w:hAnsiTheme="minorHAnsi"/>
                <w:b/>
                <w:sz w:val="24"/>
                <w:szCs w:val="24"/>
              </w:rPr>
              <w:t>Georgia</w:t>
            </w:r>
            <w:r w:rsidR="00A83696">
              <w:rPr>
                <w:rFonts w:asciiTheme="minorHAnsi" w:hAnsiTheme="minorHAnsi"/>
                <w:b/>
                <w:sz w:val="24"/>
                <w:szCs w:val="24"/>
              </w:rPr>
              <w:t xml:space="preserve"> </w:t>
            </w:r>
          </w:p>
          <w:p w14:paraId="660A3301" w14:textId="493613C5" w:rsidR="00C43278" w:rsidRDefault="00A83696" w:rsidP="00A83696">
            <w:pPr>
              <w:spacing w:after="60"/>
              <w:rPr>
                <w:rFonts w:asciiTheme="minorHAnsi" w:hAnsiTheme="minorHAnsi"/>
                <w:b/>
                <w:sz w:val="24"/>
                <w:szCs w:val="24"/>
              </w:rPr>
            </w:pPr>
            <w:r w:rsidRPr="00671C04">
              <w:rPr>
                <w:rFonts w:asciiTheme="minorHAnsi" w:hAnsiTheme="minorHAnsi"/>
                <w:b/>
                <w:sz w:val="24"/>
                <w:szCs w:val="24"/>
              </w:rPr>
              <w:t>Khelvachauri Municipality</w:t>
            </w:r>
            <w:r w:rsidR="00C43278">
              <w:rPr>
                <w:rFonts w:asciiTheme="minorHAnsi" w:hAnsiTheme="minorHAnsi"/>
                <w:b/>
                <w:sz w:val="24"/>
                <w:szCs w:val="24"/>
              </w:rPr>
              <w:t xml:space="preserve"> </w:t>
            </w:r>
          </w:p>
          <w:p w14:paraId="305389D3" w14:textId="2F990B6B" w:rsidR="00A24CCA" w:rsidRDefault="00A24CCA" w:rsidP="005A5FD6">
            <w:pPr>
              <w:spacing w:after="60"/>
              <w:ind w:right="4348"/>
              <w:jc w:val="right"/>
              <w:rPr>
                <w:rFonts w:asciiTheme="minorHAnsi" w:hAnsiTheme="minorHAnsi"/>
                <w:b/>
                <w:sz w:val="24"/>
                <w:szCs w:val="24"/>
              </w:rPr>
            </w:pPr>
            <w:r>
              <w:rPr>
                <w:rFonts w:asciiTheme="minorHAnsi" w:hAnsiTheme="minorHAnsi"/>
                <w:b/>
                <w:sz w:val="24"/>
                <w:szCs w:val="24"/>
              </w:rPr>
              <w:t>US</w:t>
            </w:r>
            <w:r w:rsidRPr="00B60209">
              <w:rPr>
                <w:rFonts w:asciiTheme="minorHAnsi" w:hAnsiTheme="minorHAnsi"/>
                <w:b/>
                <w:sz w:val="24"/>
                <w:szCs w:val="24"/>
              </w:rPr>
              <w:t xml:space="preserve">$ </w:t>
            </w:r>
            <w:r w:rsidR="00B60209" w:rsidRPr="00B60209">
              <w:rPr>
                <w:rFonts w:asciiTheme="minorHAnsi" w:hAnsiTheme="minorHAnsi"/>
                <w:b/>
                <w:sz w:val="24"/>
                <w:szCs w:val="24"/>
              </w:rPr>
              <w:t>1,283,636</w:t>
            </w:r>
            <w:r w:rsidR="008C3D68">
              <w:rPr>
                <w:rFonts w:asciiTheme="minorHAnsi" w:hAnsiTheme="minorHAnsi"/>
                <w:sz w:val="24"/>
                <w:szCs w:val="24"/>
              </w:rPr>
              <w:t>*</w:t>
            </w:r>
          </w:p>
          <w:p w14:paraId="0773446B" w14:textId="260C3967" w:rsidR="00B60209" w:rsidRDefault="00B60209" w:rsidP="005A5FD6">
            <w:pPr>
              <w:spacing w:after="60"/>
              <w:ind w:right="4348"/>
              <w:jc w:val="right"/>
              <w:rPr>
                <w:rFonts w:asciiTheme="minorHAnsi" w:hAnsiTheme="minorHAnsi"/>
                <w:b/>
                <w:sz w:val="24"/>
                <w:szCs w:val="24"/>
              </w:rPr>
            </w:pPr>
            <w:r>
              <w:rPr>
                <w:rFonts w:asciiTheme="minorHAnsi" w:hAnsiTheme="minorHAnsi"/>
                <w:b/>
                <w:sz w:val="24"/>
                <w:szCs w:val="24"/>
              </w:rPr>
              <w:t>US$ 40,000</w:t>
            </w:r>
            <w:r w:rsidR="008C3D68">
              <w:rPr>
                <w:rFonts w:asciiTheme="minorHAnsi" w:hAnsiTheme="minorHAnsi"/>
                <w:sz w:val="24"/>
                <w:szCs w:val="24"/>
              </w:rPr>
              <w:t>*</w:t>
            </w:r>
          </w:p>
          <w:p w14:paraId="5B04C3E7" w14:textId="69F4E4F6" w:rsidR="00A24CCA" w:rsidRDefault="00A24CCA" w:rsidP="005A5FD6">
            <w:pPr>
              <w:spacing w:after="60"/>
              <w:ind w:right="4348"/>
              <w:jc w:val="right"/>
              <w:rPr>
                <w:rFonts w:asciiTheme="minorHAnsi" w:hAnsiTheme="minorHAnsi"/>
                <w:b/>
                <w:sz w:val="24"/>
                <w:szCs w:val="24"/>
              </w:rPr>
            </w:pPr>
            <w:r>
              <w:rPr>
                <w:rFonts w:asciiTheme="minorHAnsi" w:hAnsiTheme="minorHAnsi"/>
                <w:b/>
                <w:sz w:val="24"/>
                <w:szCs w:val="24"/>
              </w:rPr>
              <w:t>US$</w:t>
            </w:r>
            <w:r w:rsidR="00B60209">
              <w:rPr>
                <w:rFonts w:asciiTheme="minorHAnsi" w:hAnsiTheme="minorHAnsi"/>
                <w:b/>
                <w:sz w:val="24"/>
                <w:szCs w:val="24"/>
              </w:rPr>
              <w:t xml:space="preserve"> 13,358,142</w:t>
            </w:r>
            <w:r w:rsidR="008C3D68">
              <w:rPr>
                <w:rFonts w:asciiTheme="minorHAnsi" w:hAnsiTheme="minorHAnsi"/>
                <w:sz w:val="24"/>
                <w:szCs w:val="24"/>
              </w:rPr>
              <w:t>*</w:t>
            </w:r>
          </w:p>
          <w:p w14:paraId="58FCA2CA" w14:textId="36E9D950" w:rsidR="00B60209" w:rsidRDefault="00B60209" w:rsidP="005A5FD6">
            <w:pPr>
              <w:spacing w:after="60"/>
              <w:ind w:right="4348"/>
              <w:jc w:val="right"/>
              <w:rPr>
                <w:rFonts w:asciiTheme="minorHAnsi" w:hAnsiTheme="minorHAnsi"/>
                <w:b/>
                <w:sz w:val="24"/>
                <w:szCs w:val="24"/>
              </w:rPr>
            </w:pPr>
            <w:r>
              <w:rPr>
                <w:rFonts w:asciiTheme="minorHAnsi" w:hAnsiTheme="minorHAnsi"/>
                <w:b/>
                <w:sz w:val="24"/>
                <w:szCs w:val="24"/>
              </w:rPr>
              <w:t>US$ 14,998,778</w:t>
            </w:r>
            <w:r w:rsidR="008C3D68">
              <w:rPr>
                <w:rFonts w:asciiTheme="minorHAnsi" w:hAnsiTheme="minorHAnsi"/>
                <w:sz w:val="24"/>
                <w:szCs w:val="24"/>
              </w:rPr>
              <w:t>*</w:t>
            </w:r>
          </w:p>
          <w:p w14:paraId="2894A7FE" w14:textId="22C795D1" w:rsidR="008C3D68" w:rsidRDefault="008C3D68" w:rsidP="008C3D68">
            <w:pPr>
              <w:tabs>
                <w:tab w:val="left" w:pos="6918"/>
              </w:tabs>
              <w:spacing w:after="60"/>
              <w:rPr>
                <w:rFonts w:asciiTheme="minorHAnsi" w:hAnsiTheme="minorHAnsi"/>
                <w:b/>
                <w:sz w:val="24"/>
                <w:szCs w:val="24"/>
              </w:rPr>
            </w:pPr>
            <w:r>
              <w:rPr>
                <w:rFonts w:asciiTheme="minorHAnsi" w:hAnsiTheme="minorHAnsi"/>
                <w:b/>
                <w:sz w:val="24"/>
                <w:szCs w:val="24"/>
              </w:rPr>
              <w:t>9 June 2014 (i.e. project start)</w:t>
            </w:r>
          </w:p>
          <w:p w14:paraId="1BE81EE8" w14:textId="7E000338" w:rsidR="008C3D68" w:rsidRPr="00251609" w:rsidRDefault="008C3D68" w:rsidP="008C3D68">
            <w:pPr>
              <w:spacing w:after="60"/>
              <w:rPr>
                <w:rFonts w:asciiTheme="minorHAnsi" w:hAnsiTheme="minorHAnsi"/>
                <w:b/>
                <w:sz w:val="24"/>
                <w:szCs w:val="24"/>
              </w:rPr>
            </w:pPr>
            <w:r w:rsidRPr="008748EA">
              <w:rPr>
                <w:rFonts w:asciiTheme="minorHAnsi" w:hAnsiTheme="minorHAnsi"/>
                <w:sz w:val="24"/>
                <w:szCs w:val="24"/>
              </w:rPr>
              <w:t>9 June 2018 (planned),</w:t>
            </w:r>
            <w:r>
              <w:rPr>
                <w:rFonts w:asciiTheme="minorHAnsi" w:hAnsiTheme="minorHAnsi"/>
                <w:b/>
                <w:sz w:val="24"/>
                <w:szCs w:val="24"/>
              </w:rPr>
              <w:t xml:space="preserve"> 31 December 2018 (actual)</w:t>
            </w:r>
          </w:p>
        </w:tc>
      </w:tr>
      <w:tr w:rsidR="00251609" w:rsidRPr="00251609" w14:paraId="0EA85DFF" w14:textId="77777777" w:rsidTr="005A5FD6">
        <w:trPr>
          <w:jc w:val="center"/>
        </w:trPr>
        <w:tc>
          <w:tcPr>
            <w:tcW w:w="1592" w:type="pct"/>
            <w:shd w:val="clear" w:color="auto" w:fill="auto"/>
          </w:tcPr>
          <w:p w14:paraId="410604CB" w14:textId="77777777" w:rsidR="00251609" w:rsidRDefault="00251609" w:rsidP="00A95FAD">
            <w:pPr>
              <w:spacing w:after="60"/>
              <w:rPr>
                <w:rFonts w:asciiTheme="minorHAnsi" w:hAnsiTheme="minorHAnsi"/>
                <w:sz w:val="24"/>
                <w:szCs w:val="24"/>
              </w:rPr>
            </w:pPr>
            <w:r w:rsidRPr="00251609">
              <w:rPr>
                <w:rFonts w:asciiTheme="minorHAnsi" w:hAnsiTheme="minorHAnsi"/>
                <w:sz w:val="24"/>
                <w:szCs w:val="24"/>
              </w:rPr>
              <w:t>Evaluation Team Members:</w:t>
            </w:r>
          </w:p>
          <w:p w14:paraId="321B5A45" w14:textId="5C91473A" w:rsidR="00B60209" w:rsidRPr="00B60209" w:rsidRDefault="00B60209" w:rsidP="005A5FD6">
            <w:pPr>
              <w:spacing w:before="120" w:after="60"/>
              <w:rPr>
                <w:rFonts w:asciiTheme="minorHAnsi" w:hAnsiTheme="minorHAnsi"/>
                <w:sz w:val="20"/>
              </w:rPr>
            </w:pPr>
            <w:r w:rsidRPr="008748EA">
              <w:rPr>
                <w:rFonts w:asciiTheme="minorHAnsi" w:hAnsiTheme="minorHAnsi"/>
                <w:sz w:val="24"/>
                <w:szCs w:val="24"/>
              </w:rPr>
              <w:t>*</w:t>
            </w:r>
            <w:r w:rsidRPr="00B60209">
              <w:rPr>
                <w:rFonts w:asciiTheme="minorHAnsi" w:hAnsiTheme="minorHAnsi"/>
                <w:sz w:val="20"/>
              </w:rPr>
              <w:t>At project endorsement</w:t>
            </w:r>
            <w:r w:rsidR="008C3D68">
              <w:rPr>
                <w:rFonts w:asciiTheme="minorHAnsi" w:hAnsiTheme="minorHAnsi"/>
                <w:sz w:val="20"/>
              </w:rPr>
              <w:t>.</w:t>
            </w:r>
          </w:p>
        </w:tc>
        <w:tc>
          <w:tcPr>
            <w:tcW w:w="3408" w:type="pct"/>
            <w:shd w:val="clear" w:color="auto" w:fill="auto"/>
          </w:tcPr>
          <w:p w14:paraId="5E62C83B" w14:textId="77777777" w:rsidR="00251609" w:rsidRPr="00251609" w:rsidRDefault="00251609" w:rsidP="00A95FAD">
            <w:pPr>
              <w:spacing w:after="60"/>
              <w:rPr>
                <w:rFonts w:asciiTheme="minorHAnsi" w:hAnsiTheme="minorHAnsi"/>
                <w:b/>
                <w:sz w:val="24"/>
                <w:szCs w:val="24"/>
              </w:rPr>
            </w:pPr>
            <w:r w:rsidRPr="00251609">
              <w:rPr>
                <w:rFonts w:asciiTheme="minorHAnsi" w:hAnsiTheme="minorHAnsi"/>
                <w:b/>
                <w:sz w:val="24"/>
                <w:szCs w:val="24"/>
              </w:rPr>
              <w:t xml:space="preserve">Michael J.B. Green </w:t>
            </w:r>
            <w:r w:rsidRPr="008748EA">
              <w:rPr>
                <w:rFonts w:asciiTheme="minorHAnsi" w:hAnsiTheme="minorHAnsi"/>
                <w:sz w:val="24"/>
                <w:szCs w:val="24"/>
              </w:rPr>
              <w:t>and</w:t>
            </w:r>
            <w:r w:rsidRPr="00251609">
              <w:rPr>
                <w:rFonts w:asciiTheme="minorHAnsi" w:hAnsiTheme="minorHAnsi"/>
                <w:b/>
                <w:sz w:val="24"/>
                <w:szCs w:val="24"/>
              </w:rPr>
              <w:t xml:space="preserve"> Giorgi Shubitidze</w:t>
            </w:r>
          </w:p>
        </w:tc>
      </w:tr>
    </w:tbl>
    <w:p w14:paraId="0708F2CB" w14:textId="77777777" w:rsidR="009731A3" w:rsidRDefault="009731A3" w:rsidP="00DE3E19">
      <w:pPr>
        <w:spacing w:before="120" w:line="240" w:lineRule="atLeast"/>
        <w:jc w:val="both"/>
        <w:rPr>
          <w:rFonts w:asciiTheme="minorHAnsi" w:hAnsiTheme="minorHAnsi" w:cs="Calibri"/>
          <w:sz w:val="24"/>
          <w:szCs w:val="24"/>
          <w:lang w:val="en-US"/>
        </w:rPr>
      </w:pPr>
    </w:p>
    <w:p w14:paraId="011CA450" w14:textId="77777777" w:rsidR="009731A3" w:rsidRDefault="009731A3" w:rsidP="00DE3E19">
      <w:pPr>
        <w:spacing w:before="120" w:line="240" w:lineRule="atLeast"/>
        <w:jc w:val="both"/>
        <w:rPr>
          <w:rFonts w:asciiTheme="minorHAnsi" w:hAnsiTheme="minorHAnsi" w:cs="Calibri"/>
          <w:sz w:val="24"/>
          <w:szCs w:val="24"/>
          <w:lang w:val="en-US"/>
        </w:rPr>
      </w:pPr>
    </w:p>
    <w:p w14:paraId="42D83ED8" w14:textId="77777777" w:rsidR="009731A3" w:rsidRDefault="009731A3" w:rsidP="00DE3E19">
      <w:pPr>
        <w:spacing w:before="120" w:line="240" w:lineRule="atLeast"/>
        <w:jc w:val="both"/>
        <w:rPr>
          <w:rFonts w:asciiTheme="minorHAnsi" w:hAnsiTheme="minorHAnsi" w:cs="Calibri"/>
          <w:sz w:val="24"/>
          <w:szCs w:val="24"/>
          <w:lang w:val="en-US"/>
        </w:rPr>
      </w:pPr>
    </w:p>
    <w:p w14:paraId="16C05F40" w14:textId="77777777" w:rsidR="009731A3" w:rsidRDefault="009731A3" w:rsidP="00DE3E19">
      <w:pPr>
        <w:spacing w:before="120" w:line="240" w:lineRule="atLeast"/>
        <w:jc w:val="both"/>
        <w:rPr>
          <w:rFonts w:asciiTheme="minorHAnsi" w:hAnsiTheme="minorHAnsi" w:cs="Calibri"/>
          <w:sz w:val="24"/>
          <w:szCs w:val="24"/>
          <w:lang w:val="en-US"/>
        </w:rPr>
      </w:pPr>
    </w:p>
    <w:p w14:paraId="7D570BB1" w14:textId="7B8F97DC" w:rsidR="009731A3" w:rsidRPr="009731A3" w:rsidRDefault="009731A3" w:rsidP="009731A3">
      <w:pPr>
        <w:pBdr>
          <w:top w:val="single" w:sz="4" w:space="1" w:color="auto"/>
          <w:left w:val="single" w:sz="4" w:space="4" w:color="auto"/>
          <w:bottom w:val="single" w:sz="4" w:space="1" w:color="auto"/>
          <w:right w:val="single" w:sz="4" w:space="4" w:color="auto"/>
        </w:pBdr>
        <w:spacing w:before="120" w:line="240" w:lineRule="atLeast"/>
        <w:jc w:val="both"/>
        <w:rPr>
          <w:rFonts w:asciiTheme="minorHAnsi" w:hAnsiTheme="minorHAnsi" w:cs="Calibri"/>
          <w:szCs w:val="22"/>
          <w:lang w:val="en-US"/>
        </w:rPr>
      </w:pPr>
      <w:r w:rsidRPr="003151F4">
        <w:rPr>
          <w:rFonts w:asciiTheme="minorHAnsi" w:hAnsiTheme="minorHAnsi" w:cs="Calibri"/>
          <w:b/>
          <w:szCs w:val="22"/>
          <w:lang w:val="en-US"/>
        </w:rPr>
        <w:t xml:space="preserve">Acknowledgements: </w:t>
      </w:r>
      <w:r w:rsidRPr="003151F4">
        <w:rPr>
          <w:rFonts w:asciiTheme="minorHAnsi" w:hAnsiTheme="minorHAnsi" w:cs="Calibri"/>
          <w:szCs w:val="22"/>
          <w:lang w:val="en-US"/>
        </w:rPr>
        <w:t>The evaluators w</w:t>
      </w:r>
      <w:r>
        <w:rPr>
          <w:rFonts w:asciiTheme="minorHAnsi" w:hAnsiTheme="minorHAnsi" w:cs="Calibri"/>
          <w:szCs w:val="22"/>
          <w:lang w:val="en-US"/>
        </w:rPr>
        <w:t>ish to</w:t>
      </w:r>
      <w:r w:rsidRPr="003151F4">
        <w:rPr>
          <w:rFonts w:asciiTheme="minorHAnsi" w:hAnsiTheme="minorHAnsi" w:cs="Calibri"/>
          <w:szCs w:val="22"/>
          <w:lang w:val="en-US"/>
        </w:rPr>
        <w:t xml:space="preserve"> acknowledge the information and feedback provided by the wide range of project stakeholders interviewed, including state and regional government agencies, national park administrations, non-government and civil society organizations, and community representatives. Thanks are also extended to the</w:t>
      </w:r>
      <w:r w:rsidRPr="003151F4">
        <w:rPr>
          <w:rFonts w:asciiTheme="minorHAnsi" w:hAnsiTheme="minorHAnsi"/>
          <w:szCs w:val="22"/>
          <w:lang w:val="en-US"/>
        </w:rPr>
        <w:t xml:space="preserve"> </w:t>
      </w:r>
      <w:r w:rsidRPr="003151F4">
        <w:rPr>
          <w:rFonts w:asciiTheme="minorHAnsi" w:hAnsiTheme="minorHAnsi" w:cs="Calibri"/>
          <w:szCs w:val="22"/>
          <w:lang w:val="en-US"/>
        </w:rPr>
        <w:t>UNDP Country Office (Team Leader, Energy and Environment Portfolio) and, in particular, to the Project Manager, Administrative/Finance Assistant and Chief Technical Advisor, all of whom contributed to the effective realization of the field schedule and made themselves readily available throughout the mission</w:t>
      </w:r>
      <w:r>
        <w:rPr>
          <w:rFonts w:asciiTheme="minorHAnsi" w:hAnsiTheme="minorHAnsi" w:cs="Calibri"/>
          <w:szCs w:val="22"/>
          <w:lang w:val="en-US"/>
        </w:rPr>
        <w:t xml:space="preserve"> and its follow up</w:t>
      </w:r>
      <w:r w:rsidRPr="003151F4">
        <w:rPr>
          <w:rFonts w:asciiTheme="minorHAnsi" w:hAnsiTheme="minorHAnsi" w:cs="Calibri"/>
          <w:szCs w:val="22"/>
          <w:lang w:val="en-US"/>
        </w:rPr>
        <w:t>.</w:t>
      </w:r>
    </w:p>
    <w:p w14:paraId="0F687D1D" w14:textId="77777777" w:rsidR="009731A3" w:rsidRPr="00E22EBA" w:rsidRDefault="009731A3" w:rsidP="00DE3E19">
      <w:pPr>
        <w:spacing w:before="120" w:line="240" w:lineRule="atLeast"/>
        <w:jc w:val="both"/>
        <w:rPr>
          <w:rFonts w:asciiTheme="minorHAnsi" w:hAnsiTheme="minorHAnsi" w:cs="Calibri"/>
          <w:sz w:val="24"/>
          <w:szCs w:val="24"/>
          <w:lang w:val="en-US"/>
        </w:rPr>
      </w:pPr>
    </w:p>
    <w:p w14:paraId="4DC719E8" w14:textId="77777777" w:rsidR="00134FC4" w:rsidRPr="00E22EBA" w:rsidRDefault="00134FC4" w:rsidP="00E45B79">
      <w:pPr>
        <w:rPr>
          <w:rFonts w:asciiTheme="minorHAnsi" w:hAnsiTheme="minorHAnsi"/>
          <w:lang w:val="en-US"/>
        </w:rPr>
        <w:sectPr w:rsidR="00134FC4" w:rsidRPr="00E22EBA" w:rsidSect="001B651D">
          <w:headerReference w:type="default" r:id="rId11"/>
          <w:footerReference w:type="default" r:id="rId12"/>
          <w:footnotePr>
            <w:numRestart w:val="eachPage"/>
          </w:footnotePr>
          <w:pgSz w:w="11906" w:h="16838" w:code="1"/>
          <w:pgMar w:top="1440" w:right="1440" w:bottom="1440" w:left="1440" w:header="288" w:footer="288" w:gutter="0"/>
          <w:pgNumType w:fmt="lowerRoman" w:start="1"/>
          <w:cols w:space="708"/>
          <w:docGrid w:linePitch="299"/>
        </w:sectPr>
      </w:pPr>
    </w:p>
    <w:p w14:paraId="6A39AC73" w14:textId="77777777" w:rsidR="00A949E8" w:rsidRDefault="00A949E8" w:rsidP="00A949E8">
      <w:pPr>
        <w:ind w:firstLine="720"/>
        <w:jc w:val="center"/>
        <w:rPr>
          <w:rFonts w:asciiTheme="minorHAnsi" w:hAnsiTheme="minorHAnsi"/>
          <w:b/>
          <w:sz w:val="28"/>
          <w:lang w:val="en-US"/>
        </w:rPr>
      </w:pPr>
      <w:r w:rsidRPr="00E22EBA">
        <w:rPr>
          <w:rFonts w:asciiTheme="minorHAnsi" w:hAnsiTheme="minorHAnsi"/>
          <w:b/>
          <w:sz w:val="28"/>
          <w:lang w:val="en-US"/>
        </w:rPr>
        <w:lastRenderedPageBreak/>
        <w:t>Table of Contents</w:t>
      </w:r>
    </w:p>
    <w:p w14:paraId="2B3E3E43" w14:textId="77777777" w:rsidR="0028320E" w:rsidRPr="00E22EBA" w:rsidRDefault="0028320E" w:rsidP="00A949E8">
      <w:pPr>
        <w:ind w:firstLine="720"/>
        <w:jc w:val="center"/>
        <w:rPr>
          <w:rFonts w:asciiTheme="minorHAnsi" w:hAnsiTheme="minorHAnsi"/>
          <w:b/>
          <w:sz w:val="28"/>
          <w:lang w:val="en-US"/>
        </w:rPr>
      </w:pPr>
    </w:p>
    <w:p w14:paraId="17FCF67B" w14:textId="77777777" w:rsidR="004071E2" w:rsidRPr="0028320E" w:rsidRDefault="00A949E8">
      <w:pPr>
        <w:pStyle w:val="TOC1"/>
        <w:rPr>
          <w:rFonts w:asciiTheme="minorHAnsi" w:eastAsiaTheme="minorEastAsia" w:hAnsiTheme="minorHAnsi" w:cstheme="minorBidi"/>
          <w:b w:val="0"/>
          <w:bCs w:val="0"/>
          <w:iCs w:val="0"/>
          <w:sz w:val="24"/>
          <w:szCs w:val="24"/>
          <w:lang w:eastAsia="ja-JP"/>
        </w:rPr>
      </w:pPr>
      <w:r w:rsidRPr="0028320E">
        <w:rPr>
          <w:rFonts w:asciiTheme="minorHAnsi" w:hAnsiTheme="minorHAnsi"/>
          <w:sz w:val="24"/>
          <w:szCs w:val="24"/>
          <w:lang w:val="en-US"/>
        </w:rPr>
        <w:fldChar w:fldCharType="begin"/>
      </w:r>
      <w:r w:rsidRPr="0028320E">
        <w:rPr>
          <w:rFonts w:asciiTheme="minorHAnsi" w:hAnsiTheme="minorHAnsi"/>
          <w:sz w:val="24"/>
          <w:szCs w:val="24"/>
          <w:lang w:val="en-US"/>
        </w:rPr>
        <w:instrText xml:space="preserve"> TOC \o "1-3" \h \z \u </w:instrText>
      </w:r>
      <w:r w:rsidRPr="0028320E">
        <w:rPr>
          <w:rFonts w:asciiTheme="minorHAnsi" w:hAnsiTheme="minorHAnsi"/>
          <w:sz w:val="24"/>
          <w:szCs w:val="24"/>
          <w:lang w:val="en-US"/>
        </w:rPr>
        <w:fldChar w:fldCharType="separate"/>
      </w:r>
      <w:r w:rsidR="004071E2" w:rsidRPr="0028320E">
        <w:rPr>
          <w:rFonts w:asciiTheme="minorHAnsi" w:hAnsiTheme="minorHAnsi" w:cs="Calibri"/>
          <w:sz w:val="24"/>
          <w:szCs w:val="24"/>
        </w:rPr>
        <w:t>Executive Summary</w:t>
      </w:r>
      <w:r w:rsidR="004071E2" w:rsidRPr="0028320E">
        <w:rPr>
          <w:sz w:val="24"/>
          <w:szCs w:val="24"/>
        </w:rPr>
        <w:tab/>
      </w:r>
      <w:r w:rsidR="004071E2" w:rsidRPr="0028320E">
        <w:rPr>
          <w:sz w:val="24"/>
          <w:szCs w:val="24"/>
        </w:rPr>
        <w:fldChar w:fldCharType="begin"/>
      </w:r>
      <w:r w:rsidR="004071E2" w:rsidRPr="0028320E">
        <w:rPr>
          <w:sz w:val="24"/>
          <w:szCs w:val="24"/>
        </w:rPr>
        <w:instrText xml:space="preserve"> PAGEREF _Toc414745303 \h </w:instrText>
      </w:r>
      <w:r w:rsidR="004071E2" w:rsidRPr="0028320E">
        <w:rPr>
          <w:sz w:val="24"/>
          <w:szCs w:val="24"/>
        </w:rPr>
      </w:r>
      <w:r w:rsidR="004071E2" w:rsidRPr="0028320E">
        <w:rPr>
          <w:sz w:val="24"/>
          <w:szCs w:val="24"/>
        </w:rPr>
        <w:fldChar w:fldCharType="separate"/>
      </w:r>
      <w:r w:rsidR="001E2C7B">
        <w:rPr>
          <w:sz w:val="24"/>
          <w:szCs w:val="24"/>
        </w:rPr>
        <w:t>i</w:t>
      </w:r>
      <w:r w:rsidR="004071E2" w:rsidRPr="0028320E">
        <w:rPr>
          <w:sz w:val="24"/>
          <w:szCs w:val="24"/>
        </w:rPr>
        <w:fldChar w:fldCharType="end"/>
      </w:r>
    </w:p>
    <w:p w14:paraId="5E887AC3" w14:textId="77777777" w:rsidR="004071E2" w:rsidRPr="0028320E" w:rsidRDefault="004071E2">
      <w:pPr>
        <w:pStyle w:val="TOC1"/>
        <w:rPr>
          <w:rFonts w:asciiTheme="minorHAnsi" w:eastAsiaTheme="minorEastAsia" w:hAnsiTheme="minorHAnsi" w:cstheme="minorBidi"/>
          <w:b w:val="0"/>
          <w:bCs w:val="0"/>
          <w:iCs w:val="0"/>
          <w:sz w:val="24"/>
          <w:szCs w:val="24"/>
          <w:lang w:eastAsia="ja-JP"/>
        </w:rPr>
      </w:pPr>
      <w:r w:rsidRPr="0028320E">
        <w:rPr>
          <w:rFonts w:asciiTheme="minorHAnsi" w:hAnsiTheme="minorHAnsi" w:cs="Calibri"/>
          <w:sz w:val="24"/>
          <w:szCs w:val="24"/>
        </w:rPr>
        <w:t>Abbreviations and Acronyms</w:t>
      </w:r>
      <w:r w:rsidRPr="0028320E">
        <w:rPr>
          <w:sz w:val="24"/>
          <w:szCs w:val="24"/>
        </w:rPr>
        <w:tab/>
      </w:r>
      <w:r w:rsidRPr="0028320E">
        <w:rPr>
          <w:sz w:val="24"/>
          <w:szCs w:val="24"/>
        </w:rPr>
        <w:fldChar w:fldCharType="begin"/>
      </w:r>
      <w:r w:rsidRPr="0028320E">
        <w:rPr>
          <w:sz w:val="24"/>
          <w:szCs w:val="24"/>
        </w:rPr>
        <w:instrText xml:space="preserve"> PAGEREF _Toc414745304 \h </w:instrText>
      </w:r>
      <w:r w:rsidRPr="0028320E">
        <w:rPr>
          <w:sz w:val="24"/>
          <w:szCs w:val="24"/>
        </w:rPr>
      </w:r>
      <w:r w:rsidRPr="0028320E">
        <w:rPr>
          <w:sz w:val="24"/>
          <w:szCs w:val="24"/>
        </w:rPr>
        <w:fldChar w:fldCharType="separate"/>
      </w:r>
      <w:r w:rsidR="001E2C7B">
        <w:rPr>
          <w:sz w:val="24"/>
          <w:szCs w:val="24"/>
        </w:rPr>
        <w:t>xvi</w:t>
      </w:r>
      <w:r w:rsidRPr="0028320E">
        <w:rPr>
          <w:sz w:val="24"/>
          <w:szCs w:val="24"/>
        </w:rPr>
        <w:fldChar w:fldCharType="end"/>
      </w:r>
    </w:p>
    <w:p w14:paraId="34DA7FE1" w14:textId="77777777" w:rsidR="004071E2" w:rsidRPr="0028320E" w:rsidRDefault="004071E2">
      <w:pPr>
        <w:pStyle w:val="TOC1"/>
        <w:tabs>
          <w:tab w:val="clear" w:pos="440"/>
          <w:tab w:val="left" w:pos="421"/>
        </w:tabs>
        <w:rPr>
          <w:rFonts w:asciiTheme="minorHAnsi" w:eastAsiaTheme="minorEastAsia" w:hAnsiTheme="minorHAnsi" w:cstheme="minorBidi"/>
          <w:b w:val="0"/>
          <w:bCs w:val="0"/>
          <w:iCs w:val="0"/>
          <w:sz w:val="24"/>
          <w:szCs w:val="24"/>
          <w:lang w:eastAsia="ja-JP"/>
        </w:rPr>
      </w:pPr>
      <w:r w:rsidRPr="0028320E">
        <w:rPr>
          <w:rFonts w:asciiTheme="minorHAnsi" w:hAnsiTheme="minorHAnsi" w:cs="Calibri"/>
          <w:sz w:val="24"/>
          <w:szCs w:val="24"/>
        </w:rPr>
        <w:t>1.</w:t>
      </w:r>
      <w:r w:rsidRPr="0028320E">
        <w:rPr>
          <w:rFonts w:asciiTheme="minorHAnsi" w:eastAsiaTheme="minorEastAsia" w:hAnsiTheme="minorHAnsi" w:cstheme="minorBidi"/>
          <w:b w:val="0"/>
          <w:bCs w:val="0"/>
          <w:iCs w:val="0"/>
          <w:sz w:val="24"/>
          <w:szCs w:val="24"/>
          <w:lang w:eastAsia="ja-JP"/>
        </w:rPr>
        <w:tab/>
      </w:r>
      <w:r w:rsidRPr="0028320E">
        <w:rPr>
          <w:rFonts w:asciiTheme="minorHAnsi" w:hAnsiTheme="minorHAnsi" w:cs="Calibri"/>
          <w:sz w:val="24"/>
          <w:szCs w:val="24"/>
        </w:rPr>
        <w:t>Introduction</w:t>
      </w:r>
      <w:r w:rsidRPr="0028320E">
        <w:rPr>
          <w:sz w:val="24"/>
          <w:szCs w:val="24"/>
        </w:rPr>
        <w:tab/>
      </w:r>
      <w:r w:rsidRPr="0028320E">
        <w:rPr>
          <w:sz w:val="24"/>
          <w:szCs w:val="24"/>
        </w:rPr>
        <w:fldChar w:fldCharType="begin"/>
      </w:r>
      <w:r w:rsidRPr="0028320E">
        <w:rPr>
          <w:sz w:val="24"/>
          <w:szCs w:val="24"/>
        </w:rPr>
        <w:instrText xml:space="preserve"> PAGEREF _Toc414745305 \h </w:instrText>
      </w:r>
      <w:r w:rsidRPr="0028320E">
        <w:rPr>
          <w:sz w:val="24"/>
          <w:szCs w:val="24"/>
        </w:rPr>
      </w:r>
      <w:r w:rsidRPr="0028320E">
        <w:rPr>
          <w:sz w:val="24"/>
          <w:szCs w:val="24"/>
        </w:rPr>
        <w:fldChar w:fldCharType="separate"/>
      </w:r>
      <w:r w:rsidR="001E2C7B">
        <w:rPr>
          <w:sz w:val="24"/>
          <w:szCs w:val="24"/>
        </w:rPr>
        <w:t>1</w:t>
      </w:r>
      <w:r w:rsidRPr="0028320E">
        <w:rPr>
          <w:sz w:val="24"/>
          <w:szCs w:val="24"/>
        </w:rPr>
        <w:fldChar w:fldCharType="end"/>
      </w:r>
    </w:p>
    <w:p w14:paraId="3D68A9F0" w14:textId="77777777" w:rsidR="004071E2" w:rsidRPr="0028320E" w:rsidRDefault="004071E2">
      <w:pPr>
        <w:pStyle w:val="TOC2"/>
        <w:tabs>
          <w:tab w:val="left" w:pos="823"/>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1.1.</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Purpose of Terminal Evaluation</w:t>
      </w:r>
      <w:r w:rsidRPr="0028320E">
        <w:rPr>
          <w:sz w:val="24"/>
          <w:szCs w:val="24"/>
        </w:rPr>
        <w:tab/>
      </w:r>
      <w:r w:rsidRPr="0028320E">
        <w:rPr>
          <w:sz w:val="24"/>
          <w:szCs w:val="24"/>
        </w:rPr>
        <w:fldChar w:fldCharType="begin"/>
      </w:r>
      <w:r w:rsidRPr="0028320E">
        <w:rPr>
          <w:sz w:val="24"/>
          <w:szCs w:val="24"/>
        </w:rPr>
        <w:instrText xml:space="preserve"> PAGEREF _Toc414745306 \h </w:instrText>
      </w:r>
      <w:r w:rsidRPr="0028320E">
        <w:rPr>
          <w:sz w:val="24"/>
          <w:szCs w:val="24"/>
        </w:rPr>
      </w:r>
      <w:r w:rsidRPr="0028320E">
        <w:rPr>
          <w:sz w:val="24"/>
          <w:szCs w:val="24"/>
        </w:rPr>
        <w:fldChar w:fldCharType="separate"/>
      </w:r>
      <w:r w:rsidR="001E2C7B">
        <w:rPr>
          <w:sz w:val="24"/>
          <w:szCs w:val="24"/>
        </w:rPr>
        <w:t>1</w:t>
      </w:r>
      <w:r w:rsidRPr="0028320E">
        <w:rPr>
          <w:sz w:val="24"/>
          <w:szCs w:val="24"/>
        </w:rPr>
        <w:fldChar w:fldCharType="end"/>
      </w:r>
    </w:p>
    <w:p w14:paraId="734C35CD" w14:textId="77777777" w:rsidR="004071E2" w:rsidRPr="0028320E" w:rsidRDefault="004071E2">
      <w:pPr>
        <w:pStyle w:val="TOC2"/>
        <w:tabs>
          <w:tab w:val="left" w:pos="823"/>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1.2.</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Evaluation Scope and Methodology</w:t>
      </w:r>
      <w:r w:rsidRPr="0028320E">
        <w:rPr>
          <w:sz w:val="24"/>
          <w:szCs w:val="24"/>
        </w:rPr>
        <w:tab/>
      </w:r>
      <w:r w:rsidRPr="0028320E">
        <w:rPr>
          <w:sz w:val="24"/>
          <w:szCs w:val="24"/>
        </w:rPr>
        <w:fldChar w:fldCharType="begin"/>
      </w:r>
      <w:r w:rsidRPr="0028320E">
        <w:rPr>
          <w:sz w:val="24"/>
          <w:szCs w:val="24"/>
        </w:rPr>
        <w:instrText xml:space="preserve"> PAGEREF _Toc414745307 \h </w:instrText>
      </w:r>
      <w:r w:rsidRPr="0028320E">
        <w:rPr>
          <w:sz w:val="24"/>
          <w:szCs w:val="24"/>
        </w:rPr>
      </w:r>
      <w:r w:rsidRPr="0028320E">
        <w:rPr>
          <w:sz w:val="24"/>
          <w:szCs w:val="24"/>
        </w:rPr>
        <w:fldChar w:fldCharType="separate"/>
      </w:r>
      <w:r w:rsidR="001E2C7B">
        <w:rPr>
          <w:sz w:val="24"/>
          <w:szCs w:val="24"/>
        </w:rPr>
        <w:t>1</w:t>
      </w:r>
      <w:r w:rsidRPr="0028320E">
        <w:rPr>
          <w:sz w:val="24"/>
          <w:szCs w:val="24"/>
        </w:rPr>
        <w:fldChar w:fldCharType="end"/>
      </w:r>
    </w:p>
    <w:p w14:paraId="4DB8DC9A" w14:textId="77777777" w:rsidR="004071E2" w:rsidRPr="0028320E" w:rsidRDefault="004071E2">
      <w:pPr>
        <w:pStyle w:val="TOC2"/>
        <w:tabs>
          <w:tab w:val="left" w:pos="823"/>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1.3.</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Structure of the Evaluation Report</w:t>
      </w:r>
      <w:r w:rsidRPr="0028320E">
        <w:rPr>
          <w:sz w:val="24"/>
          <w:szCs w:val="24"/>
        </w:rPr>
        <w:tab/>
      </w:r>
      <w:r w:rsidRPr="0028320E">
        <w:rPr>
          <w:sz w:val="24"/>
          <w:szCs w:val="24"/>
        </w:rPr>
        <w:fldChar w:fldCharType="begin"/>
      </w:r>
      <w:r w:rsidRPr="0028320E">
        <w:rPr>
          <w:sz w:val="24"/>
          <w:szCs w:val="24"/>
        </w:rPr>
        <w:instrText xml:space="preserve"> PAGEREF _Toc414745308 \h </w:instrText>
      </w:r>
      <w:r w:rsidRPr="0028320E">
        <w:rPr>
          <w:sz w:val="24"/>
          <w:szCs w:val="24"/>
        </w:rPr>
      </w:r>
      <w:r w:rsidRPr="0028320E">
        <w:rPr>
          <w:sz w:val="24"/>
          <w:szCs w:val="24"/>
        </w:rPr>
        <w:fldChar w:fldCharType="separate"/>
      </w:r>
      <w:r w:rsidR="001E2C7B">
        <w:rPr>
          <w:sz w:val="24"/>
          <w:szCs w:val="24"/>
        </w:rPr>
        <w:t>3</w:t>
      </w:r>
      <w:r w:rsidRPr="0028320E">
        <w:rPr>
          <w:sz w:val="24"/>
          <w:szCs w:val="24"/>
        </w:rPr>
        <w:fldChar w:fldCharType="end"/>
      </w:r>
    </w:p>
    <w:p w14:paraId="47F3E5C6" w14:textId="77777777" w:rsidR="004071E2" w:rsidRPr="0028320E" w:rsidRDefault="004071E2">
      <w:pPr>
        <w:pStyle w:val="TOC1"/>
        <w:tabs>
          <w:tab w:val="clear" w:pos="440"/>
          <w:tab w:val="left" w:pos="421"/>
        </w:tabs>
        <w:rPr>
          <w:rFonts w:asciiTheme="minorHAnsi" w:eastAsiaTheme="minorEastAsia" w:hAnsiTheme="minorHAnsi" w:cstheme="minorBidi"/>
          <w:b w:val="0"/>
          <w:bCs w:val="0"/>
          <w:iCs w:val="0"/>
          <w:sz w:val="24"/>
          <w:szCs w:val="24"/>
          <w:lang w:eastAsia="ja-JP"/>
        </w:rPr>
      </w:pPr>
      <w:r w:rsidRPr="0028320E">
        <w:rPr>
          <w:rFonts w:asciiTheme="minorHAnsi" w:hAnsiTheme="minorHAnsi" w:cs="Calibri"/>
          <w:sz w:val="24"/>
          <w:szCs w:val="24"/>
        </w:rPr>
        <w:t>2.</w:t>
      </w:r>
      <w:r w:rsidRPr="0028320E">
        <w:rPr>
          <w:rFonts w:asciiTheme="minorHAnsi" w:eastAsiaTheme="minorEastAsia" w:hAnsiTheme="minorHAnsi" w:cstheme="minorBidi"/>
          <w:b w:val="0"/>
          <w:bCs w:val="0"/>
          <w:iCs w:val="0"/>
          <w:sz w:val="24"/>
          <w:szCs w:val="24"/>
          <w:lang w:eastAsia="ja-JP"/>
        </w:rPr>
        <w:tab/>
      </w:r>
      <w:r w:rsidRPr="0028320E">
        <w:rPr>
          <w:rFonts w:asciiTheme="minorHAnsi" w:hAnsiTheme="minorHAnsi" w:cs="Calibri"/>
          <w:sz w:val="24"/>
          <w:szCs w:val="24"/>
        </w:rPr>
        <w:t>Project Description</w:t>
      </w:r>
      <w:r w:rsidRPr="0028320E">
        <w:rPr>
          <w:sz w:val="24"/>
          <w:szCs w:val="24"/>
        </w:rPr>
        <w:tab/>
      </w:r>
      <w:r w:rsidRPr="0028320E">
        <w:rPr>
          <w:sz w:val="24"/>
          <w:szCs w:val="24"/>
        </w:rPr>
        <w:fldChar w:fldCharType="begin"/>
      </w:r>
      <w:r w:rsidRPr="0028320E">
        <w:rPr>
          <w:sz w:val="24"/>
          <w:szCs w:val="24"/>
        </w:rPr>
        <w:instrText xml:space="preserve"> PAGEREF _Toc414745309 \h </w:instrText>
      </w:r>
      <w:r w:rsidRPr="0028320E">
        <w:rPr>
          <w:sz w:val="24"/>
          <w:szCs w:val="24"/>
        </w:rPr>
      </w:r>
      <w:r w:rsidRPr="0028320E">
        <w:rPr>
          <w:sz w:val="24"/>
          <w:szCs w:val="24"/>
        </w:rPr>
        <w:fldChar w:fldCharType="separate"/>
      </w:r>
      <w:r w:rsidR="001E2C7B">
        <w:rPr>
          <w:sz w:val="24"/>
          <w:szCs w:val="24"/>
        </w:rPr>
        <w:t>4</w:t>
      </w:r>
      <w:r w:rsidRPr="0028320E">
        <w:rPr>
          <w:sz w:val="24"/>
          <w:szCs w:val="24"/>
        </w:rPr>
        <w:fldChar w:fldCharType="end"/>
      </w:r>
    </w:p>
    <w:p w14:paraId="72C2B0FF" w14:textId="77777777" w:rsidR="004071E2" w:rsidRPr="0028320E" w:rsidRDefault="004071E2">
      <w:pPr>
        <w:pStyle w:val="TOC2"/>
        <w:tabs>
          <w:tab w:val="left" w:pos="823"/>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2.1.</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Project Start and Duration</w:t>
      </w:r>
      <w:r w:rsidRPr="0028320E">
        <w:rPr>
          <w:sz w:val="24"/>
          <w:szCs w:val="24"/>
        </w:rPr>
        <w:tab/>
      </w:r>
      <w:r w:rsidRPr="0028320E">
        <w:rPr>
          <w:sz w:val="24"/>
          <w:szCs w:val="24"/>
        </w:rPr>
        <w:fldChar w:fldCharType="begin"/>
      </w:r>
      <w:r w:rsidRPr="0028320E">
        <w:rPr>
          <w:sz w:val="24"/>
          <w:szCs w:val="24"/>
        </w:rPr>
        <w:instrText xml:space="preserve"> PAGEREF _Toc414745310 \h </w:instrText>
      </w:r>
      <w:r w:rsidRPr="0028320E">
        <w:rPr>
          <w:sz w:val="24"/>
          <w:szCs w:val="24"/>
        </w:rPr>
      </w:r>
      <w:r w:rsidRPr="0028320E">
        <w:rPr>
          <w:sz w:val="24"/>
          <w:szCs w:val="24"/>
        </w:rPr>
        <w:fldChar w:fldCharType="separate"/>
      </w:r>
      <w:r w:rsidR="001E2C7B">
        <w:rPr>
          <w:sz w:val="24"/>
          <w:szCs w:val="24"/>
        </w:rPr>
        <w:t>4</w:t>
      </w:r>
      <w:r w:rsidRPr="0028320E">
        <w:rPr>
          <w:sz w:val="24"/>
          <w:szCs w:val="24"/>
        </w:rPr>
        <w:fldChar w:fldCharType="end"/>
      </w:r>
    </w:p>
    <w:p w14:paraId="320D1F33" w14:textId="77777777" w:rsidR="004071E2" w:rsidRPr="0028320E" w:rsidRDefault="004071E2">
      <w:pPr>
        <w:pStyle w:val="TOC2"/>
        <w:tabs>
          <w:tab w:val="left" w:pos="823"/>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2.2.</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Problems that the Project Sought to Address</w:t>
      </w:r>
      <w:r w:rsidRPr="0028320E">
        <w:rPr>
          <w:sz w:val="24"/>
          <w:szCs w:val="24"/>
        </w:rPr>
        <w:tab/>
      </w:r>
      <w:r w:rsidRPr="0028320E">
        <w:rPr>
          <w:sz w:val="24"/>
          <w:szCs w:val="24"/>
        </w:rPr>
        <w:fldChar w:fldCharType="begin"/>
      </w:r>
      <w:r w:rsidRPr="0028320E">
        <w:rPr>
          <w:sz w:val="24"/>
          <w:szCs w:val="24"/>
        </w:rPr>
        <w:instrText xml:space="preserve"> PAGEREF _Toc414745311 \h </w:instrText>
      </w:r>
      <w:r w:rsidRPr="0028320E">
        <w:rPr>
          <w:sz w:val="24"/>
          <w:szCs w:val="24"/>
        </w:rPr>
      </w:r>
      <w:r w:rsidRPr="0028320E">
        <w:rPr>
          <w:sz w:val="24"/>
          <w:szCs w:val="24"/>
        </w:rPr>
        <w:fldChar w:fldCharType="separate"/>
      </w:r>
      <w:r w:rsidR="001E2C7B">
        <w:rPr>
          <w:sz w:val="24"/>
          <w:szCs w:val="24"/>
        </w:rPr>
        <w:t>5</w:t>
      </w:r>
      <w:r w:rsidRPr="0028320E">
        <w:rPr>
          <w:sz w:val="24"/>
          <w:szCs w:val="24"/>
        </w:rPr>
        <w:fldChar w:fldCharType="end"/>
      </w:r>
    </w:p>
    <w:p w14:paraId="3C72A50B" w14:textId="77777777" w:rsidR="004071E2" w:rsidRPr="0028320E" w:rsidRDefault="004071E2">
      <w:pPr>
        <w:pStyle w:val="TOC2"/>
        <w:tabs>
          <w:tab w:val="left" w:pos="823"/>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2.3.</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Immediate and Development Objectives of the Project</w:t>
      </w:r>
      <w:r w:rsidRPr="0028320E">
        <w:rPr>
          <w:sz w:val="24"/>
          <w:szCs w:val="24"/>
        </w:rPr>
        <w:tab/>
      </w:r>
      <w:r w:rsidRPr="0028320E">
        <w:rPr>
          <w:sz w:val="24"/>
          <w:szCs w:val="24"/>
        </w:rPr>
        <w:fldChar w:fldCharType="begin"/>
      </w:r>
      <w:r w:rsidRPr="0028320E">
        <w:rPr>
          <w:sz w:val="24"/>
          <w:szCs w:val="24"/>
        </w:rPr>
        <w:instrText xml:space="preserve"> PAGEREF _Toc414745312 \h </w:instrText>
      </w:r>
      <w:r w:rsidRPr="0028320E">
        <w:rPr>
          <w:sz w:val="24"/>
          <w:szCs w:val="24"/>
        </w:rPr>
      </w:r>
      <w:r w:rsidRPr="0028320E">
        <w:rPr>
          <w:sz w:val="24"/>
          <w:szCs w:val="24"/>
        </w:rPr>
        <w:fldChar w:fldCharType="separate"/>
      </w:r>
      <w:r w:rsidR="001E2C7B">
        <w:rPr>
          <w:sz w:val="24"/>
          <w:szCs w:val="24"/>
        </w:rPr>
        <w:t>6</w:t>
      </w:r>
      <w:r w:rsidRPr="0028320E">
        <w:rPr>
          <w:sz w:val="24"/>
          <w:szCs w:val="24"/>
        </w:rPr>
        <w:fldChar w:fldCharType="end"/>
      </w:r>
    </w:p>
    <w:p w14:paraId="153275B5" w14:textId="77777777" w:rsidR="004071E2" w:rsidRPr="0028320E" w:rsidRDefault="004071E2">
      <w:pPr>
        <w:pStyle w:val="TOC2"/>
        <w:tabs>
          <w:tab w:val="left" w:pos="823"/>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2.4.</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Baseline Indicators Established</w:t>
      </w:r>
      <w:r w:rsidRPr="0028320E">
        <w:rPr>
          <w:sz w:val="24"/>
          <w:szCs w:val="24"/>
        </w:rPr>
        <w:tab/>
      </w:r>
      <w:r w:rsidRPr="0028320E">
        <w:rPr>
          <w:sz w:val="24"/>
          <w:szCs w:val="24"/>
        </w:rPr>
        <w:fldChar w:fldCharType="begin"/>
      </w:r>
      <w:r w:rsidRPr="0028320E">
        <w:rPr>
          <w:sz w:val="24"/>
          <w:szCs w:val="24"/>
        </w:rPr>
        <w:instrText xml:space="preserve"> PAGEREF _Toc414745313 \h </w:instrText>
      </w:r>
      <w:r w:rsidRPr="0028320E">
        <w:rPr>
          <w:sz w:val="24"/>
          <w:szCs w:val="24"/>
        </w:rPr>
      </w:r>
      <w:r w:rsidRPr="0028320E">
        <w:rPr>
          <w:sz w:val="24"/>
          <w:szCs w:val="24"/>
        </w:rPr>
        <w:fldChar w:fldCharType="separate"/>
      </w:r>
      <w:r w:rsidR="001E2C7B">
        <w:rPr>
          <w:sz w:val="24"/>
          <w:szCs w:val="24"/>
        </w:rPr>
        <w:t>6</w:t>
      </w:r>
      <w:r w:rsidRPr="0028320E">
        <w:rPr>
          <w:sz w:val="24"/>
          <w:szCs w:val="24"/>
        </w:rPr>
        <w:fldChar w:fldCharType="end"/>
      </w:r>
    </w:p>
    <w:p w14:paraId="4BDA6B02" w14:textId="77777777" w:rsidR="004071E2" w:rsidRPr="0028320E" w:rsidRDefault="004071E2">
      <w:pPr>
        <w:pStyle w:val="TOC2"/>
        <w:tabs>
          <w:tab w:val="left" w:pos="823"/>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2.5.</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Main Stakeholders</w:t>
      </w:r>
      <w:r w:rsidRPr="0028320E">
        <w:rPr>
          <w:sz w:val="24"/>
          <w:szCs w:val="24"/>
        </w:rPr>
        <w:tab/>
      </w:r>
      <w:r w:rsidRPr="0028320E">
        <w:rPr>
          <w:sz w:val="24"/>
          <w:szCs w:val="24"/>
        </w:rPr>
        <w:fldChar w:fldCharType="begin"/>
      </w:r>
      <w:r w:rsidRPr="0028320E">
        <w:rPr>
          <w:sz w:val="24"/>
          <w:szCs w:val="24"/>
        </w:rPr>
        <w:instrText xml:space="preserve"> PAGEREF _Toc414745314 \h </w:instrText>
      </w:r>
      <w:r w:rsidRPr="0028320E">
        <w:rPr>
          <w:sz w:val="24"/>
          <w:szCs w:val="24"/>
        </w:rPr>
      </w:r>
      <w:r w:rsidRPr="0028320E">
        <w:rPr>
          <w:sz w:val="24"/>
          <w:szCs w:val="24"/>
        </w:rPr>
        <w:fldChar w:fldCharType="separate"/>
      </w:r>
      <w:r w:rsidR="001E2C7B">
        <w:rPr>
          <w:sz w:val="24"/>
          <w:szCs w:val="24"/>
        </w:rPr>
        <w:t>7</w:t>
      </w:r>
      <w:r w:rsidRPr="0028320E">
        <w:rPr>
          <w:sz w:val="24"/>
          <w:szCs w:val="24"/>
        </w:rPr>
        <w:fldChar w:fldCharType="end"/>
      </w:r>
    </w:p>
    <w:p w14:paraId="154805CB" w14:textId="77777777" w:rsidR="004071E2" w:rsidRPr="0028320E" w:rsidRDefault="004071E2">
      <w:pPr>
        <w:pStyle w:val="TOC2"/>
        <w:tabs>
          <w:tab w:val="left" w:pos="823"/>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2.6.</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Expected Results</w:t>
      </w:r>
      <w:r w:rsidRPr="0028320E">
        <w:rPr>
          <w:sz w:val="24"/>
          <w:szCs w:val="24"/>
        </w:rPr>
        <w:tab/>
      </w:r>
      <w:r w:rsidRPr="0028320E">
        <w:rPr>
          <w:sz w:val="24"/>
          <w:szCs w:val="24"/>
        </w:rPr>
        <w:fldChar w:fldCharType="begin"/>
      </w:r>
      <w:r w:rsidRPr="0028320E">
        <w:rPr>
          <w:sz w:val="24"/>
          <w:szCs w:val="24"/>
        </w:rPr>
        <w:instrText xml:space="preserve"> PAGEREF _Toc414745315 \h </w:instrText>
      </w:r>
      <w:r w:rsidRPr="0028320E">
        <w:rPr>
          <w:sz w:val="24"/>
          <w:szCs w:val="24"/>
        </w:rPr>
      </w:r>
      <w:r w:rsidRPr="0028320E">
        <w:rPr>
          <w:sz w:val="24"/>
          <w:szCs w:val="24"/>
        </w:rPr>
        <w:fldChar w:fldCharType="separate"/>
      </w:r>
      <w:r w:rsidR="001E2C7B">
        <w:rPr>
          <w:sz w:val="24"/>
          <w:szCs w:val="24"/>
        </w:rPr>
        <w:t>8</w:t>
      </w:r>
      <w:r w:rsidRPr="0028320E">
        <w:rPr>
          <w:sz w:val="24"/>
          <w:szCs w:val="24"/>
        </w:rPr>
        <w:fldChar w:fldCharType="end"/>
      </w:r>
    </w:p>
    <w:p w14:paraId="0712FCF7" w14:textId="77777777" w:rsidR="004071E2" w:rsidRPr="0028320E" w:rsidRDefault="004071E2">
      <w:pPr>
        <w:pStyle w:val="TOC1"/>
        <w:tabs>
          <w:tab w:val="clear" w:pos="440"/>
          <w:tab w:val="left" w:pos="421"/>
        </w:tabs>
        <w:rPr>
          <w:rFonts w:asciiTheme="minorHAnsi" w:eastAsiaTheme="minorEastAsia" w:hAnsiTheme="minorHAnsi" w:cstheme="minorBidi"/>
          <w:b w:val="0"/>
          <w:bCs w:val="0"/>
          <w:iCs w:val="0"/>
          <w:sz w:val="24"/>
          <w:szCs w:val="24"/>
          <w:lang w:eastAsia="ja-JP"/>
        </w:rPr>
      </w:pPr>
      <w:r w:rsidRPr="0028320E">
        <w:rPr>
          <w:rFonts w:asciiTheme="minorHAnsi" w:hAnsiTheme="minorHAnsi" w:cs="Calibri"/>
          <w:sz w:val="24"/>
          <w:szCs w:val="24"/>
        </w:rPr>
        <w:t>3.</w:t>
      </w:r>
      <w:r w:rsidRPr="0028320E">
        <w:rPr>
          <w:rFonts w:asciiTheme="minorHAnsi" w:eastAsiaTheme="minorEastAsia" w:hAnsiTheme="minorHAnsi" w:cstheme="minorBidi"/>
          <w:b w:val="0"/>
          <w:bCs w:val="0"/>
          <w:iCs w:val="0"/>
          <w:sz w:val="24"/>
          <w:szCs w:val="24"/>
          <w:lang w:eastAsia="ja-JP"/>
        </w:rPr>
        <w:tab/>
      </w:r>
      <w:r w:rsidRPr="0028320E">
        <w:rPr>
          <w:rFonts w:asciiTheme="minorHAnsi" w:hAnsiTheme="minorHAnsi" w:cs="Calibri"/>
          <w:sz w:val="24"/>
          <w:szCs w:val="24"/>
        </w:rPr>
        <w:t>Findings</w:t>
      </w:r>
      <w:r w:rsidRPr="0028320E">
        <w:rPr>
          <w:sz w:val="24"/>
          <w:szCs w:val="24"/>
        </w:rPr>
        <w:tab/>
      </w:r>
      <w:r w:rsidRPr="0028320E">
        <w:rPr>
          <w:sz w:val="24"/>
          <w:szCs w:val="24"/>
        </w:rPr>
        <w:fldChar w:fldCharType="begin"/>
      </w:r>
      <w:r w:rsidRPr="0028320E">
        <w:rPr>
          <w:sz w:val="24"/>
          <w:szCs w:val="24"/>
        </w:rPr>
        <w:instrText xml:space="preserve"> PAGEREF _Toc414745316 \h </w:instrText>
      </w:r>
      <w:r w:rsidRPr="0028320E">
        <w:rPr>
          <w:sz w:val="24"/>
          <w:szCs w:val="24"/>
        </w:rPr>
      </w:r>
      <w:r w:rsidRPr="0028320E">
        <w:rPr>
          <w:sz w:val="24"/>
          <w:szCs w:val="24"/>
        </w:rPr>
        <w:fldChar w:fldCharType="separate"/>
      </w:r>
      <w:r w:rsidR="001E2C7B">
        <w:rPr>
          <w:sz w:val="24"/>
          <w:szCs w:val="24"/>
        </w:rPr>
        <w:t>9</w:t>
      </w:r>
      <w:r w:rsidRPr="0028320E">
        <w:rPr>
          <w:sz w:val="24"/>
          <w:szCs w:val="24"/>
        </w:rPr>
        <w:fldChar w:fldCharType="end"/>
      </w:r>
    </w:p>
    <w:p w14:paraId="7E7F3664" w14:textId="77777777" w:rsidR="004071E2" w:rsidRPr="0028320E" w:rsidRDefault="004071E2">
      <w:pPr>
        <w:pStyle w:val="TOC2"/>
        <w:tabs>
          <w:tab w:val="left" w:pos="823"/>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3.1.</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Project Design / Formulation</w:t>
      </w:r>
      <w:r w:rsidRPr="0028320E">
        <w:rPr>
          <w:sz w:val="24"/>
          <w:szCs w:val="24"/>
        </w:rPr>
        <w:tab/>
      </w:r>
      <w:r w:rsidRPr="0028320E">
        <w:rPr>
          <w:sz w:val="24"/>
          <w:szCs w:val="24"/>
        </w:rPr>
        <w:fldChar w:fldCharType="begin"/>
      </w:r>
      <w:r w:rsidRPr="0028320E">
        <w:rPr>
          <w:sz w:val="24"/>
          <w:szCs w:val="24"/>
        </w:rPr>
        <w:instrText xml:space="preserve"> PAGEREF _Toc414745317 \h </w:instrText>
      </w:r>
      <w:r w:rsidRPr="0028320E">
        <w:rPr>
          <w:sz w:val="24"/>
          <w:szCs w:val="24"/>
        </w:rPr>
      </w:r>
      <w:r w:rsidRPr="0028320E">
        <w:rPr>
          <w:sz w:val="24"/>
          <w:szCs w:val="24"/>
        </w:rPr>
        <w:fldChar w:fldCharType="separate"/>
      </w:r>
      <w:r w:rsidR="001E2C7B">
        <w:rPr>
          <w:sz w:val="24"/>
          <w:szCs w:val="24"/>
        </w:rPr>
        <w:t>9</w:t>
      </w:r>
      <w:r w:rsidRPr="0028320E">
        <w:rPr>
          <w:sz w:val="24"/>
          <w:szCs w:val="24"/>
        </w:rPr>
        <w:fldChar w:fldCharType="end"/>
      </w:r>
    </w:p>
    <w:p w14:paraId="7156900A" w14:textId="77777777" w:rsidR="004071E2" w:rsidRPr="0028320E" w:rsidRDefault="004071E2">
      <w:pPr>
        <w:pStyle w:val="TOC2"/>
        <w:tabs>
          <w:tab w:val="left" w:pos="1004"/>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3.1.1.</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Analysis of Strategic Results Framework</w:t>
      </w:r>
      <w:r w:rsidRPr="0028320E">
        <w:rPr>
          <w:sz w:val="24"/>
          <w:szCs w:val="24"/>
        </w:rPr>
        <w:tab/>
      </w:r>
      <w:r w:rsidRPr="0028320E">
        <w:rPr>
          <w:sz w:val="24"/>
          <w:szCs w:val="24"/>
        </w:rPr>
        <w:fldChar w:fldCharType="begin"/>
      </w:r>
      <w:r w:rsidRPr="0028320E">
        <w:rPr>
          <w:sz w:val="24"/>
          <w:szCs w:val="24"/>
        </w:rPr>
        <w:instrText xml:space="preserve"> PAGEREF _Toc414745318 \h </w:instrText>
      </w:r>
      <w:r w:rsidRPr="0028320E">
        <w:rPr>
          <w:sz w:val="24"/>
          <w:szCs w:val="24"/>
        </w:rPr>
      </w:r>
      <w:r w:rsidRPr="0028320E">
        <w:rPr>
          <w:sz w:val="24"/>
          <w:szCs w:val="24"/>
        </w:rPr>
        <w:fldChar w:fldCharType="separate"/>
      </w:r>
      <w:r w:rsidR="001E2C7B">
        <w:rPr>
          <w:sz w:val="24"/>
          <w:szCs w:val="24"/>
        </w:rPr>
        <w:t>9</w:t>
      </w:r>
      <w:r w:rsidRPr="0028320E">
        <w:rPr>
          <w:sz w:val="24"/>
          <w:szCs w:val="24"/>
        </w:rPr>
        <w:fldChar w:fldCharType="end"/>
      </w:r>
    </w:p>
    <w:p w14:paraId="20E0B743" w14:textId="77777777" w:rsidR="004071E2" w:rsidRPr="0028320E" w:rsidRDefault="004071E2">
      <w:pPr>
        <w:pStyle w:val="TOC2"/>
        <w:tabs>
          <w:tab w:val="left" w:pos="1004"/>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3.1.2.</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Assumptions and risks</w:t>
      </w:r>
      <w:r w:rsidRPr="0028320E">
        <w:rPr>
          <w:sz w:val="24"/>
          <w:szCs w:val="24"/>
        </w:rPr>
        <w:tab/>
      </w:r>
      <w:r w:rsidRPr="0028320E">
        <w:rPr>
          <w:sz w:val="24"/>
          <w:szCs w:val="24"/>
        </w:rPr>
        <w:fldChar w:fldCharType="begin"/>
      </w:r>
      <w:r w:rsidRPr="0028320E">
        <w:rPr>
          <w:sz w:val="24"/>
          <w:szCs w:val="24"/>
        </w:rPr>
        <w:instrText xml:space="preserve"> PAGEREF _Toc414745319 \h </w:instrText>
      </w:r>
      <w:r w:rsidRPr="0028320E">
        <w:rPr>
          <w:sz w:val="24"/>
          <w:szCs w:val="24"/>
        </w:rPr>
      </w:r>
      <w:r w:rsidRPr="0028320E">
        <w:rPr>
          <w:sz w:val="24"/>
          <w:szCs w:val="24"/>
        </w:rPr>
        <w:fldChar w:fldCharType="separate"/>
      </w:r>
      <w:r w:rsidR="001E2C7B">
        <w:rPr>
          <w:sz w:val="24"/>
          <w:szCs w:val="24"/>
        </w:rPr>
        <w:t>11</w:t>
      </w:r>
      <w:r w:rsidRPr="0028320E">
        <w:rPr>
          <w:sz w:val="24"/>
          <w:szCs w:val="24"/>
        </w:rPr>
        <w:fldChar w:fldCharType="end"/>
      </w:r>
    </w:p>
    <w:p w14:paraId="67E340E8" w14:textId="77777777" w:rsidR="004071E2" w:rsidRPr="0028320E" w:rsidRDefault="004071E2">
      <w:pPr>
        <w:pStyle w:val="TOC2"/>
        <w:tabs>
          <w:tab w:val="left" w:pos="1004"/>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3.1.3.</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Lessons from other relevant projects incorporated into project design</w:t>
      </w:r>
      <w:r w:rsidRPr="0028320E">
        <w:rPr>
          <w:sz w:val="24"/>
          <w:szCs w:val="24"/>
        </w:rPr>
        <w:tab/>
      </w:r>
      <w:r w:rsidRPr="0028320E">
        <w:rPr>
          <w:sz w:val="24"/>
          <w:szCs w:val="24"/>
        </w:rPr>
        <w:fldChar w:fldCharType="begin"/>
      </w:r>
      <w:r w:rsidRPr="0028320E">
        <w:rPr>
          <w:sz w:val="24"/>
          <w:szCs w:val="24"/>
        </w:rPr>
        <w:instrText xml:space="preserve"> PAGEREF _Toc414745320 \h </w:instrText>
      </w:r>
      <w:r w:rsidRPr="0028320E">
        <w:rPr>
          <w:sz w:val="24"/>
          <w:szCs w:val="24"/>
        </w:rPr>
      </w:r>
      <w:r w:rsidRPr="0028320E">
        <w:rPr>
          <w:sz w:val="24"/>
          <w:szCs w:val="24"/>
        </w:rPr>
        <w:fldChar w:fldCharType="separate"/>
      </w:r>
      <w:r w:rsidR="001E2C7B">
        <w:rPr>
          <w:sz w:val="24"/>
          <w:szCs w:val="24"/>
        </w:rPr>
        <w:t>12</w:t>
      </w:r>
      <w:r w:rsidRPr="0028320E">
        <w:rPr>
          <w:sz w:val="24"/>
          <w:szCs w:val="24"/>
        </w:rPr>
        <w:fldChar w:fldCharType="end"/>
      </w:r>
    </w:p>
    <w:p w14:paraId="143DEDA2" w14:textId="77777777" w:rsidR="004071E2" w:rsidRPr="0028320E" w:rsidRDefault="004071E2">
      <w:pPr>
        <w:pStyle w:val="TOC2"/>
        <w:tabs>
          <w:tab w:val="left" w:pos="1004"/>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3.1.4.</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Planned stakeholder participation</w:t>
      </w:r>
      <w:r w:rsidRPr="0028320E">
        <w:rPr>
          <w:sz w:val="24"/>
          <w:szCs w:val="24"/>
        </w:rPr>
        <w:tab/>
      </w:r>
      <w:r w:rsidRPr="0028320E">
        <w:rPr>
          <w:sz w:val="24"/>
          <w:szCs w:val="24"/>
        </w:rPr>
        <w:fldChar w:fldCharType="begin"/>
      </w:r>
      <w:r w:rsidRPr="0028320E">
        <w:rPr>
          <w:sz w:val="24"/>
          <w:szCs w:val="24"/>
        </w:rPr>
        <w:instrText xml:space="preserve"> PAGEREF _Toc414745321 \h </w:instrText>
      </w:r>
      <w:r w:rsidRPr="0028320E">
        <w:rPr>
          <w:sz w:val="24"/>
          <w:szCs w:val="24"/>
        </w:rPr>
      </w:r>
      <w:r w:rsidRPr="0028320E">
        <w:rPr>
          <w:sz w:val="24"/>
          <w:szCs w:val="24"/>
        </w:rPr>
        <w:fldChar w:fldCharType="separate"/>
      </w:r>
      <w:r w:rsidR="001E2C7B">
        <w:rPr>
          <w:sz w:val="24"/>
          <w:szCs w:val="24"/>
        </w:rPr>
        <w:t>12</w:t>
      </w:r>
      <w:r w:rsidRPr="0028320E">
        <w:rPr>
          <w:sz w:val="24"/>
          <w:szCs w:val="24"/>
        </w:rPr>
        <w:fldChar w:fldCharType="end"/>
      </w:r>
    </w:p>
    <w:p w14:paraId="26D2222A" w14:textId="77777777" w:rsidR="004071E2" w:rsidRPr="0028320E" w:rsidRDefault="004071E2">
      <w:pPr>
        <w:pStyle w:val="TOC2"/>
        <w:tabs>
          <w:tab w:val="left" w:pos="1004"/>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3.1.5.</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Replication approach</w:t>
      </w:r>
      <w:r w:rsidRPr="0028320E">
        <w:rPr>
          <w:sz w:val="24"/>
          <w:szCs w:val="24"/>
        </w:rPr>
        <w:tab/>
      </w:r>
      <w:r w:rsidRPr="0028320E">
        <w:rPr>
          <w:sz w:val="24"/>
          <w:szCs w:val="24"/>
        </w:rPr>
        <w:fldChar w:fldCharType="begin"/>
      </w:r>
      <w:r w:rsidRPr="0028320E">
        <w:rPr>
          <w:sz w:val="24"/>
          <w:szCs w:val="24"/>
        </w:rPr>
        <w:instrText xml:space="preserve"> PAGEREF _Toc414745322 \h </w:instrText>
      </w:r>
      <w:r w:rsidRPr="0028320E">
        <w:rPr>
          <w:sz w:val="24"/>
          <w:szCs w:val="24"/>
        </w:rPr>
      </w:r>
      <w:r w:rsidRPr="0028320E">
        <w:rPr>
          <w:sz w:val="24"/>
          <w:szCs w:val="24"/>
        </w:rPr>
        <w:fldChar w:fldCharType="separate"/>
      </w:r>
      <w:r w:rsidR="001E2C7B">
        <w:rPr>
          <w:sz w:val="24"/>
          <w:szCs w:val="24"/>
        </w:rPr>
        <w:t>13</w:t>
      </w:r>
      <w:r w:rsidRPr="0028320E">
        <w:rPr>
          <w:sz w:val="24"/>
          <w:szCs w:val="24"/>
        </w:rPr>
        <w:fldChar w:fldCharType="end"/>
      </w:r>
    </w:p>
    <w:p w14:paraId="66757594" w14:textId="77777777" w:rsidR="004071E2" w:rsidRPr="0028320E" w:rsidRDefault="004071E2">
      <w:pPr>
        <w:pStyle w:val="TOC2"/>
        <w:tabs>
          <w:tab w:val="left" w:pos="1004"/>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3.1.6.</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UNDP comparative advantage</w:t>
      </w:r>
      <w:r w:rsidRPr="0028320E">
        <w:rPr>
          <w:sz w:val="24"/>
          <w:szCs w:val="24"/>
        </w:rPr>
        <w:tab/>
      </w:r>
      <w:r w:rsidRPr="0028320E">
        <w:rPr>
          <w:sz w:val="24"/>
          <w:szCs w:val="24"/>
        </w:rPr>
        <w:fldChar w:fldCharType="begin"/>
      </w:r>
      <w:r w:rsidRPr="0028320E">
        <w:rPr>
          <w:sz w:val="24"/>
          <w:szCs w:val="24"/>
        </w:rPr>
        <w:instrText xml:space="preserve"> PAGEREF _Toc414745323 \h </w:instrText>
      </w:r>
      <w:r w:rsidRPr="0028320E">
        <w:rPr>
          <w:sz w:val="24"/>
          <w:szCs w:val="24"/>
        </w:rPr>
      </w:r>
      <w:r w:rsidRPr="0028320E">
        <w:rPr>
          <w:sz w:val="24"/>
          <w:szCs w:val="24"/>
        </w:rPr>
        <w:fldChar w:fldCharType="separate"/>
      </w:r>
      <w:r w:rsidR="001E2C7B">
        <w:rPr>
          <w:sz w:val="24"/>
          <w:szCs w:val="24"/>
        </w:rPr>
        <w:t>13</w:t>
      </w:r>
      <w:r w:rsidRPr="0028320E">
        <w:rPr>
          <w:sz w:val="24"/>
          <w:szCs w:val="24"/>
        </w:rPr>
        <w:fldChar w:fldCharType="end"/>
      </w:r>
    </w:p>
    <w:p w14:paraId="432CA42E" w14:textId="77777777" w:rsidR="004071E2" w:rsidRPr="0028320E" w:rsidRDefault="004071E2">
      <w:pPr>
        <w:pStyle w:val="TOC2"/>
        <w:tabs>
          <w:tab w:val="left" w:pos="1004"/>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3.1.7.</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Linkages between project and other interventions</w:t>
      </w:r>
      <w:r w:rsidRPr="0028320E">
        <w:rPr>
          <w:sz w:val="24"/>
          <w:szCs w:val="24"/>
        </w:rPr>
        <w:tab/>
      </w:r>
      <w:r w:rsidRPr="0028320E">
        <w:rPr>
          <w:sz w:val="24"/>
          <w:szCs w:val="24"/>
        </w:rPr>
        <w:fldChar w:fldCharType="begin"/>
      </w:r>
      <w:r w:rsidRPr="0028320E">
        <w:rPr>
          <w:sz w:val="24"/>
          <w:szCs w:val="24"/>
        </w:rPr>
        <w:instrText xml:space="preserve"> PAGEREF _Toc414745324 \h </w:instrText>
      </w:r>
      <w:r w:rsidRPr="0028320E">
        <w:rPr>
          <w:sz w:val="24"/>
          <w:szCs w:val="24"/>
        </w:rPr>
      </w:r>
      <w:r w:rsidRPr="0028320E">
        <w:rPr>
          <w:sz w:val="24"/>
          <w:szCs w:val="24"/>
        </w:rPr>
        <w:fldChar w:fldCharType="separate"/>
      </w:r>
      <w:r w:rsidR="001E2C7B">
        <w:rPr>
          <w:sz w:val="24"/>
          <w:szCs w:val="24"/>
        </w:rPr>
        <w:t>13</w:t>
      </w:r>
      <w:r w:rsidRPr="0028320E">
        <w:rPr>
          <w:sz w:val="24"/>
          <w:szCs w:val="24"/>
        </w:rPr>
        <w:fldChar w:fldCharType="end"/>
      </w:r>
    </w:p>
    <w:p w14:paraId="22A34464" w14:textId="77777777" w:rsidR="004071E2" w:rsidRPr="0028320E" w:rsidRDefault="004071E2">
      <w:pPr>
        <w:pStyle w:val="TOC2"/>
        <w:tabs>
          <w:tab w:val="left" w:pos="1004"/>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3.1.8.</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Management arrangements</w:t>
      </w:r>
      <w:r w:rsidRPr="0028320E">
        <w:rPr>
          <w:sz w:val="24"/>
          <w:szCs w:val="24"/>
        </w:rPr>
        <w:tab/>
      </w:r>
      <w:r w:rsidRPr="0028320E">
        <w:rPr>
          <w:sz w:val="24"/>
          <w:szCs w:val="24"/>
        </w:rPr>
        <w:fldChar w:fldCharType="begin"/>
      </w:r>
      <w:r w:rsidRPr="0028320E">
        <w:rPr>
          <w:sz w:val="24"/>
          <w:szCs w:val="24"/>
        </w:rPr>
        <w:instrText xml:space="preserve"> PAGEREF _Toc414745325 \h </w:instrText>
      </w:r>
      <w:r w:rsidRPr="0028320E">
        <w:rPr>
          <w:sz w:val="24"/>
          <w:szCs w:val="24"/>
        </w:rPr>
      </w:r>
      <w:r w:rsidRPr="0028320E">
        <w:rPr>
          <w:sz w:val="24"/>
          <w:szCs w:val="24"/>
        </w:rPr>
        <w:fldChar w:fldCharType="separate"/>
      </w:r>
      <w:r w:rsidR="001E2C7B">
        <w:rPr>
          <w:sz w:val="24"/>
          <w:szCs w:val="24"/>
        </w:rPr>
        <w:t>14</w:t>
      </w:r>
      <w:r w:rsidRPr="0028320E">
        <w:rPr>
          <w:sz w:val="24"/>
          <w:szCs w:val="24"/>
        </w:rPr>
        <w:fldChar w:fldCharType="end"/>
      </w:r>
    </w:p>
    <w:p w14:paraId="6C837556" w14:textId="77777777" w:rsidR="004071E2" w:rsidRPr="0028320E" w:rsidRDefault="004071E2">
      <w:pPr>
        <w:pStyle w:val="TOC2"/>
        <w:tabs>
          <w:tab w:val="left" w:pos="823"/>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3.2.</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Project Implementation</w:t>
      </w:r>
      <w:r w:rsidRPr="0028320E">
        <w:rPr>
          <w:sz w:val="24"/>
          <w:szCs w:val="24"/>
        </w:rPr>
        <w:tab/>
      </w:r>
      <w:r w:rsidRPr="0028320E">
        <w:rPr>
          <w:sz w:val="24"/>
          <w:szCs w:val="24"/>
        </w:rPr>
        <w:fldChar w:fldCharType="begin"/>
      </w:r>
      <w:r w:rsidRPr="0028320E">
        <w:rPr>
          <w:sz w:val="24"/>
          <w:szCs w:val="24"/>
        </w:rPr>
        <w:instrText xml:space="preserve"> PAGEREF _Toc414745326 \h </w:instrText>
      </w:r>
      <w:r w:rsidRPr="0028320E">
        <w:rPr>
          <w:sz w:val="24"/>
          <w:szCs w:val="24"/>
        </w:rPr>
      </w:r>
      <w:r w:rsidRPr="0028320E">
        <w:rPr>
          <w:sz w:val="24"/>
          <w:szCs w:val="24"/>
        </w:rPr>
        <w:fldChar w:fldCharType="separate"/>
      </w:r>
      <w:r w:rsidR="001E2C7B">
        <w:rPr>
          <w:sz w:val="24"/>
          <w:szCs w:val="24"/>
        </w:rPr>
        <w:t>15</w:t>
      </w:r>
      <w:r w:rsidRPr="0028320E">
        <w:rPr>
          <w:sz w:val="24"/>
          <w:szCs w:val="24"/>
        </w:rPr>
        <w:fldChar w:fldCharType="end"/>
      </w:r>
    </w:p>
    <w:p w14:paraId="0A394940" w14:textId="77777777" w:rsidR="004071E2" w:rsidRPr="0028320E" w:rsidRDefault="004071E2">
      <w:pPr>
        <w:pStyle w:val="TOC2"/>
        <w:tabs>
          <w:tab w:val="left" w:pos="1004"/>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3.2.1.</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Adaptive management</w:t>
      </w:r>
      <w:r w:rsidRPr="0028320E">
        <w:rPr>
          <w:sz w:val="24"/>
          <w:szCs w:val="24"/>
        </w:rPr>
        <w:tab/>
      </w:r>
      <w:r w:rsidRPr="0028320E">
        <w:rPr>
          <w:sz w:val="24"/>
          <w:szCs w:val="24"/>
        </w:rPr>
        <w:fldChar w:fldCharType="begin"/>
      </w:r>
      <w:r w:rsidRPr="0028320E">
        <w:rPr>
          <w:sz w:val="24"/>
          <w:szCs w:val="24"/>
        </w:rPr>
        <w:instrText xml:space="preserve"> PAGEREF _Toc414745327 \h </w:instrText>
      </w:r>
      <w:r w:rsidRPr="0028320E">
        <w:rPr>
          <w:sz w:val="24"/>
          <w:szCs w:val="24"/>
        </w:rPr>
      </w:r>
      <w:r w:rsidRPr="0028320E">
        <w:rPr>
          <w:sz w:val="24"/>
          <w:szCs w:val="24"/>
        </w:rPr>
        <w:fldChar w:fldCharType="separate"/>
      </w:r>
      <w:r w:rsidR="001E2C7B">
        <w:rPr>
          <w:sz w:val="24"/>
          <w:szCs w:val="24"/>
        </w:rPr>
        <w:t>15</w:t>
      </w:r>
      <w:r w:rsidRPr="0028320E">
        <w:rPr>
          <w:sz w:val="24"/>
          <w:szCs w:val="24"/>
        </w:rPr>
        <w:fldChar w:fldCharType="end"/>
      </w:r>
    </w:p>
    <w:p w14:paraId="52BBCA08" w14:textId="77777777" w:rsidR="004071E2" w:rsidRPr="0028320E" w:rsidRDefault="004071E2">
      <w:pPr>
        <w:pStyle w:val="TOC2"/>
        <w:tabs>
          <w:tab w:val="left" w:pos="1004"/>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3.2.2.</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Partnership arrangements</w:t>
      </w:r>
      <w:r w:rsidRPr="0028320E">
        <w:rPr>
          <w:sz w:val="24"/>
          <w:szCs w:val="24"/>
        </w:rPr>
        <w:tab/>
      </w:r>
      <w:r w:rsidRPr="0028320E">
        <w:rPr>
          <w:sz w:val="24"/>
          <w:szCs w:val="24"/>
        </w:rPr>
        <w:fldChar w:fldCharType="begin"/>
      </w:r>
      <w:r w:rsidRPr="0028320E">
        <w:rPr>
          <w:sz w:val="24"/>
          <w:szCs w:val="24"/>
        </w:rPr>
        <w:instrText xml:space="preserve"> PAGEREF _Toc414745328 \h </w:instrText>
      </w:r>
      <w:r w:rsidRPr="0028320E">
        <w:rPr>
          <w:sz w:val="24"/>
          <w:szCs w:val="24"/>
        </w:rPr>
      </w:r>
      <w:r w:rsidRPr="0028320E">
        <w:rPr>
          <w:sz w:val="24"/>
          <w:szCs w:val="24"/>
        </w:rPr>
        <w:fldChar w:fldCharType="separate"/>
      </w:r>
      <w:r w:rsidR="001E2C7B">
        <w:rPr>
          <w:sz w:val="24"/>
          <w:szCs w:val="24"/>
        </w:rPr>
        <w:t>17</w:t>
      </w:r>
      <w:r w:rsidRPr="0028320E">
        <w:rPr>
          <w:sz w:val="24"/>
          <w:szCs w:val="24"/>
        </w:rPr>
        <w:fldChar w:fldCharType="end"/>
      </w:r>
    </w:p>
    <w:p w14:paraId="09426E13" w14:textId="77777777" w:rsidR="004071E2" w:rsidRPr="0028320E" w:rsidRDefault="004071E2">
      <w:pPr>
        <w:pStyle w:val="TOC2"/>
        <w:tabs>
          <w:tab w:val="left" w:pos="1004"/>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3.2.3.</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Feedback from M&amp;E activities used for adaptive management</w:t>
      </w:r>
      <w:r w:rsidRPr="0028320E">
        <w:rPr>
          <w:sz w:val="24"/>
          <w:szCs w:val="24"/>
        </w:rPr>
        <w:tab/>
      </w:r>
      <w:r w:rsidRPr="0028320E">
        <w:rPr>
          <w:sz w:val="24"/>
          <w:szCs w:val="24"/>
        </w:rPr>
        <w:fldChar w:fldCharType="begin"/>
      </w:r>
      <w:r w:rsidRPr="0028320E">
        <w:rPr>
          <w:sz w:val="24"/>
          <w:szCs w:val="24"/>
        </w:rPr>
        <w:instrText xml:space="preserve"> PAGEREF _Toc414745329 \h </w:instrText>
      </w:r>
      <w:r w:rsidRPr="0028320E">
        <w:rPr>
          <w:sz w:val="24"/>
          <w:szCs w:val="24"/>
        </w:rPr>
      </w:r>
      <w:r w:rsidRPr="0028320E">
        <w:rPr>
          <w:sz w:val="24"/>
          <w:szCs w:val="24"/>
        </w:rPr>
        <w:fldChar w:fldCharType="separate"/>
      </w:r>
      <w:r w:rsidR="001E2C7B">
        <w:rPr>
          <w:sz w:val="24"/>
          <w:szCs w:val="24"/>
        </w:rPr>
        <w:t>17</w:t>
      </w:r>
      <w:r w:rsidRPr="0028320E">
        <w:rPr>
          <w:sz w:val="24"/>
          <w:szCs w:val="24"/>
        </w:rPr>
        <w:fldChar w:fldCharType="end"/>
      </w:r>
    </w:p>
    <w:p w14:paraId="54858839" w14:textId="77777777" w:rsidR="004071E2" w:rsidRPr="0028320E" w:rsidRDefault="004071E2">
      <w:pPr>
        <w:pStyle w:val="TOC2"/>
        <w:tabs>
          <w:tab w:val="left" w:pos="1004"/>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3.2.4.</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Project finance</w:t>
      </w:r>
      <w:r w:rsidRPr="0028320E">
        <w:rPr>
          <w:sz w:val="24"/>
          <w:szCs w:val="24"/>
        </w:rPr>
        <w:tab/>
      </w:r>
      <w:r w:rsidRPr="0028320E">
        <w:rPr>
          <w:sz w:val="24"/>
          <w:szCs w:val="24"/>
        </w:rPr>
        <w:fldChar w:fldCharType="begin"/>
      </w:r>
      <w:r w:rsidRPr="0028320E">
        <w:rPr>
          <w:sz w:val="24"/>
          <w:szCs w:val="24"/>
        </w:rPr>
        <w:instrText xml:space="preserve"> PAGEREF _Toc414745330 \h </w:instrText>
      </w:r>
      <w:r w:rsidRPr="0028320E">
        <w:rPr>
          <w:sz w:val="24"/>
          <w:szCs w:val="24"/>
        </w:rPr>
      </w:r>
      <w:r w:rsidRPr="0028320E">
        <w:rPr>
          <w:sz w:val="24"/>
          <w:szCs w:val="24"/>
        </w:rPr>
        <w:fldChar w:fldCharType="separate"/>
      </w:r>
      <w:r w:rsidR="001E2C7B">
        <w:rPr>
          <w:sz w:val="24"/>
          <w:szCs w:val="24"/>
        </w:rPr>
        <w:t>18</w:t>
      </w:r>
      <w:r w:rsidRPr="0028320E">
        <w:rPr>
          <w:sz w:val="24"/>
          <w:szCs w:val="24"/>
        </w:rPr>
        <w:fldChar w:fldCharType="end"/>
      </w:r>
    </w:p>
    <w:p w14:paraId="21C7CAD3" w14:textId="77777777" w:rsidR="004071E2" w:rsidRPr="0028320E" w:rsidRDefault="004071E2">
      <w:pPr>
        <w:pStyle w:val="TOC2"/>
        <w:tabs>
          <w:tab w:val="left" w:pos="1004"/>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3.2.5.</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Monitoring &amp; Evaluation: design at entry and implementation*</w:t>
      </w:r>
      <w:r w:rsidRPr="0028320E">
        <w:rPr>
          <w:sz w:val="24"/>
          <w:szCs w:val="24"/>
        </w:rPr>
        <w:tab/>
      </w:r>
      <w:r w:rsidRPr="0028320E">
        <w:rPr>
          <w:sz w:val="24"/>
          <w:szCs w:val="24"/>
        </w:rPr>
        <w:fldChar w:fldCharType="begin"/>
      </w:r>
      <w:r w:rsidRPr="0028320E">
        <w:rPr>
          <w:sz w:val="24"/>
          <w:szCs w:val="24"/>
        </w:rPr>
        <w:instrText xml:space="preserve"> PAGEREF _Toc414745331 \h </w:instrText>
      </w:r>
      <w:r w:rsidRPr="0028320E">
        <w:rPr>
          <w:sz w:val="24"/>
          <w:szCs w:val="24"/>
        </w:rPr>
      </w:r>
      <w:r w:rsidRPr="0028320E">
        <w:rPr>
          <w:sz w:val="24"/>
          <w:szCs w:val="24"/>
        </w:rPr>
        <w:fldChar w:fldCharType="separate"/>
      </w:r>
      <w:r w:rsidR="001E2C7B">
        <w:rPr>
          <w:sz w:val="24"/>
          <w:szCs w:val="24"/>
        </w:rPr>
        <w:t>21</w:t>
      </w:r>
      <w:r w:rsidRPr="0028320E">
        <w:rPr>
          <w:sz w:val="24"/>
          <w:szCs w:val="24"/>
        </w:rPr>
        <w:fldChar w:fldCharType="end"/>
      </w:r>
    </w:p>
    <w:p w14:paraId="08BCCB82" w14:textId="22EE1AD4" w:rsidR="004071E2" w:rsidRPr="0028320E" w:rsidRDefault="004071E2">
      <w:pPr>
        <w:pStyle w:val="TOC2"/>
        <w:tabs>
          <w:tab w:val="left" w:pos="1004"/>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3.2.6.</w:t>
      </w:r>
      <w:r w:rsidRPr="0028320E">
        <w:rPr>
          <w:rFonts w:asciiTheme="minorHAnsi" w:eastAsiaTheme="minorEastAsia" w:hAnsiTheme="minorHAnsi" w:cstheme="minorBidi"/>
          <w:bCs w:val="0"/>
          <w:sz w:val="24"/>
          <w:szCs w:val="24"/>
          <w:lang w:eastAsia="ja-JP"/>
        </w:rPr>
        <w:tab/>
      </w:r>
      <w:r w:rsidR="0028320E">
        <w:rPr>
          <w:rFonts w:asciiTheme="minorHAnsi" w:hAnsiTheme="minorHAnsi"/>
          <w:b/>
          <w:sz w:val="24"/>
          <w:szCs w:val="24"/>
        </w:rPr>
        <w:t>Implementing Agency</w:t>
      </w:r>
      <w:r w:rsidRPr="0028320E">
        <w:rPr>
          <w:rFonts w:asciiTheme="minorHAnsi" w:hAnsiTheme="minorHAnsi"/>
          <w:b/>
          <w:sz w:val="24"/>
          <w:szCs w:val="24"/>
        </w:rPr>
        <w:t xml:space="preserve"> and</w:t>
      </w:r>
      <w:r w:rsidR="0028320E">
        <w:rPr>
          <w:rFonts w:asciiTheme="minorHAnsi" w:hAnsiTheme="minorHAnsi"/>
          <w:b/>
          <w:sz w:val="24"/>
          <w:szCs w:val="24"/>
        </w:rPr>
        <w:t xml:space="preserve"> Implementing Partner</w:t>
      </w:r>
      <w:r w:rsidRPr="0028320E">
        <w:rPr>
          <w:rFonts w:asciiTheme="minorHAnsi" w:hAnsiTheme="minorHAnsi"/>
          <w:b/>
          <w:sz w:val="24"/>
          <w:szCs w:val="24"/>
        </w:rPr>
        <w:t xml:space="preserve"> execution*</w:t>
      </w:r>
      <w:r w:rsidRPr="0028320E">
        <w:rPr>
          <w:sz w:val="24"/>
          <w:szCs w:val="24"/>
        </w:rPr>
        <w:tab/>
      </w:r>
      <w:r w:rsidRPr="0028320E">
        <w:rPr>
          <w:sz w:val="24"/>
          <w:szCs w:val="24"/>
        </w:rPr>
        <w:fldChar w:fldCharType="begin"/>
      </w:r>
      <w:r w:rsidRPr="0028320E">
        <w:rPr>
          <w:sz w:val="24"/>
          <w:szCs w:val="24"/>
        </w:rPr>
        <w:instrText xml:space="preserve"> PAGEREF _Toc414745332 \h </w:instrText>
      </w:r>
      <w:r w:rsidRPr="0028320E">
        <w:rPr>
          <w:sz w:val="24"/>
          <w:szCs w:val="24"/>
        </w:rPr>
      </w:r>
      <w:r w:rsidRPr="0028320E">
        <w:rPr>
          <w:sz w:val="24"/>
          <w:szCs w:val="24"/>
        </w:rPr>
        <w:fldChar w:fldCharType="separate"/>
      </w:r>
      <w:r w:rsidR="001E2C7B">
        <w:rPr>
          <w:sz w:val="24"/>
          <w:szCs w:val="24"/>
        </w:rPr>
        <w:t>22</w:t>
      </w:r>
      <w:r w:rsidRPr="0028320E">
        <w:rPr>
          <w:sz w:val="24"/>
          <w:szCs w:val="24"/>
        </w:rPr>
        <w:fldChar w:fldCharType="end"/>
      </w:r>
    </w:p>
    <w:p w14:paraId="4DD7FF4F" w14:textId="77777777" w:rsidR="004071E2" w:rsidRPr="0028320E" w:rsidRDefault="004071E2">
      <w:pPr>
        <w:pStyle w:val="TOC2"/>
        <w:tabs>
          <w:tab w:val="left" w:pos="823"/>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3.3.</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Project Results</w:t>
      </w:r>
      <w:r w:rsidRPr="0028320E">
        <w:rPr>
          <w:sz w:val="24"/>
          <w:szCs w:val="24"/>
        </w:rPr>
        <w:tab/>
      </w:r>
      <w:r w:rsidRPr="0028320E">
        <w:rPr>
          <w:sz w:val="24"/>
          <w:szCs w:val="24"/>
        </w:rPr>
        <w:fldChar w:fldCharType="begin"/>
      </w:r>
      <w:r w:rsidRPr="0028320E">
        <w:rPr>
          <w:sz w:val="24"/>
          <w:szCs w:val="24"/>
        </w:rPr>
        <w:instrText xml:space="preserve"> PAGEREF _Toc414745333 \h </w:instrText>
      </w:r>
      <w:r w:rsidRPr="0028320E">
        <w:rPr>
          <w:sz w:val="24"/>
          <w:szCs w:val="24"/>
        </w:rPr>
      </w:r>
      <w:r w:rsidRPr="0028320E">
        <w:rPr>
          <w:sz w:val="24"/>
          <w:szCs w:val="24"/>
        </w:rPr>
        <w:fldChar w:fldCharType="separate"/>
      </w:r>
      <w:r w:rsidR="001E2C7B">
        <w:rPr>
          <w:sz w:val="24"/>
          <w:szCs w:val="24"/>
        </w:rPr>
        <w:t>24</w:t>
      </w:r>
      <w:r w:rsidRPr="0028320E">
        <w:rPr>
          <w:sz w:val="24"/>
          <w:szCs w:val="24"/>
        </w:rPr>
        <w:fldChar w:fldCharType="end"/>
      </w:r>
    </w:p>
    <w:p w14:paraId="726A65AB" w14:textId="77777777" w:rsidR="004071E2" w:rsidRPr="0028320E" w:rsidRDefault="004071E2">
      <w:pPr>
        <w:pStyle w:val="TOC2"/>
        <w:tabs>
          <w:tab w:val="left" w:pos="1004"/>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3.3.1.</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Overall Results (Attainment of Objective)*</w:t>
      </w:r>
      <w:r w:rsidRPr="0028320E">
        <w:rPr>
          <w:sz w:val="24"/>
          <w:szCs w:val="24"/>
        </w:rPr>
        <w:tab/>
      </w:r>
      <w:r w:rsidRPr="0028320E">
        <w:rPr>
          <w:sz w:val="24"/>
          <w:szCs w:val="24"/>
        </w:rPr>
        <w:fldChar w:fldCharType="begin"/>
      </w:r>
      <w:r w:rsidRPr="0028320E">
        <w:rPr>
          <w:sz w:val="24"/>
          <w:szCs w:val="24"/>
        </w:rPr>
        <w:instrText xml:space="preserve"> PAGEREF _Toc414745334 \h </w:instrText>
      </w:r>
      <w:r w:rsidRPr="0028320E">
        <w:rPr>
          <w:sz w:val="24"/>
          <w:szCs w:val="24"/>
        </w:rPr>
      </w:r>
      <w:r w:rsidRPr="0028320E">
        <w:rPr>
          <w:sz w:val="24"/>
          <w:szCs w:val="24"/>
        </w:rPr>
        <w:fldChar w:fldCharType="separate"/>
      </w:r>
      <w:r w:rsidR="001E2C7B">
        <w:rPr>
          <w:sz w:val="24"/>
          <w:szCs w:val="24"/>
        </w:rPr>
        <w:t>24</w:t>
      </w:r>
      <w:r w:rsidRPr="0028320E">
        <w:rPr>
          <w:sz w:val="24"/>
          <w:szCs w:val="24"/>
        </w:rPr>
        <w:fldChar w:fldCharType="end"/>
      </w:r>
    </w:p>
    <w:p w14:paraId="76CB4781" w14:textId="77777777" w:rsidR="004071E2" w:rsidRPr="0028320E" w:rsidRDefault="004071E2">
      <w:pPr>
        <w:pStyle w:val="TOC2"/>
        <w:tabs>
          <w:tab w:val="left" w:pos="1004"/>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3.3.2.</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Relevance*</w:t>
      </w:r>
      <w:r w:rsidRPr="0028320E">
        <w:rPr>
          <w:sz w:val="24"/>
          <w:szCs w:val="24"/>
        </w:rPr>
        <w:tab/>
      </w:r>
      <w:r w:rsidRPr="0028320E">
        <w:rPr>
          <w:sz w:val="24"/>
          <w:szCs w:val="24"/>
        </w:rPr>
        <w:fldChar w:fldCharType="begin"/>
      </w:r>
      <w:r w:rsidRPr="0028320E">
        <w:rPr>
          <w:sz w:val="24"/>
          <w:szCs w:val="24"/>
        </w:rPr>
        <w:instrText xml:space="preserve"> PAGEREF _Toc414745335 \h </w:instrText>
      </w:r>
      <w:r w:rsidRPr="0028320E">
        <w:rPr>
          <w:sz w:val="24"/>
          <w:szCs w:val="24"/>
        </w:rPr>
      </w:r>
      <w:r w:rsidRPr="0028320E">
        <w:rPr>
          <w:sz w:val="24"/>
          <w:szCs w:val="24"/>
        </w:rPr>
        <w:fldChar w:fldCharType="separate"/>
      </w:r>
      <w:r w:rsidR="001E2C7B">
        <w:rPr>
          <w:sz w:val="24"/>
          <w:szCs w:val="24"/>
        </w:rPr>
        <w:t>27</w:t>
      </w:r>
      <w:r w:rsidRPr="0028320E">
        <w:rPr>
          <w:sz w:val="24"/>
          <w:szCs w:val="24"/>
        </w:rPr>
        <w:fldChar w:fldCharType="end"/>
      </w:r>
    </w:p>
    <w:p w14:paraId="6F831FC3" w14:textId="77777777" w:rsidR="004071E2" w:rsidRPr="0028320E" w:rsidRDefault="004071E2">
      <w:pPr>
        <w:pStyle w:val="TOC2"/>
        <w:tabs>
          <w:tab w:val="left" w:pos="1004"/>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3.3.3.</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Effectiveness &amp; Efficiency*</w:t>
      </w:r>
      <w:r w:rsidRPr="0028320E">
        <w:rPr>
          <w:sz w:val="24"/>
          <w:szCs w:val="24"/>
        </w:rPr>
        <w:tab/>
      </w:r>
      <w:r w:rsidRPr="0028320E">
        <w:rPr>
          <w:sz w:val="24"/>
          <w:szCs w:val="24"/>
        </w:rPr>
        <w:fldChar w:fldCharType="begin"/>
      </w:r>
      <w:r w:rsidRPr="0028320E">
        <w:rPr>
          <w:sz w:val="24"/>
          <w:szCs w:val="24"/>
        </w:rPr>
        <w:instrText xml:space="preserve"> PAGEREF _Toc414745336 \h </w:instrText>
      </w:r>
      <w:r w:rsidRPr="0028320E">
        <w:rPr>
          <w:sz w:val="24"/>
          <w:szCs w:val="24"/>
        </w:rPr>
      </w:r>
      <w:r w:rsidRPr="0028320E">
        <w:rPr>
          <w:sz w:val="24"/>
          <w:szCs w:val="24"/>
        </w:rPr>
        <w:fldChar w:fldCharType="separate"/>
      </w:r>
      <w:r w:rsidR="001E2C7B">
        <w:rPr>
          <w:sz w:val="24"/>
          <w:szCs w:val="24"/>
        </w:rPr>
        <w:t>27</w:t>
      </w:r>
      <w:r w:rsidRPr="0028320E">
        <w:rPr>
          <w:sz w:val="24"/>
          <w:szCs w:val="24"/>
        </w:rPr>
        <w:fldChar w:fldCharType="end"/>
      </w:r>
    </w:p>
    <w:p w14:paraId="14667E71" w14:textId="77777777" w:rsidR="004071E2" w:rsidRPr="0028320E" w:rsidRDefault="004071E2">
      <w:pPr>
        <w:pStyle w:val="TOC2"/>
        <w:tabs>
          <w:tab w:val="left" w:pos="1004"/>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3.3.4.</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Country Ownership</w:t>
      </w:r>
      <w:r w:rsidRPr="0028320E">
        <w:rPr>
          <w:sz w:val="24"/>
          <w:szCs w:val="24"/>
        </w:rPr>
        <w:tab/>
      </w:r>
      <w:r w:rsidRPr="0028320E">
        <w:rPr>
          <w:sz w:val="24"/>
          <w:szCs w:val="24"/>
        </w:rPr>
        <w:fldChar w:fldCharType="begin"/>
      </w:r>
      <w:r w:rsidRPr="0028320E">
        <w:rPr>
          <w:sz w:val="24"/>
          <w:szCs w:val="24"/>
        </w:rPr>
        <w:instrText xml:space="preserve"> PAGEREF _Toc414745337 \h </w:instrText>
      </w:r>
      <w:r w:rsidRPr="0028320E">
        <w:rPr>
          <w:sz w:val="24"/>
          <w:szCs w:val="24"/>
        </w:rPr>
      </w:r>
      <w:r w:rsidRPr="0028320E">
        <w:rPr>
          <w:sz w:val="24"/>
          <w:szCs w:val="24"/>
        </w:rPr>
        <w:fldChar w:fldCharType="separate"/>
      </w:r>
      <w:r w:rsidR="001E2C7B">
        <w:rPr>
          <w:sz w:val="24"/>
          <w:szCs w:val="24"/>
        </w:rPr>
        <w:t>29</w:t>
      </w:r>
      <w:r w:rsidRPr="0028320E">
        <w:rPr>
          <w:sz w:val="24"/>
          <w:szCs w:val="24"/>
        </w:rPr>
        <w:fldChar w:fldCharType="end"/>
      </w:r>
    </w:p>
    <w:p w14:paraId="3B0D7F9B" w14:textId="77777777" w:rsidR="004071E2" w:rsidRPr="0028320E" w:rsidRDefault="004071E2">
      <w:pPr>
        <w:pStyle w:val="TOC2"/>
        <w:tabs>
          <w:tab w:val="left" w:pos="1004"/>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3.3.5.</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Mainstreaming</w:t>
      </w:r>
      <w:r w:rsidRPr="0028320E">
        <w:rPr>
          <w:sz w:val="24"/>
          <w:szCs w:val="24"/>
        </w:rPr>
        <w:tab/>
      </w:r>
      <w:r w:rsidRPr="0028320E">
        <w:rPr>
          <w:sz w:val="24"/>
          <w:szCs w:val="24"/>
        </w:rPr>
        <w:fldChar w:fldCharType="begin"/>
      </w:r>
      <w:r w:rsidRPr="0028320E">
        <w:rPr>
          <w:sz w:val="24"/>
          <w:szCs w:val="24"/>
        </w:rPr>
        <w:instrText xml:space="preserve"> PAGEREF _Toc414745338 \h </w:instrText>
      </w:r>
      <w:r w:rsidRPr="0028320E">
        <w:rPr>
          <w:sz w:val="24"/>
          <w:szCs w:val="24"/>
        </w:rPr>
      </w:r>
      <w:r w:rsidRPr="0028320E">
        <w:rPr>
          <w:sz w:val="24"/>
          <w:szCs w:val="24"/>
        </w:rPr>
        <w:fldChar w:fldCharType="separate"/>
      </w:r>
      <w:r w:rsidR="001E2C7B">
        <w:rPr>
          <w:sz w:val="24"/>
          <w:szCs w:val="24"/>
        </w:rPr>
        <w:t>30</w:t>
      </w:r>
      <w:r w:rsidRPr="0028320E">
        <w:rPr>
          <w:sz w:val="24"/>
          <w:szCs w:val="24"/>
        </w:rPr>
        <w:fldChar w:fldCharType="end"/>
      </w:r>
    </w:p>
    <w:p w14:paraId="0FE52CE3" w14:textId="77777777" w:rsidR="004071E2" w:rsidRPr="0028320E" w:rsidRDefault="004071E2">
      <w:pPr>
        <w:pStyle w:val="TOC2"/>
        <w:tabs>
          <w:tab w:val="left" w:pos="1004"/>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3.3.6.</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Sustainability*</w:t>
      </w:r>
      <w:r w:rsidRPr="0028320E">
        <w:rPr>
          <w:sz w:val="24"/>
          <w:szCs w:val="24"/>
        </w:rPr>
        <w:tab/>
      </w:r>
      <w:r w:rsidRPr="0028320E">
        <w:rPr>
          <w:sz w:val="24"/>
          <w:szCs w:val="24"/>
        </w:rPr>
        <w:fldChar w:fldCharType="begin"/>
      </w:r>
      <w:r w:rsidRPr="0028320E">
        <w:rPr>
          <w:sz w:val="24"/>
          <w:szCs w:val="24"/>
        </w:rPr>
        <w:instrText xml:space="preserve"> PAGEREF _Toc414745339 \h </w:instrText>
      </w:r>
      <w:r w:rsidRPr="0028320E">
        <w:rPr>
          <w:sz w:val="24"/>
          <w:szCs w:val="24"/>
        </w:rPr>
      </w:r>
      <w:r w:rsidRPr="0028320E">
        <w:rPr>
          <w:sz w:val="24"/>
          <w:szCs w:val="24"/>
        </w:rPr>
        <w:fldChar w:fldCharType="separate"/>
      </w:r>
      <w:r w:rsidR="001E2C7B">
        <w:rPr>
          <w:sz w:val="24"/>
          <w:szCs w:val="24"/>
        </w:rPr>
        <w:t>31</w:t>
      </w:r>
      <w:r w:rsidRPr="0028320E">
        <w:rPr>
          <w:sz w:val="24"/>
          <w:szCs w:val="24"/>
        </w:rPr>
        <w:fldChar w:fldCharType="end"/>
      </w:r>
    </w:p>
    <w:p w14:paraId="65F7B031" w14:textId="77777777" w:rsidR="004071E2" w:rsidRPr="0028320E" w:rsidRDefault="004071E2">
      <w:pPr>
        <w:pStyle w:val="TOC2"/>
        <w:tabs>
          <w:tab w:val="left" w:pos="1004"/>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3.3.7.</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Catalytic Role</w:t>
      </w:r>
      <w:r w:rsidRPr="0028320E">
        <w:rPr>
          <w:sz w:val="24"/>
          <w:szCs w:val="24"/>
        </w:rPr>
        <w:tab/>
      </w:r>
      <w:r w:rsidRPr="0028320E">
        <w:rPr>
          <w:sz w:val="24"/>
          <w:szCs w:val="24"/>
        </w:rPr>
        <w:fldChar w:fldCharType="begin"/>
      </w:r>
      <w:r w:rsidRPr="0028320E">
        <w:rPr>
          <w:sz w:val="24"/>
          <w:szCs w:val="24"/>
        </w:rPr>
        <w:instrText xml:space="preserve"> PAGEREF _Toc414745340 \h </w:instrText>
      </w:r>
      <w:r w:rsidRPr="0028320E">
        <w:rPr>
          <w:sz w:val="24"/>
          <w:szCs w:val="24"/>
        </w:rPr>
      </w:r>
      <w:r w:rsidRPr="0028320E">
        <w:rPr>
          <w:sz w:val="24"/>
          <w:szCs w:val="24"/>
        </w:rPr>
        <w:fldChar w:fldCharType="separate"/>
      </w:r>
      <w:r w:rsidR="001E2C7B">
        <w:rPr>
          <w:sz w:val="24"/>
          <w:szCs w:val="24"/>
        </w:rPr>
        <w:t>33</w:t>
      </w:r>
      <w:r w:rsidRPr="0028320E">
        <w:rPr>
          <w:sz w:val="24"/>
          <w:szCs w:val="24"/>
        </w:rPr>
        <w:fldChar w:fldCharType="end"/>
      </w:r>
    </w:p>
    <w:p w14:paraId="6A2F3CB0" w14:textId="77777777" w:rsidR="004071E2" w:rsidRPr="0028320E" w:rsidRDefault="004071E2">
      <w:pPr>
        <w:pStyle w:val="TOC2"/>
        <w:tabs>
          <w:tab w:val="left" w:pos="1004"/>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3.3.8.</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Impact</w:t>
      </w:r>
      <w:r w:rsidRPr="0028320E">
        <w:rPr>
          <w:sz w:val="24"/>
          <w:szCs w:val="24"/>
        </w:rPr>
        <w:tab/>
      </w:r>
      <w:r w:rsidRPr="0028320E">
        <w:rPr>
          <w:sz w:val="24"/>
          <w:szCs w:val="24"/>
        </w:rPr>
        <w:fldChar w:fldCharType="begin"/>
      </w:r>
      <w:r w:rsidRPr="0028320E">
        <w:rPr>
          <w:sz w:val="24"/>
          <w:szCs w:val="24"/>
        </w:rPr>
        <w:instrText xml:space="preserve"> PAGEREF _Toc414745341 \h </w:instrText>
      </w:r>
      <w:r w:rsidRPr="0028320E">
        <w:rPr>
          <w:sz w:val="24"/>
          <w:szCs w:val="24"/>
        </w:rPr>
      </w:r>
      <w:r w:rsidRPr="0028320E">
        <w:rPr>
          <w:sz w:val="24"/>
          <w:szCs w:val="24"/>
        </w:rPr>
        <w:fldChar w:fldCharType="separate"/>
      </w:r>
      <w:r w:rsidR="001E2C7B">
        <w:rPr>
          <w:sz w:val="24"/>
          <w:szCs w:val="24"/>
        </w:rPr>
        <w:t>34</w:t>
      </w:r>
      <w:r w:rsidRPr="0028320E">
        <w:rPr>
          <w:sz w:val="24"/>
          <w:szCs w:val="24"/>
        </w:rPr>
        <w:fldChar w:fldCharType="end"/>
      </w:r>
    </w:p>
    <w:p w14:paraId="31381391" w14:textId="77777777" w:rsidR="004071E2" w:rsidRPr="0028320E" w:rsidRDefault="004071E2">
      <w:pPr>
        <w:pStyle w:val="TOC1"/>
        <w:tabs>
          <w:tab w:val="clear" w:pos="440"/>
          <w:tab w:val="left" w:pos="421"/>
        </w:tabs>
        <w:rPr>
          <w:rFonts w:asciiTheme="minorHAnsi" w:eastAsiaTheme="minorEastAsia" w:hAnsiTheme="minorHAnsi" w:cstheme="minorBidi"/>
          <w:b w:val="0"/>
          <w:bCs w:val="0"/>
          <w:iCs w:val="0"/>
          <w:sz w:val="24"/>
          <w:szCs w:val="24"/>
          <w:lang w:eastAsia="ja-JP"/>
        </w:rPr>
      </w:pPr>
      <w:r w:rsidRPr="0028320E">
        <w:rPr>
          <w:rFonts w:asciiTheme="minorHAnsi" w:hAnsiTheme="minorHAnsi" w:cs="Calibri"/>
          <w:sz w:val="24"/>
          <w:szCs w:val="24"/>
        </w:rPr>
        <w:t>4.</w:t>
      </w:r>
      <w:r w:rsidRPr="0028320E">
        <w:rPr>
          <w:rFonts w:asciiTheme="minorHAnsi" w:eastAsiaTheme="minorEastAsia" w:hAnsiTheme="minorHAnsi" w:cstheme="minorBidi"/>
          <w:b w:val="0"/>
          <w:bCs w:val="0"/>
          <w:iCs w:val="0"/>
          <w:sz w:val="24"/>
          <w:szCs w:val="24"/>
          <w:lang w:eastAsia="ja-JP"/>
        </w:rPr>
        <w:tab/>
      </w:r>
      <w:r w:rsidRPr="0028320E">
        <w:rPr>
          <w:rFonts w:asciiTheme="minorHAnsi" w:hAnsiTheme="minorHAnsi" w:cs="Calibri"/>
          <w:sz w:val="24"/>
          <w:szCs w:val="24"/>
        </w:rPr>
        <w:t>Conclusions, Recommendations, Lessons</w:t>
      </w:r>
      <w:r w:rsidRPr="0028320E">
        <w:rPr>
          <w:sz w:val="24"/>
          <w:szCs w:val="24"/>
        </w:rPr>
        <w:tab/>
      </w:r>
      <w:r w:rsidRPr="0028320E">
        <w:rPr>
          <w:sz w:val="24"/>
          <w:szCs w:val="24"/>
        </w:rPr>
        <w:fldChar w:fldCharType="begin"/>
      </w:r>
      <w:r w:rsidRPr="0028320E">
        <w:rPr>
          <w:sz w:val="24"/>
          <w:szCs w:val="24"/>
        </w:rPr>
        <w:instrText xml:space="preserve"> PAGEREF _Toc414745342 \h </w:instrText>
      </w:r>
      <w:r w:rsidRPr="0028320E">
        <w:rPr>
          <w:sz w:val="24"/>
          <w:szCs w:val="24"/>
        </w:rPr>
      </w:r>
      <w:r w:rsidRPr="0028320E">
        <w:rPr>
          <w:sz w:val="24"/>
          <w:szCs w:val="24"/>
        </w:rPr>
        <w:fldChar w:fldCharType="separate"/>
      </w:r>
      <w:r w:rsidR="001E2C7B">
        <w:rPr>
          <w:sz w:val="24"/>
          <w:szCs w:val="24"/>
        </w:rPr>
        <w:t>35</w:t>
      </w:r>
      <w:r w:rsidRPr="0028320E">
        <w:rPr>
          <w:sz w:val="24"/>
          <w:szCs w:val="24"/>
        </w:rPr>
        <w:fldChar w:fldCharType="end"/>
      </w:r>
    </w:p>
    <w:p w14:paraId="4F535D2B" w14:textId="77777777" w:rsidR="004071E2" w:rsidRPr="0028320E" w:rsidRDefault="004071E2">
      <w:pPr>
        <w:pStyle w:val="TOC2"/>
        <w:tabs>
          <w:tab w:val="left" w:pos="823"/>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4.1.</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Conclusions</w:t>
      </w:r>
      <w:r w:rsidRPr="0028320E">
        <w:rPr>
          <w:sz w:val="24"/>
          <w:szCs w:val="24"/>
        </w:rPr>
        <w:tab/>
      </w:r>
      <w:r w:rsidRPr="0028320E">
        <w:rPr>
          <w:sz w:val="24"/>
          <w:szCs w:val="24"/>
        </w:rPr>
        <w:fldChar w:fldCharType="begin"/>
      </w:r>
      <w:r w:rsidRPr="0028320E">
        <w:rPr>
          <w:sz w:val="24"/>
          <w:szCs w:val="24"/>
        </w:rPr>
        <w:instrText xml:space="preserve"> PAGEREF _Toc414745343 \h </w:instrText>
      </w:r>
      <w:r w:rsidRPr="0028320E">
        <w:rPr>
          <w:sz w:val="24"/>
          <w:szCs w:val="24"/>
        </w:rPr>
      </w:r>
      <w:r w:rsidRPr="0028320E">
        <w:rPr>
          <w:sz w:val="24"/>
          <w:szCs w:val="24"/>
        </w:rPr>
        <w:fldChar w:fldCharType="separate"/>
      </w:r>
      <w:r w:rsidR="001E2C7B">
        <w:rPr>
          <w:sz w:val="24"/>
          <w:szCs w:val="24"/>
        </w:rPr>
        <w:t>35</w:t>
      </w:r>
      <w:r w:rsidRPr="0028320E">
        <w:rPr>
          <w:sz w:val="24"/>
          <w:szCs w:val="24"/>
        </w:rPr>
        <w:fldChar w:fldCharType="end"/>
      </w:r>
    </w:p>
    <w:p w14:paraId="4C2A1D00" w14:textId="77777777" w:rsidR="004071E2" w:rsidRPr="0028320E" w:rsidRDefault="004071E2">
      <w:pPr>
        <w:pStyle w:val="TOC2"/>
        <w:tabs>
          <w:tab w:val="left" w:pos="823"/>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4.2.</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Recommendations</w:t>
      </w:r>
      <w:r w:rsidRPr="0028320E">
        <w:rPr>
          <w:sz w:val="24"/>
          <w:szCs w:val="24"/>
        </w:rPr>
        <w:tab/>
      </w:r>
      <w:r w:rsidRPr="0028320E">
        <w:rPr>
          <w:sz w:val="24"/>
          <w:szCs w:val="24"/>
        </w:rPr>
        <w:fldChar w:fldCharType="begin"/>
      </w:r>
      <w:r w:rsidRPr="0028320E">
        <w:rPr>
          <w:sz w:val="24"/>
          <w:szCs w:val="24"/>
        </w:rPr>
        <w:instrText xml:space="preserve"> PAGEREF _Toc414745344 \h </w:instrText>
      </w:r>
      <w:r w:rsidRPr="0028320E">
        <w:rPr>
          <w:sz w:val="24"/>
          <w:szCs w:val="24"/>
        </w:rPr>
      </w:r>
      <w:r w:rsidRPr="0028320E">
        <w:rPr>
          <w:sz w:val="24"/>
          <w:szCs w:val="24"/>
        </w:rPr>
        <w:fldChar w:fldCharType="separate"/>
      </w:r>
      <w:r w:rsidR="001E2C7B">
        <w:rPr>
          <w:sz w:val="24"/>
          <w:szCs w:val="24"/>
        </w:rPr>
        <w:t>39</w:t>
      </w:r>
      <w:r w:rsidRPr="0028320E">
        <w:rPr>
          <w:sz w:val="24"/>
          <w:szCs w:val="24"/>
        </w:rPr>
        <w:fldChar w:fldCharType="end"/>
      </w:r>
    </w:p>
    <w:p w14:paraId="06A775CD" w14:textId="77777777" w:rsidR="004071E2" w:rsidRPr="0028320E" w:rsidRDefault="004071E2">
      <w:pPr>
        <w:pStyle w:val="TOC2"/>
        <w:tabs>
          <w:tab w:val="left" w:pos="823"/>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4.3.</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Lessons</w:t>
      </w:r>
      <w:r w:rsidRPr="0028320E">
        <w:rPr>
          <w:sz w:val="24"/>
          <w:szCs w:val="24"/>
        </w:rPr>
        <w:tab/>
      </w:r>
      <w:r w:rsidRPr="0028320E">
        <w:rPr>
          <w:sz w:val="24"/>
          <w:szCs w:val="24"/>
        </w:rPr>
        <w:fldChar w:fldCharType="begin"/>
      </w:r>
      <w:r w:rsidRPr="0028320E">
        <w:rPr>
          <w:sz w:val="24"/>
          <w:szCs w:val="24"/>
        </w:rPr>
        <w:instrText xml:space="preserve"> PAGEREF _Toc414745345 \h </w:instrText>
      </w:r>
      <w:r w:rsidRPr="0028320E">
        <w:rPr>
          <w:sz w:val="24"/>
          <w:szCs w:val="24"/>
        </w:rPr>
      </w:r>
      <w:r w:rsidRPr="0028320E">
        <w:rPr>
          <w:sz w:val="24"/>
          <w:szCs w:val="24"/>
        </w:rPr>
        <w:fldChar w:fldCharType="separate"/>
      </w:r>
      <w:r w:rsidR="001E2C7B">
        <w:rPr>
          <w:sz w:val="24"/>
          <w:szCs w:val="24"/>
        </w:rPr>
        <w:t>43</w:t>
      </w:r>
      <w:r w:rsidRPr="0028320E">
        <w:rPr>
          <w:sz w:val="24"/>
          <w:szCs w:val="24"/>
        </w:rPr>
        <w:fldChar w:fldCharType="end"/>
      </w:r>
    </w:p>
    <w:p w14:paraId="34ED3F63" w14:textId="77777777" w:rsidR="0028320E" w:rsidRDefault="0028320E">
      <w:pPr>
        <w:overflowPunct/>
        <w:autoSpaceDE/>
        <w:autoSpaceDN/>
        <w:adjustRightInd/>
        <w:textAlignment w:val="auto"/>
        <w:rPr>
          <w:rFonts w:asciiTheme="minorHAnsi" w:hAnsiTheme="minorHAnsi"/>
          <w:b/>
          <w:bCs/>
          <w:iCs/>
          <w:noProof/>
          <w:sz w:val="24"/>
          <w:szCs w:val="24"/>
        </w:rPr>
      </w:pPr>
      <w:r>
        <w:rPr>
          <w:rFonts w:asciiTheme="minorHAnsi" w:hAnsiTheme="minorHAnsi"/>
          <w:noProof/>
          <w:sz w:val="24"/>
          <w:szCs w:val="24"/>
        </w:rPr>
        <w:br w:type="page"/>
      </w:r>
    </w:p>
    <w:p w14:paraId="615EE30E" w14:textId="238809D0" w:rsidR="004071E2" w:rsidRPr="0028320E" w:rsidRDefault="004071E2">
      <w:pPr>
        <w:pStyle w:val="TOC1"/>
        <w:tabs>
          <w:tab w:val="clear" w:pos="440"/>
          <w:tab w:val="left" w:pos="421"/>
        </w:tabs>
        <w:rPr>
          <w:rFonts w:asciiTheme="minorHAnsi" w:eastAsiaTheme="minorEastAsia" w:hAnsiTheme="minorHAnsi" w:cstheme="minorBidi"/>
          <w:b w:val="0"/>
          <w:bCs w:val="0"/>
          <w:iCs w:val="0"/>
          <w:sz w:val="24"/>
          <w:szCs w:val="24"/>
          <w:lang w:eastAsia="ja-JP"/>
        </w:rPr>
      </w:pPr>
      <w:r w:rsidRPr="0028320E">
        <w:rPr>
          <w:rFonts w:asciiTheme="minorHAnsi" w:hAnsiTheme="minorHAnsi"/>
          <w:sz w:val="24"/>
          <w:szCs w:val="24"/>
        </w:rPr>
        <w:lastRenderedPageBreak/>
        <w:t>4.</w:t>
      </w:r>
      <w:r w:rsidRPr="0028320E">
        <w:rPr>
          <w:rFonts w:asciiTheme="minorHAnsi" w:eastAsiaTheme="minorEastAsia" w:hAnsiTheme="minorHAnsi" w:cstheme="minorBidi"/>
          <w:b w:val="0"/>
          <w:bCs w:val="0"/>
          <w:iCs w:val="0"/>
          <w:sz w:val="24"/>
          <w:szCs w:val="24"/>
          <w:lang w:eastAsia="ja-JP"/>
        </w:rPr>
        <w:tab/>
      </w:r>
      <w:r w:rsidRPr="0028320E">
        <w:rPr>
          <w:rFonts w:asciiTheme="minorHAnsi" w:hAnsiTheme="minorHAnsi"/>
          <w:sz w:val="24"/>
          <w:szCs w:val="24"/>
        </w:rPr>
        <w:t>Annexes</w:t>
      </w:r>
      <w:r w:rsidRPr="0028320E">
        <w:rPr>
          <w:sz w:val="24"/>
          <w:szCs w:val="24"/>
        </w:rPr>
        <w:tab/>
      </w:r>
      <w:r w:rsidRPr="0028320E">
        <w:rPr>
          <w:sz w:val="24"/>
          <w:szCs w:val="24"/>
        </w:rPr>
        <w:fldChar w:fldCharType="begin"/>
      </w:r>
      <w:r w:rsidRPr="0028320E">
        <w:rPr>
          <w:sz w:val="24"/>
          <w:szCs w:val="24"/>
        </w:rPr>
        <w:instrText xml:space="preserve"> PAGEREF _Toc414745346 \h </w:instrText>
      </w:r>
      <w:r w:rsidRPr="0028320E">
        <w:rPr>
          <w:sz w:val="24"/>
          <w:szCs w:val="24"/>
        </w:rPr>
      </w:r>
      <w:r w:rsidRPr="0028320E">
        <w:rPr>
          <w:sz w:val="24"/>
          <w:szCs w:val="24"/>
        </w:rPr>
        <w:fldChar w:fldCharType="separate"/>
      </w:r>
      <w:r w:rsidR="001E2C7B">
        <w:rPr>
          <w:sz w:val="24"/>
          <w:szCs w:val="24"/>
        </w:rPr>
        <w:t>1</w:t>
      </w:r>
      <w:r w:rsidRPr="0028320E">
        <w:rPr>
          <w:sz w:val="24"/>
          <w:szCs w:val="24"/>
        </w:rPr>
        <w:fldChar w:fldCharType="end"/>
      </w:r>
    </w:p>
    <w:p w14:paraId="10398906" w14:textId="77777777" w:rsidR="004071E2" w:rsidRPr="0028320E" w:rsidRDefault="004071E2">
      <w:pPr>
        <w:pStyle w:val="TOC2"/>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Annex 1: Terms of Reference for Terminal Evaluation</w:t>
      </w:r>
      <w:r w:rsidRPr="0028320E">
        <w:rPr>
          <w:sz w:val="24"/>
          <w:szCs w:val="24"/>
        </w:rPr>
        <w:tab/>
      </w:r>
      <w:r w:rsidRPr="0028320E">
        <w:rPr>
          <w:sz w:val="24"/>
          <w:szCs w:val="24"/>
        </w:rPr>
        <w:fldChar w:fldCharType="begin"/>
      </w:r>
      <w:r w:rsidRPr="0028320E">
        <w:rPr>
          <w:sz w:val="24"/>
          <w:szCs w:val="24"/>
        </w:rPr>
        <w:instrText xml:space="preserve"> PAGEREF _Toc414745347 \h </w:instrText>
      </w:r>
      <w:r w:rsidRPr="0028320E">
        <w:rPr>
          <w:sz w:val="24"/>
          <w:szCs w:val="24"/>
        </w:rPr>
      </w:r>
      <w:r w:rsidRPr="0028320E">
        <w:rPr>
          <w:sz w:val="24"/>
          <w:szCs w:val="24"/>
        </w:rPr>
        <w:fldChar w:fldCharType="separate"/>
      </w:r>
      <w:r w:rsidR="001E2C7B">
        <w:rPr>
          <w:sz w:val="24"/>
          <w:szCs w:val="24"/>
        </w:rPr>
        <w:t>1</w:t>
      </w:r>
      <w:r w:rsidRPr="0028320E">
        <w:rPr>
          <w:sz w:val="24"/>
          <w:szCs w:val="24"/>
        </w:rPr>
        <w:fldChar w:fldCharType="end"/>
      </w:r>
    </w:p>
    <w:p w14:paraId="0A4A651A" w14:textId="77777777" w:rsidR="004071E2" w:rsidRPr="0028320E" w:rsidRDefault="004071E2">
      <w:pPr>
        <w:pStyle w:val="TOC2"/>
        <w:tabs>
          <w:tab w:val="left" w:pos="1540"/>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Annex 2:</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Evaluation Consultant Code of Conduct Agreement Form</w:t>
      </w:r>
      <w:r w:rsidRPr="0028320E">
        <w:rPr>
          <w:sz w:val="24"/>
          <w:szCs w:val="24"/>
        </w:rPr>
        <w:tab/>
      </w:r>
      <w:r w:rsidRPr="0028320E">
        <w:rPr>
          <w:sz w:val="24"/>
          <w:szCs w:val="24"/>
        </w:rPr>
        <w:fldChar w:fldCharType="begin"/>
      </w:r>
      <w:r w:rsidRPr="0028320E">
        <w:rPr>
          <w:sz w:val="24"/>
          <w:szCs w:val="24"/>
        </w:rPr>
        <w:instrText xml:space="preserve"> PAGEREF _Toc414745348 \h </w:instrText>
      </w:r>
      <w:r w:rsidRPr="0028320E">
        <w:rPr>
          <w:sz w:val="24"/>
          <w:szCs w:val="24"/>
        </w:rPr>
      </w:r>
      <w:r w:rsidRPr="0028320E">
        <w:rPr>
          <w:sz w:val="24"/>
          <w:szCs w:val="24"/>
        </w:rPr>
        <w:fldChar w:fldCharType="separate"/>
      </w:r>
      <w:r w:rsidR="001E2C7B">
        <w:rPr>
          <w:sz w:val="24"/>
          <w:szCs w:val="24"/>
        </w:rPr>
        <w:t>1</w:t>
      </w:r>
      <w:r w:rsidRPr="0028320E">
        <w:rPr>
          <w:sz w:val="24"/>
          <w:szCs w:val="24"/>
        </w:rPr>
        <w:fldChar w:fldCharType="end"/>
      </w:r>
    </w:p>
    <w:p w14:paraId="63155994" w14:textId="7CBEC90C" w:rsidR="004071E2" w:rsidRPr="0028320E" w:rsidRDefault="004071E2">
      <w:pPr>
        <w:pStyle w:val="TOC2"/>
        <w:tabs>
          <w:tab w:val="left" w:pos="1540"/>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Annex 3:</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Evaluation Mission Itinerary, Schedule of Meetings, Persons Interviewed</w:t>
      </w:r>
      <w:r w:rsidRPr="0028320E">
        <w:rPr>
          <w:sz w:val="24"/>
          <w:szCs w:val="24"/>
        </w:rPr>
        <w:tab/>
      </w:r>
      <w:r w:rsidRPr="0028320E">
        <w:rPr>
          <w:sz w:val="24"/>
          <w:szCs w:val="24"/>
        </w:rPr>
        <w:fldChar w:fldCharType="begin"/>
      </w:r>
      <w:r w:rsidRPr="0028320E">
        <w:rPr>
          <w:sz w:val="24"/>
          <w:szCs w:val="24"/>
        </w:rPr>
        <w:instrText xml:space="preserve"> PAGEREF _Toc414745349 \h </w:instrText>
      </w:r>
      <w:r w:rsidRPr="0028320E">
        <w:rPr>
          <w:sz w:val="24"/>
          <w:szCs w:val="24"/>
        </w:rPr>
      </w:r>
      <w:r w:rsidRPr="0028320E">
        <w:rPr>
          <w:sz w:val="24"/>
          <w:szCs w:val="24"/>
        </w:rPr>
        <w:fldChar w:fldCharType="separate"/>
      </w:r>
      <w:r w:rsidR="001E2C7B">
        <w:rPr>
          <w:sz w:val="24"/>
          <w:szCs w:val="24"/>
        </w:rPr>
        <w:t>1</w:t>
      </w:r>
      <w:r w:rsidRPr="0028320E">
        <w:rPr>
          <w:sz w:val="24"/>
          <w:szCs w:val="24"/>
        </w:rPr>
        <w:fldChar w:fldCharType="end"/>
      </w:r>
    </w:p>
    <w:p w14:paraId="451A7961" w14:textId="77777777" w:rsidR="004071E2" w:rsidRPr="0028320E" w:rsidRDefault="004071E2">
      <w:pPr>
        <w:pStyle w:val="TOC2"/>
        <w:tabs>
          <w:tab w:val="left" w:pos="1540"/>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Annex 4:</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Summary of Field Visits</w:t>
      </w:r>
      <w:r w:rsidRPr="0028320E">
        <w:rPr>
          <w:sz w:val="24"/>
          <w:szCs w:val="24"/>
        </w:rPr>
        <w:tab/>
      </w:r>
      <w:r w:rsidRPr="0028320E">
        <w:rPr>
          <w:sz w:val="24"/>
          <w:szCs w:val="24"/>
        </w:rPr>
        <w:fldChar w:fldCharType="begin"/>
      </w:r>
      <w:r w:rsidRPr="0028320E">
        <w:rPr>
          <w:sz w:val="24"/>
          <w:szCs w:val="24"/>
        </w:rPr>
        <w:instrText xml:space="preserve"> PAGEREF _Toc414745350 \h </w:instrText>
      </w:r>
      <w:r w:rsidRPr="0028320E">
        <w:rPr>
          <w:sz w:val="24"/>
          <w:szCs w:val="24"/>
        </w:rPr>
      </w:r>
      <w:r w:rsidRPr="0028320E">
        <w:rPr>
          <w:sz w:val="24"/>
          <w:szCs w:val="24"/>
        </w:rPr>
        <w:fldChar w:fldCharType="separate"/>
      </w:r>
      <w:r w:rsidR="001E2C7B">
        <w:rPr>
          <w:sz w:val="24"/>
          <w:szCs w:val="24"/>
        </w:rPr>
        <w:t>1</w:t>
      </w:r>
      <w:r w:rsidRPr="0028320E">
        <w:rPr>
          <w:sz w:val="24"/>
          <w:szCs w:val="24"/>
        </w:rPr>
        <w:fldChar w:fldCharType="end"/>
      </w:r>
    </w:p>
    <w:p w14:paraId="23AF4652" w14:textId="77777777" w:rsidR="004071E2" w:rsidRPr="0028320E" w:rsidRDefault="004071E2">
      <w:pPr>
        <w:pStyle w:val="TOC2"/>
        <w:tabs>
          <w:tab w:val="left" w:pos="1540"/>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Annex 5:</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List of Information Reviewed</w:t>
      </w:r>
      <w:r w:rsidRPr="0028320E">
        <w:rPr>
          <w:sz w:val="24"/>
          <w:szCs w:val="24"/>
        </w:rPr>
        <w:tab/>
      </w:r>
      <w:r w:rsidRPr="0028320E">
        <w:rPr>
          <w:sz w:val="24"/>
          <w:szCs w:val="24"/>
        </w:rPr>
        <w:fldChar w:fldCharType="begin"/>
      </w:r>
      <w:r w:rsidRPr="0028320E">
        <w:rPr>
          <w:sz w:val="24"/>
          <w:szCs w:val="24"/>
        </w:rPr>
        <w:instrText xml:space="preserve"> PAGEREF _Toc414745351 \h </w:instrText>
      </w:r>
      <w:r w:rsidRPr="0028320E">
        <w:rPr>
          <w:sz w:val="24"/>
          <w:szCs w:val="24"/>
        </w:rPr>
      </w:r>
      <w:r w:rsidRPr="0028320E">
        <w:rPr>
          <w:sz w:val="24"/>
          <w:szCs w:val="24"/>
        </w:rPr>
        <w:fldChar w:fldCharType="separate"/>
      </w:r>
      <w:r w:rsidR="001E2C7B">
        <w:rPr>
          <w:sz w:val="24"/>
          <w:szCs w:val="24"/>
        </w:rPr>
        <w:t>1</w:t>
      </w:r>
      <w:r w:rsidRPr="0028320E">
        <w:rPr>
          <w:sz w:val="24"/>
          <w:szCs w:val="24"/>
        </w:rPr>
        <w:fldChar w:fldCharType="end"/>
      </w:r>
    </w:p>
    <w:p w14:paraId="16298797" w14:textId="0CA5961B" w:rsidR="004071E2" w:rsidRPr="0028320E" w:rsidRDefault="004071E2">
      <w:pPr>
        <w:pStyle w:val="TOC2"/>
        <w:tabs>
          <w:tab w:val="left" w:pos="1320"/>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Annex 6</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Template for Reporting Achievement of Results by End of Project</w:t>
      </w:r>
      <w:r w:rsidRPr="0028320E">
        <w:rPr>
          <w:sz w:val="24"/>
          <w:szCs w:val="24"/>
        </w:rPr>
        <w:tab/>
      </w:r>
      <w:r w:rsidRPr="0028320E">
        <w:rPr>
          <w:sz w:val="24"/>
          <w:szCs w:val="24"/>
        </w:rPr>
        <w:fldChar w:fldCharType="begin"/>
      </w:r>
      <w:r w:rsidRPr="0028320E">
        <w:rPr>
          <w:sz w:val="24"/>
          <w:szCs w:val="24"/>
        </w:rPr>
        <w:instrText xml:space="preserve"> PAGEREF _Toc414745352 \h </w:instrText>
      </w:r>
      <w:r w:rsidRPr="0028320E">
        <w:rPr>
          <w:sz w:val="24"/>
          <w:szCs w:val="24"/>
        </w:rPr>
      </w:r>
      <w:r w:rsidRPr="0028320E">
        <w:rPr>
          <w:sz w:val="24"/>
          <w:szCs w:val="24"/>
        </w:rPr>
        <w:fldChar w:fldCharType="separate"/>
      </w:r>
      <w:r w:rsidR="001E2C7B">
        <w:rPr>
          <w:sz w:val="24"/>
          <w:szCs w:val="24"/>
        </w:rPr>
        <w:t>1</w:t>
      </w:r>
      <w:r w:rsidRPr="0028320E">
        <w:rPr>
          <w:sz w:val="24"/>
          <w:szCs w:val="24"/>
        </w:rPr>
        <w:fldChar w:fldCharType="end"/>
      </w:r>
    </w:p>
    <w:p w14:paraId="5243707D" w14:textId="77777777" w:rsidR="004071E2" w:rsidRPr="0028320E" w:rsidRDefault="004071E2">
      <w:pPr>
        <w:pStyle w:val="TOC2"/>
        <w:tabs>
          <w:tab w:val="left" w:pos="1320"/>
        </w:tabs>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Annex 7</w:t>
      </w:r>
      <w:r w:rsidRPr="0028320E">
        <w:rPr>
          <w:rFonts w:asciiTheme="minorHAnsi" w:eastAsiaTheme="minorEastAsia" w:hAnsiTheme="minorHAnsi" w:cstheme="minorBidi"/>
          <w:bCs w:val="0"/>
          <w:sz w:val="24"/>
          <w:szCs w:val="24"/>
          <w:lang w:eastAsia="ja-JP"/>
        </w:rPr>
        <w:tab/>
      </w:r>
      <w:r w:rsidRPr="0028320E">
        <w:rPr>
          <w:rFonts w:asciiTheme="minorHAnsi" w:hAnsiTheme="minorHAnsi"/>
          <w:b/>
          <w:sz w:val="24"/>
          <w:szCs w:val="24"/>
        </w:rPr>
        <w:t>Template for Reporting Progress in Delivering Outputs – October 2018</w:t>
      </w:r>
      <w:r w:rsidRPr="0028320E">
        <w:rPr>
          <w:sz w:val="24"/>
          <w:szCs w:val="24"/>
        </w:rPr>
        <w:tab/>
      </w:r>
      <w:r w:rsidRPr="0028320E">
        <w:rPr>
          <w:sz w:val="24"/>
          <w:szCs w:val="24"/>
        </w:rPr>
        <w:fldChar w:fldCharType="begin"/>
      </w:r>
      <w:r w:rsidRPr="0028320E">
        <w:rPr>
          <w:sz w:val="24"/>
          <w:szCs w:val="24"/>
        </w:rPr>
        <w:instrText xml:space="preserve"> PAGEREF _Toc414745353 \h </w:instrText>
      </w:r>
      <w:r w:rsidRPr="0028320E">
        <w:rPr>
          <w:sz w:val="24"/>
          <w:szCs w:val="24"/>
        </w:rPr>
      </w:r>
      <w:r w:rsidRPr="0028320E">
        <w:rPr>
          <w:sz w:val="24"/>
          <w:szCs w:val="24"/>
        </w:rPr>
        <w:fldChar w:fldCharType="separate"/>
      </w:r>
      <w:r w:rsidR="001E2C7B">
        <w:rPr>
          <w:sz w:val="24"/>
          <w:szCs w:val="24"/>
        </w:rPr>
        <w:t>1</w:t>
      </w:r>
      <w:r w:rsidRPr="0028320E">
        <w:rPr>
          <w:sz w:val="24"/>
          <w:szCs w:val="24"/>
        </w:rPr>
        <w:fldChar w:fldCharType="end"/>
      </w:r>
    </w:p>
    <w:p w14:paraId="003F53F0" w14:textId="77777777" w:rsidR="004071E2" w:rsidRPr="0028320E" w:rsidRDefault="004071E2">
      <w:pPr>
        <w:pStyle w:val="TOC2"/>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Annex 8: Evaluation Matrix</w:t>
      </w:r>
      <w:r w:rsidRPr="0028320E">
        <w:rPr>
          <w:sz w:val="24"/>
          <w:szCs w:val="24"/>
        </w:rPr>
        <w:tab/>
      </w:r>
      <w:r w:rsidRPr="0028320E">
        <w:rPr>
          <w:sz w:val="24"/>
          <w:szCs w:val="24"/>
        </w:rPr>
        <w:fldChar w:fldCharType="begin"/>
      </w:r>
      <w:r w:rsidRPr="0028320E">
        <w:rPr>
          <w:sz w:val="24"/>
          <w:szCs w:val="24"/>
        </w:rPr>
        <w:instrText xml:space="preserve"> PAGEREF _Toc414745354 \h </w:instrText>
      </w:r>
      <w:r w:rsidRPr="0028320E">
        <w:rPr>
          <w:sz w:val="24"/>
          <w:szCs w:val="24"/>
        </w:rPr>
      </w:r>
      <w:r w:rsidRPr="0028320E">
        <w:rPr>
          <w:sz w:val="24"/>
          <w:szCs w:val="24"/>
        </w:rPr>
        <w:fldChar w:fldCharType="separate"/>
      </w:r>
      <w:r w:rsidR="001E2C7B">
        <w:rPr>
          <w:sz w:val="24"/>
          <w:szCs w:val="24"/>
        </w:rPr>
        <w:t>1</w:t>
      </w:r>
      <w:r w:rsidRPr="0028320E">
        <w:rPr>
          <w:sz w:val="24"/>
          <w:szCs w:val="24"/>
        </w:rPr>
        <w:fldChar w:fldCharType="end"/>
      </w:r>
    </w:p>
    <w:p w14:paraId="1883E094" w14:textId="77777777" w:rsidR="004071E2" w:rsidRPr="0028320E" w:rsidRDefault="004071E2">
      <w:pPr>
        <w:pStyle w:val="TOC2"/>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Annex 9: Audit Trail of Review Comments and Evaluator Responses</w:t>
      </w:r>
      <w:r w:rsidRPr="0028320E">
        <w:rPr>
          <w:sz w:val="24"/>
          <w:szCs w:val="24"/>
        </w:rPr>
        <w:tab/>
      </w:r>
      <w:r w:rsidRPr="0028320E">
        <w:rPr>
          <w:sz w:val="24"/>
          <w:szCs w:val="24"/>
        </w:rPr>
        <w:fldChar w:fldCharType="begin"/>
      </w:r>
      <w:r w:rsidRPr="0028320E">
        <w:rPr>
          <w:sz w:val="24"/>
          <w:szCs w:val="24"/>
        </w:rPr>
        <w:instrText xml:space="preserve"> PAGEREF _Toc414745355 \h </w:instrText>
      </w:r>
      <w:r w:rsidRPr="0028320E">
        <w:rPr>
          <w:sz w:val="24"/>
          <w:szCs w:val="24"/>
        </w:rPr>
      </w:r>
      <w:r w:rsidRPr="0028320E">
        <w:rPr>
          <w:sz w:val="24"/>
          <w:szCs w:val="24"/>
        </w:rPr>
        <w:fldChar w:fldCharType="separate"/>
      </w:r>
      <w:r w:rsidR="001E2C7B">
        <w:rPr>
          <w:sz w:val="24"/>
          <w:szCs w:val="24"/>
        </w:rPr>
        <w:t>1</w:t>
      </w:r>
      <w:r w:rsidRPr="0028320E">
        <w:rPr>
          <w:sz w:val="24"/>
          <w:szCs w:val="24"/>
        </w:rPr>
        <w:fldChar w:fldCharType="end"/>
      </w:r>
    </w:p>
    <w:p w14:paraId="164B3EB3" w14:textId="77777777" w:rsidR="004071E2" w:rsidRPr="0028320E" w:rsidRDefault="004071E2">
      <w:pPr>
        <w:pStyle w:val="TOC2"/>
        <w:rPr>
          <w:rFonts w:asciiTheme="minorHAnsi" w:eastAsiaTheme="minorEastAsia" w:hAnsiTheme="minorHAnsi" w:cstheme="minorBidi"/>
          <w:bCs w:val="0"/>
          <w:sz w:val="24"/>
          <w:szCs w:val="24"/>
          <w:lang w:eastAsia="ja-JP"/>
        </w:rPr>
      </w:pPr>
      <w:r w:rsidRPr="0028320E">
        <w:rPr>
          <w:rFonts w:asciiTheme="minorHAnsi" w:hAnsiTheme="minorHAnsi"/>
          <w:b/>
          <w:sz w:val="24"/>
          <w:szCs w:val="24"/>
        </w:rPr>
        <w:t>Annex 10: Evaluation Report Clearance Form</w:t>
      </w:r>
      <w:r w:rsidRPr="0028320E">
        <w:rPr>
          <w:sz w:val="24"/>
          <w:szCs w:val="24"/>
        </w:rPr>
        <w:tab/>
      </w:r>
      <w:r w:rsidRPr="0028320E">
        <w:rPr>
          <w:sz w:val="24"/>
          <w:szCs w:val="24"/>
        </w:rPr>
        <w:fldChar w:fldCharType="begin"/>
      </w:r>
      <w:r w:rsidRPr="0028320E">
        <w:rPr>
          <w:sz w:val="24"/>
          <w:szCs w:val="24"/>
        </w:rPr>
        <w:instrText xml:space="preserve"> PAGEREF _Toc414745356 \h </w:instrText>
      </w:r>
      <w:r w:rsidRPr="0028320E">
        <w:rPr>
          <w:sz w:val="24"/>
          <w:szCs w:val="24"/>
        </w:rPr>
      </w:r>
      <w:r w:rsidRPr="0028320E">
        <w:rPr>
          <w:sz w:val="24"/>
          <w:szCs w:val="24"/>
        </w:rPr>
        <w:fldChar w:fldCharType="separate"/>
      </w:r>
      <w:r w:rsidR="001E2C7B">
        <w:rPr>
          <w:sz w:val="24"/>
          <w:szCs w:val="24"/>
        </w:rPr>
        <w:t>1</w:t>
      </w:r>
      <w:r w:rsidRPr="0028320E">
        <w:rPr>
          <w:sz w:val="24"/>
          <w:szCs w:val="24"/>
        </w:rPr>
        <w:fldChar w:fldCharType="end"/>
      </w:r>
    </w:p>
    <w:p w14:paraId="190B371C" w14:textId="77777777" w:rsidR="00275842" w:rsidRPr="0028320E" w:rsidRDefault="00A949E8" w:rsidP="00CE38EF">
      <w:pPr>
        <w:pStyle w:val="TOC2"/>
        <w:rPr>
          <w:sz w:val="24"/>
          <w:szCs w:val="24"/>
          <w:lang w:val="en-US"/>
        </w:rPr>
      </w:pPr>
      <w:r w:rsidRPr="0028320E">
        <w:rPr>
          <w:sz w:val="24"/>
          <w:szCs w:val="24"/>
          <w:lang w:val="en-US"/>
        </w:rPr>
        <w:fldChar w:fldCharType="end"/>
      </w:r>
      <w:bookmarkStart w:id="1" w:name="OLE_LINK2"/>
      <w:bookmarkStart w:id="2" w:name="OLE_LINK3"/>
      <w:bookmarkStart w:id="3" w:name="OLE_LINK10"/>
      <w:bookmarkStart w:id="4" w:name="OLE_LINK11"/>
    </w:p>
    <w:bookmarkEnd w:id="1"/>
    <w:bookmarkEnd w:id="2"/>
    <w:bookmarkEnd w:id="3"/>
    <w:bookmarkEnd w:id="4"/>
    <w:p w14:paraId="0561205B" w14:textId="77777777" w:rsidR="006A3FFD" w:rsidRDefault="006A3FFD" w:rsidP="006A3FFD">
      <w:pPr>
        <w:pStyle w:val="Heading1"/>
        <w:spacing w:after="240" w:line="240" w:lineRule="auto"/>
        <w:jc w:val="left"/>
        <w:rPr>
          <w:rFonts w:asciiTheme="minorHAnsi" w:hAnsiTheme="minorHAnsi" w:cs="Calibri"/>
          <w:b/>
          <w:smallCaps w:val="0"/>
          <w:sz w:val="32"/>
        </w:rPr>
      </w:pPr>
    </w:p>
    <w:p w14:paraId="1DF53D04" w14:textId="77777777" w:rsidR="00D712CA" w:rsidRPr="00D712CA" w:rsidRDefault="00D712CA" w:rsidP="00D712CA">
      <w:pPr>
        <w:pStyle w:val="BodyText"/>
        <w:sectPr w:rsidR="00D712CA" w:rsidRPr="00D712CA" w:rsidSect="001B651D">
          <w:footerReference w:type="default" r:id="rId13"/>
          <w:footnotePr>
            <w:numRestart w:val="eachPage"/>
          </w:footnotePr>
          <w:pgSz w:w="11906" w:h="16838" w:code="1"/>
          <w:pgMar w:top="1440" w:right="1440" w:bottom="1440" w:left="1440" w:header="288" w:footer="288" w:gutter="0"/>
          <w:pgNumType w:fmt="lowerRoman"/>
          <w:cols w:space="708"/>
          <w:docGrid w:linePitch="299"/>
        </w:sectPr>
      </w:pPr>
    </w:p>
    <w:p w14:paraId="7A22E61F" w14:textId="77777777" w:rsidR="00134FC4" w:rsidRPr="00E22EBA" w:rsidRDefault="00134FC4" w:rsidP="006F5607">
      <w:pPr>
        <w:pStyle w:val="Heading1"/>
        <w:spacing w:after="240" w:line="240" w:lineRule="auto"/>
        <w:jc w:val="left"/>
        <w:rPr>
          <w:rFonts w:asciiTheme="minorHAnsi" w:hAnsiTheme="minorHAnsi" w:cs="Calibri"/>
          <w:b/>
          <w:smallCaps w:val="0"/>
          <w:sz w:val="32"/>
        </w:rPr>
      </w:pPr>
      <w:bookmarkStart w:id="5" w:name="_Toc414745303"/>
      <w:r w:rsidRPr="00E22EBA">
        <w:rPr>
          <w:rFonts w:asciiTheme="minorHAnsi" w:hAnsiTheme="minorHAnsi" w:cs="Calibri"/>
          <w:b/>
          <w:smallCaps w:val="0"/>
          <w:sz w:val="32"/>
        </w:rPr>
        <w:lastRenderedPageBreak/>
        <w:t>Executive Summary</w:t>
      </w:r>
      <w:bookmarkEnd w:id="5"/>
    </w:p>
    <w:p w14:paraId="08735BFA" w14:textId="6AEF4FD2" w:rsidR="00627644" w:rsidRDefault="00627644" w:rsidP="00627644">
      <w:pPr>
        <w:pStyle w:val="BodyText"/>
        <w:spacing w:before="240"/>
        <w:rPr>
          <w:rFonts w:ascii="Calibri" w:hAnsi="Calibri"/>
          <w:b/>
          <w:szCs w:val="24"/>
          <w:highlight w:val="lightGray"/>
        </w:rPr>
      </w:pPr>
      <w:r w:rsidRPr="00627644">
        <w:rPr>
          <w:rFonts w:ascii="Calibri" w:hAnsi="Calibri"/>
          <w:b/>
          <w:szCs w:val="24"/>
          <w:highlight w:val="lightGray"/>
        </w:rPr>
        <w:t>Project Summary</w:t>
      </w:r>
    </w:p>
    <w:tbl>
      <w:tblPr>
        <w:tblW w:w="5000" w:type="pct"/>
        <w:tblLayout w:type="fixed"/>
        <w:tblLook w:val="04A0" w:firstRow="1" w:lastRow="0" w:firstColumn="1" w:lastColumn="0" w:noHBand="0" w:noVBand="1"/>
      </w:tblPr>
      <w:tblGrid>
        <w:gridCol w:w="1332"/>
        <w:gridCol w:w="143"/>
        <w:gridCol w:w="3259"/>
        <w:gridCol w:w="1702"/>
        <w:gridCol w:w="1417"/>
        <w:gridCol w:w="1287"/>
      </w:tblGrid>
      <w:tr w:rsidR="00627644" w:rsidRPr="00171AB5" w14:paraId="751690AA" w14:textId="77777777" w:rsidTr="00627644">
        <w:trPr>
          <w:trHeight w:val="300"/>
        </w:trPr>
        <w:tc>
          <w:tcPr>
            <w:tcW w:w="729" w:type="pct"/>
            <w:tcBorders>
              <w:top w:val="single" w:sz="8" w:space="0" w:color="000000"/>
              <w:left w:val="single" w:sz="8" w:space="0" w:color="auto"/>
              <w:bottom w:val="single" w:sz="8" w:space="0" w:color="auto"/>
              <w:right w:val="nil"/>
            </w:tcBorders>
            <w:shd w:val="clear" w:color="auto" w:fill="auto"/>
            <w:tcMar>
              <w:left w:w="57" w:type="dxa"/>
              <w:right w:w="57" w:type="dxa"/>
            </w:tcMar>
            <w:vAlign w:val="center"/>
            <w:hideMark/>
          </w:tcPr>
          <w:p w14:paraId="2D7B52E7" w14:textId="77777777" w:rsidR="00627644" w:rsidRPr="00171AB5" w:rsidRDefault="00627644" w:rsidP="00627644">
            <w:pPr>
              <w:overflowPunct/>
              <w:autoSpaceDE/>
              <w:autoSpaceDN/>
              <w:adjustRightInd/>
              <w:jc w:val="right"/>
              <w:textAlignment w:val="auto"/>
              <w:rPr>
                <w:rFonts w:ascii="Calibri" w:hAnsi="Calibri"/>
                <w:b/>
                <w:bCs/>
                <w:color w:val="000000"/>
                <w:sz w:val="20"/>
              </w:rPr>
            </w:pPr>
            <w:r w:rsidRPr="00171AB5">
              <w:rPr>
                <w:rFonts w:ascii="Calibri" w:hAnsi="Calibri"/>
                <w:b/>
                <w:bCs/>
                <w:color w:val="000000"/>
                <w:sz w:val="20"/>
              </w:rPr>
              <w:t>Project Title:</w:t>
            </w:r>
          </w:p>
        </w:tc>
        <w:tc>
          <w:tcPr>
            <w:tcW w:w="4271" w:type="pct"/>
            <w:gridSpan w:val="5"/>
            <w:tcBorders>
              <w:top w:val="single" w:sz="8" w:space="0" w:color="000000"/>
              <w:left w:val="nil"/>
              <w:bottom w:val="single" w:sz="8" w:space="0" w:color="auto"/>
              <w:right w:val="single" w:sz="8" w:space="0" w:color="000000"/>
            </w:tcBorders>
            <w:shd w:val="clear" w:color="auto" w:fill="auto"/>
            <w:tcMar>
              <w:left w:w="57" w:type="dxa"/>
              <w:right w:w="57" w:type="dxa"/>
            </w:tcMar>
            <w:vAlign w:val="center"/>
            <w:hideMark/>
          </w:tcPr>
          <w:p w14:paraId="6F2838C3" w14:textId="77777777" w:rsidR="00627644" w:rsidRPr="00171AB5" w:rsidRDefault="00627644" w:rsidP="00627644">
            <w:pPr>
              <w:overflowPunct/>
              <w:autoSpaceDE/>
              <w:autoSpaceDN/>
              <w:adjustRightInd/>
              <w:textAlignment w:val="auto"/>
              <w:rPr>
                <w:rFonts w:ascii="Calibri" w:hAnsi="Calibri"/>
                <w:b/>
                <w:bCs/>
                <w:color w:val="000000"/>
                <w:sz w:val="20"/>
              </w:rPr>
            </w:pPr>
            <w:r w:rsidRPr="00171AB5">
              <w:rPr>
                <w:rFonts w:ascii="Calibri" w:hAnsi="Calibri"/>
                <w:b/>
                <w:bCs/>
                <w:color w:val="000000"/>
                <w:sz w:val="20"/>
              </w:rPr>
              <w:t>Expansion and Improved Management Effectiveness of the Achara Region’s Protected Areas</w:t>
            </w:r>
          </w:p>
        </w:tc>
      </w:tr>
      <w:tr w:rsidR="00627644" w:rsidRPr="00F71599" w14:paraId="42E90EEF" w14:textId="77777777" w:rsidTr="00627644">
        <w:trPr>
          <w:trHeight w:val="373"/>
        </w:trPr>
        <w:tc>
          <w:tcPr>
            <w:tcW w:w="807" w:type="pct"/>
            <w:gridSpan w:val="2"/>
            <w:tcBorders>
              <w:top w:val="nil"/>
              <w:left w:val="single" w:sz="8" w:space="0" w:color="auto"/>
              <w:bottom w:val="single" w:sz="8" w:space="0" w:color="auto"/>
              <w:right w:val="single" w:sz="4" w:space="0" w:color="auto"/>
            </w:tcBorders>
            <w:shd w:val="clear" w:color="auto" w:fill="auto"/>
            <w:tcMar>
              <w:left w:w="57" w:type="dxa"/>
              <w:right w:w="57" w:type="dxa"/>
            </w:tcMar>
            <w:vAlign w:val="center"/>
            <w:hideMark/>
          </w:tcPr>
          <w:p w14:paraId="7DB8C576" w14:textId="77777777" w:rsidR="00627644" w:rsidRPr="00F71599" w:rsidRDefault="00627644" w:rsidP="00627644">
            <w:pPr>
              <w:overflowPunct/>
              <w:autoSpaceDE/>
              <w:autoSpaceDN/>
              <w:adjustRightInd/>
              <w:jc w:val="right"/>
              <w:textAlignment w:val="auto"/>
              <w:rPr>
                <w:rFonts w:ascii="Calibri" w:hAnsi="Calibri"/>
                <w:b/>
                <w:bCs/>
                <w:color w:val="000000"/>
                <w:sz w:val="19"/>
                <w:szCs w:val="19"/>
              </w:rPr>
            </w:pPr>
            <w:r w:rsidRPr="00F71599">
              <w:rPr>
                <w:rFonts w:ascii="Calibri" w:hAnsi="Calibri"/>
                <w:b/>
                <w:bCs/>
                <w:color w:val="000000"/>
                <w:sz w:val="19"/>
                <w:szCs w:val="19"/>
              </w:rPr>
              <w:t>GEF Project ID:</w:t>
            </w:r>
          </w:p>
        </w:tc>
        <w:tc>
          <w:tcPr>
            <w:tcW w:w="1783"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347C3BE0" w14:textId="77777777" w:rsidR="00627644" w:rsidRPr="00F71599" w:rsidRDefault="00627644" w:rsidP="00627644">
            <w:pPr>
              <w:overflowPunct/>
              <w:autoSpaceDE/>
              <w:autoSpaceDN/>
              <w:adjustRightInd/>
              <w:textAlignment w:val="auto"/>
              <w:rPr>
                <w:rFonts w:ascii="Calibri" w:hAnsi="Calibri"/>
                <w:color w:val="000000"/>
                <w:sz w:val="19"/>
                <w:szCs w:val="19"/>
              </w:rPr>
            </w:pPr>
            <w:r w:rsidRPr="00F71599">
              <w:rPr>
                <w:rFonts w:ascii="Calibri" w:hAnsi="Calibri"/>
                <w:color w:val="000000"/>
                <w:sz w:val="19"/>
                <w:szCs w:val="19"/>
              </w:rPr>
              <w:t>4835</w:t>
            </w:r>
          </w:p>
        </w:tc>
        <w:tc>
          <w:tcPr>
            <w:tcW w:w="931" w:type="pct"/>
            <w:tcBorders>
              <w:top w:val="nil"/>
              <w:left w:val="nil"/>
              <w:bottom w:val="single" w:sz="8" w:space="0" w:color="auto"/>
              <w:right w:val="single" w:sz="4" w:space="0" w:color="auto"/>
            </w:tcBorders>
            <w:shd w:val="clear" w:color="auto" w:fill="auto"/>
            <w:tcMar>
              <w:left w:w="57" w:type="dxa"/>
              <w:right w:w="57" w:type="dxa"/>
            </w:tcMar>
            <w:vAlign w:val="center"/>
            <w:hideMark/>
          </w:tcPr>
          <w:p w14:paraId="1D11CB88" w14:textId="77777777" w:rsidR="00627644" w:rsidRPr="00F71599" w:rsidRDefault="00627644" w:rsidP="00627644">
            <w:pPr>
              <w:overflowPunct/>
              <w:autoSpaceDE/>
              <w:autoSpaceDN/>
              <w:adjustRightInd/>
              <w:jc w:val="right"/>
              <w:textAlignment w:val="auto"/>
              <w:rPr>
                <w:rFonts w:ascii="Calibri" w:hAnsi="Calibri"/>
                <w:b/>
                <w:bCs/>
                <w:color w:val="000000"/>
                <w:sz w:val="19"/>
                <w:szCs w:val="19"/>
              </w:rPr>
            </w:pPr>
            <w:r w:rsidRPr="00F71599">
              <w:rPr>
                <w:rFonts w:ascii="Calibri" w:hAnsi="Calibri"/>
                <w:b/>
                <w:bCs/>
                <w:color w:val="000000"/>
                <w:sz w:val="19"/>
                <w:szCs w:val="19"/>
              </w:rPr>
              <w:t> </w:t>
            </w:r>
          </w:p>
        </w:tc>
        <w:tc>
          <w:tcPr>
            <w:tcW w:w="775" w:type="pct"/>
            <w:tcBorders>
              <w:top w:val="nil"/>
              <w:left w:val="nil"/>
              <w:bottom w:val="single" w:sz="8" w:space="0" w:color="auto"/>
              <w:right w:val="single" w:sz="4" w:space="0" w:color="auto"/>
            </w:tcBorders>
            <w:shd w:val="clear" w:color="auto" w:fill="auto"/>
            <w:tcMar>
              <w:left w:w="57" w:type="dxa"/>
              <w:right w:w="57" w:type="dxa"/>
            </w:tcMar>
            <w:vAlign w:val="center"/>
            <w:hideMark/>
          </w:tcPr>
          <w:p w14:paraId="4EB9DB00" w14:textId="77777777" w:rsidR="00627644" w:rsidRPr="00F71599" w:rsidRDefault="00627644" w:rsidP="00627644">
            <w:pPr>
              <w:overflowPunct/>
              <w:autoSpaceDE/>
              <w:autoSpaceDN/>
              <w:adjustRightInd/>
              <w:jc w:val="center"/>
              <w:textAlignment w:val="auto"/>
              <w:rPr>
                <w:rFonts w:ascii="Calibri" w:hAnsi="Calibri"/>
                <w:b/>
                <w:bCs/>
                <w:color w:val="000000"/>
                <w:sz w:val="19"/>
                <w:szCs w:val="19"/>
              </w:rPr>
            </w:pPr>
            <w:r w:rsidRPr="00F71599">
              <w:rPr>
                <w:rFonts w:ascii="Calibri" w:hAnsi="Calibri"/>
                <w:b/>
                <w:bCs/>
                <w:color w:val="000000"/>
                <w:sz w:val="19"/>
                <w:szCs w:val="19"/>
              </w:rPr>
              <w:t>At Endorsement (US$)</w:t>
            </w:r>
          </w:p>
        </w:tc>
        <w:tc>
          <w:tcPr>
            <w:tcW w:w="704"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4B136A7D" w14:textId="77777777" w:rsidR="00627644" w:rsidRPr="00F71599" w:rsidRDefault="00627644" w:rsidP="00627644">
            <w:pPr>
              <w:overflowPunct/>
              <w:autoSpaceDE/>
              <w:autoSpaceDN/>
              <w:adjustRightInd/>
              <w:jc w:val="center"/>
              <w:textAlignment w:val="auto"/>
              <w:rPr>
                <w:rFonts w:ascii="Calibri" w:hAnsi="Calibri"/>
                <w:b/>
                <w:bCs/>
                <w:color w:val="000000"/>
                <w:sz w:val="19"/>
                <w:szCs w:val="19"/>
              </w:rPr>
            </w:pPr>
            <w:r w:rsidRPr="00F71599">
              <w:rPr>
                <w:rFonts w:ascii="Calibri" w:hAnsi="Calibri"/>
                <w:b/>
                <w:bCs/>
                <w:color w:val="000000"/>
                <w:sz w:val="19"/>
                <w:szCs w:val="19"/>
              </w:rPr>
              <w:t>At Completion (US$)</w:t>
            </w:r>
          </w:p>
        </w:tc>
      </w:tr>
      <w:tr w:rsidR="00627644" w:rsidRPr="00F71599" w14:paraId="0C2ED8A9" w14:textId="77777777" w:rsidTr="00627644">
        <w:trPr>
          <w:trHeight w:val="340"/>
        </w:trPr>
        <w:tc>
          <w:tcPr>
            <w:tcW w:w="807" w:type="pct"/>
            <w:gridSpan w:val="2"/>
            <w:tcBorders>
              <w:top w:val="nil"/>
              <w:left w:val="single" w:sz="8" w:space="0" w:color="auto"/>
              <w:bottom w:val="single" w:sz="8" w:space="0" w:color="auto"/>
              <w:right w:val="single" w:sz="4" w:space="0" w:color="auto"/>
            </w:tcBorders>
            <w:shd w:val="clear" w:color="auto" w:fill="auto"/>
            <w:tcMar>
              <w:left w:w="57" w:type="dxa"/>
              <w:right w:w="57" w:type="dxa"/>
            </w:tcMar>
            <w:vAlign w:val="center"/>
            <w:hideMark/>
          </w:tcPr>
          <w:p w14:paraId="01EEB248" w14:textId="77777777" w:rsidR="00627644" w:rsidRPr="00F71599" w:rsidRDefault="00627644" w:rsidP="00627644">
            <w:pPr>
              <w:overflowPunct/>
              <w:autoSpaceDE/>
              <w:autoSpaceDN/>
              <w:adjustRightInd/>
              <w:jc w:val="right"/>
              <w:textAlignment w:val="auto"/>
              <w:rPr>
                <w:rFonts w:ascii="Calibri" w:hAnsi="Calibri"/>
                <w:b/>
                <w:bCs/>
                <w:color w:val="000000"/>
                <w:sz w:val="19"/>
                <w:szCs w:val="19"/>
              </w:rPr>
            </w:pPr>
            <w:r w:rsidRPr="00F71599">
              <w:rPr>
                <w:rFonts w:ascii="Calibri" w:hAnsi="Calibri"/>
                <w:b/>
                <w:bCs/>
                <w:color w:val="000000"/>
                <w:sz w:val="19"/>
                <w:szCs w:val="19"/>
              </w:rPr>
              <w:t>UNDP Project ID:</w:t>
            </w:r>
          </w:p>
        </w:tc>
        <w:tc>
          <w:tcPr>
            <w:tcW w:w="1783"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3D3A2443" w14:textId="77777777" w:rsidR="00627644" w:rsidRPr="00F71599" w:rsidRDefault="00627644" w:rsidP="00627644">
            <w:pPr>
              <w:overflowPunct/>
              <w:autoSpaceDE/>
              <w:autoSpaceDN/>
              <w:adjustRightInd/>
              <w:textAlignment w:val="auto"/>
              <w:rPr>
                <w:rFonts w:ascii="Calibri" w:hAnsi="Calibri"/>
                <w:color w:val="000000"/>
                <w:sz w:val="19"/>
                <w:szCs w:val="19"/>
              </w:rPr>
            </w:pPr>
            <w:r w:rsidRPr="00F71599">
              <w:rPr>
                <w:rFonts w:ascii="Calibri" w:hAnsi="Calibri"/>
                <w:color w:val="000000"/>
                <w:sz w:val="19"/>
                <w:szCs w:val="19"/>
              </w:rPr>
              <w:t>88000</w:t>
            </w:r>
          </w:p>
        </w:tc>
        <w:tc>
          <w:tcPr>
            <w:tcW w:w="931" w:type="pct"/>
            <w:tcBorders>
              <w:top w:val="nil"/>
              <w:left w:val="nil"/>
              <w:bottom w:val="single" w:sz="8" w:space="0" w:color="auto"/>
              <w:right w:val="single" w:sz="4" w:space="0" w:color="auto"/>
            </w:tcBorders>
            <w:shd w:val="clear" w:color="auto" w:fill="auto"/>
            <w:tcMar>
              <w:left w:w="57" w:type="dxa"/>
              <w:right w:w="57" w:type="dxa"/>
            </w:tcMar>
            <w:vAlign w:val="center"/>
            <w:hideMark/>
          </w:tcPr>
          <w:p w14:paraId="7A8DE958" w14:textId="77777777" w:rsidR="00627644" w:rsidRPr="00F71599" w:rsidRDefault="00627644" w:rsidP="00627644">
            <w:pPr>
              <w:overflowPunct/>
              <w:autoSpaceDE/>
              <w:autoSpaceDN/>
              <w:adjustRightInd/>
              <w:jc w:val="right"/>
              <w:textAlignment w:val="auto"/>
              <w:rPr>
                <w:rFonts w:ascii="Calibri" w:hAnsi="Calibri"/>
                <w:b/>
                <w:bCs/>
                <w:color w:val="000000"/>
                <w:sz w:val="19"/>
                <w:szCs w:val="19"/>
              </w:rPr>
            </w:pPr>
            <w:r w:rsidRPr="00F71599">
              <w:rPr>
                <w:rFonts w:ascii="Calibri" w:hAnsi="Calibri"/>
                <w:b/>
                <w:bCs/>
                <w:color w:val="000000"/>
                <w:sz w:val="19"/>
                <w:szCs w:val="19"/>
              </w:rPr>
              <w:t>GEF financing:</w:t>
            </w:r>
          </w:p>
        </w:tc>
        <w:tc>
          <w:tcPr>
            <w:tcW w:w="775" w:type="pct"/>
            <w:tcBorders>
              <w:top w:val="nil"/>
              <w:left w:val="nil"/>
              <w:bottom w:val="single" w:sz="8" w:space="0" w:color="auto"/>
              <w:right w:val="single" w:sz="4" w:space="0" w:color="auto"/>
            </w:tcBorders>
            <w:shd w:val="clear" w:color="auto" w:fill="auto"/>
            <w:tcMar>
              <w:left w:w="57" w:type="dxa"/>
              <w:right w:w="57" w:type="dxa"/>
            </w:tcMar>
            <w:vAlign w:val="center"/>
            <w:hideMark/>
          </w:tcPr>
          <w:p w14:paraId="313DBEFE" w14:textId="77777777" w:rsidR="00627644" w:rsidRPr="00F71599" w:rsidRDefault="00627644" w:rsidP="00627644">
            <w:pPr>
              <w:overflowPunct/>
              <w:autoSpaceDE/>
              <w:autoSpaceDN/>
              <w:adjustRightInd/>
              <w:jc w:val="right"/>
              <w:textAlignment w:val="auto"/>
              <w:rPr>
                <w:rFonts w:ascii="Calibri" w:hAnsi="Calibri"/>
                <w:color w:val="000000"/>
                <w:sz w:val="19"/>
                <w:szCs w:val="19"/>
              </w:rPr>
            </w:pPr>
            <w:r w:rsidRPr="00F71599">
              <w:rPr>
                <w:rFonts w:ascii="Calibri" w:hAnsi="Calibri"/>
                <w:color w:val="000000"/>
                <w:sz w:val="19"/>
                <w:szCs w:val="19"/>
              </w:rPr>
              <w:t>1,283,636</w:t>
            </w:r>
          </w:p>
        </w:tc>
        <w:tc>
          <w:tcPr>
            <w:tcW w:w="704" w:type="pct"/>
            <w:tcBorders>
              <w:top w:val="nil"/>
              <w:left w:val="nil"/>
              <w:bottom w:val="single" w:sz="8" w:space="0" w:color="auto"/>
              <w:right w:val="single" w:sz="8" w:space="0" w:color="auto"/>
            </w:tcBorders>
            <w:shd w:val="clear" w:color="000000" w:fill="FFFFFF"/>
            <w:tcMar>
              <w:left w:w="57" w:type="dxa"/>
              <w:right w:w="57" w:type="dxa"/>
            </w:tcMar>
            <w:vAlign w:val="center"/>
            <w:hideMark/>
          </w:tcPr>
          <w:p w14:paraId="28D4F103" w14:textId="6F9EE39A" w:rsidR="00627644" w:rsidRPr="0070012B" w:rsidRDefault="00B356E1" w:rsidP="0070012B">
            <w:pPr>
              <w:overflowPunct/>
              <w:autoSpaceDE/>
              <w:autoSpaceDN/>
              <w:adjustRightInd/>
              <w:jc w:val="right"/>
              <w:textAlignment w:val="auto"/>
              <w:rPr>
                <w:rFonts w:ascii="Calibri" w:hAnsi="Calibri"/>
                <w:color w:val="000000"/>
                <w:sz w:val="19"/>
                <w:szCs w:val="19"/>
              </w:rPr>
            </w:pPr>
            <w:r w:rsidRPr="0070012B">
              <w:rPr>
                <w:rFonts w:ascii="Calibri" w:hAnsi="Calibri"/>
                <w:color w:val="000000"/>
                <w:sz w:val="19"/>
                <w:szCs w:val="19"/>
              </w:rPr>
              <w:t>1,270,812</w:t>
            </w:r>
          </w:p>
        </w:tc>
      </w:tr>
      <w:tr w:rsidR="00627644" w:rsidRPr="00F71599" w14:paraId="21BCEDDE" w14:textId="77777777" w:rsidTr="00627644">
        <w:trPr>
          <w:trHeight w:val="340"/>
        </w:trPr>
        <w:tc>
          <w:tcPr>
            <w:tcW w:w="807" w:type="pct"/>
            <w:gridSpan w:val="2"/>
            <w:tcBorders>
              <w:top w:val="nil"/>
              <w:left w:val="single" w:sz="8" w:space="0" w:color="auto"/>
              <w:bottom w:val="single" w:sz="8" w:space="0" w:color="auto"/>
              <w:right w:val="single" w:sz="4" w:space="0" w:color="auto"/>
            </w:tcBorders>
            <w:shd w:val="clear" w:color="auto" w:fill="auto"/>
            <w:tcMar>
              <w:left w:w="57" w:type="dxa"/>
              <w:right w:w="57" w:type="dxa"/>
            </w:tcMar>
            <w:vAlign w:val="center"/>
            <w:hideMark/>
          </w:tcPr>
          <w:p w14:paraId="7C3A7354" w14:textId="77777777" w:rsidR="00627644" w:rsidRPr="00F71599" w:rsidRDefault="00627644" w:rsidP="00627644">
            <w:pPr>
              <w:overflowPunct/>
              <w:autoSpaceDE/>
              <w:autoSpaceDN/>
              <w:adjustRightInd/>
              <w:jc w:val="right"/>
              <w:textAlignment w:val="auto"/>
              <w:rPr>
                <w:rFonts w:ascii="Calibri" w:hAnsi="Calibri"/>
                <w:b/>
                <w:bCs/>
                <w:color w:val="000000"/>
                <w:sz w:val="19"/>
                <w:szCs w:val="19"/>
              </w:rPr>
            </w:pPr>
            <w:r w:rsidRPr="00F71599">
              <w:rPr>
                <w:rFonts w:ascii="Calibri" w:hAnsi="Calibri"/>
                <w:b/>
                <w:bCs/>
                <w:color w:val="000000"/>
                <w:sz w:val="19"/>
                <w:szCs w:val="19"/>
              </w:rPr>
              <w:t>Country:</w:t>
            </w:r>
          </w:p>
        </w:tc>
        <w:tc>
          <w:tcPr>
            <w:tcW w:w="1783"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69675699" w14:textId="77777777" w:rsidR="00627644" w:rsidRPr="00F71599" w:rsidRDefault="00627644" w:rsidP="00627644">
            <w:pPr>
              <w:overflowPunct/>
              <w:autoSpaceDE/>
              <w:autoSpaceDN/>
              <w:adjustRightInd/>
              <w:textAlignment w:val="auto"/>
              <w:rPr>
                <w:rFonts w:ascii="Calibri" w:hAnsi="Calibri"/>
                <w:color w:val="000000"/>
                <w:sz w:val="19"/>
                <w:szCs w:val="19"/>
              </w:rPr>
            </w:pPr>
            <w:r w:rsidRPr="00F71599">
              <w:rPr>
                <w:rFonts w:ascii="Calibri" w:hAnsi="Calibri"/>
                <w:color w:val="000000"/>
                <w:sz w:val="19"/>
                <w:szCs w:val="19"/>
              </w:rPr>
              <w:t>Georgia</w:t>
            </w:r>
          </w:p>
        </w:tc>
        <w:tc>
          <w:tcPr>
            <w:tcW w:w="931" w:type="pct"/>
            <w:tcBorders>
              <w:top w:val="nil"/>
              <w:left w:val="nil"/>
              <w:bottom w:val="single" w:sz="8" w:space="0" w:color="auto"/>
              <w:right w:val="single" w:sz="4" w:space="0" w:color="auto"/>
            </w:tcBorders>
            <w:shd w:val="clear" w:color="auto" w:fill="auto"/>
            <w:tcMar>
              <w:left w:w="57" w:type="dxa"/>
              <w:right w:w="57" w:type="dxa"/>
            </w:tcMar>
            <w:vAlign w:val="center"/>
            <w:hideMark/>
          </w:tcPr>
          <w:p w14:paraId="3C7219CD" w14:textId="77777777" w:rsidR="00627644" w:rsidRPr="00F71599" w:rsidRDefault="00627644" w:rsidP="00627644">
            <w:pPr>
              <w:overflowPunct/>
              <w:autoSpaceDE/>
              <w:autoSpaceDN/>
              <w:adjustRightInd/>
              <w:jc w:val="right"/>
              <w:textAlignment w:val="auto"/>
              <w:rPr>
                <w:rFonts w:ascii="Calibri" w:hAnsi="Calibri"/>
                <w:b/>
                <w:bCs/>
                <w:color w:val="000000"/>
                <w:sz w:val="19"/>
                <w:szCs w:val="19"/>
              </w:rPr>
            </w:pPr>
            <w:r w:rsidRPr="00F71599">
              <w:rPr>
                <w:rFonts w:ascii="Calibri" w:hAnsi="Calibri"/>
                <w:b/>
                <w:bCs/>
                <w:color w:val="000000"/>
                <w:sz w:val="19"/>
                <w:szCs w:val="19"/>
              </w:rPr>
              <w:t>IA/EA own:</w:t>
            </w:r>
          </w:p>
        </w:tc>
        <w:tc>
          <w:tcPr>
            <w:tcW w:w="775" w:type="pct"/>
            <w:tcBorders>
              <w:top w:val="nil"/>
              <w:left w:val="nil"/>
              <w:bottom w:val="single" w:sz="8" w:space="0" w:color="auto"/>
              <w:right w:val="single" w:sz="4" w:space="0" w:color="auto"/>
            </w:tcBorders>
            <w:shd w:val="clear" w:color="auto" w:fill="auto"/>
            <w:tcMar>
              <w:left w:w="57" w:type="dxa"/>
              <w:right w:w="57" w:type="dxa"/>
            </w:tcMar>
            <w:vAlign w:val="center"/>
            <w:hideMark/>
          </w:tcPr>
          <w:p w14:paraId="0054AEBC" w14:textId="77777777" w:rsidR="00627644" w:rsidRPr="00F71599" w:rsidRDefault="00627644" w:rsidP="00627644">
            <w:pPr>
              <w:overflowPunct/>
              <w:autoSpaceDE/>
              <w:autoSpaceDN/>
              <w:adjustRightInd/>
              <w:jc w:val="right"/>
              <w:textAlignment w:val="auto"/>
              <w:rPr>
                <w:rFonts w:ascii="Calibri" w:hAnsi="Calibri"/>
                <w:color w:val="000000"/>
                <w:sz w:val="19"/>
                <w:szCs w:val="19"/>
              </w:rPr>
            </w:pPr>
            <w:r w:rsidRPr="00F71599">
              <w:rPr>
                <w:rFonts w:ascii="Calibri" w:hAnsi="Calibri"/>
                <w:color w:val="000000"/>
                <w:sz w:val="19"/>
                <w:szCs w:val="19"/>
              </w:rPr>
              <w:t>40,000</w:t>
            </w:r>
          </w:p>
        </w:tc>
        <w:tc>
          <w:tcPr>
            <w:tcW w:w="704" w:type="pct"/>
            <w:tcBorders>
              <w:top w:val="nil"/>
              <w:left w:val="nil"/>
              <w:bottom w:val="single" w:sz="8" w:space="0" w:color="auto"/>
              <w:right w:val="single" w:sz="8" w:space="0" w:color="auto"/>
            </w:tcBorders>
            <w:shd w:val="clear" w:color="000000" w:fill="FFFFFF"/>
            <w:tcMar>
              <w:left w:w="57" w:type="dxa"/>
              <w:right w:w="57" w:type="dxa"/>
            </w:tcMar>
            <w:vAlign w:val="center"/>
            <w:hideMark/>
          </w:tcPr>
          <w:p w14:paraId="4BC00CEE" w14:textId="69C7A2E9" w:rsidR="00627644" w:rsidRPr="0070012B" w:rsidRDefault="00B356E1" w:rsidP="0070012B">
            <w:pPr>
              <w:overflowPunct/>
              <w:autoSpaceDE/>
              <w:autoSpaceDN/>
              <w:adjustRightInd/>
              <w:jc w:val="right"/>
              <w:textAlignment w:val="auto"/>
              <w:rPr>
                <w:rFonts w:ascii="Calibri" w:hAnsi="Calibri"/>
                <w:color w:val="000000"/>
                <w:sz w:val="19"/>
                <w:szCs w:val="19"/>
              </w:rPr>
            </w:pPr>
            <w:r w:rsidRPr="0070012B">
              <w:rPr>
                <w:rFonts w:ascii="Calibri" w:hAnsi="Calibri"/>
                <w:color w:val="000000"/>
                <w:sz w:val="19"/>
                <w:szCs w:val="19"/>
              </w:rPr>
              <w:t>40,258</w:t>
            </w:r>
          </w:p>
        </w:tc>
      </w:tr>
      <w:tr w:rsidR="00627644" w:rsidRPr="00F71599" w14:paraId="23E289C3" w14:textId="77777777" w:rsidTr="00627644">
        <w:trPr>
          <w:trHeight w:val="340"/>
        </w:trPr>
        <w:tc>
          <w:tcPr>
            <w:tcW w:w="807" w:type="pct"/>
            <w:gridSpan w:val="2"/>
            <w:tcBorders>
              <w:top w:val="nil"/>
              <w:left w:val="single" w:sz="8" w:space="0" w:color="auto"/>
              <w:bottom w:val="single" w:sz="8" w:space="0" w:color="auto"/>
              <w:right w:val="single" w:sz="4" w:space="0" w:color="auto"/>
            </w:tcBorders>
            <w:shd w:val="clear" w:color="auto" w:fill="auto"/>
            <w:tcMar>
              <w:left w:w="57" w:type="dxa"/>
              <w:right w:w="57" w:type="dxa"/>
            </w:tcMar>
            <w:vAlign w:val="center"/>
            <w:hideMark/>
          </w:tcPr>
          <w:p w14:paraId="67FE129F" w14:textId="77777777" w:rsidR="00627644" w:rsidRPr="00F71599" w:rsidRDefault="00627644" w:rsidP="00627644">
            <w:pPr>
              <w:overflowPunct/>
              <w:autoSpaceDE/>
              <w:autoSpaceDN/>
              <w:adjustRightInd/>
              <w:jc w:val="right"/>
              <w:textAlignment w:val="auto"/>
              <w:rPr>
                <w:rFonts w:ascii="Calibri" w:hAnsi="Calibri"/>
                <w:b/>
                <w:bCs/>
                <w:color w:val="000000"/>
                <w:sz w:val="19"/>
                <w:szCs w:val="19"/>
              </w:rPr>
            </w:pPr>
            <w:r w:rsidRPr="00F71599">
              <w:rPr>
                <w:rFonts w:ascii="Calibri" w:hAnsi="Calibri"/>
                <w:b/>
                <w:bCs/>
                <w:color w:val="000000"/>
                <w:sz w:val="19"/>
                <w:szCs w:val="19"/>
              </w:rPr>
              <w:t>Region:</w:t>
            </w:r>
          </w:p>
        </w:tc>
        <w:tc>
          <w:tcPr>
            <w:tcW w:w="1783"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191D47B7" w14:textId="77777777" w:rsidR="00627644" w:rsidRPr="00F71599" w:rsidRDefault="00627644" w:rsidP="00627644">
            <w:pPr>
              <w:overflowPunct/>
              <w:autoSpaceDE/>
              <w:autoSpaceDN/>
              <w:adjustRightInd/>
              <w:textAlignment w:val="auto"/>
              <w:rPr>
                <w:rFonts w:ascii="Calibri" w:hAnsi="Calibri"/>
                <w:color w:val="000000"/>
                <w:sz w:val="19"/>
                <w:szCs w:val="19"/>
              </w:rPr>
            </w:pPr>
            <w:r w:rsidRPr="00F71599">
              <w:rPr>
                <w:rFonts w:ascii="Calibri" w:hAnsi="Calibri"/>
                <w:color w:val="000000"/>
                <w:sz w:val="19"/>
                <w:szCs w:val="19"/>
              </w:rPr>
              <w:t>Eastern Europe and Central Asia</w:t>
            </w:r>
          </w:p>
        </w:tc>
        <w:tc>
          <w:tcPr>
            <w:tcW w:w="931" w:type="pct"/>
            <w:tcBorders>
              <w:top w:val="nil"/>
              <w:left w:val="nil"/>
              <w:bottom w:val="single" w:sz="8" w:space="0" w:color="auto"/>
              <w:right w:val="single" w:sz="4" w:space="0" w:color="auto"/>
            </w:tcBorders>
            <w:shd w:val="clear" w:color="auto" w:fill="auto"/>
            <w:tcMar>
              <w:left w:w="57" w:type="dxa"/>
              <w:right w:w="57" w:type="dxa"/>
            </w:tcMar>
            <w:vAlign w:val="center"/>
            <w:hideMark/>
          </w:tcPr>
          <w:p w14:paraId="1354E4D1" w14:textId="77777777" w:rsidR="00627644" w:rsidRPr="00F71599" w:rsidRDefault="00627644" w:rsidP="00627644">
            <w:pPr>
              <w:overflowPunct/>
              <w:autoSpaceDE/>
              <w:autoSpaceDN/>
              <w:adjustRightInd/>
              <w:jc w:val="right"/>
              <w:textAlignment w:val="auto"/>
              <w:rPr>
                <w:rFonts w:ascii="Calibri" w:hAnsi="Calibri"/>
                <w:b/>
                <w:bCs/>
                <w:color w:val="000000"/>
                <w:sz w:val="19"/>
                <w:szCs w:val="19"/>
              </w:rPr>
            </w:pPr>
            <w:r w:rsidRPr="00F71599">
              <w:rPr>
                <w:rFonts w:ascii="Calibri" w:hAnsi="Calibri"/>
                <w:b/>
                <w:bCs/>
                <w:color w:val="000000"/>
                <w:sz w:val="19"/>
                <w:szCs w:val="19"/>
              </w:rPr>
              <w:t>Government:</w:t>
            </w:r>
          </w:p>
        </w:tc>
        <w:tc>
          <w:tcPr>
            <w:tcW w:w="775" w:type="pct"/>
            <w:tcBorders>
              <w:top w:val="nil"/>
              <w:left w:val="nil"/>
              <w:bottom w:val="single" w:sz="8" w:space="0" w:color="auto"/>
              <w:right w:val="single" w:sz="4" w:space="0" w:color="auto"/>
            </w:tcBorders>
            <w:shd w:val="clear" w:color="auto" w:fill="auto"/>
            <w:tcMar>
              <w:left w:w="57" w:type="dxa"/>
              <w:right w:w="57" w:type="dxa"/>
            </w:tcMar>
            <w:vAlign w:val="center"/>
            <w:hideMark/>
          </w:tcPr>
          <w:p w14:paraId="3ADAD548" w14:textId="77777777" w:rsidR="00627644" w:rsidRPr="00F71599" w:rsidRDefault="00627644" w:rsidP="00627644">
            <w:pPr>
              <w:overflowPunct/>
              <w:autoSpaceDE/>
              <w:autoSpaceDN/>
              <w:adjustRightInd/>
              <w:jc w:val="right"/>
              <w:textAlignment w:val="auto"/>
              <w:rPr>
                <w:rFonts w:ascii="Calibri" w:hAnsi="Calibri"/>
                <w:color w:val="000000"/>
                <w:sz w:val="19"/>
                <w:szCs w:val="19"/>
              </w:rPr>
            </w:pPr>
            <w:r w:rsidRPr="00F71599">
              <w:rPr>
                <w:rFonts w:ascii="Calibri" w:hAnsi="Calibri"/>
                <w:color w:val="000000"/>
                <w:sz w:val="19"/>
                <w:szCs w:val="19"/>
              </w:rPr>
              <w:t>10,791,079</w:t>
            </w:r>
          </w:p>
        </w:tc>
        <w:tc>
          <w:tcPr>
            <w:tcW w:w="704" w:type="pct"/>
            <w:tcBorders>
              <w:top w:val="nil"/>
              <w:left w:val="nil"/>
              <w:bottom w:val="single" w:sz="8" w:space="0" w:color="auto"/>
              <w:right w:val="single" w:sz="8" w:space="0" w:color="auto"/>
            </w:tcBorders>
            <w:shd w:val="clear" w:color="000000" w:fill="FFFFFF"/>
            <w:tcMar>
              <w:left w:w="57" w:type="dxa"/>
              <w:right w:w="57" w:type="dxa"/>
            </w:tcMar>
            <w:vAlign w:val="center"/>
            <w:hideMark/>
          </w:tcPr>
          <w:p w14:paraId="7834FD33" w14:textId="53BA41BA" w:rsidR="00627644" w:rsidRPr="0070012B" w:rsidRDefault="00B356E1" w:rsidP="0070012B">
            <w:pPr>
              <w:overflowPunct/>
              <w:autoSpaceDE/>
              <w:autoSpaceDN/>
              <w:adjustRightInd/>
              <w:jc w:val="right"/>
              <w:textAlignment w:val="auto"/>
              <w:rPr>
                <w:rFonts w:ascii="Calibri" w:hAnsi="Calibri"/>
                <w:color w:val="000000"/>
                <w:sz w:val="19"/>
                <w:szCs w:val="19"/>
              </w:rPr>
            </w:pPr>
            <w:r w:rsidRPr="0070012B">
              <w:rPr>
                <w:rFonts w:ascii="Calibri" w:hAnsi="Calibri"/>
                <w:color w:val="000000"/>
                <w:sz w:val="19"/>
                <w:szCs w:val="19"/>
              </w:rPr>
              <w:t>46,167,698</w:t>
            </w:r>
          </w:p>
        </w:tc>
      </w:tr>
      <w:tr w:rsidR="00627644" w:rsidRPr="00F71599" w14:paraId="7BC28D21" w14:textId="77777777" w:rsidTr="00627644">
        <w:trPr>
          <w:trHeight w:val="340"/>
        </w:trPr>
        <w:tc>
          <w:tcPr>
            <w:tcW w:w="807" w:type="pct"/>
            <w:gridSpan w:val="2"/>
            <w:tcBorders>
              <w:top w:val="nil"/>
              <w:left w:val="single" w:sz="8" w:space="0" w:color="auto"/>
              <w:bottom w:val="single" w:sz="8" w:space="0" w:color="auto"/>
              <w:right w:val="single" w:sz="4" w:space="0" w:color="auto"/>
            </w:tcBorders>
            <w:shd w:val="clear" w:color="auto" w:fill="auto"/>
            <w:tcMar>
              <w:left w:w="57" w:type="dxa"/>
              <w:right w:w="57" w:type="dxa"/>
            </w:tcMar>
            <w:vAlign w:val="center"/>
            <w:hideMark/>
          </w:tcPr>
          <w:p w14:paraId="44CBB79C" w14:textId="77777777" w:rsidR="00627644" w:rsidRPr="00F71599" w:rsidRDefault="00627644" w:rsidP="00627644">
            <w:pPr>
              <w:overflowPunct/>
              <w:autoSpaceDE/>
              <w:autoSpaceDN/>
              <w:adjustRightInd/>
              <w:jc w:val="right"/>
              <w:textAlignment w:val="auto"/>
              <w:rPr>
                <w:rFonts w:ascii="Calibri" w:hAnsi="Calibri"/>
                <w:b/>
                <w:bCs/>
                <w:color w:val="000000"/>
                <w:sz w:val="19"/>
                <w:szCs w:val="19"/>
              </w:rPr>
            </w:pPr>
            <w:r w:rsidRPr="00F71599">
              <w:rPr>
                <w:rFonts w:ascii="Calibri" w:hAnsi="Calibri"/>
                <w:b/>
                <w:bCs/>
                <w:color w:val="000000"/>
                <w:sz w:val="19"/>
                <w:szCs w:val="19"/>
              </w:rPr>
              <w:t>Focal Area:</w:t>
            </w:r>
          </w:p>
        </w:tc>
        <w:tc>
          <w:tcPr>
            <w:tcW w:w="1783"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564FB73C" w14:textId="77777777" w:rsidR="00627644" w:rsidRPr="00F71599" w:rsidRDefault="00627644" w:rsidP="00627644">
            <w:pPr>
              <w:overflowPunct/>
              <w:autoSpaceDE/>
              <w:autoSpaceDN/>
              <w:adjustRightInd/>
              <w:textAlignment w:val="auto"/>
              <w:rPr>
                <w:rFonts w:ascii="Calibri" w:hAnsi="Calibri"/>
                <w:color w:val="000000"/>
                <w:sz w:val="19"/>
                <w:szCs w:val="19"/>
              </w:rPr>
            </w:pPr>
            <w:r w:rsidRPr="00F71599">
              <w:rPr>
                <w:rFonts w:ascii="Calibri" w:hAnsi="Calibri"/>
                <w:color w:val="000000"/>
                <w:sz w:val="19"/>
                <w:szCs w:val="19"/>
              </w:rPr>
              <w:t>Biodiversity</w:t>
            </w:r>
          </w:p>
        </w:tc>
        <w:tc>
          <w:tcPr>
            <w:tcW w:w="931" w:type="pct"/>
            <w:tcBorders>
              <w:top w:val="nil"/>
              <w:left w:val="nil"/>
              <w:bottom w:val="single" w:sz="8" w:space="0" w:color="auto"/>
              <w:right w:val="single" w:sz="4" w:space="0" w:color="auto"/>
            </w:tcBorders>
            <w:shd w:val="clear" w:color="auto" w:fill="auto"/>
            <w:tcMar>
              <w:left w:w="57" w:type="dxa"/>
              <w:right w:w="57" w:type="dxa"/>
            </w:tcMar>
            <w:vAlign w:val="center"/>
            <w:hideMark/>
          </w:tcPr>
          <w:p w14:paraId="4B355149" w14:textId="637E28EA" w:rsidR="00627644" w:rsidRPr="00F71599" w:rsidRDefault="00B76216" w:rsidP="000F350B">
            <w:pPr>
              <w:overflowPunct/>
              <w:autoSpaceDE/>
              <w:autoSpaceDN/>
              <w:adjustRightInd/>
              <w:jc w:val="right"/>
              <w:textAlignment w:val="auto"/>
              <w:rPr>
                <w:rFonts w:ascii="Calibri" w:hAnsi="Calibri"/>
                <w:b/>
                <w:bCs/>
                <w:color w:val="000000"/>
                <w:sz w:val="19"/>
                <w:szCs w:val="19"/>
              </w:rPr>
            </w:pPr>
            <w:r>
              <w:rPr>
                <w:rFonts w:ascii="Calibri" w:hAnsi="Calibri"/>
                <w:b/>
                <w:bCs/>
                <w:color w:val="000000"/>
                <w:sz w:val="19"/>
                <w:szCs w:val="19"/>
              </w:rPr>
              <w:t>*</w:t>
            </w:r>
            <w:r w:rsidR="00627644" w:rsidRPr="00F71599">
              <w:rPr>
                <w:rFonts w:ascii="Calibri" w:hAnsi="Calibri"/>
                <w:b/>
                <w:bCs/>
                <w:color w:val="000000"/>
                <w:sz w:val="19"/>
                <w:szCs w:val="19"/>
              </w:rPr>
              <w:t>Other</w:t>
            </w:r>
            <w:r w:rsidR="000F350B">
              <w:rPr>
                <w:rFonts w:ascii="Calibri" w:hAnsi="Calibri"/>
                <w:b/>
                <w:bCs/>
                <w:color w:val="000000"/>
                <w:sz w:val="19"/>
                <w:szCs w:val="19"/>
              </w:rPr>
              <w:t xml:space="preserve"> </w:t>
            </w:r>
          </w:p>
        </w:tc>
        <w:tc>
          <w:tcPr>
            <w:tcW w:w="775" w:type="pct"/>
            <w:tcBorders>
              <w:top w:val="nil"/>
              <w:left w:val="nil"/>
              <w:bottom w:val="single" w:sz="8" w:space="0" w:color="auto"/>
              <w:right w:val="single" w:sz="4" w:space="0" w:color="auto"/>
            </w:tcBorders>
            <w:shd w:val="clear" w:color="auto" w:fill="auto"/>
            <w:tcMar>
              <w:left w:w="57" w:type="dxa"/>
              <w:right w:w="57" w:type="dxa"/>
            </w:tcMar>
            <w:vAlign w:val="center"/>
            <w:hideMark/>
          </w:tcPr>
          <w:p w14:paraId="577C4B37" w14:textId="77777777" w:rsidR="00627644" w:rsidRPr="00F71599" w:rsidRDefault="00627644" w:rsidP="00627644">
            <w:pPr>
              <w:overflowPunct/>
              <w:autoSpaceDE/>
              <w:autoSpaceDN/>
              <w:adjustRightInd/>
              <w:jc w:val="right"/>
              <w:textAlignment w:val="auto"/>
              <w:rPr>
                <w:rFonts w:ascii="Calibri" w:hAnsi="Calibri"/>
                <w:color w:val="000000"/>
                <w:sz w:val="19"/>
                <w:szCs w:val="19"/>
              </w:rPr>
            </w:pPr>
            <w:r w:rsidRPr="00F71599">
              <w:rPr>
                <w:rFonts w:ascii="Calibri" w:hAnsi="Calibri"/>
                <w:color w:val="000000"/>
                <w:sz w:val="19"/>
                <w:szCs w:val="19"/>
              </w:rPr>
              <w:t>2,567,063</w:t>
            </w:r>
          </w:p>
        </w:tc>
        <w:tc>
          <w:tcPr>
            <w:tcW w:w="704" w:type="pct"/>
            <w:tcBorders>
              <w:top w:val="nil"/>
              <w:left w:val="nil"/>
              <w:bottom w:val="single" w:sz="8" w:space="0" w:color="auto"/>
              <w:right w:val="single" w:sz="8" w:space="0" w:color="auto"/>
            </w:tcBorders>
            <w:shd w:val="clear" w:color="000000" w:fill="FFFFFF"/>
            <w:tcMar>
              <w:left w:w="57" w:type="dxa"/>
              <w:right w:w="57" w:type="dxa"/>
            </w:tcMar>
            <w:vAlign w:val="center"/>
            <w:hideMark/>
          </w:tcPr>
          <w:p w14:paraId="565E53D2" w14:textId="377C4E8D" w:rsidR="00627644" w:rsidRPr="0070012B" w:rsidRDefault="00B356E1" w:rsidP="0070012B">
            <w:pPr>
              <w:overflowPunct/>
              <w:autoSpaceDE/>
              <w:autoSpaceDN/>
              <w:adjustRightInd/>
              <w:jc w:val="right"/>
              <w:textAlignment w:val="auto"/>
              <w:rPr>
                <w:rFonts w:ascii="Calibri" w:hAnsi="Calibri"/>
                <w:color w:val="000000"/>
                <w:sz w:val="19"/>
                <w:szCs w:val="19"/>
              </w:rPr>
            </w:pPr>
            <w:r w:rsidRPr="0070012B">
              <w:rPr>
                <w:rFonts w:ascii="Calibri" w:hAnsi="Calibri"/>
                <w:color w:val="000000"/>
                <w:sz w:val="19"/>
                <w:szCs w:val="19"/>
              </w:rPr>
              <w:t> 2,454,416</w:t>
            </w:r>
          </w:p>
        </w:tc>
      </w:tr>
      <w:tr w:rsidR="00627644" w:rsidRPr="00F71599" w14:paraId="66F25448" w14:textId="77777777" w:rsidTr="00627644">
        <w:trPr>
          <w:trHeight w:val="340"/>
        </w:trPr>
        <w:tc>
          <w:tcPr>
            <w:tcW w:w="807" w:type="pct"/>
            <w:gridSpan w:val="2"/>
            <w:tcBorders>
              <w:top w:val="nil"/>
              <w:left w:val="single" w:sz="8" w:space="0" w:color="auto"/>
              <w:bottom w:val="single" w:sz="8" w:space="0" w:color="auto"/>
              <w:right w:val="single" w:sz="4" w:space="0" w:color="auto"/>
            </w:tcBorders>
            <w:shd w:val="clear" w:color="auto" w:fill="auto"/>
            <w:tcMar>
              <w:left w:w="57" w:type="dxa"/>
              <w:right w:w="57" w:type="dxa"/>
            </w:tcMar>
            <w:vAlign w:val="center"/>
            <w:hideMark/>
          </w:tcPr>
          <w:p w14:paraId="71AD3621" w14:textId="77777777" w:rsidR="00627644" w:rsidRPr="00F71599" w:rsidRDefault="00627644" w:rsidP="00627644">
            <w:pPr>
              <w:overflowPunct/>
              <w:autoSpaceDE/>
              <w:autoSpaceDN/>
              <w:adjustRightInd/>
              <w:jc w:val="right"/>
              <w:textAlignment w:val="auto"/>
              <w:rPr>
                <w:rFonts w:ascii="Calibri" w:hAnsi="Calibri"/>
                <w:b/>
                <w:bCs/>
                <w:color w:val="000000"/>
                <w:sz w:val="19"/>
                <w:szCs w:val="19"/>
              </w:rPr>
            </w:pPr>
            <w:r w:rsidRPr="00F71599">
              <w:rPr>
                <w:rFonts w:ascii="Calibri" w:hAnsi="Calibri"/>
                <w:b/>
                <w:bCs/>
                <w:color w:val="000000"/>
                <w:sz w:val="19"/>
                <w:szCs w:val="19"/>
              </w:rPr>
              <w:t>FA Objectives, (OP/SP):</w:t>
            </w:r>
          </w:p>
        </w:tc>
        <w:tc>
          <w:tcPr>
            <w:tcW w:w="1783"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1D0275AB" w14:textId="77777777" w:rsidR="00627644" w:rsidRPr="00F71599" w:rsidRDefault="00627644" w:rsidP="00627644">
            <w:pPr>
              <w:overflowPunct/>
              <w:autoSpaceDE/>
              <w:autoSpaceDN/>
              <w:adjustRightInd/>
              <w:textAlignment w:val="auto"/>
              <w:rPr>
                <w:rFonts w:ascii="Calibri" w:hAnsi="Calibri"/>
                <w:color w:val="000000"/>
                <w:sz w:val="19"/>
                <w:szCs w:val="19"/>
              </w:rPr>
            </w:pPr>
            <w:r w:rsidRPr="00F71599">
              <w:rPr>
                <w:rFonts w:ascii="Calibri" w:hAnsi="Calibri"/>
                <w:color w:val="000000"/>
                <w:sz w:val="19"/>
                <w:szCs w:val="19"/>
              </w:rPr>
              <w:t>SO-1, SP-3 Strengthening Terrestrial Protected Areas</w:t>
            </w:r>
          </w:p>
        </w:tc>
        <w:tc>
          <w:tcPr>
            <w:tcW w:w="931" w:type="pct"/>
            <w:tcBorders>
              <w:top w:val="nil"/>
              <w:left w:val="nil"/>
              <w:bottom w:val="single" w:sz="8" w:space="0" w:color="auto"/>
              <w:right w:val="single" w:sz="4" w:space="0" w:color="auto"/>
            </w:tcBorders>
            <w:shd w:val="clear" w:color="auto" w:fill="auto"/>
            <w:tcMar>
              <w:left w:w="57" w:type="dxa"/>
              <w:right w:w="57" w:type="dxa"/>
            </w:tcMar>
            <w:vAlign w:val="center"/>
            <w:hideMark/>
          </w:tcPr>
          <w:p w14:paraId="0268E755" w14:textId="77777777" w:rsidR="00627644" w:rsidRPr="00F71599" w:rsidRDefault="00627644" w:rsidP="00627644">
            <w:pPr>
              <w:overflowPunct/>
              <w:autoSpaceDE/>
              <w:autoSpaceDN/>
              <w:adjustRightInd/>
              <w:jc w:val="right"/>
              <w:textAlignment w:val="auto"/>
              <w:rPr>
                <w:rFonts w:ascii="Calibri" w:hAnsi="Calibri"/>
                <w:b/>
                <w:bCs/>
                <w:color w:val="000000"/>
                <w:sz w:val="19"/>
                <w:szCs w:val="19"/>
              </w:rPr>
            </w:pPr>
            <w:r w:rsidRPr="00F71599">
              <w:rPr>
                <w:rFonts w:ascii="Calibri" w:hAnsi="Calibri"/>
                <w:b/>
                <w:bCs/>
                <w:color w:val="000000"/>
                <w:sz w:val="19"/>
                <w:szCs w:val="19"/>
              </w:rPr>
              <w:t>Total co-financing:</w:t>
            </w:r>
          </w:p>
        </w:tc>
        <w:tc>
          <w:tcPr>
            <w:tcW w:w="775" w:type="pct"/>
            <w:tcBorders>
              <w:top w:val="nil"/>
              <w:left w:val="nil"/>
              <w:bottom w:val="single" w:sz="8" w:space="0" w:color="auto"/>
              <w:right w:val="single" w:sz="4" w:space="0" w:color="auto"/>
            </w:tcBorders>
            <w:shd w:val="clear" w:color="auto" w:fill="auto"/>
            <w:tcMar>
              <w:left w:w="57" w:type="dxa"/>
              <w:right w:w="57" w:type="dxa"/>
            </w:tcMar>
            <w:vAlign w:val="center"/>
            <w:hideMark/>
          </w:tcPr>
          <w:p w14:paraId="0D7F62ED" w14:textId="77777777" w:rsidR="00627644" w:rsidRPr="00F71599" w:rsidRDefault="00627644" w:rsidP="00627644">
            <w:pPr>
              <w:overflowPunct/>
              <w:autoSpaceDE/>
              <w:autoSpaceDN/>
              <w:adjustRightInd/>
              <w:jc w:val="right"/>
              <w:textAlignment w:val="auto"/>
              <w:rPr>
                <w:rFonts w:ascii="Calibri" w:hAnsi="Calibri"/>
                <w:color w:val="000000"/>
                <w:sz w:val="19"/>
                <w:szCs w:val="19"/>
              </w:rPr>
            </w:pPr>
            <w:r w:rsidRPr="00F71599">
              <w:rPr>
                <w:rFonts w:ascii="Calibri" w:hAnsi="Calibri"/>
                <w:color w:val="000000"/>
                <w:sz w:val="19"/>
                <w:szCs w:val="19"/>
              </w:rPr>
              <w:t>13,358,142</w:t>
            </w:r>
          </w:p>
        </w:tc>
        <w:tc>
          <w:tcPr>
            <w:tcW w:w="704" w:type="pct"/>
            <w:tcBorders>
              <w:top w:val="nil"/>
              <w:left w:val="nil"/>
              <w:bottom w:val="single" w:sz="8" w:space="0" w:color="auto"/>
              <w:right w:val="single" w:sz="8" w:space="0" w:color="auto"/>
            </w:tcBorders>
            <w:shd w:val="clear" w:color="000000" w:fill="FFFFFF"/>
            <w:tcMar>
              <w:left w:w="57" w:type="dxa"/>
              <w:right w:w="57" w:type="dxa"/>
            </w:tcMar>
            <w:vAlign w:val="center"/>
            <w:hideMark/>
          </w:tcPr>
          <w:p w14:paraId="6B02D6AB" w14:textId="1F9DB68B" w:rsidR="00627644" w:rsidRPr="0070012B" w:rsidRDefault="00B356E1" w:rsidP="0070012B">
            <w:pPr>
              <w:overflowPunct/>
              <w:autoSpaceDE/>
              <w:autoSpaceDN/>
              <w:adjustRightInd/>
              <w:jc w:val="right"/>
              <w:textAlignment w:val="auto"/>
              <w:rPr>
                <w:rFonts w:ascii="Calibri" w:hAnsi="Calibri"/>
                <w:color w:val="000000"/>
                <w:sz w:val="19"/>
                <w:szCs w:val="19"/>
              </w:rPr>
            </w:pPr>
            <w:r w:rsidRPr="0070012B">
              <w:rPr>
                <w:rFonts w:ascii="Calibri" w:hAnsi="Calibri"/>
                <w:color w:val="000000"/>
                <w:sz w:val="19"/>
                <w:szCs w:val="19"/>
              </w:rPr>
              <w:t>48,622,114</w:t>
            </w:r>
          </w:p>
        </w:tc>
      </w:tr>
      <w:tr w:rsidR="00627644" w:rsidRPr="00F71599" w14:paraId="26CA5CA3" w14:textId="77777777" w:rsidTr="00627644">
        <w:trPr>
          <w:trHeight w:val="340"/>
        </w:trPr>
        <w:tc>
          <w:tcPr>
            <w:tcW w:w="807" w:type="pct"/>
            <w:gridSpan w:val="2"/>
            <w:tcBorders>
              <w:top w:val="nil"/>
              <w:left w:val="single" w:sz="8" w:space="0" w:color="auto"/>
              <w:bottom w:val="single" w:sz="8" w:space="0" w:color="auto"/>
              <w:right w:val="single" w:sz="4" w:space="0" w:color="auto"/>
            </w:tcBorders>
            <w:shd w:val="clear" w:color="auto" w:fill="auto"/>
            <w:tcMar>
              <w:left w:w="57" w:type="dxa"/>
              <w:right w:w="57" w:type="dxa"/>
            </w:tcMar>
            <w:vAlign w:val="center"/>
            <w:hideMark/>
          </w:tcPr>
          <w:p w14:paraId="7998393A" w14:textId="77777777" w:rsidR="00627644" w:rsidRPr="00F71599" w:rsidRDefault="00627644" w:rsidP="00627644">
            <w:pPr>
              <w:overflowPunct/>
              <w:autoSpaceDE/>
              <w:autoSpaceDN/>
              <w:adjustRightInd/>
              <w:jc w:val="right"/>
              <w:textAlignment w:val="auto"/>
              <w:rPr>
                <w:rFonts w:ascii="Calibri" w:hAnsi="Calibri"/>
                <w:b/>
                <w:bCs/>
                <w:color w:val="000000"/>
                <w:sz w:val="19"/>
                <w:szCs w:val="19"/>
              </w:rPr>
            </w:pPr>
            <w:r w:rsidRPr="00F71599">
              <w:rPr>
                <w:rFonts w:ascii="Calibri" w:hAnsi="Calibri"/>
                <w:b/>
                <w:bCs/>
                <w:color w:val="000000"/>
                <w:sz w:val="19"/>
                <w:szCs w:val="19"/>
              </w:rPr>
              <w:t>Executing Agency:</w:t>
            </w:r>
          </w:p>
        </w:tc>
        <w:tc>
          <w:tcPr>
            <w:tcW w:w="1783"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5FD85590" w14:textId="77777777" w:rsidR="00627644" w:rsidRPr="00F71599" w:rsidRDefault="00627644" w:rsidP="00627644">
            <w:pPr>
              <w:overflowPunct/>
              <w:autoSpaceDE/>
              <w:autoSpaceDN/>
              <w:adjustRightInd/>
              <w:textAlignment w:val="auto"/>
              <w:rPr>
                <w:rFonts w:ascii="Calibri" w:hAnsi="Calibri"/>
                <w:color w:val="000000"/>
                <w:sz w:val="19"/>
                <w:szCs w:val="19"/>
              </w:rPr>
            </w:pPr>
            <w:r w:rsidRPr="00F71599">
              <w:rPr>
                <w:rFonts w:ascii="Calibri" w:hAnsi="Calibri"/>
                <w:color w:val="000000"/>
                <w:sz w:val="19"/>
                <w:szCs w:val="19"/>
              </w:rPr>
              <w:t xml:space="preserve">Agency for Protected Areas, Ministry of Environment Protection and Agriculture </w:t>
            </w:r>
          </w:p>
        </w:tc>
        <w:tc>
          <w:tcPr>
            <w:tcW w:w="931" w:type="pct"/>
            <w:tcBorders>
              <w:top w:val="nil"/>
              <w:left w:val="nil"/>
              <w:bottom w:val="single" w:sz="8" w:space="0" w:color="auto"/>
              <w:right w:val="single" w:sz="4" w:space="0" w:color="auto"/>
            </w:tcBorders>
            <w:shd w:val="clear" w:color="auto" w:fill="auto"/>
            <w:tcMar>
              <w:left w:w="57" w:type="dxa"/>
              <w:right w:w="57" w:type="dxa"/>
            </w:tcMar>
            <w:vAlign w:val="center"/>
            <w:hideMark/>
          </w:tcPr>
          <w:p w14:paraId="095759F2" w14:textId="77777777" w:rsidR="00627644" w:rsidRPr="00F71599" w:rsidRDefault="00627644" w:rsidP="00627644">
            <w:pPr>
              <w:overflowPunct/>
              <w:autoSpaceDE/>
              <w:autoSpaceDN/>
              <w:adjustRightInd/>
              <w:jc w:val="right"/>
              <w:textAlignment w:val="auto"/>
              <w:rPr>
                <w:rFonts w:ascii="Calibri" w:hAnsi="Calibri"/>
                <w:b/>
                <w:bCs/>
                <w:color w:val="000000"/>
                <w:sz w:val="19"/>
                <w:szCs w:val="19"/>
              </w:rPr>
            </w:pPr>
            <w:r w:rsidRPr="00F71599">
              <w:rPr>
                <w:rFonts w:ascii="Calibri" w:hAnsi="Calibri"/>
                <w:b/>
                <w:bCs/>
                <w:color w:val="000000"/>
                <w:sz w:val="19"/>
                <w:szCs w:val="19"/>
              </w:rPr>
              <w:t>Total Project Cost:</w:t>
            </w:r>
          </w:p>
        </w:tc>
        <w:tc>
          <w:tcPr>
            <w:tcW w:w="775" w:type="pct"/>
            <w:tcBorders>
              <w:top w:val="nil"/>
              <w:left w:val="nil"/>
              <w:bottom w:val="single" w:sz="8" w:space="0" w:color="auto"/>
              <w:right w:val="single" w:sz="4" w:space="0" w:color="auto"/>
            </w:tcBorders>
            <w:shd w:val="clear" w:color="auto" w:fill="auto"/>
            <w:tcMar>
              <w:left w:w="57" w:type="dxa"/>
              <w:right w:w="57" w:type="dxa"/>
            </w:tcMar>
            <w:vAlign w:val="center"/>
            <w:hideMark/>
          </w:tcPr>
          <w:p w14:paraId="77224A37" w14:textId="77777777" w:rsidR="00627644" w:rsidRPr="00F71599" w:rsidRDefault="00627644" w:rsidP="00627644">
            <w:pPr>
              <w:overflowPunct/>
              <w:autoSpaceDE/>
              <w:autoSpaceDN/>
              <w:adjustRightInd/>
              <w:jc w:val="right"/>
              <w:textAlignment w:val="auto"/>
              <w:rPr>
                <w:rFonts w:ascii="Calibri" w:hAnsi="Calibri"/>
                <w:color w:val="000000"/>
                <w:sz w:val="19"/>
                <w:szCs w:val="19"/>
              </w:rPr>
            </w:pPr>
            <w:r w:rsidRPr="00F71599">
              <w:rPr>
                <w:rFonts w:ascii="Calibri" w:hAnsi="Calibri"/>
                <w:color w:val="000000"/>
                <w:sz w:val="19"/>
                <w:szCs w:val="19"/>
              </w:rPr>
              <w:t>14,998,778</w:t>
            </w:r>
          </w:p>
        </w:tc>
        <w:tc>
          <w:tcPr>
            <w:tcW w:w="704" w:type="pct"/>
            <w:tcBorders>
              <w:top w:val="nil"/>
              <w:left w:val="nil"/>
              <w:bottom w:val="single" w:sz="8" w:space="0" w:color="auto"/>
              <w:right w:val="single" w:sz="8" w:space="0" w:color="auto"/>
            </w:tcBorders>
            <w:shd w:val="clear" w:color="000000" w:fill="FFFFFF"/>
            <w:tcMar>
              <w:left w:w="57" w:type="dxa"/>
              <w:right w:w="57" w:type="dxa"/>
            </w:tcMar>
            <w:vAlign w:val="center"/>
            <w:hideMark/>
          </w:tcPr>
          <w:p w14:paraId="79860DBF" w14:textId="565CFF8F" w:rsidR="00627644" w:rsidRPr="000601F9" w:rsidRDefault="0070012B" w:rsidP="0070012B">
            <w:pPr>
              <w:overflowPunct/>
              <w:autoSpaceDE/>
              <w:autoSpaceDN/>
              <w:adjustRightInd/>
              <w:jc w:val="right"/>
              <w:textAlignment w:val="auto"/>
              <w:rPr>
                <w:rFonts w:ascii="Calibri" w:hAnsi="Calibri"/>
                <w:sz w:val="19"/>
                <w:szCs w:val="19"/>
                <w:highlight w:val="yellow"/>
              </w:rPr>
            </w:pPr>
            <w:r w:rsidRPr="0070012B">
              <w:rPr>
                <w:rFonts w:ascii="Calibri" w:hAnsi="Calibri"/>
                <w:color w:val="000000"/>
                <w:sz w:val="19"/>
                <w:szCs w:val="19"/>
              </w:rPr>
              <w:t>49,933,184</w:t>
            </w:r>
          </w:p>
        </w:tc>
      </w:tr>
      <w:tr w:rsidR="00627644" w:rsidRPr="00F71599" w14:paraId="65109421" w14:textId="77777777" w:rsidTr="00627644">
        <w:trPr>
          <w:trHeight w:val="341"/>
        </w:trPr>
        <w:tc>
          <w:tcPr>
            <w:tcW w:w="807" w:type="pct"/>
            <w:gridSpan w:val="2"/>
            <w:vMerge w:val="restart"/>
            <w:tcBorders>
              <w:top w:val="nil"/>
              <w:left w:val="single" w:sz="8" w:space="0" w:color="auto"/>
              <w:bottom w:val="single" w:sz="8" w:space="0" w:color="000000"/>
              <w:right w:val="single" w:sz="4" w:space="0" w:color="auto"/>
            </w:tcBorders>
            <w:shd w:val="clear" w:color="auto" w:fill="auto"/>
            <w:tcMar>
              <w:left w:w="57" w:type="dxa"/>
              <w:right w:w="57" w:type="dxa"/>
            </w:tcMar>
            <w:vAlign w:val="center"/>
            <w:hideMark/>
          </w:tcPr>
          <w:p w14:paraId="3C50A39F" w14:textId="77777777" w:rsidR="00627644" w:rsidRPr="00F71599" w:rsidRDefault="00627644" w:rsidP="00627644">
            <w:pPr>
              <w:overflowPunct/>
              <w:autoSpaceDE/>
              <w:autoSpaceDN/>
              <w:adjustRightInd/>
              <w:jc w:val="right"/>
              <w:textAlignment w:val="auto"/>
              <w:rPr>
                <w:rFonts w:ascii="Calibri" w:hAnsi="Calibri"/>
                <w:b/>
                <w:bCs/>
                <w:color w:val="000000"/>
                <w:sz w:val="19"/>
                <w:szCs w:val="19"/>
              </w:rPr>
            </w:pPr>
            <w:r w:rsidRPr="00F71599">
              <w:rPr>
                <w:rFonts w:ascii="Calibri" w:hAnsi="Calibri"/>
                <w:b/>
                <w:bCs/>
                <w:color w:val="000000"/>
                <w:sz w:val="19"/>
                <w:szCs w:val="19"/>
              </w:rPr>
              <w:t>Other Partners involved:</w:t>
            </w:r>
          </w:p>
        </w:tc>
        <w:tc>
          <w:tcPr>
            <w:tcW w:w="1783" w:type="pct"/>
            <w:vMerge w:val="restart"/>
            <w:tcBorders>
              <w:top w:val="nil"/>
              <w:left w:val="single" w:sz="4" w:space="0" w:color="auto"/>
              <w:bottom w:val="single" w:sz="8" w:space="0" w:color="000000"/>
              <w:right w:val="single" w:sz="8" w:space="0" w:color="auto"/>
            </w:tcBorders>
            <w:shd w:val="clear" w:color="auto" w:fill="auto"/>
            <w:tcMar>
              <w:left w:w="57" w:type="dxa"/>
              <w:right w:w="57" w:type="dxa"/>
            </w:tcMar>
            <w:vAlign w:val="center"/>
            <w:hideMark/>
          </w:tcPr>
          <w:p w14:paraId="7CA1CC65" w14:textId="02BF8BAB" w:rsidR="00627644" w:rsidRPr="00F71599" w:rsidRDefault="00627644" w:rsidP="00FA16D1">
            <w:pPr>
              <w:overflowPunct/>
              <w:autoSpaceDE/>
              <w:autoSpaceDN/>
              <w:adjustRightInd/>
              <w:textAlignment w:val="auto"/>
              <w:rPr>
                <w:rFonts w:ascii="Calibri" w:hAnsi="Calibri"/>
                <w:color w:val="000000"/>
                <w:sz w:val="19"/>
                <w:szCs w:val="19"/>
              </w:rPr>
            </w:pPr>
            <w:r w:rsidRPr="00F71599">
              <w:rPr>
                <w:rFonts w:ascii="Calibri" w:hAnsi="Calibri"/>
                <w:color w:val="000000"/>
                <w:sz w:val="19"/>
                <w:szCs w:val="19"/>
              </w:rPr>
              <w:t>Achara</w:t>
            </w:r>
            <w:r w:rsidR="00FA16D1" w:rsidRPr="00F71599">
              <w:rPr>
                <w:rFonts w:ascii="Calibri" w:hAnsi="Calibri"/>
                <w:color w:val="000000"/>
                <w:sz w:val="19"/>
                <w:szCs w:val="19"/>
              </w:rPr>
              <w:t xml:space="preserve"> Autonomous Re</w:t>
            </w:r>
            <w:r w:rsidR="00FA16D1">
              <w:rPr>
                <w:rFonts w:ascii="Calibri" w:hAnsi="Calibri"/>
                <w:color w:val="000000"/>
                <w:sz w:val="19"/>
                <w:szCs w:val="19"/>
              </w:rPr>
              <w:t>public</w:t>
            </w:r>
            <w:r w:rsidRPr="00F71599">
              <w:rPr>
                <w:rFonts w:ascii="Calibri" w:hAnsi="Calibri"/>
                <w:color w:val="000000"/>
                <w:sz w:val="19"/>
                <w:szCs w:val="19"/>
              </w:rPr>
              <w:t>, Georgia</w:t>
            </w:r>
            <w:r w:rsidRPr="00F71599">
              <w:rPr>
                <w:rFonts w:ascii="Calibri" w:hAnsi="Calibri"/>
                <w:color w:val="000000"/>
                <w:sz w:val="19"/>
                <w:szCs w:val="19"/>
              </w:rPr>
              <w:br/>
              <w:t>Khelvachauri Municipality</w:t>
            </w:r>
          </w:p>
        </w:tc>
        <w:tc>
          <w:tcPr>
            <w:tcW w:w="931" w:type="pct"/>
            <w:tcBorders>
              <w:top w:val="nil"/>
              <w:left w:val="nil"/>
              <w:bottom w:val="single" w:sz="8" w:space="0" w:color="auto"/>
              <w:right w:val="single" w:sz="4" w:space="0" w:color="auto"/>
            </w:tcBorders>
            <w:shd w:val="clear" w:color="auto" w:fill="auto"/>
            <w:tcMar>
              <w:left w:w="57" w:type="dxa"/>
              <w:right w:w="28" w:type="dxa"/>
            </w:tcMar>
            <w:vAlign w:val="center"/>
            <w:hideMark/>
          </w:tcPr>
          <w:p w14:paraId="662B4363" w14:textId="77777777" w:rsidR="00627644" w:rsidRPr="00F71599" w:rsidRDefault="00627644" w:rsidP="00627644">
            <w:pPr>
              <w:overflowPunct/>
              <w:autoSpaceDE/>
              <w:autoSpaceDN/>
              <w:adjustRightInd/>
              <w:jc w:val="right"/>
              <w:textAlignment w:val="auto"/>
              <w:rPr>
                <w:rFonts w:ascii="Calibri" w:hAnsi="Calibri"/>
                <w:b/>
                <w:bCs/>
                <w:color w:val="000000"/>
                <w:sz w:val="19"/>
                <w:szCs w:val="19"/>
              </w:rPr>
            </w:pPr>
            <w:r w:rsidRPr="00F71599">
              <w:rPr>
                <w:rFonts w:ascii="Calibri" w:hAnsi="Calibri"/>
                <w:b/>
                <w:bCs/>
                <w:color w:val="000000"/>
                <w:sz w:val="19"/>
                <w:szCs w:val="19"/>
              </w:rPr>
              <w:t>ProDoc Signature: (date project began)</w:t>
            </w:r>
          </w:p>
        </w:tc>
        <w:tc>
          <w:tcPr>
            <w:tcW w:w="775" w:type="pct"/>
            <w:tcBorders>
              <w:top w:val="nil"/>
              <w:left w:val="nil"/>
              <w:bottom w:val="single" w:sz="8" w:space="0" w:color="auto"/>
              <w:right w:val="single" w:sz="4" w:space="0" w:color="auto"/>
            </w:tcBorders>
            <w:shd w:val="clear" w:color="auto" w:fill="auto"/>
            <w:tcMar>
              <w:left w:w="57" w:type="dxa"/>
              <w:right w:w="57" w:type="dxa"/>
            </w:tcMar>
            <w:vAlign w:val="center"/>
            <w:hideMark/>
          </w:tcPr>
          <w:p w14:paraId="24C5212E" w14:textId="77777777" w:rsidR="00627644" w:rsidRPr="00F71599" w:rsidRDefault="00627644" w:rsidP="00627644">
            <w:pPr>
              <w:overflowPunct/>
              <w:autoSpaceDE/>
              <w:autoSpaceDN/>
              <w:adjustRightInd/>
              <w:jc w:val="center"/>
              <w:textAlignment w:val="auto"/>
              <w:rPr>
                <w:rFonts w:ascii="Calibri" w:hAnsi="Calibri"/>
                <w:color w:val="000000"/>
                <w:sz w:val="19"/>
                <w:szCs w:val="19"/>
              </w:rPr>
            </w:pPr>
            <w:r w:rsidRPr="00F71599">
              <w:rPr>
                <w:rFonts w:ascii="Calibri" w:hAnsi="Calibri"/>
                <w:color w:val="000000"/>
                <w:sz w:val="19"/>
                <w:szCs w:val="19"/>
              </w:rPr>
              <w:t>09 June 2014</w:t>
            </w:r>
          </w:p>
        </w:tc>
        <w:tc>
          <w:tcPr>
            <w:tcW w:w="704"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3996B0FC" w14:textId="77777777" w:rsidR="00627644" w:rsidRPr="00F71599" w:rsidRDefault="00627644" w:rsidP="00627644">
            <w:pPr>
              <w:overflowPunct/>
              <w:autoSpaceDE/>
              <w:autoSpaceDN/>
              <w:adjustRightInd/>
              <w:jc w:val="center"/>
              <w:textAlignment w:val="auto"/>
              <w:rPr>
                <w:rFonts w:ascii="Calibri" w:hAnsi="Calibri"/>
                <w:color w:val="000000"/>
                <w:sz w:val="19"/>
                <w:szCs w:val="19"/>
              </w:rPr>
            </w:pPr>
            <w:r w:rsidRPr="00F71599">
              <w:rPr>
                <w:rFonts w:ascii="Calibri" w:hAnsi="Calibri"/>
                <w:color w:val="000000"/>
                <w:sz w:val="19"/>
                <w:szCs w:val="19"/>
              </w:rPr>
              <w:t> </w:t>
            </w:r>
          </w:p>
        </w:tc>
      </w:tr>
      <w:tr w:rsidR="00627644" w:rsidRPr="00171AB5" w14:paraId="1B0BD4D1" w14:textId="77777777" w:rsidTr="00627644">
        <w:trPr>
          <w:trHeight w:val="61"/>
        </w:trPr>
        <w:tc>
          <w:tcPr>
            <w:tcW w:w="807" w:type="pct"/>
            <w:gridSpan w:val="2"/>
            <w:vMerge/>
            <w:tcBorders>
              <w:top w:val="nil"/>
              <w:left w:val="single" w:sz="8" w:space="0" w:color="auto"/>
              <w:bottom w:val="single" w:sz="8" w:space="0" w:color="000000"/>
              <w:right w:val="single" w:sz="4" w:space="0" w:color="auto"/>
            </w:tcBorders>
            <w:tcMar>
              <w:left w:w="57" w:type="dxa"/>
              <w:right w:w="57" w:type="dxa"/>
            </w:tcMar>
            <w:vAlign w:val="center"/>
            <w:hideMark/>
          </w:tcPr>
          <w:p w14:paraId="480F94FF" w14:textId="77777777" w:rsidR="00627644" w:rsidRPr="00171AB5" w:rsidRDefault="00627644" w:rsidP="00627644">
            <w:pPr>
              <w:overflowPunct/>
              <w:autoSpaceDE/>
              <w:autoSpaceDN/>
              <w:adjustRightInd/>
              <w:textAlignment w:val="auto"/>
              <w:rPr>
                <w:rFonts w:ascii="Calibri" w:hAnsi="Calibri"/>
                <w:b/>
                <w:bCs/>
                <w:color w:val="000000"/>
                <w:sz w:val="20"/>
              </w:rPr>
            </w:pPr>
          </w:p>
        </w:tc>
        <w:tc>
          <w:tcPr>
            <w:tcW w:w="1783" w:type="pct"/>
            <w:vMerge/>
            <w:tcBorders>
              <w:top w:val="nil"/>
              <w:left w:val="single" w:sz="4" w:space="0" w:color="auto"/>
              <w:bottom w:val="single" w:sz="8" w:space="0" w:color="000000"/>
              <w:right w:val="single" w:sz="8" w:space="0" w:color="auto"/>
            </w:tcBorders>
            <w:tcMar>
              <w:left w:w="57" w:type="dxa"/>
              <w:right w:w="57" w:type="dxa"/>
            </w:tcMar>
            <w:vAlign w:val="center"/>
            <w:hideMark/>
          </w:tcPr>
          <w:p w14:paraId="18D3E0C4" w14:textId="77777777" w:rsidR="00627644" w:rsidRPr="00171AB5" w:rsidRDefault="00627644" w:rsidP="00627644">
            <w:pPr>
              <w:overflowPunct/>
              <w:autoSpaceDE/>
              <w:autoSpaceDN/>
              <w:adjustRightInd/>
              <w:textAlignment w:val="auto"/>
              <w:rPr>
                <w:rFonts w:ascii="Calibri" w:hAnsi="Calibri"/>
                <w:color w:val="000000"/>
                <w:sz w:val="20"/>
              </w:rPr>
            </w:pPr>
          </w:p>
        </w:tc>
        <w:tc>
          <w:tcPr>
            <w:tcW w:w="931" w:type="pct"/>
            <w:tcBorders>
              <w:top w:val="nil"/>
              <w:left w:val="nil"/>
              <w:bottom w:val="single" w:sz="8" w:space="0" w:color="auto"/>
              <w:right w:val="single" w:sz="4" w:space="0" w:color="auto"/>
            </w:tcBorders>
            <w:shd w:val="clear" w:color="auto" w:fill="auto"/>
            <w:tcMar>
              <w:left w:w="57" w:type="dxa"/>
              <w:right w:w="57" w:type="dxa"/>
            </w:tcMar>
            <w:vAlign w:val="center"/>
            <w:hideMark/>
          </w:tcPr>
          <w:p w14:paraId="136288C9" w14:textId="77777777" w:rsidR="00627644" w:rsidRPr="00F71599" w:rsidRDefault="00627644" w:rsidP="00627644">
            <w:pPr>
              <w:overflowPunct/>
              <w:autoSpaceDE/>
              <w:autoSpaceDN/>
              <w:adjustRightInd/>
              <w:jc w:val="right"/>
              <w:textAlignment w:val="auto"/>
              <w:rPr>
                <w:rFonts w:ascii="Calibri" w:hAnsi="Calibri"/>
                <w:b/>
                <w:bCs/>
                <w:color w:val="000000"/>
                <w:sz w:val="19"/>
                <w:szCs w:val="19"/>
              </w:rPr>
            </w:pPr>
            <w:r w:rsidRPr="00F71599">
              <w:rPr>
                <w:rFonts w:ascii="Calibri" w:hAnsi="Calibri"/>
                <w:b/>
                <w:bCs/>
                <w:color w:val="000000"/>
                <w:sz w:val="19"/>
                <w:szCs w:val="19"/>
              </w:rPr>
              <w:t>Closing Date:</w:t>
            </w:r>
          </w:p>
        </w:tc>
        <w:tc>
          <w:tcPr>
            <w:tcW w:w="775" w:type="pct"/>
            <w:tcBorders>
              <w:top w:val="nil"/>
              <w:left w:val="nil"/>
              <w:bottom w:val="single" w:sz="8" w:space="0" w:color="auto"/>
              <w:right w:val="single" w:sz="4" w:space="0" w:color="auto"/>
            </w:tcBorders>
            <w:shd w:val="clear" w:color="auto" w:fill="auto"/>
            <w:tcMar>
              <w:left w:w="57" w:type="dxa"/>
              <w:right w:w="57" w:type="dxa"/>
            </w:tcMar>
            <w:vAlign w:val="center"/>
            <w:hideMark/>
          </w:tcPr>
          <w:p w14:paraId="462648BB" w14:textId="77777777" w:rsidR="00627644" w:rsidRPr="00F71599" w:rsidRDefault="00627644" w:rsidP="00627644">
            <w:pPr>
              <w:overflowPunct/>
              <w:autoSpaceDE/>
              <w:autoSpaceDN/>
              <w:adjustRightInd/>
              <w:jc w:val="center"/>
              <w:textAlignment w:val="auto"/>
              <w:rPr>
                <w:rFonts w:ascii="Calibri" w:hAnsi="Calibri"/>
                <w:color w:val="000000"/>
                <w:sz w:val="19"/>
                <w:szCs w:val="19"/>
              </w:rPr>
            </w:pPr>
            <w:r w:rsidRPr="00F71599">
              <w:rPr>
                <w:rFonts w:ascii="Calibri" w:hAnsi="Calibri"/>
                <w:color w:val="000000"/>
                <w:sz w:val="19"/>
                <w:szCs w:val="19"/>
              </w:rPr>
              <w:t>09 June 2018</w:t>
            </w:r>
            <w:r w:rsidRPr="00F71599">
              <w:rPr>
                <w:rFonts w:ascii="Calibri" w:hAnsi="Calibri"/>
                <w:color w:val="000000"/>
                <w:sz w:val="19"/>
                <w:szCs w:val="19"/>
              </w:rPr>
              <w:br/>
              <w:t>(proposed)</w:t>
            </w:r>
          </w:p>
        </w:tc>
        <w:tc>
          <w:tcPr>
            <w:tcW w:w="704"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45C1133D" w14:textId="77777777" w:rsidR="00627644" w:rsidRPr="00F71599" w:rsidRDefault="00627644" w:rsidP="00627644">
            <w:pPr>
              <w:overflowPunct/>
              <w:autoSpaceDE/>
              <w:autoSpaceDN/>
              <w:adjustRightInd/>
              <w:jc w:val="center"/>
              <w:textAlignment w:val="auto"/>
              <w:rPr>
                <w:rFonts w:ascii="Calibri" w:hAnsi="Calibri"/>
                <w:color w:val="000000"/>
                <w:sz w:val="19"/>
                <w:szCs w:val="19"/>
              </w:rPr>
            </w:pPr>
            <w:r w:rsidRPr="00F71599">
              <w:rPr>
                <w:rFonts w:ascii="Calibri" w:hAnsi="Calibri"/>
                <w:color w:val="000000"/>
                <w:sz w:val="19"/>
                <w:szCs w:val="19"/>
              </w:rPr>
              <w:t>31 Dec 2018</w:t>
            </w:r>
            <w:r w:rsidRPr="00F71599">
              <w:rPr>
                <w:rFonts w:ascii="Calibri" w:hAnsi="Calibri"/>
                <w:color w:val="000000"/>
                <w:sz w:val="19"/>
                <w:szCs w:val="19"/>
              </w:rPr>
              <w:br/>
              <w:t>(actual)</w:t>
            </w:r>
          </w:p>
        </w:tc>
      </w:tr>
      <w:tr w:rsidR="00627644" w:rsidRPr="00F71599" w14:paraId="29D3017E" w14:textId="77777777" w:rsidTr="00627644">
        <w:trPr>
          <w:trHeight w:val="300"/>
        </w:trPr>
        <w:tc>
          <w:tcPr>
            <w:tcW w:w="5000" w:type="pct"/>
            <w:gridSpan w:val="6"/>
            <w:tcBorders>
              <w:top w:val="single" w:sz="8" w:space="0" w:color="auto"/>
              <w:left w:val="nil"/>
              <w:bottom w:val="nil"/>
              <w:right w:val="nil"/>
            </w:tcBorders>
            <w:shd w:val="clear" w:color="auto" w:fill="auto"/>
            <w:tcMar>
              <w:left w:w="57" w:type="dxa"/>
              <w:right w:w="57" w:type="dxa"/>
            </w:tcMar>
            <w:vAlign w:val="center"/>
            <w:hideMark/>
          </w:tcPr>
          <w:p w14:paraId="2FF01E9C" w14:textId="79F489B2" w:rsidR="00627644" w:rsidRPr="00F71599" w:rsidRDefault="00627644" w:rsidP="00B76216">
            <w:pPr>
              <w:tabs>
                <w:tab w:val="right" w:pos="9072"/>
              </w:tabs>
              <w:overflowPunct/>
              <w:autoSpaceDE/>
              <w:autoSpaceDN/>
              <w:adjustRightInd/>
              <w:textAlignment w:val="auto"/>
              <w:rPr>
                <w:rFonts w:ascii="Calibri" w:hAnsi="Calibri"/>
                <w:color w:val="000000"/>
                <w:sz w:val="19"/>
                <w:szCs w:val="19"/>
              </w:rPr>
            </w:pPr>
            <w:r w:rsidRPr="00F71599">
              <w:rPr>
                <w:rFonts w:ascii="Calibri" w:hAnsi="Calibri"/>
                <w:b/>
                <w:bCs/>
                <w:color w:val="000000"/>
                <w:sz w:val="19"/>
                <w:szCs w:val="19"/>
              </w:rPr>
              <w:t>Note:</w:t>
            </w:r>
            <w:r w:rsidRPr="00F71599">
              <w:rPr>
                <w:rFonts w:ascii="Calibri" w:hAnsi="Calibri"/>
                <w:color w:val="000000"/>
                <w:sz w:val="19"/>
                <w:szCs w:val="19"/>
              </w:rPr>
              <w:t xml:space="preserve"> Total expenditures based upon figures </w:t>
            </w:r>
            <w:r w:rsidR="000F350B">
              <w:rPr>
                <w:rFonts w:ascii="Calibri" w:hAnsi="Calibri"/>
                <w:color w:val="000000"/>
                <w:sz w:val="19"/>
                <w:szCs w:val="19"/>
              </w:rPr>
              <w:t>to 31 December</w:t>
            </w:r>
            <w:r w:rsidRPr="00F71599">
              <w:rPr>
                <w:rFonts w:ascii="Calibri" w:hAnsi="Calibri"/>
                <w:color w:val="000000"/>
                <w:sz w:val="19"/>
                <w:szCs w:val="19"/>
              </w:rPr>
              <w:t xml:space="preserve"> 2018. </w:t>
            </w:r>
            <w:r w:rsidR="00B76216">
              <w:rPr>
                <w:rFonts w:ascii="Calibri" w:hAnsi="Calibri"/>
                <w:color w:val="000000"/>
                <w:sz w:val="19"/>
                <w:szCs w:val="19"/>
              </w:rPr>
              <w:tab/>
            </w:r>
            <w:r w:rsidR="000F350B">
              <w:rPr>
                <w:rFonts w:ascii="Calibri" w:hAnsi="Calibri"/>
                <w:color w:val="000000"/>
                <w:sz w:val="19"/>
                <w:szCs w:val="19"/>
              </w:rPr>
              <w:t>*</w:t>
            </w:r>
            <w:r w:rsidR="000F350B" w:rsidRPr="00B76216">
              <w:rPr>
                <w:rFonts w:ascii="Calibri" w:hAnsi="Calibri"/>
                <w:b/>
                <w:color w:val="000000"/>
                <w:sz w:val="19"/>
                <w:szCs w:val="19"/>
              </w:rPr>
              <w:t>Other</w:t>
            </w:r>
            <w:r w:rsidR="000F350B">
              <w:rPr>
                <w:rFonts w:ascii="Calibri" w:hAnsi="Calibri"/>
                <w:color w:val="000000"/>
                <w:sz w:val="19"/>
                <w:szCs w:val="19"/>
              </w:rPr>
              <w:t xml:space="preserve"> comprises</w:t>
            </w:r>
            <w:r w:rsidR="00B76216">
              <w:rPr>
                <w:rFonts w:ascii="Calibri" w:hAnsi="Calibri"/>
                <w:color w:val="000000"/>
                <w:sz w:val="19"/>
                <w:szCs w:val="19"/>
              </w:rPr>
              <w:t>:</w:t>
            </w:r>
            <w:r w:rsidR="000F350B">
              <w:rPr>
                <w:rFonts w:ascii="Calibri" w:hAnsi="Calibri"/>
                <w:color w:val="000000"/>
                <w:sz w:val="19"/>
                <w:szCs w:val="19"/>
              </w:rPr>
              <w:t xml:space="preserve"> </w:t>
            </w:r>
            <w:r w:rsidR="000F350B" w:rsidRPr="000F350B">
              <w:rPr>
                <w:rFonts w:ascii="Calibri" w:hAnsi="Calibri"/>
                <w:bCs/>
                <w:color w:val="000000"/>
                <w:sz w:val="19"/>
                <w:szCs w:val="19"/>
              </w:rPr>
              <w:t>CNF,</w:t>
            </w:r>
            <w:r w:rsidR="000F350B">
              <w:rPr>
                <w:rFonts w:ascii="Calibri" w:hAnsi="Calibri"/>
                <w:bCs/>
                <w:color w:val="000000"/>
                <w:sz w:val="19"/>
                <w:szCs w:val="19"/>
              </w:rPr>
              <w:t xml:space="preserve"> </w:t>
            </w:r>
            <w:r w:rsidR="000F350B" w:rsidRPr="000F350B">
              <w:rPr>
                <w:rFonts w:ascii="Calibri" w:hAnsi="Calibri"/>
                <w:bCs/>
                <w:color w:val="000000"/>
                <w:sz w:val="19"/>
                <w:szCs w:val="19"/>
              </w:rPr>
              <w:t>KFW,</w:t>
            </w:r>
            <w:r w:rsidR="000F350B">
              <w:rPr>
                <w:rFonts w:ascii="Calibri" w:hAnsi="Calibri"/>
                <w:bCs/>
                <w:color w:val="000000"/>
                <w:sz w:val="19"/>
                <w:szCs w:val="19"/>
              </w:rPr>
              <w:t xml:space="preserve"> </w:t>
            </w:r>
            <w:r w:rsidR="000F350B" w:rsidRPr="000F350B">
              <w:rPr>
                <w:rFonts w:ascii="Calibri" w:hAnsi="Calibri"/>
                <w:bCs/>
                <w:color w:val="000000"/>
                <w:sz w:val="19"/>
                <w:szCs w:val="19"/>
              </w:rPr>
              <w:t>WWF</w:t>
            </w:r>
            <w:r w:rsidR="000F350B">
              <w:rPr>
                <w:rFonts w:ascii="Calibri" w:hAnsi="Calibri"/>
                <w:bCs/>
                <w:color w:val="000000"/>
                <w:sz w:val="19"/>
                <w:szCs w:val="19"/>
              </w:rPr>
              <w:t>.</w:t>
            </w:r>
          </w:p>
        </w:tc>
      </w:tr>
    </w:tbl>
    <w:p w14:paraId="0C50F1E8" w14:textId="77777777" w:rsidR="00C50ACD" w:rsidRPr="00D37083" w:rsidRDefault="00C50ACD" w:rsidP="008115AB">
      <w:pPr>
        <w:pStyle w:val="BodyText"/>
        <w:spacing w:before="240"/>
        <w:rPr>
          <w:rFonts w:ascii="Calibri" w:hAnsi="Calibri"/>
          <w:b/>
          <w:szCs w:val="24"/>
        </w:rPr>
      </w:pPr>
      <w:r w:rsidRPr="008115AB">
        <w:rPr>
          <w:rFonts w:ascii="Calibri" w:hAnsi="Calibri"/>
          <w:b/>
          <w:szCs w:val="24"/>
          <w:highlight w:val="lightGray"/>
        </w:rPr>
        <w:t>Project Description</w:t>
      </w:r>
    </w:p>
    <w:p w14:paraId="185D1AA4" w14:textId="77777777" w:rsidR="00C50ACD" w:rsidRPr="00FE20D8" w:rsidRDefault="00C50ACD" w:rsidP="008115AB">
      <w:pPr>
        <w:pStyle w:val="BodyText"/>
        <w:rPr>
          <w:rFonts w:ascii="Calibri" w:hAnsi="Calibri"/>
        </w:rPr>
      </w:pPr>
      <w:r w:rsidRPr="00FE20D8">
        <w:rPr>
          <w:rFonts w:ascii="Calibri" w:hAnsi="Calibri"/>
        </w:rPr>
        <w:t>The project was designed to establish a regional protected areas estate in the Autonomous Republic of Achara (ARA) that can effectively ensure the conservation and sustainable use of globally important Colchic Temperate Rain Forests of the Lesser Caucasus Mountain Range of South West Georgia. The area is a refugium for humid Pliocene flora, having a high proportion of endemic fauna and narrow-ranged (locally endemic) flora. It is also a well-known bottle-neck for migratory birds. Such is the importance of Georgia’s Colchic Forest that it is being nominated for inscription on the World Heritage List as a natural site.</w:t>
      </w:r>
    </w:p>
    <w:p w14:paraId="46D3B263" w14:textId="77777777" w:rsidR="00C50ACD" w:rsidRPr="00FE20D8" w:rsidRDefault="00C50ACD" w:rsidP="00C50ACD">
      <w:pPr>
        <w:pStyle w:val="BodyText"/>
        <w:rPr>
          <w:rFonts w:ascii="Calibri" w:hAnsi="Calibri"/>
        </w:rPr>
      </w:pPr>
      <w:r w:rsidRPr="00FE20D8">
        <w:rPr>
          <w:rFonts w:ascii="Calibri" w:hAnsi="Calibri"/>
        </w:rPr>
        <w:t>The project’s objective was: “to enhance the management effectiveness, biogeographically coverage, and connectivity of Protected Areas to conserve forest ecosystems in the Achara Region” by the end of the four year implementation period, which was extended by a further six months It was addressed through two interrelated outcomes that were intended to generate a flow of benefits at global, national and local levels for:</w:t>
      </w:r>
    </w:p>
    <w:p w14:paraId="426F4B45" w14:textId="77777777" w:rsidR="00C50ACD" w:rsidRPr="00F64525" w:rsidRDefault="00C50ACD" w:rsidP="0067558E">
      <w:pPr>
        <w:numPr>
          <w:ilvl w:val="0"/>
          <w:numId w:val="11"/>
        </w:numPr>
        <w:overflowPunct/>
        <w:autoSpaceDE/>
        <w:autoSpaceDN/>
        <w:adjustRightInd/>
        <w:spacing w:after="60"/>
        <w:ind w:left="548" w:hanging="274"/>
        <w:jc w:val="both"/>
        <w:textAlignment w:val="auto"/>
        <w:rPr>
          <w:rFonts w:ascii="Calibri" w:hAnsi="Calibri"/>
          <w:sz w:val="24"/>
          <w:szCs w:val="24"/>
        </w:rPr>
      </w:pPr>
      <w:r w:rsidRPr="00F64525">
        <w:rPr>
          <w:rFonts w:ascii="Calibri" w:hAnsi="Calibri"/>
          <w:sz w:val="24"/>
          <w:szCs w:val="24"/>
        </w:rPr>
        <w:t>Protected Area coverage within the Achara Region increased from 30,469 ha to 39,202 ha.</w:t>
      </w:r>
    </w:p>
    <w:p w14:paraId="42A75E99" w14:textId="77777777" w:rsidR="00C50ACD" w:rsidRPr="00F64525" w:rsidRDefault="00C50ACD" w:rsidP="0067558E">
      <w:pPr>
        <w:numPr>
          <w:ilvl w:val="0"/>
          <w:numId w:val="11"/>
        </w:numPr>
        <w:overflowPunct/>
        <w:autoSpaceDE/>
        <w:autoSpaceDN/>
        <w:adjustRightInd/>
        <w:spacing w:after="60"/>
        <w:ind w:left="548" w:hanging="274"/>
        <w:jc w:val="both"/>
        <w:textAlignment w:val="auto"/>
        <w:rPr>
          <w:rFonts w:ascii="Calibri" w:hAnsi="Calibri"/>
          <w:sz w:val="24"/>
          <w:szCs w:val="24"/>
        </w:rPr>
      </w:pPr>
      <w:r w:rsidRPr="00F64525">
        <w:rPr>
          <w:rFonts w:ascii="Calibri" w:hAnsi="Calibri"/>
          <w:sz w:val="24"/>
          <w:szCs w:val="24"/>
        </w:rPr>
        <w:t>Increased national and Achara Protected Area coverage of Colchic Temperate Rain Forest by at least 1% and 5%, respectively.</w:t>
      </w:r>
    </w:p>
    <w:p w14:paraId="29E4E6D4" w14:textId="77777777" w:rsidR="00C50ACD" w:rsidRPr="00F64525" w:rsidRDefault="00C50ACD" w:rsidP="0067558E">
      <w:pPr>
        <w:numPr>
          <w:ilvl w:val="0"/>
          <w:numId w:val="11"/>
        </w:numPr>
        <w:overflowPunct/>
        <w:autoSpaceDE/>
        <w:autoSpaceDN/>
        <w:adjustRightInd/>
        <w:spacing w:after="60"/>
        <w:ind w:left="548" w:hanging="274"/>
        <w:jc w:val="both"/>
        <w:textAlignment w:val="auto"/>
        <w:rPr>
          <w:rFonts w:ascii="Calibri" w:hAnsi="Calibri"/>
          <w:sz w:val="24"/>
          <w:szCs w:val="24"/>
        </w:rPr>
      </w:pPr>
      <w:r w:rsidRPr="00F64525">
        <w:rPr>
          <w:rFonts w:ascii="Calibri" w:hAnsi="Calibri"/>
          <w:sz w:val="24"/>
          <w:szCs w:val="24"/>
        </w:rPr>
        <w:t xml:space="preserve">Capacity development indicator score for protected area system increased for systemic from 14% to &gt;20%, Institutional from 21% to &gt;29% and Individual from 9% to &gt;13%. </w:t>
      </w:r>
    </w:p>
    <w:p w14:paraId="4D782549" w14:textId="77777777" w:rsidR="00C50ACD" w:rsidRPr="00F64525" w:rsidRDefault="00C50ACD" w:rsidP="0067558E">
      <w:pPr>
        <w:numPr>
          <w:ilvl w:val="0"/>
          <w:numId w:val="11"/>
        </w:numPr>
        <w:overflowPunct/>
        <w:autoSpaceDE/>
        <w:autoSpaceDN/>
        <w:adjustRightInd/>
        <w:spacing w:after="60"/>
        <w:ind w:left="548" w:hanging="274"/>
        <w:jc w:val="both"/>
        <w:textAlignment w:val="auto"/>
        <w:rPr>
          <w:rFonts w:ascii="Calibri" w:hAnsi="Calibri"/>
          <w:sz w:val="24"/>
          <w:szCs w:val="24"/>
        </w:rPr>
      </w:pPr>
      <w:r w:rsidRPr="00F64525">
        <w:rPr>
          <w:rFonts w:ascii="Calibri" w:hAnsi="Calibri"/>
          <w:sz w:val="24"/>
          <w:szCs w:val="24"/>
        </w:rPr>
        <w:t>Management effectiveness for Kintrishi PA Complex increased from 58% to 67% for the State Reserve and from 58% to &gt;63% for the Protected Landscape, Mtirala NP from 68% to &gt;73% and Machakhela NP from 11% to 71%, as measured by the GEF Monitoring Effectiveness Tracking Took (METT).</w:t>
      </w:r>
    </w:p>
    <w:p w14:paraId="75748A13" w14:textId="77777777" w:rsidR="00F1450C" w:rsidRDefault="00F1450C">
      <w:pPr>
        <w:overflowPunct/>
        <w:autoSpaceDE/>
        <w:autoSpaceDN/>
        <w:adjustRightInd/>
        <w:textAlignment w:val="auto"/>
        <w:rPr>
          <w:rFonts w:asciiTheme="minorHAnsi" w:hAnsiTheme="minorHAnsi"/>
          <w:b/>
          <w:sz w:val="24"/>
          <w:highlight w:val="lightGray"/>
          <w:lang w:val="en-US"/>
        </w:rPr>
      </w:pPr>
      <w:r>
        <w:rPr>
          <w:rFonts w:asciiTheme="minorHAnsi" w:hAnsiTheme="minorHAnsi"/>
          <w:b/>
          <w:sz w:val="24"/>
          <w:highlight w:val="lightGray"/>
          <w:lang w:val="en-US"/>
        </w:rPr>
        <w:br w:type="page"/>
      </w:r>
    </w:p>
    <w:p w14:paraId="6155E922" w14:textId="069DF960" w:rsidR="004465A2" w:rsidRPr="00FC46E1" w:rsidRDefault="00C95F80" w:rsidP="008115AB">
      <w:pPr>
        <w:spacing w:before="240" w:after="120"/>
        <w:jc w:val="both"/>
        <w:rPr>
          <w:rFonts w:asciiTheme="minorHAnsi" w:hAnsiTheme="minorHAnsi"/>
          <w:b/>
          <w:color w:val="FFFFFF" w:themeColor="background1"/>
          <w:sz w:val="24"/>
          <w:lang w:val="en-US"/>
        </w:rPr>
      </w:pPr>
      <w:r w:rsidRPr="008115AB">
        <w:rPr>
          <w:rFonts w:asciiTheme="minorHAnsi" w:hAnsiTheme="minorHAnsi"/>
          <w:b/>
          <w:sz w:val="24"/>
          <w:highlight w:val="lightGray"/>
          <w:lang w:val="en-US"/>
        </w:rPr>
        <w:lastRenderedPageBreak/>
        <w:t>Conclusions</w:t>
      </w:r>
    </w:p>
    <w:p w14:paraId="18F3E5C9" w14:textId="77777777" w:rsidR="0059376E" w:rsidRDefault="0059376E" w:rsidP="0059376E">
      <w:pPr>
        <w:pStyle w:val="BodyText"/>
        <w:spacing w:before="120"/>
        <w:rPr>
          <w:rFonts w:ascii="Calibri" w:hAnsi="Calibri"/>
        </w:rPr>
      </w:pPr>
      <w:r w:rsidRPr="008115AB">
        <w:rPr>
          <w:rFonts w:ascii="Calibri" w:hAnsi="Calibri"/>
        </w:rPr>
        <w:t>MAJOR ACHIEVEMENTS/STRENGTHS</w:t>
      </w:r>
      <w:r w:rsidRPr="0014500D">
        <w:rPr>
          <w:rFonts w:ascii="Calibri" w:hAnsi="Calibri"/>
        </w:rPr>
        <w:t xml:space="preserve"> </w:t>
      </w:r>
    </w:p>
    <w:p w14:paraId="5FC31268" w14:textId="77777777" w:rsidR="0059376E" w:rsidRPr="007D5AF3" w:rsidRDefault="0059376E" w:rsidP="0059376E">
      <w:pPr>
        <w:pStyle w:val="BodyText"/>
        <w:rPr>
          <w:rFonts w:ascii="Calibri" w:hAnsi="Calibri"/>
        </w:rPr>
      </w:pPr>
      <w:r w:rsidRPr="007D5AF3">
        <w:rPr>
          <w:rFonts w:ascii="Calibri" w:hAnsi="Calibri"/>
          <w:u w:val="single"/>
        </w:rPr>
        <w:t>The project has achieved a very Satisfactory result, meeting or exceeding all of its targets in the SRF at objective and outcome levels</w:t>
      </w:r>
      <w:r w:rsidRPr="007D5AF3">
        <w:rPr>
          <w:rFonts w:ascii="Calibri" w:hAnsi="Calibri"/>
        </w:rPr>
        <w:t xml:space="preserve">. Technically, the current status of Achara’s PAs coverage has increased from 30,469 ha (baseline) to 37,802 ha, which is marginally less than the target of 39,202 ha following the realignment of the boundaries of Machakhela NP (area reduced from 8,733 ha to 7,305 ha). However, the target is expected to be exceeded with the designation of the proposed Machakhela Protected Landscape (4,295 ha), which comprises the inhabited lower valleys of Machakhela Gorge that abut Machakhela NP. </w:t>
      </w:r>
    </w:p>
    <w:p w14:paraId="59A5F712" w14:textId="13E26C47" w:rsidR="0059376E" w:rsidRPr="007D5AF3" w:rsidRDefault="0059376E" w:rsidP="0059376E">
      <w:pPr>
        <w:pStyle w:val="BodyText"/>
        <w:rPr>
          <w:rFonts w:ascii="Calibri" w:hAnsi="Calibri"/>
        </w:rPr>
      </w:pPr>
      <w:r w:rsidRPr="007D5AF3">
        <w:rPr>
          <w:rFonts w:ascii="Calibri" w:hAnsi="Calibri"/>
          <w:u w:val="single"/>
        </w:rPr>
        <w:t>This adaptive management initiative of the project is exemplary</w:t>
      </w:r>
      <w:r w:rsidRPr="007D5AF3">
        <w:rPr>
          <w:rFonts w:ascii="Calibri" w:hAnsi="Calibri"/>
        </w:rPr>
        <w:t>. It transforms the planned addition of a new Machakhela PL to the region’s PA</w:t>
      </w:r>
      <w:r w:rsidR="005A7E93">
        <w:rPr>
          <w:rFonts w:ascii="Calibri" w:hAnsi="Calibri"/>
        </w:rPr>
        <w:t>s</w:t>
      </w:r>
      <w:r w:rsidRPr="007D5AF3">
        <w:rPr>
          <w:rFonts w:ascii="Calibri" w:hAnsi="Calibri"/>
        </w:rPr>
        <w:t xml:space="preserve"> network into a more holistic and integrated PAs complex approach, which better meets the needs of ‘Parks and People’ through having a greater diversity of options in the management toolbox that reflect the governance models of both national park and protected landscape. The latter model will enable local livelihood needs to be addressed in a more sustainable manner than envisaged in the ProDoc. Such an outcome will also provide both a challenge and an opportunity for a novel form of governance to be piloted under the Municipality, Khelvachauri. There are many other examples of adaptive management introduced by the project, one of which was an MTR recommendation to adopt SMART (Spatial Monitoring &amp; Reporting Tool) for patrolling purposes. Training in SMART was concluded late in 2018 and it will be important to ensure that it is </w:t>
      </w:r>
      <w:r w:rsidR="005A7E93">
        <w:rPr>
          <w:rFonts w:ascii="Calibri" w:hAnsi="Calibri"/>
        </w:rPr>
        <w:t>fully applied post-</w:t>
      </w:r>
      <w:r w:rsidRPr="007D5AF3">
        <w:rPr>
          <w:rFonts w:ascii="Calibri" w:hAnsi="Calibri"/>
        </w:rPr>
        <w:t xml:space="preserve">project. </w:t>
      </w:r>
    </w:p>
    <w:p w14:paraId="4F045ED4" w14:textId="77777777" w:rsidR="0059376E" w:rsidRPr="007D5AF3" w:rsidRDefault="0059376E" w:rsidP="0059376E">
      <w:pPr>
        <w:pStyle w:val="BodyText"/>
        <w:rPr>
          <w:rFonts w:ascii="Calibri" w:hAnsi="Calibri"/>
        </w:rPr>
      </w:pPr>
      <w:r w:rsidRPr="007D5AF3">
        <w:rPr>
          <w:rFonts w:ascii="Calibri" w:hAnsi="Calibri"/>
          <w:u w:val="single"/>
        </w:rPr>
        <w:t>Strong ownership</w:t>
      </w:r>
      <w:r w:rsidRPr="007D5AF3">
        <w:rPr>
          <w:rFonts w:ascii="Calibri" w:hAnsi="Calibri"/>
        </w:rPr>
        <w:t xml:space="preserve"> at all levels of government, national, regional and municipal, and among the communities residing in and around the PAs has been a key ingredient of the project’s overall success; together with the solid working relationship between the Implementing Agency (UNDP) and Implementing Partner/Executing Agency (APA); and the technical competence, efficiency and commitment of the PMU in facilitating the delivery of project outputs in a well-coordinated, cost-effective and cohesive manner under the oversight of a responsive PEB that has met regularly and fulfilled its role with diligence.</w:t>
      </w:r>
    </w:p>
    <w:p w14:paraId="75B6DD6E" w14:textId="77777777" w:rsidR="0059376E" w:rsidRPr="007D5AF3" w:rsidRDefault="0059376E" w:rsidP="0059376E">
      <w:pPr>
        <w:pStyle w:val="BodyText"/>
        <w:rPr>
          <w:rFonts w:ascii="Calibri" w:hAnsi="Calibri"/>
        </w:rPr>
      </w:pPr>
      <w:r w:rsidRPr="007D5AF3">
        <w:rPr>
          <w:rFonts w:ascii="Calibri" w:hAnsi="Calibri"/>
        </w:rPr>
        <w:t xml:space="preserve">The strong ownership is reflected in the </w:t>
      </w:r>
      <w:r w:rsidRPr="007D5AF3">
        <w:rPr>
          <w:rFonts w:ascii="Calibri" w:hAnsi="Calibri"/>
          <w:u w:val="single"/>
        </w:rPr>
        <w:t>US$ 13.7 million committed in co-financing</w:t>
      </w:r>
      <w:r w:rsidRPr="007D5AF3">
        <w:rPr>
          <w:rFonts w:ascii="Calibri" w:hAnsi="Calibri"/>
        </w:rPr>
        <w:t xml:space="preserve"> from national, regional and municipal governments, much of which was used to improve vehicular access to the NPs and infrastructural facilities for park staff and visitors, as well as other donors working in the target PAs. This tenfold leverage of the GEF/UNDP grant (US$ 1.3 million) was a significant achievement in itself that increased further during project implementation in the case of APA (over US$ 440,000) and ARA (some US$ 35 million of additional expenditure of which the co-financing element is unknown - not disaggregated).</w:t>
      </w:r>
    </w:p>
    <w:p w14:paraId="0359ACD1" w14:textId="77777777" w:rsidR="0059376E" w:rsidRPr="007D5AF3" w:rsidRDefault="0059376E" w:rsidP="0059376E">
      <w:pPr>
        <w:pStyle w:val="BodyText"/>
        <w:spacing w:after="60"/>
        <w:rPr>
          <w:rFonts w:ascii="Calibri" w:hAnsi="Calibri"/>
        </w:rPr>
      </w:pPr>
      <w:r w:rsidRPr="007D5AF3">
        <w:rPr>
          <w:rFonts w:ascii="Calibri" w:hAnsi="Calibri"/>
          <w:u w:val="single"/>
        </w:rPr>
        <w:t>Strong coordinating mechanisms and partnerships</w:t>
      </w:r>
      <w:r w:rsidRPr="007D5AF3">
        <w:rPr>
          <w:rFonts w:ascii="Calibri" w:hAnsi="Calibri"/>
        </w:rPr>
        <w:t xml:space="preserve"> are another ingredient of this project’s success, albeit some need further strengthening. They include the following initiatives:</w:t>
      </w:r>
    </w:p>
    <w:p w14:paraId="2247781D" w14:textId="09AA0D91" w:rsidR="0059376E" w:rsidRPr="007D5AF3" w:rsidRDefault="0059376E" w:rsidP="0059376E">
      <w:pPr>
        <w:pStyle w:val="BodyText"/>
        <w:spacing w:after="60"/>
        <w:ind w:left="284" w:hanging="284"/>
        <w:rPr>
          <w:rFonts w:ascii="Calibri" w:hAnsi="Calibri"/>
        </w:rPr>
      </w:pPr>
      <w:r w:rsidRPr="007D5AF3">
        <w:rPr>
          <w:rFonts w:ascii="Menlo Bold" w:hAnsi="Menlo Bold" w:cs="Menlo Bold"/>
          <w:color w:val="008000"/>
        </w:rPr>
        <w:t>✔</w:t>
      </w:r>
      <w:r w:rsidRPr="007D5AF3">
        <w:rPr>
          <w:rFonts w:ascii="Calibri" w:hAnsi="Calibri" w:cs="Menlo Bold"/>
          <w:color w:val="008000"/>
        </w:rPr>
        <w:tab/>
      </w:r>
      <w:r w:rsidRPr="007D5AF3">
        <w:rPr>
          <w:rFonts w:ascii="Calibri" w:hAnsi="Calibri"/>
          <w:i/>
        </w:rPr>
        <w:t>Technical Coordinating Group</w:t>
      </w:r>
      <w:r w:rsidRPr="007D5AF3">
        <w:rPr>
          <w:rFonts w:ascii="Calibri" w:hAnsi="Calibri"/>
        </w:rPr>
        <w:t>: As planned and designed in the ProDoc, TCG was established post project inception to ensure coordination between the different donors investing in Colchic Forests and maximize opportunities for synergies. TCG proved crucial, as anticipated, in ensuring that the donor community knew about each other</w:t>
      </w:r>
      <w:r w:rsidR="00627644">
        <w:rPr>
          <w:rFonts w:ascii="Calibri" w:hAnsi="Calibri"/>
        </w:rPr>
        <w:t>’s</w:t>
      </w:r>
      <w:r w:rsidRPr="007D5AF3">
        <w:rPr>
          <w:rFonts w:ascii="Calibri" w:hAnsi="Calibri"/>
        </w:rPr>
        <w:t xml:space="preserve"> investments, activities and work plans. This enabled the project to fine-tune its own work plan, in relation to time-frames and budgets, deploy consultants most effectively in relation to training and capacity building activities, and be mindful of potential </w:t>
      </w:r>
      <w:r w:rsidRPr="007D5AF3">
        <w:rPr>
          <w:rFonts w:ascii="Calibri" w:hAnsi="Calibri"/>
        </w:rPr>
        <w:lastRenderedPageBreak/>
        <w:t>stakeholder fatigue when scheduling activities. The Group met once or twice a year and comprised: APA, CNF, EU Twinning Project, UNDP-GEF Achara PAs Project, KFW Support Program for Protected Areas (SPPA) with GFA Consulting Group, Eco-corridor Programme in the Caucasus and WWF Caucasus Programme. [</w:t>
      </w:r>
      <w:r w:rsidRPr="007D5AF3">
        <w:rPr>
          <w:rFonts w:ascii="Calibri" w:hAnsi="Calibri"/>
          <w:b/>
        </w:rPr>
        <w:t>Sections 3.1.8, 3.2.2</w:t>
      </w:r>
      <w:r w:rsidRPr="007D5AF3">
        <w:rPr>
          <w:rFonts w:ascii="Calibri" w:hAnsi="Calibri"/>
        </w:rPr>
        <w:t xml:space="preserve"> ]</w:t>
      </w:r>
    </w:p>
    <w:p w14:paraId="2AD7AE21" w14:textId="2F314197" w:rsidR="0059376E" w:rsidRPr="007D5AF3" w:rsidRDefault="0059376E" w:rsidP="0059376E">
      <w:pPr>
        <w:pStyle w:val="BodyText"/>
        <w:ind w:left="284" w:hanging="284"/>
        <w:rPr>
          <w:rFonts w:ascii="Calibri" w:hAnsi="Calibri"/>
        </w:rPr>
      </w:pPr>
      <w:r w:rsidRPr="007D5AF3">
        <w:rPr>
          <w:rFonts w:ascii="Menlo Bold" w:hAnsi="Menlo Bold" w:cs="Menlo Bold"/>
          <w:color w:val="008000"/>
        </w:rPr>
        <w:t>✔</w:t>
      </w:r>
      <w:r w:rsidRPr="007D5AF3">
        <w:rPr>
          <w:rFonts w:ascii="Calibri" w:hAnsi="Calibri" w:cs="Menlo Bold"/>
          <w:color w:val="008000"/>
        </w:rPr>
        <w:tab/>
      </w:r>
      <w:r w:rsidRPr="007D5AF3">
        <w:rPr>
          <w:rFonts w:ascii="Calibri" w:hAnsi="Calibri"/>
          <w:i/>
        </w:rPr>
        <w:t>PA Friends Associations:</w:t>
      </w:r>
      <w:r w:rsidRPr="007D5AF3">
        <w:rPr>
          <w:rFonts w:ascii="Calibri" w:hAnsi="Calibri"/>
        </w:rPr>
        <w:t xml:space="preserve"> Two of these were established under Output 1.2 provisions for constructive involvement of local communities in PA planning and co-management, the first for Kintrishi PA complex with KfW co-financing (SSPA project) and a second for Mtirala and Machakhela by the GEF project in August 2016 to support the two NPs and their respective buffer (support) zones. Key initiatives </w:t>
      </w:r>
      <w:r w:rsidR="00BF0E35">
        <w:rPr>
          <w:rFonts w:ascii="Calibri" w:hAnsi="Calibri"/>
        </w:rPr>
        <w:t xml:space="preserve">supported by the GEF project </w:t>
      </w:r>
      <w:r w:rsidRPr="007D5AF3">
        <w:rPr>
          <w:rFonts w:ascii="Calibri" w:hAnsi="Calibri"/>
        </w:rPr>
        <w:t xml:space="preserve">include: establishing Community Rangers in both NPs and Junior Rangers in Machakhela, working with municipalities on tourism and waste management, and supporting Eco-Clubs in schools. This Friends Association has proved very effective in securing the trust of local communities and NP staff in working together, as well as raising the profile of these two NPs among visitors, tourism operators and businesses more widely in Batumi. </w:t>
      </w:r>
    </w:p>
    <w:p w14:paraId="2F3FE74E" w14:textId="2EF96BC9" w:rsidR="0059376E" w:rsidRPr="007D5AF3" w:rsidRDefault="0059376E" w:rsidP="0059376E">
      <w:pPr>
        <w:pStyle w:val="BodyText"/>
        <w:ind w:left="284"/>
        <w:rPr>
          <w:rFonts w:ascii="Calibri" w:hAnsi="Calibri"/>
        </w:rPr>
      </w:pPr>
      <w:r w:rsidRPr="007D5AF3">
        <w:rPr>
          <w:rFonts w:ascii="Menlo Bold" w:hAnsi="Menlo Bold" w:cs="Menlo Bold"/>
          <w:color w:val="FF0000"/>
        </w:rPr>
        <w:t>✖</w:t>
      </w:r>
      <w:r w:rsidRPr="007D5AF3">
        <w:rPr>
          <w:rFonts w:ascii="Calibri" w:hAnsi="Calibri"/>
        </w:rPr>
        <w:tab/>
      </w:r>
      <w:r w:rsidRPr="007D5AF3">
        <w:rPr>
          <w:rFonts w:ascii="Calibri" w:hAnsi="Calibri"/>
          <w:u w:val="single"/>
        </w:rPr>
        <w:t>There remain significant shortcomings</w:t>
      </w:r>
      <w:r w:rsidRPr="007D5AF3">
        <w:rPr>
          <w:rFonts w:ascii="Calibri" w:hAnsi="Calibri"/>
        </w:rPr>
        <w:t xml:space="preserve"> with Mtirala and Machakhela National Parks Friends Association that need to be addressed in the immediate future. They include: future funding, which is not assured post the GEF project</w:t>
      </w:r>
      <w:r w:rsidR="005A7E93" w:rsidRPr="005A7E93">
        <w:rPr>
          <w:rFonts w:ascii="Calibri" w:hAnsi="Calibri"/>
          <w:szCs w:val="24"/>
          <w:vertAlign w:val="superscript"/>
        </w:rPr>
        <w:fldChar w:fldCharType="begin"/>
      </w:r>
      <w:r w:rsidR="005A7E93" w:rsidRPr="005A7E93">
        <w:rPr>
          <w:rFonts w:ascii="Calibri" w:hAnsi="Calibri"/>
          <w:szCs w:val="24"/>
          <w:vertAlign w:val="superscript"/>
        </w:rPr>
        <w:instrText xml:space="preserve"> NOTEREF _Ref413298165 \h </w:instrText>
      </w:r>
      <w:r w:rsidR="005A7E93" w:rsidRPr="005A7E93">
        <w:rPr>
          <w:rFonts w:ascii="Calibri" w:hAnsi="Calibri"/>
          <w:szCs w:val="24"/>
          <w:vertAlign w:val="superscript"/>
        </w:rPr>
      </w:r>
      <w:r w:rsidR="005A7E93" w:rsidRPr="005A7E93">
        <w:rPr>
          <w:rFonts w:ascii="Calibri" w:hAnsi="Calibri"/>
          <w:szCs w:val="24"/>
          <w:vertAlign w:val="superscript"/>
        </w:rPr>
        <w:fldChar w:fldCharType="separate"/>
      </w:r>
      <w:r w:rsidR="001E2C7B">
        <w:rPr>
          <w:rFonts w:ascii="Calibri" w:hAnsi="Calibri"/>
          <w:szCs w:val="24"/>
          <w:vertAlign w:val="superscript"/>
        </w:rPr>
        <w:t>36</w:t>
      </w:r>
      <w:r w:rsidR="005A7E93" w:rsidRPr="005A7E93">
        <w:rPr>
          <w:rFonts w:ascii="Calibri" w:hAnsi="Calibri"/>
          <w:szCs w:val="24"/>
          <w:vertAlign w:val="superscript"/>
        </w:rPr>
        <w:fldChar w:fldCharType="end"/>
      </w:r>
      <w:r w:rsidRPr="007D5AF3">
        <w:rPr>
          <w:rFonts w:ascii="Calibri" w:hAnsi="Calibri"/>
        </w:rPr>
        <w:t>; and review and consolidation of its role in the support and governance of the two NPs. The Association also needs to anticipate opportunities for change, given the proposed designation of Machakhela Protected Landscape and on-going review o</w:t>
      </w:r>
      <w:r>
        <w:rPr>
          <w:rFonts w:ascii="Calibri" w:hAnsi="Calibri"/>
        </w:rPr>
        <w:t>f PAs policy and legislation. [</w:t>
      </w:r>
      <w:r w:rsidRPr="007D5AF3">
        <w:rPr>
          <w:rFonts w:ascii="Calibri" w:hAnsi="Calibri"/>
          <w:b/>
        </w:rPr>
        <w:t>Section 4.3</w:t>
      </w:r>
      <w:r w:rsidRPr="007D5AF3">
        <w:rPr>
          <w:rFonts w:ascii="Calibri" w:hAnsi="Calibri"/>
        </w:rPr>
        <w:t>]</w:t>
      </w:r>
    </w:p>
    <w:p w14:paraId="41996178" w14:textId="661193A8" w:rsidR="0059376E" w:rsidRPr="007D5AF3" w:rsidRDefault="0059376E" w:rsidP="0059376E">
      <w:pPr>
        <w:pStyle w:val="BodyText"/>
        <w:ind w:left="284" w:hanging="284"/>
        <w:rPr>
          <w:rFonts w:ascii="Calibri" w:hAnsi="Calibri"/>
        </w:rPr>
      </w:pPr>
      <w:r w:rsidRPr="007D5AF3">
        <w:rPr>
          <w:rFonts w:ascii="Menlo Bold" w:hAnsi="Menlo Bold" w:cs="Menlo Bold"/>
          <w:color w:val="008000"/>
        </w:rPr>
        <w:t>✔</w:t>
      </w:r>
      <w:r w:rsidRPr="007D5AF3">
        <w:rPr>
          <w:rFonts w:ascii="Calibri" w:hAnsi="Calibri" w:cs="Menlo Bold"/>
          <w:color w:val="008000"/>
        </w:rPr>
        <w:tab/>
      </w:r>
      <w:r w:rsidRPr="007D5AF3">
        <w:rPr>
          <w:rFonts w:ascii="Calibri" w:hAnsi="Calibri"/>
          <w:i/>
        </w:rPr>
        <w:t>PA Advisory Councils</w:t>
      </w:r>
      <w:r w:rsidRPr="007D5AF3">
        <w:rPr>
          <w:rFonts w:ascii="Calibri" w:hAnsi="Calibri"/>
        </w:rPr>
        <w:t xml:space="preserve"> were established in 2017 for Mtirala and Machakhela, with 10 and 13 members, respectively. They replaced the former Scientific Advisory</w:t>
      </w:r>
      <w:r w:rsidR="005A7E93">
        <w:rPr>
          <w:rFonts w:ascii="Calibri" w:hAnsi="Calibri"/>
        </w:rPr>
        <w:t xml:space="preserve"> Councils</w:t>
      </w:r>
      <w:r w:rsidRPr="007D5AF3">
        <w:rPr>
          <w:rFonts w:ascii="Calibri" w:hAnsi="Calibri"/>
        </w:rPr>
        <w:t xml:space="preserve">, which were felt to be too science-focused and lacked representation from local communities and municipalities. These shortcomings have now been largely addressed but the Councils have yet to become fully functional. Feedback, both from PA Administrations and their stakeholders, suggests that their role needs to </w:t>
      </w:r>
      <w:r w:rsidR="005A7E93">
        <w:rPr>
          <w:rFonts w:ascii="Calibri" w:hAnsi="Calibri"/>
        </w:rPr>
        <w:t xml:space="preserve">be </w:t>
      </w:r>
      <w:r w:rsidRPr="007D5AF3">
        <w:rPr>
          <w:rFonts w:ascii="Calibri" w:hAnsi="Calibri"/>
        </w:rPr>
        <w:t>clarified, with clear ToRs, and capacities strengthened in order for them to become dynamic forces for change, modernizing the way in which PAs carry out their business.</w:t>
      </w:r>
    </w:p>
    <w:p w14:paraId="343D1309" w14:textId="4BB7AA93" w:rsidR="0059376E" w:rsidRPr="007D5AF3" w:rsidRDefault="0059376E" w:rsidP="0059376E">
      <w:pPr>
        <w:pStyle w:val="BodyText"/>
        <w:ind w:left="284"/>
        <w:rPr>
          <w:rFonts w:ascii="Calibri" w:hAnsi="Calibri"/>
        </w:rPr>
      </w:pPr>
      <w:r w:rsidRPr="007D5AF3">
        <w:rPr>
          <w:rFonts w:ascii="Menlo Bold" w:hAnsi="Menlo Bold" w:cs="Menlo Bold"/>
          <w:color w:val="FF0000"/>
        </w:rPr>
        <w:t>✖</w:t>
      </w:r>
      <w:r w:rsidRPr="007D5AF3">
        <w:rPr>
          <w:rFonts w:ascii="Calibri" w:hAnsi="Calibri" w:cs="Menlo Bold"/>
          <w:color w:val="FF0000"/>
        </w:rPr>
        <w:tab/>
      </w:r>
      <w:r w:rsidRPr="007D5AF3">
        <w:rPr>
          <w:rFonts w:ascii="Calibri" w:hAnsi="Calibri"/>
        </w:rPr>
        <w:t xml:space="preserve">Currently, in the case of some PA Administrations, meetings </w:t>
      </w:r>
      <w:r w:rsidR="002D3C1B">
        <w:rPr>
          <w:rFonts w:ascii="Calibri" w:hAnsi="Calibri"/>
        </w:rPr>
        <w:t xml:space="preserve">with Advisory Councils </w:t>
      </w:r>
      <w:r w:rsidRPr="007D5AF3">
        <w:rPr>
          <w:rFonts w:ascii="Calibri" w:hAnsi="Calibri"/>
        </w:rPr>
        <w:t xml:space="preserve">are held irregularly and at the decision of the Director; they tend to be narrowly focused on NP interests and matters of conflict between the PA and its resident/nearby communities; </w:t>
      </w:r>
      <w:r w:rsidRPr="00955506">
        <w:rPr>
          <w:rFonts w:ascii="Calibri" w:hAnsi="Calibri"/>
        </w:rPr>
        <w:t>and they lack structure and</w:t>
      </w:r>
      <w:r w:rsidRPr="007D5AF3">
        <w:rPr>
          <w:rFonts w:ascii="Calibri" w:hAnsi="Calibri"/>
        </w:rPr>
        <w:t xml:space="preserve"> a proper framework that is tied into the management plan and annual work plan or equivalent. Mutual accountability between the PA and its Advisory Council has yet to be realized.</w:t>
      </w:r>
      <w:r>
        <w:rPr>
          <w:rFonts w:ascii="Calibri" w:hAnsi="Calibri"/>
        </w:rPr>
        <w:t xml:space="preserve"> [</w:t>
      </w:r>
      <w:r w:rsidRPr="007D5AF3">
        <w:rPr>
          <w:rFonts w:ascii="Calibri" w:hAnsi="Calibri"/>
          <w:b/>
        </w:rPr>
        <w:t>Sections 3.2.2, 3.3.3</w:t>
      </w:r>
      <w:r>
        <w:rPr>
          <w:rFonts w:ascii="Calibri" w:hAnsi="Calibri"/>
        </w:rPr>
        <w:t>]</w:t>
      </w:r>
    </w:p>
    <w:p w14:paraId="260FFCF7" w14:textId="678C072F" w:rsidR="0059376E" w:rsidRPr="007D5AF3" w:rsidRDefault="0059376E" w:rsidP="0059376E">
      <w:pPr>
        <w:pStyle w:val="BodyText"/>
        <w:rPr>
          <w:rFonts w:ascii="Calibri" w:hAnsi="Calibri"/>
        </w:rPr>
      </w:pPr>
      <w:r w:rsidRPr="007D5AF3">
        <w:rPr>
          <w:rFonts w:ascii="Calibri" w:hAnsi="Calibri"/>
          <w:u w:val="single"/>
        </w:rPr>
        <w:t>A wide range of quality feasibility studies, assessments, strategies, plans and other studies ha</w:t>
      </w:r>
      <w:r>
        <w:rPr>
          <w:rFonts w:ascii="Calibri" w:hAnsi="Calibri"/>
          <w:u w:val="single"/>
        </w:rPr>
        <w:t>s</w:t>
      </w:r>
      <w:r w:rsidRPr="007D5AF3">
        <w:rPr>
          <w:rFonts w:ascii="Calibri" w:hAnsi="Calibri"/>
          <w:u w:val="single"/>
        </w:rPr>
        <w:t xml:space="preserve"> been completed by competent consultants procured by the project</w:t>
      </w:r>
      <w:r w:rsidRPr="007D5AF3">
        <w:rPr>
          <w:rFonts w:ascii="Calibri" w:hAnsi="Calibri"/>
        </w:rPr>
        <w:t xml:space="preserve">. This material provides a wealth of knowledge on the values of the natural capital and ecosystem services within Achara’s network of protected Colchic Forests, along with guidance on their conservation management and sustainable use. </w:t>
      </w:r>
      <w:r w:rsidR="00105310" w:rsidRPr="007D5AF3">
        <w:rPr>
          <w:rFonts w:ascii="Calibri" w:hAnsi="Calibri"/>
        </w:rPr>
        <w:t xml:space="preserve">Notable </w:t>
      </w:r>
      <w:r w:rsidR="00105310">
        <w:rPr>
          <w:rFonts w:ascii="Calibri" w:hAnsi="Calibri"/>
        </w:rPr>
        <w:t>is the</w:t>
      </w:r>
      <w:r w:rsidR="00105310" w:rsidRPr="007D5AF3">
        <w:rPr>
          <w:rFonts w:ascii="Calibri" w:hAnsi="Calibri"/>
        </w:rPr>
        <w:t xml:space="preserve"> </w:t>
      </w:r>
      <w:r w:rsidR="00105310" w:rsidRPr="00A22F37">
        <w:rPr>
          <w:rFonts w:ascii="Calibri" w:hAnsi="Calibri"/>
          <w:i/>
        </w:rPr>
        <w:t>Assessment of the Ajara Protected Areas’ Ecosystem Service Values and Benefits</w:t>
      </w:r>
      <w:r w:rsidR="00105310">
        <w:rPr>
          <w:rFonts w:ascii="Calibri" w:hAnsi="Calibri"/>
        </w:rPr>
        <w:t>, and its companion,</w:t>
      </w:r>
      <w:r w:rsidR="00105310" w:rsidRPr="00A22F37">
        <w:rPr>
          <w:rFonts w:ascii="Calibri" w:hAnsi="Calibri"/>
          <w:i/>
        </w:rPr>
        <w:t xml:space="preserve"> Options for Generating Sustainable Revenues for the Target PAs and for Local Communities</w:t>
      </w:r>
      <w:r w:rsidR="00105310">
        <w:rPr>
          <w:rFonts w:ascii="Calibri" w:hAnsi="Calibri"/>
        </w:rPr>
        <w:t>, which perhaps for the first time highlight</w:t>
      </w:r>
      <w:r w:rsidR="00105310" w:rsidRPr="007D5AF3">
        <w:rPr>
          <w:rFonts w:ascii="Calibri" w:hAnsi="Calibri"/>
        </w:rPr>
        <w:t xml:space="preserve"> the</w:t>
      </w:r>
      <w:r w:rsidR="00105310">
        <w:rPr>
          <w:rFonts w:ascii="Calibri" w:hAnsi="Calibri"/>
        </w:rPr>
        <w:t xml:space="preserve"> wider economic importance of Colchic forests in addition to their nature conservation values. Other examples include: </w:t>
      </w:r>
      <w:r w:rsidRPr="007D5AF3">
        <w:rPr>
          <w:rFonts w:ascii="Calibri" w:hAnsi="Calibri"/>
          <w:i/>
        </w:rPr>
        <w:t>Machakhela National Park Management Plan (2017-2023)</w:t>
      </w:r>
      <w:r w:rsidRPr="007D5AF3">
        <w:rPr>
          <w:rFonts w:ascii="Calibri" w:hAnsi="Calibri"/>
        </w:rPr>
        <w:t xml:space="preserve">, </w:t>
      </w:r>
      <w:r w:rsidRPr="007D5AF3">
        <w:rPr>
          <w:rFonts w:ascii="Calibri" w:hAnsi="Calibri"/>
          <w:i/>
        </w:rPr>
        <w:t>Ajara Protected Areas Sustainable Tourism Strategy</w:t>
      </w:r>
      <w:r w:rsidRPr="007D5AF3">
        <w:rPr>
          <w:rFonts w:ascii="Calibri" w:hAnsi="Calibri"/>
        </w:rPr>
        <w:t xml:space="preserve">, a set of </w:t>
      </w:r>
      <w:r w:rsidRPr="007D5AF3">
        <w:rPr>
          <w:rFonts w:ascii="Calibri" w:hAnsi="Calibri"/>
          <w:i/>
        </w:rPr>
        <w:t>Tourism Development Strategies and Action Plans</w:t>
      </w:r>
      <w:r w:rsidRPr="007D5AF3">
        <w:rPr>
          <w:rFonts w:ascii="Calibri" w:hAnsi="Calibri"/>
        </w:rPr>
        <w:t xml:space="preserve"> for each of the target PAs (Kintrishi, </w:t>
      </w:r>
      <w:r w:rsidRPr="007D5AF3">
        <w:rPr>
          <w:rFonts w:ascii="Calibri" w:hAnsi="Calibri"/>
        </w:rPr>
        <w:lastRenderedPageBreak/>
        <w:t>Mtirala and Macha</w:t>
      </w:r>
      <w:r w:rsidR="00496FB1" w:rsidRPr="002D3C1B">
        <w:rPr>
          <w:rFonts w:ascii="Calibri" w:hAnsi="Calibri"/>
        </w:rPr>
        <w:t>k</w:t>
      </w:r>
      <w:r w:rsidRPr="007D5AF3">
        <w:rPr>
          <w:rFonts w:ascii="Calibri" w:hAnsi="Calibri"/>
        </w:rPr>
        <w:t xml:space="preserve">hela) and a </w:t>
      </w:r>
      <w:r w:rsidRPr="007D5AF3">
        <w:rPr>
          <w:rFonts w:ascii="Calibri" w:hAnsi="Calibri"/>
          <w:i/>
        </w:rPr>
        <w:t>Pilot Route in Machakhela National Park</w:t>
      </w:r>
      <w:r w:rsidRPr="007D5AF3">
        <w:rPr>
          <w:rFonts w:ascii="Calibri" w:hAnsi="Calibri"/>
        </w:rPr>
        <w:t xml:space="preserve"> </w:t>
      </w:r>
      <w:r w:rsidR="00330D6C">
        <w:rPr>
          <w:rFonts w:ascii="Calibri" w:hAnsi="Calibri"/>
        </w:rPr>
        <w:t xml:space="preserve">that is </w:t>
      </w:r>
      <w:r w:rsidRPr="007D5AF3">
        <w:rPr>
          <w:rFonts w:ascii="Calibri" w:hAnsi="Calibri"/>
        </w:rPr>
        <w:t xml:space="preserve">of recreational interest to visitors while safeguarding the area’s natural and cultural heritage. </w:t>
      </w:r>
    </w:p>
    <w:p w14:paraId="4E684827" w14:textId="59241953" w:rsidR="0059376E" w:rsidRPr="007D5AF3" w:rsidRDefault="0059376E" w:rsidP="0059376E">
      <w:pPr>
        <w:pStyle w:val="BodyText"/>
        <w:rPr>
          <w:rFonts w:ascii="Calibri" w:hAnsi="Calibri"/>
        </w:rPr>
      </w:pPr>
      <w:r w:rsidRPr="007D5AF3">
        <w:rPr>
          <w:rFonts w:ascii="Calibri" w:hAnsi="Calibri"/>
          <w:u w:val="single"/>
        </w:rPr>
        <w:t xml:space="preserve">The </w:t>
      </w:r>
      <w:r w:rsidRPr="007D5AF3">
        <w:rPr>
          <w:rFonts w:ascii="Calibri" w:hAnsi="Calibri"/>
          <w:i/>
          <w:u w:val="single"/>
        </w:rPr>
        <w:t>in situ</w:t>
      </w:r>
      <w:r w:rsidRPr="007D5AF3">
        <w:rPr>
          <w:rFonts w:ascii="Calibri" w:hAnsi="Calibri"/>
          <w:u w:val="single"/>
        </w:rPr>
        <w:t xml:space="preserve"> presence and action-oriented, tangible results have been an outstanding strength of the project</w:t>
      </w:r>
      <w:r w:rsidRPr="007D5AF3">
        <w:rPr>
          <w:rFonts w:ascii="Calibri" w:hAnsi="Calibri"/>
        </w:rPr>
        <w:t>, particularly among the communities and also municipalities. It is abundantly clear from the TE field visits that the project has a high, respected profile for facilitating and demonstrating change that can be sustained in ways that improve the environment and/or livelihoods. Under Output 2.3, which focused on establishing operational capacity within Machakhela NP, for example, the project supported the NP Administration</w:t>
      </w:r>
      <w:r w:rsidR="000601F9">
        <w:rPr>
          <w:rFonts w:ascii="Calibri" w:hAnsi="Calibri"/>
        </w:rPr>
        <w:t xml:space="preserve"> to </w:t>
      </w:r>
      <w:r w:rsidRPr="007D5AF3">
        <w:rPr>
          <w:rFonts w:ascii="Calibri" w:hAnsi="Calibri"/>
        </w:rPr>
        <w:t>renovate its office and a visitor centre</w:t>
      </w:r>
      <w:r w:rsidR="000601F9">
        <w:rPr>
          <w:rFonts w:ascii="Calibri" w:hAnsi="Calibri"/>
        </w:rPr>
        <w:t>;</w:t>
      </w:r>
      <w:r w:rsidRPr="007D5AF3">
        <w:rPr>
          <w:rFonts w:ascii="Calibri" w:hAnsi="Calibri"/>
        </w:rPr>
        <w:t xml:space="preserve"> buil</w:t>
      </w:r>
      <w:r w:rsidR="000601F9">
        <w:rPr>
          <w:rFonts w:ascii="Calibri" w:hAnsi="Calibri"/>
        </w:rPr>
        <w:t>t</w:t>
      </w:r>
      <w:r w:rsidRPr="007D5AF3">
        <w:rPr>
          <w:rFonts w:ascii="Calibri" w:hAnsi="Calibri"/>
        </w:rPr>
        <w:t xml:space="preserve"> capacity in management plan implementation, GIS</w:t>
      </w:r>
      <w:r w:rsidR="000601F9">
        <w:rPr>
          <w:rFonts w:ascii="Calibri" w:hAnsi="Calibri"/>
        </w:rPr>
        <w:t xml:space="preserve"> and</w:t>
      </w:r>
      <w:r w:rsidRPr="007D5AF3">
        <w:rPr>
          <w:rFonts w:ascii="Calibri" w:hAnsi="Calibri"/>
        </w:rPr>
        <w:t xml:space="preserve"> monitoring</w:t>
      </w:r>
      <w:r w:rsidR="000601F9">
        <w:rPr>
          <w:rFonts w:ascii="Calibri" w:hAnsi="Calibri"/>
        </w:rPr>
        <w:t>;</w:t>
      </w:r>
      <w:r w:rsidRPr="007D5AF3">
        <w:rPr>
          <w:rFonts w:ascii="Calibri" w:hAnsi="Calibri"/>
        </w:rPr>
        <w:t xml:space="preserve"> outsource</w:t>
      </w:r>
      <w:r w:rsidR="000601F9">
        <w:rPr>
          <w:rFonts w:ascii="Calibri" w:hAnsi="Calibri"/>
        </w:rPr>
        <w:t>d</w:t>
      </w:r>
      <w:r w:rsidRPr="007D5AF3">
        <w:rPr>
          <w:rFonts w:ascii="Calibri" w:hAnsi="Calibri"/>
        </w:rPr>
        <w:t xml:space="preserve"> the development of a Tourism Strategy &amp; Action Plan and </w:t>
      </w:r>
      <w:r w:rsidR="000601F9">
        <w:rPr>
          <w:rFonts w:ascii="Calibri" w:hAnsi="Calibri"/>
        </w:rPr>
        <w:t xml:space="preserve">funded the </w:t>
      </w:r>
      <w:r w:rsidRPr="007D5AF3">
        <w:rPr>
          <w:rFonts w:ascii="Calibri" w:hAnsi="Calibri"/>
        </w:rPr>
        <w:t>develop</w:t>
      </w:r>
      <w:r w:rsidR="000601F9">
        <w:rPr>
          <w:rFonts w:ascii="Calibri" w:hAnsi="Calibri"/>
        </w:rPr>
        <w:t>ment of</w:t>
      </w:r>
      <w:r w:rsidRPr="007D5AF3">
        <w:rPr>
          <w:rFonts w:ascii="Calibri" w:hAnsi="Calibri"/>
        </w:rPr>
        <w:t xml:space="preserve"> tourist trails. Project actions in the Support Zone, now proposed as a Protected Landscape, included: a participatory process to develop a </w:t>
      </w:r>
      <w:r w:rsidRPr="007D5AF3">
        <w:rPr>
          <w:rFonts w:ascii="Calibri" w:hAnsi="Calibri"/>
          <w:i/>
        </w:rPr>
        <w:t>Support Zone Community Action Plan</w:t>
      </w:r>
      <w:r w:rsidRPr="007D5AF3">
        <w:rPr>
          <w:rFonts w:ascii="Calibri" w:hAnsi="Calibri"/>
        </w:rPr>
        <w:t xml:space="preserve">, 4 infrastructure projects cost shared with the community (bus-stop shelter, water supply infrastructure and a service centre for funerals, training/capacity building in agriculture, forest management, greenhouses, tourism services and supporting the establishment of </w:t>
      </w:r>
      <w:r w:rsidR="005D5400">
        <w:rPr>
          <w:rFonts w:ascii="Calibri" w:hAnsi="Calibri"/>
        </w:rPr>
        <w:t xml:space="preserve">9 </w:t>
      </w:r>
      <w:r w:rsidRPr="007D5AF3">
        <w:rPr>
          <w:rFonts w:ascii="Calibri" w:hAnsi="Calibri"/>
        </w:rPr>
        <w:t>cooperatives for bee-keeping, hazelnut cleaning, hay production and a vehicle for transporting produce to markets. Reduction in fuel wood demand by use of alternatives (hazelnut shells, solar, briquettes) was piloted in 16 households and replicated in 65 households the following year (2018).</w:t>
      </w:r>
    </w:p>
    <w:p w14:paraId="11A4D165" w14:textId="6843163D" w:rsidR="0059376E" w:rsidRPr="007D5AF3" w:rsidRDefault="0059376E" w:rsidP="0059376E">
      <w:pPr>
        <w:pStyle w:val="BodyText"/>
        <w:rPr>
          <w:rFonts w:ascii="Calibri" w:hAnsi="Calibri"/>
        </w:rPr>
      </w:pPr>
      <w:r w:rsidRPr="0013571E">
        <w:rPr>
          <w:rFonts w:ascii="Calibri" w:hAnsi="Calibri"/>
          <w:u w:val="single"/>
        </w:rPr>
        <w:t xml:space="preserve">The fact that Achara’s Colchic Forests are being nominated for World Heritage listing in early 2019 is an accolade for all those </w:t>
      </w:r>
      <w:r>
        <w:rPr>
          <w:rFonts w:ascii="Calibri" w:hAnsi="Calibri"/>
          <w:u w:val="single"/>
        </w:rPr>
        <w:t xml:space="preserve">project </w:t>
      </w:r>
      <w:r w:rsidRPr="0013571E">
        <w:rPr>
          <w:rFonts w:ascii="Calibri" w:hAnsi="Calibri"/>
          <w:u w:val="single"/>
        </w:rPr>
        <w:t>stakeholders in government, NGOs, communities and academia who have contributed their expertise and support to this opportunity to raise the profile of this property</w:t>
      </w:r>
      <w:r>
        <w:rPr>
          <w:rFonts w:ascii="Calibri" w:hAnsi="Calibri"/>
          <w:u w:val="single"/>
        </w:rPr>
        <w:t>’s</w:t>
      </w:r>
      <w:r w:rsidRPr="0013571E">
        <w:rPr>
          <w:rFonts w:ascii="Calibri" w:hAnsi="Calibri"/>
          <w:u w:val="single"/>
        </w:rPr>
        <w:t xml:space="preserve"> globally significant </w:t>
      </w:r>
      <w:r w:rsidR="005D5400">
        <w:rPr>
          <w:rFonts w:ascii="Calibri" w:hAnsi="Calibri"/>
          <w:u w:val="single"/>
        </w:rPr>
        <w:t>biodiversity</w:t>
      </w:r>
      <w:r w:rsidR="005969C4">
        <w:rPr>
          <w:rStyle w:val="FootnoteReference"/>
          <w:rFonts w:ascii="Calibri" w:hAnsi="Calibri"/>
          <w:u w:val="single"/>
        </w:rPr>
        <w:footnoteReference w:id="1"/>
      </w:r>
      <w:r w:rsidRPr="007D5AF3">
        <w:rPr>
          <w:rFonts w:ascii="Calibri" w:hAnsi="Calibri"/>
        </w:rPr>
        <w:t>. It is also timely with respect to the end of the GEF project as the heightened awareness of the importance of Colchic Forests will help to maintain the momentum generated by the project to conserve this natural heritage and safeguard its ecosystem services for the benefit of the local communities, visitors and society at large.</w:t>
      </w:r>
    </w:p>
    <w:p w14:paraId="7B01BF45" w14:textId="77777777" w:rsidR="0059376E" w:rsidRPr="007D5AF3" w:rsidRDefault="0059376E" w:rsidP="0059376E">
      <w:pPr>
        <w:pStyle w:val="BodyText"/>
        <w:rPr>
          <w:rFonts w:ascii="Calibri" w:hAnsi="Calibri"/>
        </w:rPr>
      </w:pPr>
      <w:r w:rsidRPr="009A08C9">
        <w:rPr>
          <w:rFonts w:ascii="Calibri" w:hAnsi="Calibri"/>
          <w:u w:val="single"/>
        </w:rPr>
        <w:t>Further credit is due to the project for planning its Exit Strategy from the beginning of 2018</w:t>
      </w:r>
      <w:r w:rsidRPr="007D5AF3">
        <w:rPr>
          <w:rFonts w:ascii="Calibri" w:hAnsi="Calibri"/>
        </w:rPr>
        <w:t xml:space="preserve">, one year up front, to help ensure that its achievements in terms of capacities developed, mechanisms and processes initiated, bodies set up and new funds generated are sustained and institutionalised as appropriate. </w:t>
      </w:r>
    </w:p>
    <w:p w14:paraId="0D13A105" w14:textId="77777777" w:rsidR="0059376E" w:rsidRPr="008115AB" w:rsidRDefault="0059376E" w:rsidP="0059376E">
      <w:pPr>
        <w:pStyle w:val="BodyText"/>
        <w:spacing w:before="240"/>
        <w:rPr>
          <w:rFonts w:ascii="Calibri" w:hAnsi="Calibri"/>
        </w:rPr>
      </w:pPr>
      <w:r w:rsidRPr="008115AB">
        <w:rPr>
          <w:rFonts w:ascii="Calibri" w:hAnsi="Calibri"/>
        </w:rPr>
        <w:t>MAIN SHORTCOMINGS</w:t>
      </w:r>
    </w:p>
    <w:p w14:paraId="45150679" w14:textId="2E77B75A" w:rsidR="0059376E" w:rsidRDefault="0059376E" w:rsidP="0059376E">
      <w:pPr>
        <w:pStyle w:val="BodyText"/>
        <w:rPr>
          <w:rFonts w:ascii="Calibri" w:hAnsi="Calibri" w:cs="Corbel"/>
        </w:rPr>
      </w:pPr>
      <w:r w:rsidRPr="0094265B">
        <w:rPr>
          <w:rFonts w:ascii="Menlo Bold" w:hAnsi="Menlo Bold" w:cs="Menlo Bold"/>
          <w:b/>
          <w:color w:val="FF0000"/>
        </w:rPr>
        <w:t>✖</w:t>
      </w:r>
      <w:r>
        <w:rPr>
          <w:rFonts w:ascii="Menlo Bold" w:hAnsi="Menlo Bold" w:cs="Menlo Bold"/>
          <w:b/>
          <w:color w:val="FF0000"/>
        </w:rPr>
        <w:t xml:space="preserve"> </w:t>
      </w:r>
      <w:r w:rsidRPr="0013571E">
        <w:rPr>
          <w:rFonts w:ascii="Calibri" w:hAnsi="Calibri"/>
          <w:b/>
          <w:u w:val="single"/>
        </w:rPr>
        <w:t xml:space="preserve">Existing PA policy and legislation </w:t>
      </w:r>
      <w:r w:rsidRPr="0013571E">
        <w:rPr>
          <w:rFonts w:ascii="Calibri" w:hAnsi="Calibri"/>
          <w:u w:val="single"/>
        </w:rPr>
        <w:t>is a significant, over-arching constraint that has limited the project’s achievements</w:t>
      </w:r>
      <w:r w:rsidRPr="0013571E">
        <w:rPr>
          <w:rFonts w:ascii="Calibri" w:hAnsi="Calibri"/>
        </w:rPr>
        <w:t xml:space="preserve">. This was identified as a moderate risk in the ProDoc where it is stated in the table on page 44: ‘Current institutions show limited support for “de-concentration” </w:t>
      </w:r>
      <w:r w:rsidR="00F453CD">
        <w:rPr>
          <w:rFonts w:ascii="Calibri" w:hAnsi="Calibri"/>
        </w:rPr>
        <w:t xml:space="preserve">[of] </w:t>
      </w:r>
      <w:r w:rsidRPr="0013571E">
        <w:rPr>
          <w:rFonts w:ascii="Calibri" w:hAnsi="Calibri"/>
        </w:rPr>
        <w:t xml:space="preserve">management authority to PA Administrations or to changes needed to improve PA management cost-effectiveness.’ This risk features in the SRF for which the assumption is that ‘APA will allow sufficient “de-concentration” of management to allow more adaptive management.’ Cleary this has not happened for whatever reasons, although </w:t>
      </w:r>
      <w:r w:rsidRPr="0013571E">
        <w:rPr>
          <w:rFonts w:ascii="Calibri" w:hAnsi="Calibri"/>
        </w:rPr>
        <w:lastRenderedPageBreak/>
        <w:t xml:space="preserve">the current legislation that is now over 20 years old is acknowledged to be a barrier, but the fundamental point highlighted in the ProDoc is that a prerequisite for PA Administrations to successfully implement their management plans is the ability to apply adaptive management. Failure to adapt management in response to implementation realities will compromise both the effectiveness to achieve planned objectives and the cost efficiency of PA actions. PA Administrations currently face two barriers to being able to apply adaptive </w:t>
      </w:r>
      <w:r w:rsidRPr="0013571E">
        <w:rPr>
          <w:rFonts w:ascii="Calibri" w:hAnsi="Calibri" w:cs="Corbel"/>
        </w:rPr>
        <w:t xml:space="preserve">management: a) they lack the capacity, experience and confidence to adapt management in response to changing conditions; and b) they lack the opportunity </w:t>
      </w:r>
      <w:r w:rsidR="00F453CD">
        <w:rPr>
          <w:rFonts w:ascii="Calibri" w:hAnsi="Calibri" w:cs="Corbel"/>
        </w:rPr>
        <w:t xml:space="preserve">to do so </w:t>
      </w:r>
      <w:r w:rsidRPr="0013571E">
        <w:rPr>
          <w:rFonts w:ascii="Calibri" w:hAnsi="Calibri" w:cs="Corbel"/>
        </w:rPr>
        <w:t>due to the current highly centralized nature of management planning and operations in Georgia.</w:t>
      </w:r>
      <w:r w:rsidR="00E94EFC">
        <w:rPr>
          <w:rStyle w:val="FootnoteReference"/>
          <w:rFonts w:ascii="Calibri" w:hAnsi="Calibri" w:cs="Corbel"/>
        </w:rPr>
        <w:footnoteReference w:id="2"/>
      </w:r>
      <w:r w:rsidRPr="0013571E">
        <w:rPr>
          <w:rFonts w:ascii="Calibri" w:hAnsi="Calibri" w:cs="Corbel"/>
        </w:rPr>
        <w:t xml:space="preserve"> </w:t>
      </w:r>
    </w:p>
    <w:p w14:paraId="52A618A3" w14:textId="77777777" w:rsidR="0059376E" w:rsidRPr="0013571E" w:rsidRDefault="0059376E" w:rsidP="0059376E">
      <w:pPr>
        <w:pStyle w:val="BodyText"/>
        <w:rPr>
          <w:rFonts w:ascii="Calibri" w:hAnsi="Calibri" w:cs="Corbel"/>
        </w:rPr>
      </w:pPr>
      <w:r w:rsidRPr="0013571E">
        <w:rPr>
          <w:rFonts w:ascii="Calibri" w:hAnsi="Calibri" w:cs="Corbel"/>
        </w:rPr>
        <w:t xml:space="preserve">While the project has been able to address barrier (a) to some extent through training and other forms of capacity building, barrier (b) persists and PA Administrations continue to have little of no autonomy, with no decision-making powers delegated to them or their board and no direct access to or control over their budgets. </w:t>
      </w:r>
      <w:r w:rsidRPr="0013571E">
        <w:rPr>
          <w:rFonts w:ascii="Calibri" w:hAnsi="Calibri" w:cs="Corbel"/>
          <w:u w:val="single"/>
        </w:rPr>
        <w:t>This is crippling effective and efficient PA management</w:t>
      </w:r>
      <w:r w:rsidRPr="0013571E">
        <w:rPr>
          <w:rFonts w:ascii="Calibri" w:hAnsi="Calibri" w:cs="Corbel"/>
        </w:rPr>
        <w:t xml:space="preserve"> and undermining the value and potential of other investments in individual PAs and the PA network as a whole.</w:t>
      </w:r>
      <w:r w:rsidRPr="0013571E">
        <w:rPr>
          <w:rFonts w:ascii="Calibri" w:hAnsi="Calibri"/>
        </w:rPr>
        <w:t xml:space="preserve"> [</w:t>
      </w:r>
      <w:r w:rsidRPr="0013571E">
        <w:rPr>
          <w:rFonts w:ascii="Calibri" w:hAnsi="Calibri"/>
          <w:b/>
        </w:rPr>
        <w:t>Section 4.3</w:t>
      </w:r>
      <w:r w:rsidRPr="0013571E">
        <w:rPr>
          <w:rFonts w:ascii="Calibri" w:hAnsi="Calibri"/>
        </w:rPr>
        <w:t>]</w:t>
      </w:r>
    </w:p>
    <w:p w14:paraId="490C0666" w14:textId="77777777" w:rsidR="0059376E" w:rsidRDefault="0059376E" w:rsidP="0059376E">
      <w:pPr>
        <w:pStyle w:val="BodyText"/>
        <w:rPr>
          <w:rFonts w:ascii="Calibri" w:hAnsi="Calibri"/>
          <w:b/>
        </w:rPr>
      </w:pPr>
      <w:r w:rsidRPr="0094265B">
        <w:rPr>
          <w:rFonts w:ascii="Menlo Bold" w:hAnsi="Menlo Bold" w:cs="Menlo Bold"/>
          <w:b/>
          <w:color w:val="FF0000"/>
        </w:rPr>
        <w:t>✖</w:t>
      </w:r>
      <w:r>
        <w:rPr>
          <w:rFonts w:ascii="Menlo Bold" w:hAnsi="Menlo Bold" w:cs="Menlo Bold"/>
          <w:b/>
          <w:color w:val="FF0000"/>
        </w:rPr>
        <w:t xml:space="preserve"> </w:t>
      </w:r>
      <w:r w:rsidRPr="0013571E">
        <w:rPr>
          <w:rFonts w:ascii="Calibri" w:hAnsi="Calibri"/>
          <w:b/>
        </w:rPr>
        <w:t>Project Design - Strategic Results Framework</w:t>
      </w:r>
      <w:r w:rsidRPr="0013571E">
        <w:rPr>
          <w:rFonts w:ascii="Calibri" w:hAnsi="Calibri"/>
        </w:rPr>
        <w:t xml:space="preserve"> is weak on a number of accounts:</w:t>
      </w:r>
    </w:p>
    <w:p w14:paraId="6D5E4115" w14:textId="77777777" w:rsidR="0059376E" w:rsidRDefault="0059376E" w:rsidP="0059376E">
      <w:pPr>
        <w:pStyle w:val="BodyText"/>
        <w:ind w:left="284"/>
        <w:rPr>
          <w:rFonts w:ascii="Calibri" w:hAnsi="Calibri"/>
          <w:b/>
        </w:rPr>
      </w:pPr>
      <w:r w:rsidRPr="006E20E1">
        <w:rPr>
          <w:rFonts w:ascii="Menlo Bold" w:hAnsi="Menlo Bold" w:cs="Menlo Bold"/>
          <w:b/>
          <w:color w:val="FF0000"/>
        </w:rPr>
        <w:t>✖</w:t>
      </w:r>
      <w:r>
        <w:rPr>
          <w:rFonts w:ascii="Calibri" w:hAnsi="Calibri"/>
          <w:b/>
        </w:rPr>
        <w:tab/>
      </w:r>
      <w:r w:rsidRPr="0013571E">
        <w:rPr>
          <w:rFonts w:ascii="Calibri" w:hAnsi="Calibri"/>
        </w:rPr>
        <w:t>Outcomes 1 and 2 are not clearly differentiated. Ostensibly, Outcome 1 covers the enhancement of effective management of Kintrishi and Mtirala, while Outcome 2 is focused on increasing functional connectivity by expanding the system with the addition of functional Machakhela NP. In all other respects inputs to and outputs from the two Outcomes are much the same; and the increase in functional connectivity under Outcome 2 is somewhat disingenuous: it is no more than a stepping stone to reduce the gap between two fragments of Colchic Forest. The opportunity to close the 6 km gap through appropriate sustainable land management and/or habitat recovery practices appears not to have been explored.</w:t>
      </w:r>
    </w:p>
    <w:p w14:paraId="53F3AE26" w14:textId="77777777" w:rsidR="0059376E" w:rsidRDefault="0059376E" w:rsidP="0059376E">
      <w:pPr>
        <w:pStyle w:val="BodyText"/>
        <w:ind w:left="284"/>
        <w:rPr>
          <w:rFonts w:ascii="Calibri" w:hAnsi="Calibri"/>
          <w:b/>
        </w:rPr>
      </w:pPr>
      <w:r w:rsidRPr="006E20E1">
        <w:rPr>
          <w:rFonts w:ascii="Menlo Bold" w:hAnsi="Menlo Bold" w:cs="Menlo Bold"/>
          <w:b/>
          <w:color w:val="FF0000"/>
        </w:rPr>
        <w:t>✖</w:t>
      </w:r>
      <w:r>
        <w:rPr>
          <w:rFonts w:ascii="Calibri" w:hAnsi="Calibri"/>
          <w:b/>
        </w:rPr>
        <w:tab/>
      </w:r>
      <w:r w:rsidRPr="0013571E">
        <w:rPr>
          <w:rFonts w:ascii="Calibri" w:hAnsi="Calibri"/>
        </w:rPr>
        <w:t>While baseline indicators adequately cover the project objective, their alignment with outcomes is inconsistent and in two cases there is major overlap between Objective and Outcome 2 indicators. Moreover, Component 1 is monitored by just two indicators, both of which focus on the same Output 1.1 (enforcement) and are somewhat duplicative. However, the bigger issue is that the other two outputs on community involvement in PAs co-management and financial sustainability</w:t>
      </w:r>
      <w:r>
        <w:rPr>
          <w:rFonts w:ascii="Calibri" w:hAnsi="Calibri"/>
        </w:rPr>
        <w:t xml:space="preserve"> of PAs are not tracked at all. </w:t>
      </w:r>
      <w:r w:rsidRPr="0013571E">
        <w:rPr>
          <w:rFonts w:ascii="Calibri" w:hAnsi="Calibri"/>
          <w:b/>
        </w:rPr>
        <w:t>[Sections 2.4, 3.1.1]</w:t>
      </w:r>
    </w:p>
    <w:p w14:paraId="466CDAD2" w14:textId="77777777" w:rsidR="0059376E" w:rsidRDefault="0059376E" w:rsidP="0059376E">
      <w:pPr>
        <w:pStyle w:val="BodyText"/>
        <w:ind w:left="284"/>
        <w:rPr>
          <w:rFonts w:ascii="Calibri" w:hAnsi="Calibri"/>
          <w:b/>
        </w:rPr>
      </w:pPr>
      <w:r w:rsidRPr="006E20E1">
        <w:rPr>
          <w:rFonts w:ascii="Menlo Bold" w:hAnsi="Menlo Bold" w:cs="Menlo Bold"/>
          <w:b/>
          <w:color w:val="FF0000"/>
        </w:rPr>
        <w:t>✖</w:t>
      </w:r>
      <w:r>
        <w:rPr>
          <w:rFonts w:ascii="Calibri" w:hAnsi="Calibri"/>
          <w:b/>
        </w:rPr>
        <w:tab/>
      </w:r>
      <w:r w:rsidRPr="0057784F">
        <w:rPr>
          <w:rFonts w:ascii="Calibri" w:hAnsi="Calibri"/>
        </w:rPr>
        <w:t>The risks and assumptions articulated in the ProDoc are not clearly integrated with the SRF, indeed several are absent; and, maybe as a consequence, their subsequent systematic review and reporting during project implementation appears weak, undermining the fact that they were well managed</w:t>
      </w:r>
      <w:r>
        <w:rPr>
          <w:rFonts w:ascii="Calibri" w:hAnsi="Calibri"/>
        </w:rPr>
        <w:t>.</w:t>
      </w:r>
      <w:r w:rsidRPr="0057784F">
        <w:rPr>
          <w:rFonts w:ascii="Calibri" w:hAnsi="Calibri"/>
        </w:rPr>
        <w:t xml:space="preserve"> </w:t>
      </w:r>
      <w:r>
        <w:rPr>
          <w:rFonts w:ascii="Calibri" w:hAnsi="Calibri"/>
        </w:rPr>
        <w:t>[</w:t>
      </w:r>
      <w:r w:rsidRPr="0057784F">
        <w:rPr>
          <w:rFonts w:ascii="Calibri" w:hAnsi="Calibri"/>
          <w:b/>
        </w:rPr>
        <w:t>Section 3.1.2</w:t>
      </w:r>
      <w:r>
        <w:rPr>
          <w:rFonts w:ascii="Calibri" w:hAnsi="Calibri"/>
        </w:rPr>
        <w:t>]</w:t>
      </w:r>
    </w:p>
    <w:p w14:paraId="56C4C1CC" w14:textId="5AB80914" w:rsidR="00C95F80" w:rsidRPr="001E4967" w:rsidRDefault="00B866DF" w:rsidP="008115AB">
      <w:pPr>
        <w:tabs>
          <w:tab w:val="left" w:pos="3087"/>
        </w:tabs>
        <w:spacing w:before="240" w:after="120"/>
        <w:jc w:val="both"/>
        <w:rPr>
          <w:rFonts w:asciiTheme="minorHAnsi" w:hAnsiTheme="minorHAnsi"/>
          <w:b/>
          <w:sz w:val="28"/>
          <w:lang w:val="en-US"/>
        </w:rPr>
      </w:pPr>
      <w:r w:rsidRPr="005718A5">
        <w:rPr>
          <w:rFonts w:asciiTheme="minorHAnsi" w:hAnsiTheme="minorHAnsi"/>
          <w:b/>
          <w:sz w:val="24"/>
          <w:highlight w:val="lightGray"/>
          <w:lang w:val="en-US"/>
        </w:rPr>
        <w:t>Evaluation Rating</w:t>
      </w:r>
      <w:r w:rsidR="00257F4D" w:rsidRPr="005718A5">
        <w:rPr>
          <w:rFonts w:asciiTheme="minorHAnsi" w:hAnsiTheme="minorHAnsi"/>
          <w:b/>
          <w:sz w:val="24"/>
          <w:highlight w:val="lightGray"/>
          <w:lang w:val="en-US"/>
        </w:rPr>
        <w:t>s</w:t>
      </w:r>
    </w:p>
    <w:p w14:paraId="554B86C6" w14:textId="2E05E060" w:rsidR="00D93BC6" w:rsidRDefault="0018335E" w:rsidP="000F5544">
      <w:pPr>
        <w:spacing w:after="120" w:line="240" w:lineRule="atLeast"/>
        <w:jc w:val="both"/>
        <w:rPr>
          <w:rFonts w:asciiTheme="minorHAnsi" w:hAnsiTheme="minorHAnsi"/>
          <w:sz w:val="24"/>
          <w:szCs w:val="24"/>
          <w:lang w:val="en-US"/>
        </w:rPr>
      </w:pPr>
      <w:r>
        <w:rPr>
          <w:rFonts w:ascii="Calibri" w:hAnsi="Calibri"/>
          <w:color w:val="000000"/>
          <w:sz w:val="24"/>
          <w:szCs w:val="24"/>
          <w:lang w:val="en-US"/>
        </w:rPr>
        <w:t xml:space="preserve">Based </w:t>
      </w:r>
      <w:r w:rsidR="009F739E" w:rsidRPr="00E22EBA">
        <w:rPr>
          <w:rFonts w:ascii="Calibri" w:hAnsi="Calibri"/>
          <w:color w:val="000000"/>
          <w:sz w:val="24"/>
          <w:szCs w:val="24"/>
          <w:lang w:val="en-US"/>
        </w:rPr>
        <w:t>on th</w:t>
      </w:r>
      <w:r w:rsidR="0059376E">
        <w:rPr>
          <w:rFonts w:ascii="Calibri" w:hAnsi="Calibri"/>
          <w:color w:val="000000"/>
          <w:sz w:val="24"/>
          <w:szCs w:val="24"/>
          <w:lang w:val="en-US"/>
        </w:rPr>
        <w:t>is evaluation of the overall results achieved, the project is</w:t>
      </w:r>
      <w:r w:rsidR="00A5148E">
        <w:rPr>
          <w:rFonts w:ascii="Calibri" w:hAnsi="Calibri"/>
          <w:color w:val="000000"/>
          <w:sz w:val="24"/>
          <w:szCs w:val="24"/>
          <w:lang w:val="en-US"/>
        </w:rPr>
        <w:t xml:space="preserve"> rat</w:t>
      </w:r>
      <w:r w:rsidR="0059376E">
        <w:rPr>
          <w:rFonts w:ascii="Calibri" w:hAnsi="Calibri"/>
          <w:color w:val="000000"/>
          <w:sz w:val="24"/>
          <w:szCs w:val="24"/>
          <w:lang w:val="en-US"/>
        </w:rPr>
        <w:t>ed as</w:t>
      </w:r>
      <w:r w:rsidR="00A5148E">
        <w:rPr>
          <w:rFonts w:ascii="Calibri" w:hAnsi="Calibri"/>
          <w:color w:val="000000"/>
          <w:sz w:val="24"/>
          <w:szCs w:val="24"/>
          <w:lang w:val="en-US"/>
        </w:rPr>
        <w:t xml:space="preserve"> </w:t>
      </w:r>
      <w:r>
        <w:rPr>
          <w:rFonts w:ascii="Calibri" w:hAnsi="Calibri"/>
          <w:b/>
          <w:color w:val="000000"/>
          <w:sz w:val="24"/>
          <w:szCs w:val="24"/>
          <w:lang w:val="en-US"/>
        </w:rPr>
        <w:t>S</w:t>
      </w:r>
      <w:r w:rsidR="00E70D39" w:rsidRPr="00E22EBA">
        <w:rPr>
          <w:rFonts w:ascii="Calibri" w:hAnsi="Calibri"/>
          <w:b/>
          <w:color w:val="000000"/>
          <w:sz w:val="24"/>
          <w:szCs w:val="24"/>
          <w:lang w:val="en-US"/>
        </w:rPr>
        <w:t>atisfactory</w:t>
      </w:r>
      <w:r w:rsidR="0059376E">
        <w:rPr>
          <w:rFonts w:ascii="Calibri" w:hAnsi="Calibri"/>
          <w:b/>
          <w:color w:val="000000"/>
          <w:sz w:val="24"/>
          <w:szCs w:val="24"/>
          <w:lang w:val="en-US"/>
        </w:rPr>
        <w:t xml:space="preserve">. </w:t>
      </w:r>
      <w:r w:rsidR="009F739E" w:rsidRPr="00E22EBA">
        <w:rPr>
          <w:rFonts w:ascii="Calibri" w:hAnsi="Calibri"/>
          <w:color w:val="000000"/>
          <w:sz w:val="24"/>
          <w:szCs w:val="24"/>
          <w:lang w:val="en-US"/>
        </w:rPr>
        <w:t>D</w:t>
      </w:r>
      <w:r w:rsidR="002931A4" w:rsidRPr="00E22EBA">
        <w:rPr>
          <w:rFonts w:ascii="Calibri" w:hAnsi="Calibri"/>
          <w:color w:val="000000"/>
          <w:sz w:val="24"/>
          <w:szCs w:val="24"/>
          <w:lang w:val="en-US"/>
        </w:rPr>
        <w:t>etailed ratings</w:t>
      </w:r>
      <w:r w:rsidR="004465A2" w:rsidRPr="00E22EBA">
        <w:rPr>
          <w:rFonts w:asciiTheme="minorHAnsi" w:hAnsiTheme="minorHAnsi"/>
          <w:sz w:val="24"/>
          <w:szCs w:val="24"/>
          <w:lang w:val="en-US"/>
        </w:rPr>
        <w:t xml:space="preserve"> are tabulated below</w:t>
      </w:r>
      <w:r>
        <w:rPr>
          <w:rFonts w:asciiTheme="minorHAnsi" w:hAnsiTheme="minorHAnsi"/>
          <w:sz w:val="24"/>
          <w:szCs w:val="24"/>
          <w:lang w:val="en-US"/>
        </w:rPr>
        <w:t xml:space="preserve"> and evidence is cross-referenced to the relevant sections of this TE report.</w:t>
      </w:r>
    </w:p>
    <w:tbl>
      <w:tblPr>
        <w:tblW w:w="5000"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710"/>
        <w:gridCol w:w="6866"/>
      </w:tblGrid>
      <w:tr w:rsidR="00692C5D" w:rsidRPr="00DF600A" w14:paraId="04BF5BA8" w14:textId="77777777" w:rsidTr="00692C5D">
        <w:trPr>
          <w:trHeight w:val="212"/>
        </w:trPr>
        <w:tc>
          <w:tcPr>
            <w:tcW w:w="879" w:type="pct"/>
            <w:tcBorders>
              <w:bottom w:val="single" w:sz="4" w:space="0" w:color="auto"/>
            </w:tcBorders>
            <w:shd w:val="clear" w:color="auto" w:fill="CCCCCC"/>
            <w:tcMar>
              <w:top w:w="113" w:type="dxa"/>
              <w:left w:w="57" w:type="dxa"/>
              <w:bottom w:w="113" w:type="dxa"/>
              <w:right w:w="57" w:type="dxa"/>
            </w:tcMar>
          </w:tcPr>
          <w:p w14:paraId="5333060B" w14:textId="77777777" w:rsidR="0018335E" w:rsidRPr="00DF600A" w:rsidRDefault="0018335E" w:rsidP="00C613AC">
            <w:pPr>
              <w:jc w:val="center"/>
              <w:rPr>
                <w:rFonts w:ascii="Calibri" w:eastAsia="MS Mincho" w:hAnsi="Calibri" w:cs="Arial"/>
                <w:b/>
                <w:sz w:val="20"/>
              </w:rPr>
            </w:pPr>
            <w:r w:rsidRPr="00DF600A">
              <w:rPr>
                <w:rFonts w:ascii="Calibri" w:eastAsia="MS Mincho" w:hAnsi="Calibri" w:cs="Arial"/>
                <w:b/>
                <w:sz w:val="20"/>
              </w:rPr>
              <w:lastRenderedPageBreak/>
              <w:t>Criteria</w:t>
            </w:r>
          </w:p>
        </w:tc>
        <w:tc>
          <w:tcPr>
            <w:tcW w:w="386" w:type="pct"/>
            <w:tcBorders>
              <w:bottom w:val="single" w:sz="4" w:space="0" w:color="auto"/>
            </w:tcBorders>
            <w:shd w:val="clear" w:color="auto" w:fill="CCCCCC"/>
            <w:tcMar>
              <w:top w:w="113" w:type="dxa"/>
              <w:left w:w="28" w:type="dxa"/>
              <w:bottom w:w="113" w:type="dxa"/>
              <w:right w:w="28" w:type="dxa"/>
            </w:tcMar>
          </w:tcPr>
          <w:p w14:paraId="677BB63A" w14:textId="77777777" w:rsidR="0018335E" w:rsidRPr="00DF600A" w:rsidRDefault="0018335E" w:rsidP="00C613AC">
            <w:pPr>
              <w:jc w:val="center"/>
              <w:rPr>
                <w:rFonts w:ascii="Calibri" w:eastAsia="MS Mincho" w:hAnsi="Calibri" w:cs="Arial"/>
                <w:b/>
                <w:sz w:val="20"/>
              </w:rPr>
            </w:pPr>
            <w:r w:rsidRPr="00DF600A">
              <w:rPr>
                <w:rFonts w:ascii="Calibri" w:eastAsia="MS Mincho" w:hAnsi="Calibri" w:cs="Arial"/>
                <w:b/>
                <w:sz w:val="20"/>
              </w:rPr>
              <w:t>Rating</w:t>
            </w:r>
          </w:p>
        </w:tc>
        <w:tc>
          <w:tcPr>
            <w:tcW w:w="3735" w:type="pct"/>
            <w:tcBorders>
              <w:bottom w:val="single" w:sz="4" w:space="0" w:color="auto"/>
            </w:tcBorders>
            <w:shd w:val="clear" w:color="auto" w:fill="CCCCCC"/>
            <w:tcMar>
              <w:top w:w="113" w:type="dxa"/>
              <w:bottom w:w="113" w:type="dxa"/>
            </w:tcMar>
          </w:tcPr>
          <w:p w14:paraId="100AADEF" w14:textId="77777777" w:rsidR="0018335E" w:rsidRPr="00DF600A" w:rsidRDefault="0018335E" w:rsidP="00C613AC">
            <w:pPr>
              <w:jc w:val="center"/>
              <w:rPr>
                <w:rFonts w:ascii="Calibri" w:eastAsia="MS Mincho" w:hAnsi="Calibri" w:cs="Arial"/>
                <w:sz w:val="20"/>
              </w:rPr>
            </w:pPr>
            <w:r w:rsidRPr="00DF600A">
              <w:rPr>
                <w:rFonts w:ascii="Calibri" w:eastAsia="MS Mincho" w:hAnsi="Calibri" w:cs="Arial"/>
                <w:b/>
                <w:sz w:val="20"/>
              </w:rPr>
              <w:t>Comments</w:t>
            </w:r>
          </w:p>
        </w:tc>
      </w:tr>
      <w:tr w:rsidR="0018335E" w:rsidRPr="00DF600A" w14:paraId="7B5C8DBC" w14:textId="77777777" w:rsidTr="00A664E2">
        <w:tc>
          <w:tcPr>
            <w:tcW w:w="5000" w:type="pct"/>
            <w:gridSpan w:val="3"/>
            <w:shd w:val="clear" w:color="auto" w:fill="E6E6E6"/>
            <w:tcMar>
              <w:top w:w="28" w:type="dxa"/>
              <w:left w:w="57" w:type="dxa"/>
              <w:bottom w:w="28" w:type="dxa"/>
              <w:right w:w="57" w:type="dxa"/>
            </w:tcMar>
          </w:tcPr>
          <w:p w14:paraId="3C2BE77D" w14:textId="77777777" w:rsidR="0018335E" w:rsidRPr="00DF600A" w:rsidRDefault="0018335E" w:rsidP="00C613AC">
            <w:pPr>
              <w:rPr>
                <w:rFonts w:ascii="Calibri" w:eastAsia="MS Mincho" w:hAnsi="Calibri" w:cs="Arial"/>
                <w:sz w:val="20"/>
              </w:rPr>
            </w:pPr>
            <w:r w:rsidRPr="00DF600A">
              <w:rPr>
                <w:rFonts w:ascii="Calibri" w:eastAsia="MS Mincho" w:hAnsi="Calibri" w:cs="Arial"/>
                <w:b/>
                <w:sz w:val="20"/>
              </w:rPr>
              <w:t xml:space="preserve">Monitoring and Evaluation </w:t>
            </w:r>
            <w:r w:rsidRPr="00DF600A">
              <w:rPr>
                <w:rFonts w:ascii="Calibri" w:eastAsia="MS Mincho" w:hAnsi="Calibri" w:cs="Arial"/>
                <w:bCs/>
                <w:sz w:val="20"/>
              </w:rPr>
              <w:t>(using 6-point satisfaction scale)</w:t>
            </w:r>
          </w:p>
        </w:tc>
      </w:tr>
      <w:tr w:rsidR="00692C5D" w:rsidRPr="00DF600A" w14:paraId="3C17054C" w14:textId="77777777" w:rsidTr="00692C5D">
        <w:tc>
          <w:tcPr>
            <w:tcW w:w="879" w:type="pct"/>
            <w:shd w:val="clear" w:color="auto" w:fill="auto"/>
            <w:tcMar>
              <w:left w:w="57" w:type="dxa"/>
            </w:tcMar>
          </w:tcPr>
          <w:p w14:paraId="28B651A5" w14:textId="77777777" w:rsidR="0018335E" w:rsidRPr="00DF600A" w:rsidRDefault="0018335E" w:rsidP="00C613AC">
            <w:pPr>
              <w:rPr>
                <w:rFonts w:ascii="Calibri" w:eastAsia="MS Mincho" w:hAnsi="Calibri" w:cs="Arial"/>
                <w:b/>
                <w:sz w:val="20"/>
              </w:rPr>
            </w:pPr>
            <w:r w:rsidRPr="00DF600A">
              <w:rPr>
                <w:rFonts w:ascii="Calibri" w:eastAsia="MS Mincho" w:hAnsi="Calibri" w:cs="Arial"/>
                <w:sz w:val="20"/>
              </w:rPr>
              <w:t>Overall quality of M&amp;E</w:t>
            </w:r>
          </w:p>
        </w:tc>
        <w:tc>
          <w:tcPr>
            <w:tcW w:w="386" w:type="pct"/>
            <w:tcMar>
              <w:top w:w="28" w:type="dxa"/>
              <w:left w:w="57" w:type="dxa"/>
              <w:bottom w:w="28" w:type="dxa"/>
              <w:right w:w="57" w:type="dxa"/>
            </w:tcMar>
          </w:tcPr>
          <w:p w14:paraId="7566F397" w14:textId="77777777" w:rsidR="0018335E" w:rsidRPr="00DF600A" w:rsidRDefault="0018335E" w:rsidP="00C613AC">
            <w:pPr>
              <w:jc w:val="center"/>
              <w:rPr>
                <w:rFonts w:ascii="Calibri" w:eastAsia="MS Mincho" w:hAnsi="Calibri" w:cs="Arial"/>
                <w:b/>
                <w:sz w:val="20"/>
              </w:rPr>
            </w:pPr>
            <w:r>
              <w:rPr>
                <w:rFonts w:ascii="Calibri" w:eastAsia="MS Mincho" w:hAnsi="Calibri" w:cs="Arial"/>
                <w:b/>
                <w:sz w:val="20"/>
              </w:rPr>
              <w:t>S</w:t>
            </w:r>
          </w:p>
        </w:tc>
        <w:tc>
          <w:tcPr>
            <w:tcW w:w="3735" w:type="pct"/>
            <w:tcMar>
              <w:left w:w="57" w:type="dxa"/>
              <w:right w:w="57" w:type="dxa"/>
            </w:tcMar>
          </w:tcPr>
          <w:p w14:paraId="099BE118" w14:textId="77777777" w:rsidR="0018335E" w:rsidRPr="00DF600A" w:rsidRDefault="0018335E" w:rsidP="00C613AC">
            <w:pPr>
              <w:tabs>
                <w:tab w:val="right" w:pos="6227"/>
              </w:tabs>
              <w:spacing w:before="40"/>
              <w:rPr>
                <w:rFonts w:ascii="Calibri" w:eastAsia="MS Mincho" w:hAnsi="Calibri" w:cs="Arial"/>
                <w:sz w:val="20"/>
              </w:rPr>
            </w:pPr>
            <w:r w:rsidRPr="003C6B82">
              <w:rPr>
                <w:rFonts w:ascii="Calibri" w:eastAsia="MS Mincho" w:hAnsi="Calibri" w:cs="Arial"/>
                <w:sz w:val="20"/>
              </w:rPr>
              <w:t xml:space="preserve">Overall, </w:t>
            </w:r>
            <w:r>
              <w:rPr>
                <w:rFonts w:ascii="Calibri" w:eastAsia="MS Mincho" w:hAnsi="Calibri" w:cs="Arial"/>
                <w:sz w:val="20"/>
              </w:rPr>
              <w:t>M&amp;E</w:t>
            </w:r>
            <w:r w:rsidRPr="003C6B82">
              <w:rPr>
                <w:rFonts w:ascii="Calibri" w:eastAsia="MS Mincho" w:hAnsi="Calibri" w:cs="Arial"/>
                <w:sz w:val="20"/>
              </w:rPr>
              <w:t xml:space="preserve"> is satisfactory</w:t>
            </w:r>
            <w:r>
              <w:rPr>
                <w:rFonts w:ascii="Calibri" w:eastAsia="MS Mincho" w:hAnsi="Calibri" w:cs="Arial"/>
                <w:sz w:val="20"/>
              </w:rPr>
              <w:t>,</w:t>
            </w:r>
            <w:r w:rsidRPr="003C6B82">
              <w:rPr>
                <w:rFonts w:ascii="Calibri" w:eastAsia="MS Mincho" w:hAnsi="Calibri" w:cs="Arial"/>
                <w:sz w:val="20"/>
              </w:rPr>
              <w:t xml:space="preserve"> based on the higher of the two ratings for design at entry and implementation</w:t>
            </w:r>
            <w:r>
              <w:rPr>
                <w:rFonts w:ascii="Calibri" w:eastAsia="MS Mincho" w:hAnsi="Calibri" w:cs="Arial"/>
                <w:sz w:val="20"/>
              </w:rPr>
              <w:t>. P</w:t>
            </w:r>
            <w:r w:rsidRPr="003C6B82">
              <w:rPr>
                <w:rFonts w:ascii="Calibri" w:eastAsia="MS Mincho" w:hAnsi="Calibri" w:cs="Arial"/>
                <w:sz w:val="20"/>
              </w:rPr>
              <w:t xml:space="preserve">roject-level </w:t>
            </w:r>
            <w:r>
              <w:rPr>
                <w:rFonts w:ascii="Calibri" w:eastAsia="MS Mincho" w:hAnsi="Calibri" w:cs="Arial"/>
                <w:sz w:val="20"/>
              </w:rPr>
              <w:t>M&amp;E</w:t>
            </w:r>
            <w:r w:rsidRPr="003C6B82">
              <w:rPr>
                <w:rFonts w:ascii="Calibri" w:eastAsia="MS Mincho" w:hAnsi="Calibri" w:cs="Arial"/>
                <w:sz w:val="20"/>
              </w:rPr>
              <w:t xml:space="preserve"> systems were considered </w:t>
            </w:r>
            <w:r>
              <w:rPr>
                <w:rFonts w:ascii="Calibri" w:eastAsia="MS Mincho" w:hAnsi="Calibri" w:cs="Arial"/>
                <w:sz w:val="20"/>
              </w:rPr>
              <w:t xml:space="preserve">in the MTR </w:t>
            </w:r>
            <w:r w:rsidRPr="003C6B82">
              <w:rPr>
                <w:rFonts w:ascii="Calibri" w:eastAsia="MS Mincho" w:hAnsi="Calibri" w:cs="Arial"/>
                <w:sz w:val="20"/>
              </w:rPr>
              <w:t>to be ‘satisfactory</w:t>
            </w:r>
            <w:r>
              <w:rPr>
                <w:rFonts w:ascii="Calibri" w:eastAsia="MS Mincho" w:hAnsi="Calibri" w:cs="Arial"/>
                <w:sz w:val="20"/>
              </w:rPr>
              <w:t>’ but no account was</w:t>
            </w:r>
            <w:r w:rsidRPr="003C6B82">
              <w:rPr>
                <w:rFonts w:ascii="Calibri" w:eastAsia="MS Mincho" w:hAnsi="Calibri" w:cs="Arial"/>
                <w:sz w:val="20"/>
              </w:rPr>
              <w:t xml:space="preserve"> taken of the design framework and budget for the M&amp;E Plan</w:t>
            </w:r>
            <w:r>
              <w:rPr>
                <w:rFonts w:ascii="Calibri" w:eastAsia="MS Mincho" w:hAnsi="Calibri" w:cs="Arial"/>
                <w:sz w:val="20"/>
              </w:rPr>
              <w:t xml:space="preserve"> in the ProDoc</w:t>
            </w:r>
            <w:r w:rsidRPr="003C6B82">
              <w:rPr>
                <w:rFonts w:ascii="Calibri" w:eastAsia="MS Mincho" w:hAnsi="Calibri" w:cs="Arial"/>
                <w:sz w:val="20"/>
              </w:rPr>
              <w:t xml:space="preserve">, both of which impacted on </w:t>
            </w:r>
            <w:r>
              <w:rPr>
                <w:rFonts w:ascii="Calibri" w:eastAsia="MS Mincho" w:hAnsi="Calibri" w:cs="Arial"/>
                <w:sz w:val="20"/>
              </w:rPr>
              <w:t xml:space="preserve">M&amp;E </w:t>
            </w:r>
            <w:r w:rsidRPr="003C6B82">
              <w:rPr>
                <w:rFonts w:ascii="Calibri" w:eastAsia="MS Mincho" w:hAnsi="Calibri" w:cs="Arial"/>
                <w:sz w:val="20"/>
              </w:rPr>
              <w:t xml:space="preserve">implementation </w:t>
            </w:r>
            <w:r>
              <w:rPr>
                <w:rFonts w:ascii="Calibri" w:eastAsia="MS Mincho" w:hAnsi="Calibri" w:cs="Arial"/>
                <w:sz w:val="20"/>
              </w:rPr>
              <w:t xml:space="preserve">in terms of </w:t>
            </w:r>
            <w:r w:rsidRPr="003C6B82">
              <w:rPr>
                <w:rFonts w:ascii="Calibri" w:eastAsia="MS Mincho" w:hAnsi="Calibri" w:cs="Arial"/>
                <w:sz w:val="20"/>
              </w:rPr>
              <w:t>SMARTNESS (lack of) and resources (inadequate).</w:t>
            </w:r>
            <w:r>
              <w:rPr>
                <w:rFonts w:ascii="Calibri" w:eastAsia="MS Mincho" w:hAnsi="Calibri" w:cs="Arial"/>
                <w:sz w:val="20"/>
              </w:rPr>
              <w:tab/>
              <w:t>[</w:t>
            </w:r>
            <w:r w:rsidRPr="00DF600A">
              <w:rPr>
                <w:rFonts w:ascii="Calibri" w:eastAsia="MS Mincho" w:hAnsi="Calibri" w:cs="Arial"/>
                <w:sz w:val="20"/>
              </w:rPr>
              <w:t xml:space="preserve">Further details in </w:t>
            </w:r>
            <w:r>
              <w:rPr>
                <w:rFonts w:ascii="Calibri" w:eastAsia="MS Mincho" w:hAnsi="Calibri" w:cs="Arial"/>
                <w:b/>
                <w:sz w:val="20"/>
              </w:rPr>
              <w:t>Section 3.2</w:t>
            </w:r>
            <w:r w:rsidRPr="00DF600A">
              <w:rPr>
                <w:rFonts w:ascii="Calibri" w:eastAsia="MS Mincho" w:hAnsi="Calibri" w:cs="Arial"/>
                <w:b/>
                <w:sz w:val="20"/>
              </w:rPr>
              <w:t>.</w:t>
            </w:r>
            <w:r>
              <w:rPr>
                <w:rFonts w:ascii="Calibri" w:eastAsia="MS Mincho" w:hAnsi="Calibri" w:cs="Arial"/>
                <w:b/>
                <w:sz w:val="20"/>
              </w:rPr>
              <w:t>5]</w:t>
            </w:r>
          </w:p>
        </w:tc>
      </w:tr>
      <w:tr w:rsidR="00692C5D" w:rsidRPr="00DF600A" w14:paraId="3F7B3C82" w14:textId="77777777" w:rsidTr="00692C5D">
        <w:tc>
          <w:tcPr>
            <w:tcW w:w="879" w:type="pct"/>
            <w:shd w:val="clear" w:color="auto" w:fill="auto"/>
            <w:tcMar>
              <w:left w:w="57" w:type="dxa"/>
            </w:tcMar>
          </w:tcPr>
          <w:p w14:paraId="5A331B8F" w14:textId="77777777" w:rsidR="0018335E" w:rsidRPr="00DF600A" w:rsidRDefault="0018335E" w:rsidP="00C613AC">
            <w:pPr>
              <w:rPr>
                <w:rFonts w:ascii="Calibri" w:eastAsia="MS Mincho" w:hAnsi="Calibri" w:cs="Arial"/>
                <w:i/>
                <w:sz w:val="20"/>
              </w:rPr>
            </w:pPr>
            <w:r w:rsidRPr="00DF600A">
              <w:rPr>
                <w:rFonts w:ascii="Calibri" w:eastAsia="MS Mincho" w:hAnsi="Calibri" w:cs="Arial"/>
                <w:i/>
                <w:sz w:val="20"/>
              </w:rPr>
              <w:t xml:space="preserve">M&amp;E design at </w:t>
            </w:r>
            <w:r>
              <w:rPr>
                <w:rFonts w:ascii="Calibri" w:eastAsia="MS Mincho" w:hAnsi="Calibri" w:cs="Arial"/>
                <w:i/>
                <w:sz w:val="20"/>
              </w:rPr>
              <w:t>entry</w:t>
            </w:r>
          </w:p>
        </w:tc>
        <w:tc>
          <w:tcPr>
            <w:tcW w:w="386" w:type="pct"/>
            <w:tcMar>
              <w:top w:w="28" w:type="dxa"/>
              <w:left w:w="57" w:type="dxa"/>
              <w:bottom w:w="28" w:type="dxa"/>
              <w:right w:w="57" w:type="dxa"/>
            </w:tcMar>
          </w:tcPr>
          <w:p w14:paraId="75B52CD0" w14:textId="77777777" w:rsidR="0018335E" w:rsidRPr="00DF600A" w:rsidRDefault="0018335E" w:rsidP="00C613AC">
            <w:pPr>
              <w:jc w:val="center"/>
              <w:rPr>
                <w:rFonts w:ascii="Calibri" w:eastAsia="MS Mincho" w:hAnsi="Calibri" w:cs="Arial"/>
                <w:b/>
                <w:sz w:val="20"/>
              </w:rPr>
            </w:pPr>
            <w:r w:rsidRPr="00DF600A">
              <w:rPr>
                <w:rFonts w:ascii="Calibri" w:eastAsia="MS Mincho" w:hAnsi="Calibri" w:cs="Arial"/>
                <w:b/>
                <w:sz w:val="20"/>
              </w:rPr>
              <w:t>MS</w:t>
            </w:r>
          </w:p>
        </w:tc>
        <w:tc>
          <w:tcPr>
            <w:tcW w:w="3735" w:type="pct"/>
            <w:tcMar>
              <w:left w:w="57" w:type="dxa"/>
              <w:right w:w="57" w:type="dxa"/>
            </w:tcMar>
          </w:tcPr>
          <w:p w14:paraId="42852F08" w14:textId="77777777" w:rsidR="0018335E" w:rsidRPr="0099619A" w:rsidRDefault="0018335E" w:rsidP="00C613AC">
            <w:pPr>
              <w:spacing w:before="40"/>
              <w:rPr>
                <w:rFonts w:ascii="Calibri" w:eastAsia="MS Mincho" w:hAnsi="Calibri" w:cs="Arial"/>
                <w:sz w:val="20"/>
              </w:rPr>
            </w:pPr>
            <w:r w:rsidRPr="0099619A">
              <w:rPr>
                <w:rFonts w:ascii="Zapf Dingbats" w:eastAsia="MS Mincho" w:hAnsi="Zapf Dingbats" w:cs="Arial"/>
                <w:b/>
                <w:color w:val="008000"/>
                <w:sz w:val="20"/>
              </w:rPr>
              <w:t>✔</w:t>
            </w:r>
            <w:r>
              <w:rPr>
                <w:rFonts w:ascii="Zapf Dingbats" w:eastAsia="MS Mincho" w:hAnsi="Zapf Dingbats" w:cs="Arial"/>
                <w:sz w:val="20"/>
              </w:rPr>
              <w:t></w:t>
            </w:r>
            <w:r w:rsidRPr="0099619A">
              <w:rPr>
                <w:rFonts w:ascii="Calibri" w:eastAsia="MS Mincho" w:hAnsi="Calibri" w:cs="Arial"/>
                <w:sz w:val="20"/>
              </w:rPr>
              <w:t>M&amp;E Plan in the ProDoc was reasonably extensive, with a comprehensive framework of monitoring activities.</w:t>
            </w:r>
            <w:r>
              <w:rPr>
                <w:rFonts w:ascii="Calibri" w:eastAsia="MS Mincho" w:hAnsi="Calibri" w:cs="Arial"/>
                <w:sz w:val="20"/>
              </w:rPr>
              <w:t xml:space="preserve"> </w:t>
            </w:r>
            <w:r w:rsidRPr="0099619A">
              <w:rPr>
                <w:rFonts w:ascii="Calibri" w:eastAsia="MS Mincho" w:hAnsi="Calibri" w:cs="Arial"/>
                <w:sz w:val="20"/>
              </w:rPr>
              <w:t>Baseline informa</w:t>
            </w:r>
            <w:r>
              <w:rPr>
                <w:rFonts w:ascii="Calibri" w:eastAsia="MS Mincho" w:hAnsi="Calibri" w:cs="Arial"/>
                <w:sz w:val="20"/>
              </w:rPr>
              <w:t>tion was compiled, including</w:t>
            </w:r>
            <w:r w:rsidRPr="0099619A">
              <w:rPr>
                <w:rFonts w:ascii="Calibri" w:eastAsia="MS Mincho" w:hAnsi="Calibri" w:cs="Arial"/>
                <w:sz w:val="20"/>
              </w:rPr>
              <w:t xml:space="preserve"> status of indicators at project start and GEF</w:t>
            </w:r>
            <w:r>
              <w:rPr>
                <w:rFonts w:ascii="Calibri" w:eastAsia="MS Mincho" w:hAnsi="Calibri" w:cs="Arial"/>
                <w:sz w:val="20"/>
              </w:rPr>
              <w:t xml:space="preserve"> </w:t>
            </w:r>
            <w:r w:rsidRPr="0099619A">
              <w:rPr>
                <w:rFonts w:ascii="Calibri" w:eastAsia="MS Mincho" w:hAnsi="Calibri" w:cs="Arial"/>
                <w:sz w:val="20"/>
              </w:rPr>
              <w:t>Management Effectiveness Tracking Tool (METT) for PAs.</w:t>
            </w:r>
          </w:p>
          <w:p w14:paraId="0A6A2F55" w14:textId="77777777" w:rsidR="0018335E" w:rsidRPr="0099619A" w:rsidRDefault="0018335E" w:rsidP="00C613AC">
            <w:pPr>
              <w:spacing w:before="40"/>
              <w:rPr>
                <w:rFonts w:ascii="Calibri" w:eastAsia="MS Mincho" w:hAnsi="Calibri" w:cs="Arial"/>
                <w:sz w:val="20"/>
              </w:rPr>
            </w:pPr>
            <w:r w:rsidRPr="0099619A">
              <w:rPr>
                <w:rFonts w:ascii="Zapf Dingbats" w:eastAsia="MS Mincho" w:hAnsi="Zapf Dingbats" w:cs="Arial"/>
                <w:b/>
                <w:color w:val="FF0000"/>
                <w:sz w:val="20"/>
              </w:rPr>
              <w:t>✖</w:t>
            </w:r>
            <w:r w:rsidRPr="0099619A">
              <w:rPr>
                <w:rFonts w:ascii="Zapf Dingbats" w:eastAsia="MS Mincho" w:hAnsi="Zapf Dingbats" w:cs="Arial"/>
                <w:b/>
                <w:color w:val="FF0000"/>
                <w:sz w:val="20"/>
              </w:rPr>
              <w:t></w:t>
            </w:r>
            <w:r w:rsidRPr="0099619A">
              <w:rPr>
                <w:rFonts w:ascii="Calibri" w:eastAsia="MS Mincho" w:hAnsi="Calibri" w:cs="Arial"/>
                <w:sz w:val="20"/>
              </w:rPr>
              <w:t>Only US$ 43,000, little more than 3% of the GEF grant, were indicatively allocated for the M&amp;E Plan, with no provision for technical review of the SRF and M&amp;E during project inception and none for an independent external evaluator to undertak</w:t>
            </w:r>
            <w:r>
              <w:rPr>
                <w:rFonts w:ascii="Calibri" w:eastAsia="MS Mincho" w:hAnsi="Calibri" w:cs="Arial"/>
                <w:sz w:val="20"/>
              </w:rPr>
              <w:t>e a</w:t>
            </w:r>
            <w:r w:rsidRPr="0099619A">
              <w:rPr>
                <w:rFonts w:ascii="Calibri" w:eastAsia="MS Mincho" w:hAnsi="Calibri" w:cs="Arial"/>
                <w:sz w:val="20"/>
              </w:rPr>
              <w:t xml:space="preserve"> MTR. Instead, an internal MTR was planned</w:t>
            </w:r>
            <w:r>
              <w:rPr>
                <w:rFonts w:ascii="Calibri" w:eastAsia="MS Mincho" w:hAnsi="Calibri" w:cs="Arial"/>
                <w:sz w:val="20"/>
              </w:rPr>
              <w:t>, undertaken by the CO and UNDP-</w:t>
            </w:r>
            <w:r w:rsidRPr="0099619A">
              <w:rPr>
                <w:rFonts w:ascii="Calibri" w:eastAsia="MS Mincho" w:hAnsi="Calibri" w:cs="Arial"/>
                <w:sz w:val="20"/>
              </w:rPr>
              <w:t>GEF Regional Coordinating Unit. Apart from lack</w:t>
            </w:r>
            <w:r>
              <w:rPr>
                <w:rFonts w:ascii="Calibri" w:eastAsia="MS Mincho" w:hAnsi="Calibri" w:cs="Arial"/>
                <w:sz w:val="20"/>
              </w:rPr>
              <w:t>ing</w:t>
            </w:r>
            <w:r w:rsidRPr="0099619A">
              <w:rPr>
                <w:rFonts w:ascii="Calibri" w:eastAsia="MS Mincho" w:hAnsi="Calibri" w:cs="Arial"/>
                <w:sz w:val="20"/>
              </w:rPr>
              <w:t xml:space="preserve"> independence, this option is totally unrealistic</w:t>
            </w:r>
            <w:r>
              <w:rPr>
                <w:rFonts w:ascii="Calibri" w:eastAsia="MS Mincho" w:hAnsi="Calibri" w:cs="Arial"/>
                <w:sz w:val="20"/>
              </w:rPr>
              <w:t xml:space="preserve"> time-wise</w:t>
            </w:r>
            <w:r w:rsidRPr="0099619A">
              <w:rPr>
                <w:rFonts w:ascii="Calibri" w:eastAsia="MS Mincho" w:hAnsi="Calibri" w:cs="Arial"/>
                <w:sz w:val="20"/>
              </w:rPr>
              <w:t>.</w:t>
            </w:r>
          </w:p>
          <w:p w14:paraId="26A69929" w14:textId="77777777" w:rsidR="0018335E" w:rsidRDefault="0018335E" w:rsidP="00C613AC">
            <w:pPr>
              <w:tabs>
                <w:tab w:val="right" w:pos="6179"/>
              </w:tabs>
              <w:spacing w:before="40"/>
              <w:rPr>
                <w:rFonts w:ascii="Calibri" w:eastAsia="MS Mincho" w:hAnsi="Calibri" w:cs="Arial"/>
                <w:sz w:val="20"/>
              </w:rPr>
            </w:pPr>
            <w:r w:rsidRPr="0099619A">
              <w:rPr>
                <w:rFonts w:ascii="Zapf Dingbats" w:eastAsia="MS Mincho" w:hAnsi="Zapf Dingbats" w:cs="Arial"/>
                <w:b/>
                <w:color w:val="FF0000"/>
                <w:sz w:val="20"/>
              </w:rPr>
              <w:t>✖</w:t>
            </w:r>
            <w:r w:rsidRPr="0099619A">
              <w:rPr>
                <w:rFonts w:ascii="Zapf Dingbats" w:eastAsia="MS Mincho" w:hAnsi="Zapf Dingbats" w:cs="Arial"/>
                <w:b/>
                <w:color w:val="FF0000"/>
                <w:sz w:val="20"/>
              </w:rPr>
              <w:t></w:t>
            </w:r>
            <w:r>
              <w:rPr>
                <w:rFonts w:ascii="Calibri" w:eastAsia="MS Mincho" w:hAnsi="Calibri" w:cs="Arial"/>
                <w:sz w:val="20"/>
              </w:rPr>
              <w:t>D</w:t>
            </w:r>
            <w:r w:rsidRPr="0099619A">
              <w:rPr>
                <w:rFonts w:ascii="Calibri" w:eastAsia="MS Mincho" w:hAnsi="Calibri" w:cs="Arial"/>
                <w:sz w:val="20"/>
              </w:rPr>
              <w:t>esign of SRF ha</w:t>
            </w:r>
            <w:r>
              <w:rPr>
                <w:rFonts w:ascii="Calibri" w:eastAsia="MS Mincho" w:hAnsi="Calibri" w:cs="Arial"/>
                <w:sz w:val="20"/>
              </w:rPr>
              <w:t>s</w:t>
            </w:r>
            <w:r w:rsidRPr="0099619A">
              <w:rPr>
                <w:rFonts w:ascii="Calibri" w:eastAsia="MS Mincho" w:hAnsi="Calibri" w:cs="Arial"/>
                <w:sz w:val="20"/>
              </w:rPr>
              <w:t xml:space="preserve"> </w:t>
            </w:r>
            <w:r>
              <w:rPr>
                <w:rFonts w:ascii="Calibri" w:eastAsia="MS Mincho" w:hAnsi="Calibri" w:cs="Arial"/>
                <w:sz w:val="20"/>
              </w:rPr>
              <w:t xml:space="preserve">some </w:t>
            </w:r>
            <w:r w:rsidRPr="0099619A">
              <w:rPr>
                <w:rFonts w:ascii="Calibri" w:eastAsia="MS Mincho" w:hAnsi="Calibri" w:cs="Arial"/>
                <w:sz w:val="20"/>
              </w:rPr>
              <w:t>weaknesses</w:t>
            </w:r>
            <w:r>
              <w:rPr>
                <w:rFonts w:ascii="Calibri" w:eastAsia="MS Mincho" w:hAnsi="Calibri" w:cs="Arial"/>
                <w:sz w:val="20"/>
              </w:rPr>
              <w:t xml:space="preserve">: overlapping indicators, insufficient indicator coverage of Outcome 1 scope, inadequacies in </w:t>
            </w:r>
            <w:r w:rsidRPr="0099619A">
              <w:rPr>
                <w:rFonts w:ascii="Calibri" w:eastAsia="MS Mincho" w:hAnsi="Calibri" w:cs="Arial"/>
                <w:sz w:val="20"/>
              </w:rPr>
              <w:t>effectively monitoring illicit activities and their enforcement</w:t>
            </w:r>
            <w:r>
              <w:rPr>
                <w:rFonts w:ascii="Calibri" w:eastAsia="MS Mincho" w:hAnsi="Calibri" w:cs="Arial"/>
                <w:sz w:val="20"/>
              </w:rPr>
              <w:t>.</w:t>
            </w:r>
            <w:r w:rsidRPr="0099619A">
              <w:rPr>
                <w:rFonts w:ascii="Calibri" w:eastAsia="MS Mincho" w:hAnsi="Calibri" w:cs="Arial"/>
                <w:sz w:val="20"/>
              </w:rPr>
              <w:t xml:space="preserve"> </w:t>
            </w:r>
          </w:p>
          <w:p w14:paraId="604E8618" w14:textId="77777777" w:rsidR="0018335E" w:rsidRPr="00DF600A" w:rsidRDefault="0018335E" w:rsidP="00C613AC">
            <w:pPr>
              <w:tabs>
                <w:tab w:val="right" w:pos="6179"/>
              </w:tabs>
              <w:jc w:val="right"/>
              <w:rPr>
                <w:rFonts w:ascii="Calibri" w:eastAsia="MS Mincho" w:hAnsi="Calibri" w:cs="Arial"/>
                <w:sz w:val="20"/>
              </w:rPr>
            </w:pPr>
            <w:r>
              <w:rPr>
                <w:rFonts w:ascii="Calibri" w:eastAsia="MS Mincho" w:hAnsi="Calibri" w:cs="Arial"/>
                <w:sz w:val="20"/>
              </w:rPr>
              <w:t>[Further details in</w:t>
            </w:r>
            <w:r w:rsidRPr="0099619A">
              <w:rPr>
                <w:rFonts w:ascii="Calibri" w:eastAsia="MS Mincho" w:hAnsi="Calibri" w:cs="Arial"/>
                <w:sz w:val="20"/>
              </w:rPr>
              <w:t xml:space="preserve"> </w:t>
            </w:r>
            <w:r w:rsidRPr="0078389D">
              <w:rPr>
                <w:rFonts w:ascii="Calibri" w:eastAsia="MS Mincho" w:hAnsi="Calibri" w:cs="Arial"/>
                <w:b/>
                <w:sz w:val="20"/>
              </w:rPr>
              <w:t>Sections 2.4 and 3.1.1</w:t>
            </w:r>
            <w:r>
              <w:rPr>
                <w:rFonts w:ascii="Calibri" w:eastAsia="MS Mincho" w:hAnsi="Calibri" w:cs="Arial"/>
                <w:b/>
                <w:sz w:val="20"/>
              </w:rPr>
              <w:t xml:space="preserve"> and 3.2.5</w:t>
            </w:r>
            <w:r>
              <w:rPr>
                <w:rFonts w:ascii="Calibri" w:eastAsia="MS Mincho" w:hAnsi="Calibri" w:cs="Arial"/>
                <w:sz w:val="20"/>
              </w:rPr>
              <w:t>]</w:t>
            </w:r>
          </w:p>
        </w:tc>
      </w:tr>
      <w:tr w:rsidR="00692C5D" w:rsidRPr="00DF600A" w14:paraId="3AA79BD4" w14:textId="77777777" w:rsidTr="00692C5D">
        <w:tc>
          <w:tcPr>
            <w:tcW w:w="879" w:type="pct"/>
            <w:tcBorders>
              <w:bottom w:val="single" w:sz="4" w:space="0" w:color="auto"/>
            </w:tcBorders>
            <w:shd w:val="clear" w:color="auto" w:fill="auto"/>
            <w:tcMar>
              <w:left w:w="57" w:type="dxa"/>
            </w:tcMar>
          </w:tcPr>
          <w:p w14:paraId="75CD0F61" w14:textId="77777777" w:rsidR="0018335E" w:rsidRPr="00DF600A" w:rsidRDefault="0018335E" w:rsidP="00C613AC">
            <w:pPr>
              <w:rPr>
                <w:rFonts w:ascii="Calibri" w:eastAsia="MS Mincho" w:hAnsi="Calibri" w:cs="Arial"/>
                <w:i/>
                <w:sz w:val="20"/>
              </w:rPr>
            </w:pPr>
            <w:r w:rsidRPr="00DF600A">
              <w:rPr>
                <w:rFonts w:ascii="Calibri" w:eastAsia="MS Mincho" w:hAnsi="Calibri" w:cs="Arial"/>
                <w:i/>
                <w:sz w:val="20"/>
              </w:rPr>
              <w:t>M&amp;E Plan implementation</w:t>
            </w:r>
          </w:p>
        </w:tc>
        <w:tc>
          <w:tcPr>
            <w:tcW w:w="386" w:type="pct"/>
            <w:tcBorders>
              <w:bottom w:val="single" w:sz="4" w:space="0" w:color="auto"/>
            </w:tcBorders>
            <w:tcMar>
              <w:top w:w="28" w:type="dxa"/>
              <w:left w:w="57" w:type="dxa"/>
              <w:bottom w:w="28" w:type="dxa"/>
              <w:right w:w="57" w:type="dxa"/>
            </w:tcMar>
          </w:tcPr>
          <w:p w14:paraId="56D3F95E" w14:textId="77777777" w:rsidR="0018335E" w:rsidRPr="00DF600A" w:rsidRDefault="0018335E" w:rsidP="00C613AC">
            <w:pPr>
              <w:jc w:val="center"/>
              <w:rPr>
                <w:rFonts w:ascii="Calibri" w:eastAsia="MS Mincho" w:hAnsi="Calibri" w:cs="Arial"/>
                <w:b/>
                <w:sz w:val="20"/>
              </w:rPr>
            </w:pPr>
            <w:r>
              <w:rPr>
                <w:rFonts w:ascii="Calibri" w:eastAsia="MS Mincho" w:hAnsi="Calibri" w:cs="Arial"/>
                <w:b/>
                <w:sz w:val="20"/>
              </w:rPr>
              <w:t>S</w:t>
            </w:r>
          </w:p>
        </w:tc>
        <w:tc>
          <w:tcPr>
            <w:tcW w:w="3735" w:type="pct"/>
            <w:tcBorders>
              <w:bottom w:val="single" w:sz="4" w:space="0" w:color="auto"/>
            </w:tcBorders>
            <w:tcMar>
              <w:left w:w="57" w:type="dxa"/>
              <w:right w:w="57" w:type="dxa"/>
            </w:tcMar>
          </w:tcPr>
          <w:p w14:paraId="1D12722D" w14:textId="77777777" w:rsidR="0018335E" w:rsidRPr="00F337B3" w:rsidRDefault="0018335E" w:rsidP="00C613AC">
            <w:pPr>
              <w:spacing w:after="60" w:line="240" w:lineRule="atLeast"/>
              <w:jc w:val="both"/>
              <w:rPr>
                <w:rFonts w:ascii="Calibri" w:eastAsia="MS Mincho" w:hAnsi="Calibri" w:cs="Arial"/>
                <w:sz w:val="20"/>
              </w:rPr>
            </w:pPr>
            <w:r w:rsidRPr="0099619A">
              <w:rPr>
                <w:rFonts w:ascii="Zapf Dingbats" w:eastAsia="MS Mincho" w:hAnsi="Zapf Dingbats" w:cs="Arial"/>
                <w:b/>
                <w:color w:val="008000"/>
                <w:sz w:val="20"/>
              </w:rPr>
              <w:t>✔</w:t>
            </w:r>
            <w:r>
              <w:rPr>
                <w:rFonts w:ascii="Zapf Dingbats" w:eastAsia="MS Mincho" w:hAnsi="Zapf Dingbats" w:cs="Arial"/>
                <w:sz w:val="20"/>
              </w:rPr>
              <w:t></w:t>
            </w:r>
            <w:r w:rsidRPr="00F337B3">
              <w:rPr>
                <w:rFonts w:ascii="Calibri" w:eastAsia="MS Mincho" w:hAnsi="Calibri" w:cs="Arial"/>
                <w:sz w:val="20"/>
              </w:rPr>
              <w:t>P</w:t>
            </w:r>
            <w:r>
              <w:rPr>
                <w:rFonts w:ascii="Calibri" w:eastAsia="MS Mincho" w:hAnsi="Calibri" w:cs="Arial"/>
                <w:sz w:val="20"/>
              </w:rPr>
              <w:t>roject Implementation R</w:t>
            </w:r>
            <w:r w:rsidRPr="00F337B3">
              <w:rPr>
                <w:rFonts w:ascii="Calibri" w:eastAsia="MS Mincho" w:hAnsi="Calibri" w:cs="Arial"/>
                <w:sz w:val="20"/>
              </w:rPr>
              <w:t>eports</w:t>
            </w:r>
            <w:r>
              <w:rPr>
                <w:rFonts w:ascii="Calibri" w:eastAsia="MS Mincho" w:hAnsi="Calibri" w:cs="Arial"/>
                <w:sz w:val="20"/>
              </w:rPr>
              <w:t xml:space="preserve"> (PIRs)</w:t>
            </w:r>
            <w:r w:rsidRPr="00F337B3">
              <w:rPr>
                <w:rFonts w:ascii="Calibri" w:eastAsia="MS Mincho" w:hAnsi="Calibri" w:cs="Arial"/>
                <w:sz w:val="20"/>
              </w:rPr>
              <w:t xml:space="preserve"> contained feedback from key stakeholders and provided summaries of project performance. </w:t>
            </w:r>
            <w:r>
              <w:rPr>
                <w:rFonts w:ascii="Calibri" w:eastAsia="MS Mincho" w:hAnsi="Calibri" w:cs="Arial"/>
                <w:sz w:val="20"/>
              </w:rPr>
              <w:t xml:space="preserve">Supported </w:t>
            </w:r>
            <w:r w:rsidRPr="00F337B3">
              <w:rPr>
                <w:rFonts w:ascii="Calibri" w:eastAsia="MS Mincho" w:hAnsi="Calibri" w:cs="Arial"/>
                <w:sz w:val="20"/>
              </w:rPr>
              <w:t xml:space="preserve">by more frequent progress </w:t>
            </w:r>
            <w:r>
              <w:rPr>
                <w:rFonts w:ascii="Calibri" w:eastAsia="MS Mincho" w:hAnsi="Calibri" w:cs="Arial"/>
                <w:sz w:val="20"/>
              </w:rPr>
              <w:t xml:space="preserve">reports </w:t>
            </w:r>
            <w:r w:rsidRPr="00F337B3">
              <w:rPr>
                <w:rFonts w:ascii="Calibri" w:eastAsia="MS Mincho" w:hAnsi="Calibri" w:cs="Arial"/>
                <w:sz w:val="20"/>
              </w:rPr>
              <w:t xml:space="preserve">and strategic prioritizing of future activities by the CTA </w:t>
            </w:r>
            <w:r>
              <w:rPr>
                <w:rFonts w:ascii="Calibri" w:eastAsia="MS Mincho" w:hAnsi="Calibri" w:cs="Arial"/>
                <w:sz w:val="20"/>
              </w:rPr>
              <w:t>with</w:t>
            </w:r>
            <w:r w:rsidRPr="00F337B3">
              <w:rPr>
                <w:rFonts w:ascii="Calibri" w:eastAsia="MS Mincho" w:hAnsi="Calibri" w:cs="Arial"/>
                <w:sz w:val="20"/>
              </w:rPr>
              <w:t xml:space="preserve"> each mission; and by PMU’s quarterly reports.</w:t>
            </w:r>
          </w:p>
          <w:p w14:paraId="67B2F8D2" w14:textId="77777777" w:rsidR="0018335E" w:rsidRPr="00F337B3" w:rsidRDefault="0018335E" w:rsidP="00C613AC">
            <w:pPr>
              <w:spacing w:after="60" w:line="240" w:lineRule="atLeast"/>
              <w:jc w:val="both"/>
              <w:rPr>
                <w:rFonts w:ascii="Calibri" w:eastAsia="MS Mincho" w:hAnsi="Calibri" w:cs="Arial"/>
                <w:sz w:val="20"/>
              </w:rPr>
            </w:pPr>
            <w:r w:rsidRPr="0099619A">
              <w:rPr>
                <w:rFonts w:ascii="Zapf Dingbats" w:eastAsia="MS Mincho" w:hAnsi="Zapf Dingbats" w:cs="Arial"/>
                <w:b/>
                <w:color w:val="008000"/>
                <w:sz w:val="20"/>
              </w:rPr>
              <w:t>✔</w:t>
            </w:r>
            <w:r>
              <w:rPr>
                <w:rFonts w:ascii="Zapf Dingbats" w:eastAsia="MS Mincho" w:hAnsi="Zapf Dingbats" w:cs="Arial"/>
                <w:sz w:val="20"/>
              </w:rPr>
              <w:t></w:t>
            </w:r>
            <w:r w:rsidRPr="00F337B3">
              <w:rPr>
                <w:rFonts w:ascii="Calibri" w:eastAsia="MS Mincho" w:hAnsi="Calibri" w:cs="Arial"/>
                <w:sz w:val="20"/>
              </w:rPr>
              <w:t>Project Executive Board</w:t>
            </w:r>
            <w:r>
              <w:rPr>
                <w:rFonts w:ascii="Calibri" w:eastAsia="MS Mincho" w:hAnsi="Calibri" w:cs="Arial"/>
                <w:sz w:val="20"/>
              </w:rPr>
              <w:t xml:space="preserve"> (PEB)</w:t>
            </w:r>
            <w:r w:rsidRPr="00F337B3">
              <w:rPr>
                <w:rFonts w:ascii="Calibri" w:eastAsia="MS Mincho" w:hAnsi="Calibri" w:cs="Arial"/>
                <w:sz w:val="20"/>
              </w:rPr>
              <w:t xml:space="preserve"> met regularly, bi-annually, and was well represented and attended at senior levels by key implementing partners.</w:t>
            </w:r>
          </w:p>
          <w:p w14:paraId="58006D46" w14:textId="77777777" w:rsidR="0018335E" w:rsidRPr="00F337B3" w:rsidRDefault="0018335E" w:rsidP="00C613AC">
            <w:pPr>
              <w:spacing w:after="60" w:line="240" w:lineRule="atLeast"/>
              <w:jc w:val="both"/>
              <w:rPr>
                <w:rFonts w:ascii="Calibri" w:eastAsia="MS Mincho" w:hAnsi="Calibri" w:cs="Arial"/>
                <w:sz w:val="20"/>
              </w:rPr>
            </w:pPr>
            <w:r w:rsidRPr="0099619A">
              <w:rPr>
                <w:rFonts w:ascii="Zapf Dingbats" w:eastAsia="MS Mincho" w:hAnsi="Zapf Dingbats" w:cs="Arial"/>
                <w:b/>
                <w:color w:val="008000"/>
                <w:sz w:val="20"/>
              </w:rPr>
              <w:t>✔</w:t>
            </w:r>
            <w:r>
              <w:rPr>
                <w:rFonts w:ascii="Zapf Dingbats" w:eastAsia="MS Mincho" w:hAnsi="Zapf Dingbats" w:cs="Arial"/>
                <w:sz w:val="20"/>
              </w:rPr>
              <w:t></w:t>
            </w:r>
            <w:r w:rsidRPr="00F337B3">
              <w:rPr>
                <w:rFonts w:ascii="Calibri" w:eastAsia="MS Mincho" w:hAnsi="Calibri" w:cs="Arial"/>
                <w:sz w:val="20"/>
              </w:rPr>
              <w:t>T</w:t>
            </w:r>
            <w:r>
              <w:rPr>
                <w:rFonts w:ascii="Calibri" w:eastAsia="MS Mincho" w:hAnsi="Calibri" w:cs="Arial"/>
                <w:sz w:val="20"/>
              </w:rPr>
              <w:t>echnical Coordination Group (T</w:t>
            </w:r>
            <w:r w:rsidRPr="00F337B3">
              <w:rPr>
                <w:rFonts w:ascii="Calibri" w:eastAsia="MS Mincho" w:hAnsi="Calibri" w:cs="Arial"/>
                <w:sz w:val="20"/>
              </w:rPr>
              <w:t>CG</w:t>
            </w:r>
            <w:r>
              <w:rPr>
                <w:rFonts w:ascii="Calibri" w:eastAsia="MS Mincho" w:hAnsi="Calibri" w:cs="Arial"/>
                <w:sz w:val="20"/>
              </w:rPr>
              <w:t>),</w:t>
            </w:r>
            <w:r w:rsidRPr="00F337B3">
              <w:rPr>
                <w:rFonts w:ascii="Calibri" w:eastAsia="MS Mincho" w:hAnsi="Calibri" w:cs="Arial"/>
                <w:sz w:val="20"/>
              </w:rPr>
              <w:t xml:space="preserve"> </w:t>
            </w:r>
            <w:r>
              <w:rPr>
                <w:rFonts w:ascii="Calibri" w:eastAsia="MS Mincho" w:hAnsi="Calibri" w:cs="Arial"/>
                <w:sz w:val="20"/>
              </w:rPr>
              <w:t>set up</w:t>
            </w:r>
            <w:r w:rsidRPr="00F337B3">
              <w:rPr>
                <w:rFonts w:ascii="Calibri" w:eastAsia="MS Mincho" w:hAnsi="Calibri" w:cs="Arial"/>
                <w:sz w:val="20"/>
              </w:rPr>
              <w:t xml:space="preserve"> by project, provided an effective platform to share progress and work plans among other partners investing in Achara’s PAs</w:t>
            </w:r>
            <w:r>
              <w:rPr>
                <w:rFonts w:ascii="Calibri" w:eastAsia="MS Mincho" w:hAnsi="Calibri" w:cs="Arial"/>
                <w:sz w:val="20"/>
              </w:rPr>
              <w:t>. S</w:t>
            </w:r>
            <w:r w:rsidRPr="00F337B3">
              <w:rPr>
                <w:rFonts w:ascii="Calibri" w:eastAsia="MS Mincho" w:hAnsi="Calibri" w:cs="Arial"/>
                <w:sz w:val="20"/>
              </w:rPr>
              <w:t>ynergies creat</w:t>
            </w:r>
            <w:r>
              <w:rPr>
                <w:rFonts w:ascii="Calibri" w:eastAsia="MS Mincho" w:hAnsi="Calibri" w:cs="Arial"/>
                <w:sz w:val="20"/>
              </w:rPr>
              <w:t>ed</w:t>
            </w:r>
            <w:r w:rsidRPr="00F337B3">
              <w:rPr>
                <w:rFonts w:ascii="Calibri" w:eastAsia="MS Mincho" w:hAnsi="Calibri" w:cs="Arial"/>
                <w:sz w:val="20"/>
              </w:rPr>
              <w:t xml:space="preserve"> and duplication avoid</w:t>
            </w:r>
            <w:r>
              <w:rPr>
                <w:rFonts w:ascii="Calibri" w:eastAsia="MS Mincho" w:hAnsi="Calibri" w:cs="Arial"/>
                <w:sz w:val="20"/>
              </w:rPr>
              <w:t>ed.</w:t>
            </w:r>
          </w:p>
          <w:p w14:paraId="236D003B" w14:textId="77777777" w:rsidR="0018335E" w:rsidRPr="00F337B3" w:rsidRDefault="0018335E" w:rsidP="00C613AC">
            <w:pPr>
              <w:spacing w:after="60" w:line="240" w:lineRule="atLeast"/>
              <w:jc w:val="both"/>
              <w:rPr>
                <w:rFonts w:ascii="Calibri" w:eastAsia="MS Mincho" w:hAnsi="Calibri" w:cs="Arial"/>
                <w:sz w:val="20"/>
              </w:rPr>
            </w:pPr>
            <w:r w:rsidRPr="0099619A">
              <w:rPr>
                <w:rFonts w:ascii="Zapf Dingbats" w:eastAsia="MS Mincho" w:hAnsi="Zapf Dingbats" w:cs="Arial"/>
                <w:b/>
                <w:color w:val="008000"/>
                <w:sz w:val="20"/>
              </w:rPr>
              <w:t>✔</w:t>
            </w:r>
            <w:r>
              <w:rPr>
                <w:rFonts w:ascii="Zapf Dingbats" w:eastAsia="MS Mincho" w:hAnsi="Zapf Dingbats" w:cs="Arial"/>
                <w:sz w:val="20"/>
              </w:rPr>
              <w:t></w:t>
            </w:r>
            <w:r>
              <w:rPr>
                <w:rFonts w:ascii="Calibri" w:eastAsia="MS Mincho" w:hAnsi="Calibri" w:cs="Arial"/>
                <w:sz w:val="20"/>
              </w:rPr>
              <w:t xml:space="preserve">UNDP Capacity Scorecard and </w:t>
            </w:r>
            <w:r w:rsidRPr="00F337B3">
              <w:rPr>
                <w:rFonts w:ascii="Calibri" w:eastAsia="MS Mincho" w:hAnsi="Calibri" w:cs="Arial"/>
                <w:sz w:val="20"/>
              </w:rPr>
              <w:t>GEF METT for PAs w</w:t>
            </w:r>
            <w:r>
              <w:rPr>
                <w:rFonts w:ascii="Calibri" w:eastAsia="MS Mincho" w:hAnsi="Calibri" w:cs="Arial"/>
                <w:sz w:val="20"/>
              </w:rPr>
              <w:t>ere</w:t>
            </w:r>
            <w:r w:rsidRPr="00F337B3">
              <w:rPr>
                <w:rFonts w:ascii="Calibri" w:eastAsia="MS Mincho" w:hAnsi="Calibri" w:cs="Arial"/>
                <w:sz w:val="20"/>
              </w:rPr>
              <w:t xml:space="preserve"> diligently and competently completed on schedule for MTR and TE.</w:t>
            </w:r>
          </w:p>
          <w:p w14:paraId="27AE9D32" w14:textId="77777777" w:rsidR="0018335E" w:rsidRPr="00F337B3" w:rsidRDefault="0018335E" w:rsidP="00C613AC">
            <w:pPr>
              <w:spacing w:after="60" w:line="240" w:lineRule="atLeast"/>
              <w:jc w:val="both"/>
              <w:rPr>
                <w:rFonts w:ascii="Calibri" w:eastAsia="MS Mincho" w:hAnsi="Calibri" w:cs="Arial"/>
                <w:sz w:val="20"/>
              </w:rPr>
            </w:pPr>
            <w:r w:rsidRPr="0099619A">
              <w:rPr>
                <w:rFonts w:ascii="Zapf Dingbats" w:eastAsia="MS Mincho" w:hAnsi="Zapf Dingbats" w:cs="Arial"/>
                <w:b/>
                <w:color w:val="008000"/>
                <w:sz w:val="20"/>
              </w:rPr>
              <w:t>✔</w:t>
            </w:r>
            <w:r>
              <w:rPr>
                <w:rFonts w:ascii="Zapf Dingbats" w:eastAsia="MS Mincho" w:hAnsi="Zapf Dingbats" w:cs="Arial"/>
                <w:sz w:val="20"/>
              </w:rPr>
              <w:t></w:t>
            </w:r>
            <w:r w:rsidRPr="00F337B3">
              <w:rPr>
                <w:rFonts w:ascii="Calibri" w:eastAsia="MS Mincho" w:hAnsi="Calibri" w:cs="Arial"/>
                <w:sz w:val="20"/>
              </w:rPr>
              <w:t xml:space="preserve">MTR recommendations were thoroughly reviewed and responded to; with appropriate measures taken </w:t>
            </w:r>
            <w:r>
              <w:rPr>
                <w:rFonts w:ascii="Calibri" w:eastAsia="MS Mincho" w:hAnsi="Calibri" w:cs="Arial"/>
                <w:sz w:val="20"/>
              </w:rPr>
              <w:t>(e.g. promoting</w:t>
            </w:r>
            <w:r w:rsidRPr="00F337B3">
              <w:rPr>
                <w:rFonts w:ascii="Calibri" w:eastAsia="MS Mincho" w:hAnsi="Calibri" w:cs="Arial"/>
                <w:sz w:val="20"/>
              </w:rPr>
              <w:t xml:space="preserve"> protected landscape designation </w:t>
            </w:r>
            <w:r>
              <w:rPr>
                <w:rFonts w:ascii="Calibri" w:eastAsia="MS Mincho" w:hAnsi="Calibri" w:cs="Arial"/>
                <w:sz w:val="20"/>
              </w:rPr>
              <w:t>for</w:t>
            </w:r>
            <w:r w:rsidRPr="00F337B3">
              <w:rPr>
                <w:rFonts w:ascii="Calibri" w:eastAsia="MS Mincho" w:hAnsi="Calibri" w:cs="Arial"/>
                <w:sz w:val="20"/>
              </w:rPr>
              <w:t xml:space="preserve"> Machakhela; introducing SMART patrolling across Achara’s Colchic Forest PAs; and reviewing need for no cost extension in Nov</w:t>
            </w:r>
            <w:r>
              <w:rPr>
                <w:rFonts w:ascii="Calibri" w:eastAsia="MS Mincho" w:hAnsi="Calibri" w:cs="Arial"/>
                <w:sz w:val="20"/>
              </w:rPr>
              <w:t>.</w:t>
            </w:r>
            <w:r w:rsidRPr="00F337B3">
              <w:rPr>
                <w:rFonts w:ascii="Calibri" w:eastAsia="MS Mincho" w:hAnsi="Calibri" w:cs="Arial"/>
                <w:sz w:val="20"/>
              </w:rPr>
              <w:t xml:space="preserve"> 2017</w:t>
            </w:r>
            <w:r>
              <w:rPr>
                <w:rFonts w:ascii="Calibri" w:eastAsia="MS Mincho" w:hAnsi="Calibri" w:cs="Arial"/>
                <w:sz w:val="20"/>
              </w:rPr>
              <w:t>.</w:t>
            </w:r>
            <w:r w:rsidRPr="00F337B3">
              <w:rPr>
                <w:rFonts w:ascii="Calibri" w:eastAsia="MS Mincho" w:hAnsi="Calibri" w:cs="Arial"/>
                <w:sz w:val="20"/>
              </w:rPr>
              <w:t xml:space="preserve"> </w:t>
            </w:r>
          </w:p>
          <w:p w14:paraId="70D13EC2" w14:textId="77777777" w:rsidR="0018335E" w:rsidRPr="00F337B3" w:rsidRDefault="0018335E" w:rsidP="00C613AC">
            <w:pPr>
              <w:spacing w:after="60" w:line="240" w:lineRule="atLeast"/>
              <w:jc w:val="both"/>
              <w:rPr>
                <w:rFonts w:ascii="Calibri" w:eastAsia="MS Mincho" w:hAnsi="Calibri" w:cs="Arial"/>
                <w:sz w:val="20"/>
              </w:rPr>
            </w:pPr>
            <w:r w:rsidRPr="0099619A">
              <w:rPr>
                <w:rFonts w:ascii="Zapf Dingbats" w:eastAsia="MS Mincho" w:hAnsi="Zapf Dingbats" w:cs="Arial"/>
                <w:b/>
                <w:color w:val="FF0000"/>
                <w:sz w:val="20"/>
              </w:rPr>
              <w:t>✖</w:t>
            </w:r>
            <w:r w:rsidRPr="0099619A">
              <w:rPr>
                <w:rFonts w:ascii="Zapf Dingbats" w:eastAsia="MS Mincho" w:hAnsi="Zapf Dingbats" w:cs="Arial"/>
                <w:b/>
                <w:color w:val="FF0000"/>
                <w:sz w:val="20"/>
              </w:rPr>
              <w:t></w:t>
            </w:r>
            <w:r w:rsidRPr="00F337B3">
              <w:rPr>
                <w:rFonts w:ascii="Calibri" w:eastAsia="MS Mincho" w:hAnsi="Calibri" w:cs="Arial"/>
                <w:sz w:val="20"/>
              </w:rPr>
              <w:t>SRF reviewed during incep</w:t>
            </w:r>
            <w:r>
              <w:rPr>
                <w:rFonts w:ascii="Calibri" w:eastAsia="MS Mincho" w:hAnsi="Calibri" w:cs="Arial"/>
                <w:sz w:val="20"/>
              </w:rPr>
              <w:t>tion phase but no initiative</w:t>
            </w:r>
            <w:r w:rsidRPr="00F337B3">
              <w:rPr>
                <w:rFonts w:ascii="Calibri" w:eastAsia="MS Mincho" w:hAnsi="Calibri" w:cs="Arial"/>
                <w:sz w:val="20"/>
              </w:rPr>
              <w:t xml:space="preserve"> taken to address some obvious </w:t>
            </w:r>
            <w:r>
              <w:rPr>
                <w:rFonts w:ascii="Calibri" w:eastAsia="MS Mincho" w:hAnsi="Calibri" w:cs="Arial"/>
                <w:sz w:val="20"/>
              </w:rPr>
              <w:t xml:space="preserve">design </w:t>
            </w:r>
            <w:r w:rsidRPr="00F337B3">
              <w:rPr>
                <w:rFonts w:ascii="Calibri" w:eastAsia="MS Mincho" w:hAnsi="Calibri" w:cs="Arial"/>
                <w:sz w:val="20"/>
              </w:rPr>
              <w:t>weaknesses, nor in response to MTR concerns about measuring illegal activities and using conviction rates instead.</w:t>
            </w:r>
          </w:p>
          <w:p w14:paraId="26619024" w14:textId="77777777" w:rsidR="0018335E" w:rsidRDefault="0018335E" w:rsidP="00C613AC">
            <w:pPr>
              <w:spacing w:before="40"/>
              <w:rPr>
                <w:rFonts w:ascii="Calibri" w:eastAsia="MS Mincho" w:hAnsi="Calibri" w:cs="Arial"/>
                <w:sz w:val="20"/>
              </w:rPr>
            </w:pPr>
            <w:r w:rsidRPr="0099619A">
              <w:rPr>
                <w:rFonts w:ascii="Zapf Dingbats" w:eastAsia="MS Mincho" w:hAnsi="Zapf Dingbats" w:cs="Arial"/>
                <w:b/>
                <w:color w:val="FF0000"/>
                <w:sz w:val="20"/>
              </w:rPr>
              <w:t>✖</w:t>
            </w:r>
            <w:r w:rsidRPr="0099619A">
              <w:rPr>
                <w:rFonts w:ascii="Zapf Dingbats" w:eastAsia="MS Mincho" w:hAnsi="Zapf Dingbats" w:cs="Arial"/>
                <w:b/>
                <w:color w:val="FF0000"/>
                <w:sz w:val="20"/>
              </w:rPr>
              <w:t></w:t>
            </w:r>
            <w:r w:rsidRPr="00F337B3">
              <w:rPr>
                <w:rFonts w:ascii="Calibri" w:eastAsia="MS Mincho" w:hAnsi="Calibri" w:cs="Arial"/>
                <w:sz w:val="20"/>
              </w:rPr>
              <w:t>Risks an</w:t>
            </w:r>
            <w:r>
              <w:rPr>
                <w:rFonts w:ascii="Calibri" w:eastAsia="MS Mincho" w:hAnsi="Calibri" w:cs="Arial"/>
                <w:sz w:val="20"/>
              </w:rPr>
              <w:t>d assumptions articulated in</w:t>
            </w:r>
            <w:r w:rsidRPr="00F337B3">
              <w:rPr>
                <w:rFonts w:ascii="Calibri" w:eastAsia="MS Mincho" w:hAnsi="Calibri" w:cs="Arial"/>
                <w:sz w:val="20"/>
              </w:rPr>
              <w:t xml:space="preserve"> ProDoc were </w:t>
            </w:r>
            <w:r>
              <w:rPr>
                <w:rFonts w:ascii="Calibri" w:eastAsia="MS Mincho" w:hAnsi="Calibri" w:cs="Arial"/>
                <w:sz w:val="20"/>
              </w:rPr>
              <w:t xml:space="preserve">not clearly integrated with </w:t>
            </w:r>
            <w:r w:rsidRPr="00F337B3">
              <w:rPr>
                <w:rFonts w:ascii="Calibri" w:eastAsia="MS Mincho" w:hAnsi="Calibri" w:cs="Arial"/>
                <w:sz w:val="20"/>
              </w:rPr>
              <w:t>SRF. Maybe as a consequence, their subsequent systematic review and reporting appears weak, undermining the fact that they were well managed.</w:t>
            </w:r>
          </w:p>
          <w:p w14:paraId="07E36BB4" w14:textId="77777777" w:rsidR="0018335E" w:rsidRPr="00DF600A" w:rsidRDefault="0018335E" w:rsidP="00C613AC">
            <w:pPr>
              <w:jc w:val="right"/>
              <w:rPr>
                <w:rFonts w:ascii="Calibri" w:eastAsia="MS Mincho" w:hAnsi="Calibri" w:cs="Arial"/>
                <w:sz w:val="20"/>
              </w:rPr>
            </w:pPr>
            <w:r>
              <w:rPr>
                <w:rFonts w:ascii="Calibri" w:eastAsia="MS Mincho" w:hAnsi="Calibri" w:cs="Arial"/>
                <w:sz w:val="20"/>
              </w:rPr>
              <w:t>[Further details in</w:t>
            </w:r>
            <w:r w:rsidRPr="0099619A">
              <w:rPr>
                <w:rFonts w:ascii="Calibri" w:eastAsia="MS Mincho" w:hAnsi="Calibri" w:cs="Arial"/>
                <w:sz w:val="20"/>
              </w:rPr>
              <w:t xml:space="preserve"> </w:t>
            </w:r>
            <w:r>
              <w:rPr>
                <w:rFonts w:ascii="Calibri" w:eastAsia="MS Mincho" w:hAnsi="Calibri" w:cs="Arial"/>
                <w:b/>
                <w:sz w:val="20"/>
              </w:rPr>
              <w:t>Sections 3.2.5</w:t>
            </w:r>
            <w:r>
              <w:rPr>
                <w:rFonts w:ascii="Calibri" w:eastAsia="MS Mincho" w:hAnsi="Calibri" w:cs="Arial"/>
                <w:sz w:val="20"/>
              </w:rPr>
              <w:t>]</w:t>
            </w:r>
          </w:p>
        </w:tc>
      </w:tr>
      <w:tr w:rsidR="0018335E" w:rsidRPr="00DF600A" w14:paraId="06DC5EE5" w14:textId="77777777" w:rsidTr="00A664E2">
        <w:tc>
          <w:tcPr>
            <w:tcW w:w="5000" w:type="pct"/>
            <w:gridSpan w:val="3"/>
            <w:shd w:val="clear" w:color="auto" w:fill="E6E6E6"/>
            <w:tcMar>
              <w:top w:w="28" w:type="dxa"/>
              <w:left w:w="57" w:type="dxa"/>
              <w:bottom w:w="28" w:type="dxa"/>
              <w:right w:w="57" w:type="dxa"/>
            </w:tcMar>
          </w:tcPr>
          <w:p w14:paraId="4B11D9C6" w14:textId="77777777" w:rsidR="0018335E" w:rsidRPr="00DF600A" w:rsidRDefault="0018335E" w:rsidP="00C613AC">
            <w:pPr>
              <w:rPr>
                <w:rFonts w:ascii="Calibri" w:eastAsia="MS Mincho" w:hAnsi="Calibri" w:cs="Arial"/>
                <w:sz w:val="20"/>
              </w:rPr>
            </w:pPr>
            <w:r w:rsidRPr="00DF600A">
              <w:rPr>
                <w:rFonts w:ascii="Calibri" w:eastAsia="MS Mincho" w:hAnsi="Calibri" w:cs="Arial"/>
                <w:b/>
                <w:sz w:val="20"/>
              </w:rPr>
              <w:t xml:space="preserve">IA &amp; EA Execution </w:t>
            </w:r>
            <w:r w:rsidRPr="00DF600A">
              <w:rPr>
                <w:rFonts w:ascii="Calibri" w:eastAsia="MS Mincho" w:hAnsi="Calibri" w:cs="Arial"/>
                <w:bCs/>
                <w:sz w:val="20"/>
              </w:rPr>
              <w:t>(using 6-point satisfaction scale)</w:t>
            </w:r>
          </w:p>
        </w:tc>
      </w:tr>
      <w:tr w:rsidR="00692C5D" w:rsidRPr="00DF600A" w14:paraId="76E63DFA" w14:textId="77777777" w:rsidTr="00692C5D">
        <w:tc>
          <w:tcPr>
            <w:tcW w:w="879" w:type="pct"/>
            <w:shd w:val="clear" w:color="auto" w:fill="auto"/>
            <w:tcMar>
              <w:left w:w="57" w:type="dxa"/>
            </w:tcMar>
          </w:tcPr>
          <w:p w14:paraId="4F312220" w14:textId="77777777" w:rsidR="0018335E" w:rsidRPr="00DF600A" w:rsidRDefault="0018335E" w:rsidP="00C613AC">
            <w:pPr>
              <w:rPr>
                <w:rFonts w:ascii="Calibri" w:eastAsia="MS Mincho" w:hAnsi="Calibri" w:cs="Arial"/>
                <w:b/>
                <w:sz w:val="20"/>
              </w:rPr>
            </w:pPr>
            <w:r w:rsidRPr="00DF600A">
              <w:rPr>
                <w:rFonts w:ascii="Calibri" w:eastAsia="MS Mincho" w:hAnsi="Calibri" w:cs="Arial"/>
                <w:sz w:val="20"/>
              </w:rPr>
              <w:t>Overall quality of project implementation</w:t>
            </w:r>
            <w:r>
              <w:rPr>
                <w:rFonts w:ascii="Calibri" w:eastAsia="MS Mincho" w:hAnsi="Calibri" w:cs="Arial"/>
                <w:sz w:val="20"/>
              </w:rPr>
              <w:t xml:space="preserve"> </w:t>
            </w:r>
            <w:r w:rsidRPr="00DF600A">
              <w:rPr>
                <w:rFonts w:ascii="Calibri" w:eastAsia="MS Mincho" w:hAnsi="Calibri" w:cs="Arial"/>
                <w:sz w:val="20"/>
              </w:rPr>
              <w:t>/execution</w:t>
            </w:r>
          </w:p>
        </w:tc>
        <w:tc>
          <w:tcPr>
            <w:tcW w:w="386" w:type="pct"/>
            <w:tcMar>
              <w:top w:w="28" w:type="dxa"/>
              <w:left w:w="57" w:type="dxa"/>
              <w:bottom w:w="28" w:type="dxa"/>
              <w:right w:w="57" w:type="dxa"/>
            </w:tcMar>
          </w:tcPr>
          <w:p w14:paraId="2AF7028A" w14:textId="77777777" w:rsidR="0018335E" w:rsidRPr="00DF600A" w:rsidRDefault="0018335E" w:rsidP="00C613AC">
            <w:pPr>
              <w:jc w:val="center"/>
              <w:rPr>
                <w:rFonts w:ascii="Calibri" w:eastAsia="MS Mincho" w:hAnsi="Calibri" w:cs="Arial"/>
                <w:b/>
                <w:sz w:val="20"/>
              </w:rPr>
            </w:pPr>
            <w:r w:rsidRPr="00DF600A">
              <w:rPr>
                <w:rFonts w:ascii="Calibri" w:eastAsia="MS Mincho" w:hAnsi="Calibri" w:cs="Arial"/>
                <w:b/>
                <w:sz w:val="20"/>
              </w:rPr>
              <w:t>S</w:t>
            </w:r>
          </w:p>
        </w:tc>
        <w:tc>
          <w:tcPr>
            <w:tcW w:w="3735" w:type="pct"/>
            <w:tcMar>
              <w:left w:w="57" w:type="dxa"/>
              <w:right w:w="57" w:type="dxa"/>
            </w:tcMar>
          </w:tcPr>
          <w:p w14:paraId="61292499" w14:textId="77777777" w:rsidR="0018335E" w:rsidRPr="006767D4" w:rsidRDefault="0018335E" w:rsidP="00C613AC">
            <w:pPr>
              <w:tabs>
                <w:tab w:val="right" w:pos="6227"/>
              </w:tabs>
              <w:rPr>
                <w:rFonts w:ascii="Calibri" w:eastAsia="MS Mincho" w:hAnsi="Calibri" w:cs="Arial"/>
                <w:sz w:val="20"/>
              </w:rPr>
            </w:pPr>
            <w:r>
              <w:rPr>
                <w:rFonts w:ascii="Calibri" w:eastAsia="MS Mincho" w:hAnsi="Calibri" w:cs="Arial"/>
                <w:sz w:val="20"/>
              </w:rPr>
              <w:t>Overall</w:t>
            </w:r>
            <w:r w:rsidRPr="006767D4">
              <w:rPr>
                <w:rFonts w:ascii="Calibri" w:eastAsia="MS Mincho" w:hAnsi="Calibri" w:cs="Arial"/>
                <w:sz w:val="20"/>
              </w:rPr>
              <w:t xml:space="preserve"> satisfactory quality of </w:t>
            </w:r>
            <w:r>
              <w:rPr>
                <w:rFonts w:ascii="Calibri" w:eastAsia="MS Mincho" w:hAnsi="Calibri" w:cs="Arial"/>
                <w:sz w:val="20"/>
              </w:rPr>
              <w:t xml:space="preserve">IA &amp; EA </w:t>
            </w:r>
            <w:r w:rsidRPr="006767D4">
              <w:rPr>
                <w:rFonts w:ascii="Calibri" w:eastAsia="MS Mincho" w:hAnsi="Calibri" w:cs="Arial"/>
                <w:sz w:val="20"/>
              </w:rPr>
              <w:t xml:space="preserve">execution is undoubtedly a reflection of the good, solid relations existing between the Implementing Agency (UNDP) and its Implementing Partner (APA) and the excellent technical and facilitative role realised by PMU in its engagement with a wide range of partners and other stakeholders to secure their trust and participation in the project. The other important ingredient to this satisfactory </w:t>
            </w:r>
            <w:r>
              <w:rPr>
                <w:rFonts w:ascii="Calibri" w:eastAsia="MS Mincho" w:hAnsi="Calibri" w:cs="Arial"/>
                <w:sz w:val="20"/>
              </w:rPr>
              <w:t>result is</w:t>
            </w:r>
            <w:r w:rsidRPr="006767D4">
              <w:rPr>
                <w:rFonts w:ascii="Calibri" w:eastAsia="MS Mincho" w:hAnsi="Calibri" w:cs="Arial"/>
                <w:sz w:val="20"/>
              </w:rPr>
              <w:t xml:space="preserve"> the high calibre of the consultants procured </w:t>
            </w:r>
            <w:r>
              <w:rPr>
                <w:rFonts w:ascii="Calibri" w:eastAsia="MS Mincho" w:hAnsi="Calibri" w:cs="Arial"/>
                <w:sz w:val="20"/>
              </w:rPr>
              <w:t>for the project</w:t>
            </w:r>
            <w:r w:rsidRPr="006767D4">
              <w:rPr>
                <w:rFonts w:ascii="Calibri" w:eastAsia="MS Mincho" w:hAnsi="Calibri" w:cs="Arial"/>
                <w:sz w:val="20"/>
              </w:rPr>
              <w:t xml:space="preserve">, for which evidence is based on one-one interviews by the </w:t>
            </w:r>
            <w:r w:rsidRPr="006767D4">
              <w:rPr>
                <w:rFonts w:ascii="Calibri" w:eastAsia="MS Mincho" w:hAnsi="Calibri" w:cs="Arial"/>
                <w:sz w:val="20"/>
              </w:rPr>
              <w:lastRenderedPageBreak/>
              <w:t xml:space="preserve">evaluators, review of a selection of their reports and the traction and resonance that their recommendations have found with many of </w:t>
            </w:r>
            <w:r>
              <w:rPr>
                <w:rFonts w:ascii="Calibri" w:eastAsia="MS Mincho" w:hAnsi="Calibri" w:cs="Arial"/>
                <w:sz w:val="20"/>
              </w:rPr>
              <w:t xml:space="preserve">the </w:t>
            </w:r>
            <w:r w:rsidRPr="006767D4">
              <w:rPr>
                <w:rFonts w:ascii="Calibri" w:eastAsia="MS Mincho" w:hAnsi="Calibri" w:cs="Arial"/>
                <w:sz w:val="20"/>
              </w:rPr>
              <w:t>project’s stakeholders.</w:t>
            </w:r>
          </w:p>
          <w:p w14:paraId="4EE3093D" w14:textId="547BC931" w:rsidR="0018335E" w:rsidRPr="00DF600A" w:rsidRDefault="00946CA3" w:rsidP="00C613AC">
            <w:pPr>
              <w:tabs>
                <w:tab w:val="right" w:pos="6227"/>
              </w:tabs>
              <w:jc w:val="right"/>
              <w:rPr>
                <w:rFonts w:ascii="Calibri" w:eastAsia="MS Mincho" w:hAnsi="Calibri" w:cs="Arial"/>
                <w:sz w:val="20"/>
              </w:rPr>
            </w:pPr>
            <w:r>
              <w:rPr>
                <w:rFonts w:ascii="Calibri" w:eastAsia="MS Mincho" w:hAnsi="Calibri" w:cs="Arial"/>
                <w:sz w:val="20"/>
              </w:rPr>
              <w:t xml:space="preserve"> </w:t>
            </w:r>
            <w:r w:rsidR="0018335E">
              <w:rPr>
                <w:rFonts w:ascii="Calibri" w:eastAsia="MS Mincho" w:hAnsi="Calibri" w:cs="Arial"/>
                <w:sz w:val="20"/>
              </w:rPr>
              <w:t>[Further details in</w:t>
            </w:r>
            <w:r w:rsidR="0018335E" w:rsidRPr="0099619A">
              <w:rPr>
                <w:rFonts w:ascii="Calibri" w:eastAsia="MS Mincho" w:hAnsi="Calibri" w:cs="Arial"/>
                <w:sz w:val="20"/>
              </w:rPr>
              <w:t xml:space="preserve"> </w:t>
            </w:r>
            <w:r w:rsidR="0018335E">
              <w:rPr>
                <w:rFonts w:ascii="Calibri" w:eastAsia="MS Mincho" w:hAnsi="Calibri" w:cs="Arial"/>
                <w:b/>
                <w:sz w:val="20"/>
              </w:rPr>
              <w:t>Sections 3.2.6</w:t>
            </w:r>
            <w:r w:rsidR="0018335E">
              <w:rPr>
                <w:rFonts w:ascii="Calibri" w:eastAsia="MS Mincho" w:hAnsi="Calibri" w:cs="Arial"/>
                <w:sz w:val="20"/>
              </w:rPr>
              <w:t>]</w:t>
            </w:r>
          </w:p>
        </w:tc>
      </w:tr>
      <w:tr w:rsidR="00692C5D" w:rsidRPr="00DF600A" w14:paraId="349D28E5" w14:textId="77777777" w:rsidTr="00692C5D">
        <w:trPr>
          <w:trHeight w:val="5065"/>
        </w:trPr>
        <w:tc>
          <w:tcPr>
            <w:tcW w:w="879" w:type="pct"/>
            <w:shd w:val="clear" w:color="auto" w:fill="auto"/>
            <w:tcMar>
              <w:left w:w="57" w:type="dxa"/>
            </w:tcMar>
          </w:tcPr>
          <w:p w14:paraId="79E4A856" w14:textId="77777777" w:rsidR="0018335E" w:rsidRPr="00DF600A" w:rsidRDefault="0018335E" w:rsidP="00C613AC">
            <w:pPr>
              <w:rPr>
                <w:rFonts w:ascii="Calibri" w:eastAsia="MS Mincho" w:hAnsi="Calibri" w:cs="Arial"/>
                <w:i/>
                <w:sz w:val="20"/>
              </w:rPr>
            </w:pPr>
            <w:r w:rsidRPr="00DF600A">
              <w:rPr>
                <w:rFonts w:ascii="Calibri" w:eastAsia="MS Mincho" w:hAnsi="Calibri" w:cs="Arial"/>
                <w:i/>
                <w:sz w:val="20"/>
              </w:rPr>
              <w:lastRenderedPageBreak/>
              <w:t>Implementing Agency execution</w:t>
            </w:r>
          </w:p>
          <w:p w14:paraId="541AE9A5" w14:textId="77777777" w:rsidR="0018335E" w:rsidRPr="00DF600A" w:rsidRDefault="0018335E" w:rsidP="00C613AC">
            <w:pPr>
              <w:rPr>
                <w:rFonts w:ascii="Calibri" w:eastAsia="MS Mincho" w:hAnsi="Calibri" w:cs="Arial"/>
                <w:i/>
                <w:sz w:val="20"/>
              </w:rPr>
            </w:pPr>
          </w:p>
          <w:p w14:paraId="27824944" w14:textId="77777777" w:rsidR="0018335E" w:rsidRPr="00DF600A" w:rsidRDefault="0018335E" w:rsidP="00C613AC">
            <w:pPr>
              <w:rPr>
                <w:rFonts w:ascii="Calibri" w:eastAsia="MS Mincho" w:hAnsi="Calibri" w:cs="Arial"/>
                <w:i/>
                <w:sz w:val="20"/>
              </w:rPr>
            </w:pPr>
            <w:r w:rsidRPr="00DF600A">
              <w:rPr>
                <w:rFonts w:ascii="Calibri" w:eastAsia="MS Mincho" w:hAnsi="Calibri" w:cs="Arial"/>
                <w:i/>
                <w:sz w:val="20"/>
              </w:rPr>
              <w:t>(UNDP)</w:t>
            </w:r>
          </w:p>
        </w:tc>
        <w:tc>
          <w:tcPr>
            <w:tcW w:w="386" w:type="pct"/>
            <w:tcMar>
              <w:top w:w="28" w:type="dxa"/>
              <w:left w:w="57" w:type="dxa"/>
              <w:bottom w:w="28" w:type="dxa"/>
              <w:right w:w="57" w:type="dxa"/>
            </w:tcMar>
          </w:tcPr>
          <w:p w14:paraId="4C4185E0" w14:textId="77777777" w:rsidR="0018335E" w:rsidRPr="00DF600A" w:rsidRDefault="0018335E" w:rsidP="00C613AC">
            <w:pPr>
              <w:jc w:val="center"/>
              <w:rPr>
                <w:rFonts w:ascii="Calibri" w:eastAsia="MS Mincho" w:hAnsi="Calibri" w:cs="Arial"/>
                <w:b/>
                <w:sz w:val="20"/>
              </w:rPr>
            </w:pPr>
            <w:r>
              <w:rPr>
                <w:rFonts w:ascii="Calibri" w:eastAsia="MS Mincho" w:hAnsi="Calibri" w:cs="Arial"/>
                <w:b/>
                <w:sz w:val="20"/>
              </w:rPr>
              <w:t>H</w:t>
            </w:r>
            <w:r w:rsidRPr="00DF600A">
              <w:rPr>
                <w:rFonts w:ascii="Calibri" w:eastAsia="MS Mincho" w:hAnsi="Calibri" w:cs="Arial"/>
                <w:b/>
                <w:sz w:val="20"/>
              </w:rPr>
              <w:t>S</w:t>
            </w:r>
          </w:p>
        </w:tc>
        <w:tc>
          <w:tcPr>
            <w:tcW w:w="3735" w:type="pct"/>
            <w:tcMar>
              <w:left w:w="57" w:type="dxa"/>
              <w:right w:w="57" w:type="dxa"/>
            </w:tcMar>
          </w:tcPr>
          <w:p w14:paraId="08B9C9DB" w14:textId="77777777" w:rsidR="0018335E" w:rsidRPr="006767D4" w:rsidRDefault="0018335E" w:rsidP="00C613AC">
            <w:pPr>
              <w:spacing w:after="60" w:line="240" w:lineRule="atLeast"/>
              <w:jc w:val="both"/>
              <w:rPr>
                <w:rFonts w:ascii="Calibri" w:hAnsi="Calibri" w:cs="Corbel"/>
                <w:sz w:val="20"/>
                <w:lang w:val="en-US"/>
              </w:rPr>
            </w:pPr>
            <w:r w:rsidRPr="0099619A">
              <w:rPr>
                <w:rFonts w:ascii="Zapf Dingbats" w:eastAsia="MS Mincho" w:hAnsi="Zapf Dingbats" w:cs="Arial"/>
                <w:b/>
                <w:color w:val="008000"/>
                <w:sz w:val="20"/>
              </w:rPr>
              <w:t>✔</w:t>
            </w:r>
            <w:r>
              <w:rPr>
                <w:rFonts w:ascii="Zapf Dingbats" w:eastAsia="MS Mincho" w:hAnsi="Zapf Dingbats" w:cs="Arial"/>
                <w:sz w:val="20"/>
              </w:rPr>
              <w:t></w:t>
            </w:r>
            <w:r>
              <w:rPr>
                <w:rFonts w:ascii="Calibri" w:hAnsi="Calibri"/>
                <w:sz w:val="20"/>
                <w:lang w:val="en-US"/>
              </w:rPr>
              <w:t>UNDP’s wealth of experience i</w:t>
            </w:r>
            <w:r w:rsidRPr="006767D4">
              <w:rPr>
                <w:rFonts w:ascii="Calibri" w:hAnsi="Calibri"/>
                <w:sz w:val="20"/>
                <w:lang w:val="en-US"/>
              </w:rPr>
              <w:t>n biodiversity projects in Georgia and globally</w:t>
            </w:r>
            <w:r>
              <w:rPr>
                <w:rFonts w:ascii="Calibri" w:hAnsi="Calibri"/>
                <w:sz w:val="20"/>
                <w:lang w:val="en-US"/>
              </w:rPr>
              <w:t xml:space="preserve"> alongside</w:t>
            </w:r>
            <w:r w:rsidRPr="006767D4">
              <w:rPr>
                <w:rFonts w:ascii="Calibri" w:hAnsi="Calibri"/>
                <w:sz w:val="20"/>
                <w:lang w:val="en-US"/>
              </w:rPr>
              <w:t xml:space="preserve"> their </w:t>
            </w:r>
            <w:r w:rsidRPr="006767D4">
              <w:rPr>
                <w:rFonts w:ascii="Calibri" w:hAnsi="Calibri"/>
                <w:sz w:val="20"/>
              </w:rPr>
              <w:t>favourable</w:t>
            </w:r>
            <w:r w:rsidRPr="006767D4">
              <w:rPr>
                <w:rFonts w:ascii="Calibri" w:hAnsi="Calibri"/>
                <w:sz w:val="20"/>
                <w:lang w:val="en-US"/>
              </w:rPr>
              <w:t xml:space="preserve"> standing with the Government of Georgia as a respected advocacy partner is a strong comparative advantage.</w:t>
            </w:r>
          </w:p>
          <w:p w14:paraId="5A81841D" w14:textId="77777777" w:rsidR="0018335E" w:rsidRPr="006767D4" w:rsidRDefault="0018335E" w:rsidP="00C613AC">
            <w:pPr>
              <w:spacing w:after="60" w:line="240" w:lineRule="atLeast"/>
              <w:jc w:val="both"/>
              <w:rPr>
                <w:rFonts w:ascii="Calibri" w:hAnsi="Calibri"/>
                <w:color w:val="000000"/>
                <w:sz w:val="20"/>
                <w:lang w:val="en-US"/>
              </w:rPr>
            </w:pPr>
            <w:r w:rsidRPr="0099619A">
              <w:rPr>
                <w:rFonts w:ascii="Zapf Dingbats" w:eastAsia="MS Mincho" w:hAnsi="Zapf Dingbats" w:cs="Arial"/>
                <w:b/>
                <w:color w:val="008000"/>
                <w:sz w:val="20"/>
              </w:rPr>
              <w:t>✔</w:t>
            </w:r>
            <w:r>
              <w:rPr>
                <w:rFonts w:ascii="Zapf Dingbats" w:eastAsia="MS Mincho" w:hAnsi="Zapf Dingbats" w:cs="Arial"/>
                <w:sz w:val="20"/>
              </w:rPr>
              <w:t></w:t>
            </w:r>
            <w:r w:rsidRPr="006767D4">
              <w:rPr>
                <w:rFonts w:ascii="Calibri" w:hAnsi="Calibri"/>
                <w:color w:val="000000"/>
                <w:sz w:val="20"/>
                <w:lang w:val="en-US"/>
              </w:rPr>
              <w:t>UNDP CO provided regular</w:t>
            </w:r>
            <w:r>
              <w:rPr>
                <w:rFonts w:ascii="Calibri" w:hAnsi="Calibri"/>
                <w:color w:val="000000"/>
                <w:sz w:val="20"/>
                <w:lang w:val="en-US"/>
              </w:rPr>
              <w:t>,</w:t>
            </w:r>
            <w:r w:rsidRPr="006767D4">
              <w:rPr>
                <w:rFonts w:ascii="Calibri" w:hAnsi="Calibri"/>
                <w:color w:val="000000"/>
                <w:sz w:val="20"/>
                <w:lang w:val="en-US"/>
              </w:rPr>
              <w:t xml:space="preserve"> </w:t>
            </w:r>
            <w:r>
              <w:rPr>
                <w:rFonts w:ascii="Calibri" w:hAnsi="Calibri"/>
                <w:color w:val="000000"/>
                <w:sz w:val="20"/>
                <w:lang w:val="en-US"/>
              </w:rPr>
              <w:t xml:space="preserve">solid </w:t>
            </w:r>
            <w:r w:rsidRPr="006767D4">
              <w:rPr>
                <w:rFonts w:ascii="Calibri" w:hAnsi="Calibri"/>
                <w:color w:val="000000"/>
                <w:sz w:val="20"/>
                <w:lang w:val="en-US"/>
              </w:rPr>
              <w:t xml:space="preserve">support to the project, including: active participation in PEB’s bi-annual meetings in Batumi; close working relationship with its Implementing Partner (APA); oversight of PMU; and assistance with procurement, logistics, and financial reporting. </w:t>
            </w:r>
          </w:p>
          <w:p w14:paraId="35B63729" w14:textId="77777777" w:rsidR="0018335E" w:rsidRPr="006767D4" w:rsidRDefault="0018335E" w:rsidP="00C613AC">
            <w:pPr>
              <w:spacing w:after="60" w:line="240" w:lineRule="atLeast"/>
              <w:jc w:val="both"/>
              <w:rPr>
                <w:rFonts w:ascii="Calibri" w:hAnsi="Calibri" w:cs="Corbel"/>
                <w:sz w:val="20"/>
                <w:lang w:val="en-US"/>
              </w:rPr>
            </w:pPr>
            <w:r w:rsidRPr="0099619A">
              <w:rPr>
                <w:rFonts w:ascii="Zapf Dingbats" w:eastAsia="MS Mincho" w:hAnsi="Zapf Dingbats" w:cs="Arial"/>
                <w:b/>
                <w:color w:val="008000"/>
                <w:sz w:val="20"/>
              </w:rPr>
              <w:t>✔</w:t>
            </w:r>
            <w:r>
              <w:rPr>
                <w:rFonts w:ascii="Zapf Dingbats" w:eastAsia="MS Mincho" w:hAnsi="Zapf Dingbats" w:cs="Arial"/>
                <w:sz w:val="20"/>
              </w:rPr>
              <w:t></w:t>
            </w:r>
            <w:r w:rsidRPr="006767D4">
              <w:rPr>
                <w:rFonts w:ascii="Calibri" w:hAnsi="Calibri" w:cs="Corbel"/>
                <w:sz w:val="20"/>
                <w:lang w:val="en-US"/>
              </w:rPr>
              <w:t xml:space="preserve">The absence of any personnel changes in UNDP’s Energy &amp; Environment Unit, responsible for the project’s quality assurance, was hugely beneficial to building </w:t>
            </w:r>
            <w:r>
              <w:rPr>
                <w:rFonts w:ascii="Calibri" w:hAnsi="Calibri" w:cs="Corbel"/>
                <w:sz w:val="20"/>
                <w:lang w:val="en-US"/>
              </w:rPr>
              <w:t xml:space="preserve">and maintaining </w:t>
            </w:r>
            <w:r w:rsidRPr="006767D4">
              <w:rPr>
                <w:rFonts w:ascii="Calibri" w:hAnsi="Calibri" w:cs="Corbel"/>
                <w:sz w:val="20"/>
                <w:lang w:val="en-US"/>
              </w:rPr>
              <w:t>a strong and dynamic working relationship with PMU and implementing partners.</w:t>
            </w:r>
          </w:p>
          <w:p w14:paraId="2A6EE594" w14:textId="77777777" w:rsidR="0018335E" w:rsidRPr="006767D4" w:rsidRDefault="0018335E" w:rsidP="00C613AC">
            <w:pPr>
              <w:spacing w:after="60" w:line="240" w:lineRule="atLeast"/>
              <w:jc w:val="both"/>
              <w:rPr>
                <w:rFonts w:ascii="Calibri" w:hAnsi="Calibri" w:cs="Corbel"/>
                <w:sz w:val="20"/>
                <w:lang w:val="en-US"/>
              </w:rPr>
            </w:pPr>
            <w:r w:rsidRPr="0099619A">
              <w:rPr>
                <w:rFonts w:ascii="Zapf Dingbats" w:eastAsia="MS Mincho" w:hAnsi="Zapf Dingbats" w:cs="Arial"/>
                <w:b/>
                <w:color w:val="008000"/>
                <w:sz w:val="20"/>
              </w:rPr>
              <w:t>✔</w:t>
            </w:r>
            <w:r>
              <w:rPr>
                <w:rFonts w:ascii="Zapf Dingbats" w:eastAsia="MS Mincho" w:hAnsi="Zapf Dingbats" w:cs="Arial"/>
                <w:sz w:val="20"/>
              </w:rPr>
              <w:t></w:t>
            </w:r>
            <w:r w:rsidRPr="006767D4">
              <w:rPr>
                <w:rFonts w:ascii="Calibri" w:hAnsi="Calibri" w:cs="Corbel"/>
                <w:sz w:val="20"/>
                <w:lang w:val="en-US"/>
              </w:rPr>
              <w:t xml:space="preserve">PMU remained intact and consistent throughout the implementation period, with no change in managerial or advisory personnel from start to finish. This was a significant benefit that, combined with the Project Manager </w:t>
            </w:r>
            <w:r>
              <w:rPr>
                <w:rFonts w:ascii="Calibri" w:hAnsi="Calibri" w:cs="Corbel"/>
                <w:sz w:val="20"/>
                <w:lang w:val="en-US"/>
              </w:rPr>
              <w:t>being</w:t>
            </w:r>
            <w:r w:rsidRPr="006767D4">
              <w:rPr>
                <w:rFonts w:ascii="Calibri" w:hAnsi="Calibri" w:cs="Corbel"/>
                <w:sz w:val="20"/>
                <w:lang w:val="en-US"/>
              </w:rPr>
              <w:t xml:space="preserve"> a well respected individual from </w:t>
            </w:r>
            <w:r>
              <w:rPr>
                <w:rFonts w:ascii="Calibri" w:hAnsi="Calibri" w:cs="Corbel"/>
                <w:sz w:val="20"/>
                <w:lang w:val="en-US"/>
              </w:rPr>
              <w:t>Achar</w:t>
            </w:r>
            <w:r w:rsidRPr="006767D4">
              <w:rPr>
                <w:rFonts w:ascii="Calibri" w:hAnsi="Calibri" w:cs="Corbel"/>
                <w:sz w:val="20"/>
                <w:lang w:val="en-US"/>
              </w:rPr>
              <w:t>a with experience of working for the regional government, undoubtedly contributed to the close working relations established with PA administrations, municipalities and communities residing in the project area.</w:t>
            </w:r>
          </w:p>
          <w:p w14:paraId="2BE238E4" w14:textId="77777777" w:rsidR="0018335E" w:rsidRDefault="0018335E" w:rsidP="00C613AC">
            <w:pPr>
              <w:pStyle w:val="BodyText2"/>
              <w:rPr>
                <w:rFonts w:ascii="Calibri" w:hAnsi="Calibri" w:cs="Corbel"/>
                <w:sz w:val="20"/>
              </w:rPr>
            </w:pPr>
            <w:r w:rsidRPr="0099619A">
              <w:rPr>
                <w:rFonts w:ascii="Zapf Dingbats" w:eastAsia="MS Mincho" w:hAnsi="Zapf Dingbats" w:cs="Arial"/>
                <w:b/>
                <w:color w:val="008000"/>
                <w:sz w:val="20"/>
              </w:rPr>
              <w:t>✔</w:t>
            </w:r>
            <w:r>
              <w:rPr>
                <w:rFonts w:ascii="Zapf Dingbats" w:eastAsia="MS Mincho" w:hAnsi="Zapf Dingbats" w:cs="Arial"/>
                <w:sz w:val="20"/>
              </w:rPr>
              <w:t></w:t>
            </w:r>
            <w:r>
              <w:rPr>
                <w:rFonts w:ascii="Calibri" w:hAnsi="Calibri" w:cs="Corbel"/>
                <w:sz w:val="20"/>
              </w:rPr>
              <w:t xml:space="preserve">All of the SRF targets have been met or exceeded by end of project, GEF grant has been expended in a timely and cost-effective manner, and an Exit Strategy (first drafted at the end of 2017) has been rolled out and revised in an adaptive manner during the course the project’s final year. </w:t>
            </w:r>
          </w:p>
          <w:p w14:paraId="7B6A35C1" w14:textId="40F222E5" w:rsidR="00946CA3" w:rsidRPr="00946CA3" w:rsidRDefault="00946CA3" w:rsidP="00946CA3">
            <w:pPr>
              <w:tabs>
                <w:tab w:val="right" w:pos="6227"/>
              </w:tabs>
              <w:spacing w:before="40"/>
              <w:rPr>
                <w:rFonts w:ascii="Calibri" w:eastAsia="MS Mincho" w:hAnsi="Calibri" w:cs="Arial"/>
                <w:sz w:val="20"/>
              </w:rPr>
            </w:pPr>
            <w:r w:rsidRPr="00B009E9">
              <w:rPr>
                <w:rFonts w:ascii="Calibri" w:eastAsia="MS Mincho" w:hAnsi="Calibri" w:cs="Arial"/>
                <w:sz w:val="20"/>
              </w:rPr>
              <w:t>Fundamentally, execution of this project has been extremely well facilitated by PMU – with care, timeliness, sound science and commitment that has secured support from many of its stakeholders and, most likely, won some hearts and souls too.</w:t>
            </w:r>
            <w:r w:rsidRPr="006767D4">
              <w:rPr>
                <w:rFonts w:ascii="Calibri" w:eastAsia="MS Mincho" w:hAnsi="Calibri" w:cs="Arial"/>
                <w:sz w:val="20"/>
              </w:rPr>
              <w:t xml:space="preserve"> </w:t>
            </w:r>
          </w:p>
        </w:tc>
      </w:tr>
      <w:tr w:rsidR="00692C5D" w:rsidRPr="00DF600A" w14:paraId="54B51173" w14:textId="77777777" w:rsidTr="00692C5D">
        <w:tc>
          <w:tcPr>
            <w:tcW w:w="879" w:type="pct"/>
            <w:tcBorders>
              <w:bottom w:val="single" w:sz="4" w:space="0" w:color="auto"/>
            </w:tcBorders>
            <w:shd w:val="clear" w:color="auto" w:fill="auto"/>
            <w:tcMar>
              <w:left w:w="57" w:type="dxa"/>
            </w:tcMar>
          </w:tcPr>
          <w:p w14:paraId="0C36B5BB" w14:textId="77777777" w:rsidR="0018335E" w:rsidRPr="00DF600A" w:rsidRDefault="0018335E" w:rsidP="00C613AC">
            <w:pPr>
              <w:rPr>
                <w:rFonts w:ascii="Calibri" w:eastAsia="MS Mincho" w:hAnsi="Calibri" w:cs="Arial"/>
                <w:i/>
                <w:sz w:val="20"/>
              </w:rPr>
            </w:pPr>
            <w:r w:rsidRPr="00DF600A">
              <w:rPr>
                <w:rFonts w:ascii="Calibri" w:eastAsia="MS Mincho" w:hAnsi="Calibri" w:cs="Arial"/>
                <w:i/>
                <w:sz w:val="20"/>
              </w:rPr>
              <w:t>Executing Agency execution</w:t>
            </w:r>
          </w:p>
          <w:p w14:paraId="29E686ED" w14:textId="77777777" w:rsidR="0018335E" w:rsidRPr="00DF600A" w:rsidRDefault="0018335E" w:rsidP="00C613AC">
            <w:pPr>
              <w:rPr>
                <w:rFonts w:ascii="Calibri" w:eastAsia="MS Mincho" w:hAnsi="Calibri" w:cs="Arial"/>
                <w:i/>
                <w:sz w:val="20"/>
              </w:rPr>
            </w:pPr>
          </w:p>
          <w:p w14:paraId="0BD2EA39" w14:textId="77777777" w:rsidR="0018335E" w:rsidRPr="00DF600A" w:rsidRDefault="0018335E" w:rsidP="00C613AC">
            <w:pPr>
              <w:rPr>
                <w:rFonts w:ascii="Calibri" w:eastAsia="MS Mincho" w:hAnsi="Calibri" w:cs="Arial"/>
                <w:i/>
                <w:sz w:val="20"/>
              </w:rPr>
            </w:pPr>
            <w:r w:rsidRPr="00DF600A">
              <w:rPr>
                <w:rFonts w:ascii="Calibri" w:eastAsia="MS Mincho" w:hAnsi="Calibri" w:cs="Arial"/>
                <w:i/>
                <w:sz w:val="20"/>
              </w:rPr>
              <w:t>(Lead Implementing Partner – APA)</w:t>
            </w:r>
          </w:p>
        </w:tc>
        <w:tc>
          <w:tcPr>
            <w:tcW w:w="386" w:type="pct"/>
            <w:tcBorders>
              <w:bottom w:val="single" w:sz="4" w:space="0" w:color="auto"/>
            </w:tcBorders>
            <w:tcMar>
              <w:top w:w="28" w:type="dxa"/>
              <w:left w:w="57" w:type="dxa"/>
              <w:bottom w:w="28" w:type="dxa"/>
              <w:right w:w="57" w:type="dxa"/>
            </w:tcMar>
          </w:tcPr>
          <w:p w14:paraId="3570420F" w14:textId="77777777" w:rsidR="0018335E" w:rsidRPr="00DF600A" w:rsidRDefault="0018335E" w:rsidP="00C613AC">
            <w:pPr>
              <w:jc w:val="center"/>
              <w:rPr>
                <w:rFonts w:ascii="Calibri" w:eastAsia="MS Mincho" w:hAnsi="Calibri" w:cs="Arial"/>
                <w:b/>
                <w:sz w:val="20"/>
              </w:rPr>
            </w:pPr>
            <w:r w:rsidRPr="00DF600A">
              <w:rPr>
                <w:rFonts w:ascii="Calibri" w:eastAsia="MS Mincho" w:hAnsi="Calibri" w:cs="Arial"/>
                <w:b/>
                <w:sz w:val="20"/>
              </w:rPr>
              <w:t>S</w:t>
            </w:r>
          </w:p>
        </w:tc>
        <w:tc>
          <w:tcPr>
            <w:tcW w:w="3735" w:type="pct"/>
            <w:tcBorders>
              <w:bottom w:val="single" w:sz="4" w:space="0" w:color="auto"/>
            </w:tcBorders>
            <w:tcMar>
              <w:left w:w="57" w:type="dxa"/>
              <w:right w:w="57" w:type="dxa"/>
            </w:tcMar>
          </w:tcPr>
          <w:p w14:paraId="2EA2F984" w14:textId="77777777" w:rsidR="0018335E" w:rsidRPr="00D779CC" w:rsidRDefault="0018335E" w:rsidP="00C613AC">
            <w:pPr>
              <w:spacing w:after="60" w:line="240" w:lineRule="atLeast"/>
              <w:jc w:val="both"/>
              <w:rPr>
                <w:rFonts w:ascii="Calibri" w:hAnsi="Calibri" w:cs="Corbel"/>
                <w:sz w:val="20"/>
                <w:lang w:val="en-US"/>
              </w:rPr>
            </w:pPr>
            <w:r w:rsidRPr="0099619A">
              <w:rPr>
                <w:rFonts w:ascii="Zapf Dingbats" w:eastAsia="MS Mincho" w:hAnsi="Zapf Dingbats" w:cs="Arial"/>
                <w:b/>
                <w:color w:val="008000"/>
                <w:sz w:val="20"/>
              </w:rPr>
              <w:t>✔</w:t>
            </w:r>
            <w:r>
              <w:rPr>
                <w:rFonts w:ascii="Zapf Dingbats" w:eastAsia="MS Mincho" w:hAnsi="Zapf Dingbats" w:cs="Arial"/>
                <w:sz w:val="20"/>
              </w:rPr>
              <w:t></w:t>
            </w:r>
            <w:r w:rsidRPr="00D779CC">
              <w:rPr>
                <w:rFonts w:ascii="Calibri" w:hAnsi="Calibri"/>
                <w:sz w:val="20"/>
                <w:lang w:val="en-US"/>
              </w:rPr>
              <w:t>High level of ownership and participation among key officials from APA and its regional partners that was consistent throughout the implementation phase, notable being the PEB meetings chaired by APA.</w:t>
            </w:r>
          </w:p>
          <w:p w14:paraId="3D4AFC0B" w14:textId="77777777" w:rsidR="0018335E" w:rsidRPr="00D779CC" w:rsidRDefault="0018335E" w:rsidP="00C613AC">
            <w:pPr>
              <w:spacing w:after="60" w:line="240" w:lineRule="atLeast"/>
              <w:jc w:val="both"/>
              <w:rPr>
                <w:rFonts w:ascii="Calibri" w:hAnsi="Calibri" w:cs="Corbel"/>
                <w:sz w:val="20"/>
                <w:lang w:val="en-US"/>
              </w:rPr>
            </w:pPr>
            <w:r w:rsidRPr="0099619A">
              <w:rPr>
                <w:rFonts w:ascii="Zapf Dingbats" w:eastAsia="MS Mincho" w:hAnsi="Zapf Dingbats" w:cs="Arial"/>
                <w:b/>
                <w:color w:val="008000"/>
                <w:sz w:val="20"/>
              </w:rPr>
              <w:t>✔</w:t>
            </w:r>
            <w:r>
              <w:rPr>
                <w:rFonts w:ascii="Zapf Dingbats" w:eastAsia="MS Mincho" w:hAnsi="Zapf Dingbats" w:cs="Arial"/>
                <w:sz w:val="20"/>
              </w:rPr>
              <w:t></w:t>
            </w:r>
            <w:r w:rsidRPr="00D779CC">
              <w:rPr>
                <w:rFonts w:ascii="Calibri" w:hAnsi="Calibri" w:cs="Corbel"/>
                <w:sz w:val="20"/>
                <w:lang w:val="en-US"/>
              </w:rPr>
              <w:t>PA Administrations in the target sites worked closely with PMU and, as beneficiaries of many of the project activities, contributed to the delivery of a large number of outputs.</w:t>
            </w:r>
          </w:p>
          <w:p w14:paraId="00B40997" w14:textId="685C1B36" w:rsidR="0018335E" w:rsidRPr="00D779CC" w:rsidRDefault="009711CB" w:rsidP="00C613AC">
            <w:pPr>
              <w:spacing w:after="60" w:line="240" w:lineRule="atLeast"/>
              <w:jc w:val="both"/>
              <w:rPr>
                <w:rFonts w:ascii="Calibri" w:hAnsi="Calibri" w:cs="Corbel"/>
                <w:sz w:val="20"/>
                <w:lang w:val="en-US"/>
              </w:rPr>
            </w:pPr>
            <w:r w:rsidRPr="00105728">
              <w:rPr>
                <w:rFonts w:ascii="Calibri" w:hAnsi="Calibri" w:cs="Corbel"/>
                <w:b/>
                <w:sz w:val="20"/>
                <w:lang w:val="en-US"/>
              </w:rPr>
              <w:t>Note</w:t>
            </w:r>
            <w:r w:rsidR="00DD3C52">
              <w:rPr>
                <w:rFonts w:ascii="Calibri" w:hAnsi="Calibri" w:cs="Corbel"/>
                <w:b/>
                <w:sz w:val="20"/>
                <w:lang w:val="en-US"/>
              </w:rPr>
              <w:t>:</w:t>
            </w:r>
            <w:r w:rsidR="00DD3C52">
              <w:rPr>
                <w:rFonts w:ascii="Calibri" w:hAnsi="Calibri" w:cs="Corbel"/>
                <w:sz w:val="20"/>
                <w:lang w:val="en-US"/>
              </w:rPr>
              <w:t xml:space="preserve"> S</w:t>
            </w:r>
            <w:r>
              <w:rPr>
                <w:rFonts w:ascii="Calibri" w:hAnsi="Calibri" w:cs="Corbel"/>
                <w:sz w:val="20"/>
                <w:lang w:val="en-US"/>
              </w:rPr>
              <w:t>takeholders attributed occasional</w:t>
            </w:r>
            <w:r w:rsidR="0018335E" w:rsidRPr="00D779CC">
              <w:rPr>
                <w:rFonts w:ascii="Calibri" w:hAnsi="Calibri" w:cs="Corbel"/>
                <w:sz w:val="20"/>
                <w:lang w:val="en-US"/>
              </w:rPr>
              <w:t xml:space="preserve"> delays in implementation </w:t>
            </w:r>
            <w:r>
              <w:rPr>
                <w:rFonts w:ascii="Calibri" w:hAnsi="Calibri" w:cs="Corbel"/>
                <w:sz w:val="20"/>
                <w:lang w:val="en-US"/>
              </w:rPr>
              <w:t xml:space="preserve">to APA’s centralized management of PAs and lack of devolved powers for PA Administrations. </w:t>
            </w:r>
            <w:r w:rsidR="0018335E" w:rsidRPr="00D779CC">
              <w:rPr>
                <w:rFonts w:ascii="Calibri" w:hAnsi="Calibri" w:cs="Corbel"/>
                <w:sz w:val="20"/>
                <w:lang w:val="en-US"/>
              </w:rPr>
              <w:t>APA</w:t>
            </w:r>
            <w:r>
              <w:rPr>
                <w:rFonts w:ascii="Calibri" w:hAnsi="Calibri" w:cs="Corbel"/>
                <w:sz w:val="20"/>
                <w:lang w:val="en-US"/>
              </w:rPr>
              <w:t>’s</w:t>
            </w:r>
            <w:r w:rsidR="0018335E" w:rsidRPr="00D779CC">
              <w:rPr>
                <w:rFonts w:ascii="Calibri" w:hAnsi="Calibri" w:cs="Corbel"/>
                <w:sz w:val="20"/>
                <w:lang w:val="en-US"/>
              </w:rPr>
              <w:t xml:space="preserve"> initial refusal to accept the zonation plan for Machakhela produced by Ilia State University</w:t>
            </w:r>
            <w:r>
              <w:rPr>
                <w:rFonts w:ascii="Calibri" w:hAnsi="Calibri" w:cs="Corbel"/>
                <w:sz w:val="20"/>
                <w:lang w:val="en-US"/>
              </w:rPr>
              <w:t>, which took a month</w:t>
            </w:r>
            <w:r w:rsidR="00105728">
              <w:rPr>
                <w:rFonts w:ascii="Calibri" w:hAnsi="Calibri" w:cs="Corbel"/>
                <w:sz w:val="20"/>
                <w:lang w:val="en-US"/>
              </w:rPr>
              <w:t xml:space="preserve"> or so to</w:t>
            </w:r>
            <w:r w:rsidR="0018335E" w:rsidRPr="00D779CC">
              <w:rPr>
                <w:rFonts w:ascii="Calibri" w:hAnsi="Calibri" w:cs="Corbel"/>
                <w:sz w:val="20"/>
                <w:lang w:val="en-US"/>
              </w:rPr>
              <w:t xml:space="preserve"> resolve</w:t>
            </w:r>
            <w:r w:rsidR="00105728">
              <w:rPr>
                <w:rFonts w:ascii="Calibri" w:hAnsi="Calibri" w:cs="Corbel"/>
                <w:sz w:val="20"/>
                <w:lang w:val="en-US"/>
              </w:rPr>
              <w:t xml:space="preserve"> according to</w:t>
            </w:r>
            <w:r w:rsidR="0018335E" w:rsidRPr="00D779CC">
              <w:rPr>
                <w:rFonts w:ascii="Calibri" w:hAnsi="Calibri" w:cs="Corbel"/>
                <w:sz w:val="20"/>
                <w:lang w:val="en-US"/>
              </w:rPr>
              <w:t xml:space="preserve"> the MTR</w:t>
            </w:r>
            <w:r w:rsidR="00105728">
              <w:rPr>
                <w:rFonts w:ascii="Calibri" w:hAnsi="Calibri" w:cs="Corbel"/>
                <w:sz w:val="20"/>
                <w:lang w:val="en-US"/>
              </w:rPr>
              <w:t xml:space="preserve">, was more about misunderstandings and lack of a </w:t>
            </w:r>
            <w:r w:rsidR="00DD3C52">
              <w:rPr>
                <w:rFonts w:ascii="Calibri" w:hAnsi="Calibri" w:cs="Corbel"/>
                <w:sz w:val="20"/>
                <w:lang w:val="en-US"/>
              </w:rPr>
              <w:t>well-</w:t>
            </w:r>
            <w:r w:rsidR="00105728">
              <w:rPr>
                <w:rFonts w:ascii="Calibri" w:hAnsi="Calibri" w:cs="Corbel"/>
                <w:sz w:val="20"/>
                <w:lang w:val="en-US"/>
              </w:rPr>
              <w:t>planned participatory process than delay per se</w:t>
            </w:r>
            <w:r w:rsidR="0018335E" w:rsidRPr="00D779CC">
              <w:rPr>
                <w:rFonts w:ascii="Calibri" w:hAnsi="Calibri" w:cs="Corbel"/>
                <w:sz w:val="20"/>
                <w:lang w:val="en-US"/>
              </w:rPr>
              <w:t>.</w:t>
            </w:r>
          </w:p>
          <w:p w14:paraId="15E0A64C" w14:textId="2CC1396A" w:rsidR="0018335E" w:rsidRPr="00D779CC" w:rsidRDefault="0018335E" w:rsidP="00C613AC">
            <w:pPr>
              <w:spacing w:after="60" w:line="240" w:lineRule="atLeast"/>
              <w:jc w:val="both"/>
              <w:rPr>
                <w:rFonts w:ascii="Calibri" w:hAnsi="Calibri" w:cs="Corbel"/>
                <w:sz w:val="20"/>
                <w:lang w:val="en-US"/>
              </w:rPr>
            </w:pPr>
            <w:r w:rsidRPr="0099619A">
              <w:rPr>
                <w:rFonts w:ascii="Zapf Dingbats" w:eastAsia="MS Mincho" w:hAnsi="Zapf Dingbats" w:cs="Arial"/>
                <w:b/>
                <w:color w:val="FF0000"/>
                <w:sz w:val="20"/>
              </w:rPr>
              <w:t>✖</w:t>
            </w:r>
            <w:r w:rsidRPr="0099619A">
              <w:rPr>
                <w:rFonts w:ascii="Zapf Dingbats" w:eastAsia="MS Mincho" w:hAnsi="Zapf Dingbats" w:cs="Arial"/>
                <w:b/>
                <w:color w:val="FF0000"/>
                <w:sz w:val="20"/>
              </w:rPr>
              <w:t></w:t>
            </w:r>
            <w:r w:rsidRPr="00D779CC">
              <w:rPr>
                <w:rFonts w:ascii="Calibri" w:hAnsi="Calibri" w:cs="Corbel"/>
                <w:sz w:val="20"/>
                <w:lang w:val="en-US"/>
              </w:rPr>
              <w:t xml:space="preserve">Frequent changes in staff at APA: notably </w:t>
            </w:r>
            <w:r w:rsidR="007F1549">
              <w:rPr>
                <w:rFonts w:ascii="Calibri" w:hAnsi="Calibri" w:cs="Corbel"/>
                <w:sz w:val="20"/>
                <w:lang w:val="en-US"/>
              </w:rPr>
              <w:t xml:space="preserve">its </w:t>
            </w:r>
            <w:r w:rsidR="005D5400">
              <w:rPr>
                <w:rFonts w:ascii="Calibri" w:hAnsi="Calibri" w:cs="Corbel"/>
                <w:sz w:val="20"/>
                <w:lang w:val="en-US"/>
              </w:rPr>
              <w:t>Chairman</w:t>
            </w:r>
            <w:r w:rsidRPr="00D779CC">
              <w:rPr>
                <w:rFonts w:ascii="Calibri" w:hAnsi="Calibri" w:cs="Corbel"/>
                <w:sz w:val="20"/>
                <w:lang w:val="en-US"/>
              </w:rPr>
              <w:t xml:space="preserve"> changed </w:t>
            </w:r>
            <w:r w:rsidR="005D5400">
              <w:rPr>
                <w:rFonts w:ascii="Calibri" w:hAnsi="Calibri" w:cs="Corbel"/>
                <w:sz w:val="20"/>
                <w:lang w:val="en-US"/>
              </w:rPr>
              <w:t>6</w:t>
            </w:r>
            <w:r w:rsidRPr="00D779CC">
              <w:rPr>
                <w:rFonts w:ascii="Calibri" w:hAnsi="Calibri" w:cs="Corbel"/>
                <w:sz w:val="20"/>
                <w:lang w:val="en-US"/>
              </w:rPr>
              <w:t xml:space="preserve"> times </w:t>
            </w:r>
            <w:r w:rsidR="007F1549">
              <w:rPr>
                <w:rFonts w:ascii="Calibri" w:hAnsi="Calibri" w:cs="Corbel"/>
                <w:sz w:val="20"/>
                <w:lang w:val="en-US"/>
              </w:rPr>
              <w:t xml:space="preserve">and the NPD </w:t>
            </w:r>
            <w:r w:rsidR="005D5400" w:rsidRPr="005D5400">
              <w:rPr>
                <w:rFonts w:ascii="Calibri" w:hAnsi="Calibri" w:cs="Corbel"/>
                <w:sz w:val="20"/>
                <w:lang w:val="en-US"/>
              </w:rPr>
              <w:t>4</w:t>
            </w:r>
            <w:r w:rsidR="007F1549" w:rsidRPr="005D5400">
              <w:rPr>
                <w:rFonts w:ascii="Calibri" w:hAnsi="Calibri" w:cs="Corbel"/>
                <w:sz w:val="20"/>
                <w:lang w:val="en-US"/>
              </w:rPr>
              <w:t xml:space="preserve"> times</w:t>
            </w:r>
            <w:r w:rsidR="007F1549">
              <w:rPr>
                <w:rFonts w:ascii="Calibri" w:hAnsi="Calibri" w:cs="Corbel"/>
                <w:sz w:val="20"/>
                <w:lang w:val="en-US"/>
              </w:rPr>
              <w:t xml:space="preserve"> </w:t>
            </w:r>
            <w:r w:rsidRPr="00D779CC">
              <w:rPr>
                <w:rFonts w:ascii="Calibri" w:hAnsi="Calibri" w:cs="Corbel"/>
                <w:sz w:val="20"/>
                <w:lang w:val="en-US"/>
              </w:rPr>
              <w:t xml:space="preserve">during the </w:t>
            </w:r>
            <w:r w:rsidR="005D5400">
              <w:rPr>
                <w:rFonts w:ascii="Calibri" w:hAnsi="Calibri" w:cs="Corbel"/>
                <w:sz w:val="20"/>
                <w:lang w:val="en-US"/>
              </w:rPr>
              <w:t>project</w:t>
            </w:r>
            <w:r w:rsidRPr="00D779CC">
              <w:rPr>
                <w:rFonts w:ascii="Calibri" w:hAnsi="Calibri" w:cs="Corbel"/>
                <w:sz w:val="20"/>
                <w:lang w:val="en-US"/>
              </w:rPr>
              <w:t>, which affects stability of relationships and impacts on</w:t>
            </w:r>
            <w:r w:rsidR="005D5400">
              <w:rPr>
                <w:rFonts w:ascii="Calibri" w:hAnsi="Calibri" w:cs="Corbel"/>
                <w:sz w:val="20"/>
                <w:lang w:val="en-US"/>
              </w:rPr>
              <w:t xml:space="preserve"> </w:t>
            </w:r>
            <w:r w:rsidR="007B41E2">
              <w:rPr>
                <w:rFonts w:ascii="Calibri" w:hAnsi="Calibri" w:cs="Corbel"/>
                <w:sz w:val="20"/>
                <w:lang w:val="en-US"/>
              </w:rPr>
              <w:t>implementation</w:t>
            </w:r>
            <w:r w:rsidRPr="00D779CC">
              <w:rPr>
                <w:rFonts w:ascii="Calibri" w:hAnsi="Calibri" w:cs="Corbel"/>
                <w:sz w:val="20"/>
                <w:lang w:val="en-US"/>
              </w:rPr>
              <w:t xml:space="preserve"> decision-making (delays). </w:t>
            </w:r>
            <w:r w:rsidR="005D5400">
              <w:rPr>
                <w:rFonts w:ascii="Calibri" w:hAnsi="Calibri" w:cs="Corbel"/>
                <w:sz w:val="20"/>
                <w:lang w:val="en-US"/>
              </w:rPr>
              <w:t>T</w:t>
            </w:r>
            <w:r w:rsidRPr="00D779CC">
              <w:rPr>
                <w:rFonts w:ascii="Calibri" w:hAnsi="Calibri" w:cs="Corbel"/>
                <w:sz w:val="20"/>
                <w:lang w:val="en-US"/>
              </w:rPr>
              <w:t xml:space="preserve">urn-over of PA Administration staff </w:t>
            </w:r>
            <w:r w:rsidR="005D5400">
              <w:rPr>
                <w:rFonts w:ascii="Calibri" w:hAnsi="Calibri" w:cs="Corbel"/>
                <w:sz w:val="20"/>
                <w:lang w:val="en-US"/>
              </w:rPr>
              <w:t>is high</w:t>
            </w:r>
            <w:r w:rsidR="008C0D22">
              <w:rPr>
                <w:rFonts w:ascii="Calibri" w:hAnsi="Calibri" w:cs="Corbel"/>
                <w:sz w:val="20"/>
                <w:lang w:val="en-US"/>
              </w:rPr>
              <w:t xml:space="preserve"> among rangers</w:t>
            </w:r>
            <w:r w:rsidR="0065750E">
              <w:rPr>
                <w:rStyle w:val="FootnoteReference"/>
                <w:rFonts w:ascii="Calibri" w:hAnsi="Calibri" w:cs="Corbel"/>
                <w:sz w:val="20"/>
                <w:lang w:val="en-US"/>
              </w:rPr>
              <w:footnoteReference w:id="3"/>
            </w:r>
            <w:r w:rsidR="008C0D22">
              <w:rPr>
                <w:rFonts w:ascii="Calibri" w:hAnsi="Calibri" w:cs="Corbel"/>
                <w:sz w:val="20"/>
                <w:lang w:val="en-US"/>
              </w:rPr>
              <w:t xml:space="preserve"> and </w:t>
            </w:r>
            <w:r w:rsidRPr="00D779CC">
              <w:rPr>
                <w:rFonts w:ascii="Calibri" w:hAnsi="Calibri" w:cs="Corbel"/>
                <w:sz w:val="20"/>
                <w:lang w:val="en-US"/>
              </w:rPr>
              <w:t>attributed to low salaries</w:t>
            </w:r>
            <w:r w:rsidR="008C0D22">
              <w:rPr>
                <w:rFonts w:ascii="Calibri" w:hAnsi="Calibri" w:cs="Corbel"/>
                <w:sz w:val="20"/>
                <w:lang w:val="en-US"/>
              </w:rPr>
              <w:t xml:space="preserve">, which </w:t>
            </w:r>
            <w:r w:rsidRPr="00D779CC">
              <w:rPr>
                <w:rFonts w:ascii="Calibri" w:hAnsi="Calibri" w:cs="Corbel"/>
                <w:sz w:val="20"/>
                <w:lang w:val="en-US"/>
              </w:rPr>
              <w:t>is why salaries within selected PAs (NPs) are supplemented by C</w:t>
            </w:r>
            <w:r>
              <w:rPr>
                <w:rFonts w:ascii="Calibri" w:hAnsi="Calibri" w:cs="Corbel"/>
                <w:sz w:val="20"/>
                <w:lang w:val="en-US"/>
              </w:rPr>
              <w:t>aucasus Nature Fund (C</w:t>
            </w:r>
            <w:r w:rsidRPr="00D779CC">
              <w:rPr>
                <w:rFonts w:ascii="Calibri" w:hAnsi="Calibri" w:cs="Corbel"/>
                <w:sz w:val="20"/>
                <w:lang w:val="en-US"/>
              </w:rPr>
              <w:t>NF</w:t>
            </w:r>
            <w:r>
              <w:rPr>
                <w:rFonts w:ascii="Calibri" w:hAnsi="Calibri" w:cs="Corbel"/>
                <w:sz w:val="20"/>
                <w:lang w:val="en-US"/>
              </w:rPr>
              <w:t>)</w:t>
            </w:r>
            <w:r w:rsidRPr="00D779CC">
              <w:rPr>
                <w:rFonts w:ascii="Calibri" w:hAnsi="Calibri" w:cs="Corbel"/>
                <w:sz w:val="20"/>
                <w:lang w:val="en-US"/>
              </w:rPr>
              <w:t xml:space="preserve">. </w:t>
            </w:r>
          </w:p>
          <w:p w14:paraId="69614C32" w14:textId="3F78FA9C" w:rsidR="0018335E" w:rsidRPr="00EF6CA8" w:rsidRDefault="0018335E" w:rsidP="00EF6CA8">
            <w:pPr>
              <w:tabs>
                <w:tab w:val="right" w:pos="6291"/>
              </w:tabs>
              <w:spacing w:line="240" w:lineRule="atLeast"/>
              <w:jc w:val="both"/>
              <w:rPr>
                <w:rFonts w:ascii="Calibri" w:hAnsi="Calibri" w:cs="Corbel"/>
                <w:sz w:val="20"/>
                <w:lang w:val="en-US"/>
              </w:rPr>
            </w:pPr>
            <w:r w:rsidRPr="0099619A">
              <w:rPr>
                <w:rFonts w:ascii="Zapf Dingbats" w:eastAsia="MS Mincho" w:hAnsi="Zapf Dingbats" w:cs="Arial"/>
                <w:b/>
                <w:color w:val="FF0000"/>
                <w:sz w:val="20"/>
              </w:rPr>
              <w:t>✖</w:t>
            </w:r>
            <w:r w:rsidRPr="0099619A">
              <w:rPr>
                <w:rFonts w:ascii="Zapf Dingbats" w:eastAsia="MS Mincho" w:hAnsi="Zapf Dingbats" w:cs="Arial"/>
                <w:b/>
                <w:color w:val="FF0000"/>
                <w:sz w:val="20"/>
              </w:rPr>
              <w:t></w:t>
            </w:r>
            <w:r>
              <w:rPr>
                <w:rFonts w:ascii="Calibri" w:hAnsi="Calibri" w:cs="Corbel"/>
                <w:sz w:val="20"/>
                <w:lang w:val="en-US"/>
              </w:rPr>
              <w:t>A</w:t>
            </w:r>
            <w:r w:rsidRPr="00D779CC">
              <w:rPr>
                <w:rFonts w:ascii="Calibri" w:hAnsi="Calibri" w:cs="Corbel"/>
                <w:sz w:val="20"/>
                <w:lang w:val="en-US"/>
              </w:rPr>
              <w:t xml:space="preserve"> key assumptions in the SRF: “That APA will allow sufficient ‘de-concentration’ of management to allow more adaptive management… “ has proved to be elusive for APA</w:t>
            </w:r>
            <w:r>
              <w:rPr>
                <w:rFonts w:ascii="Calibri" w:hAnsi="Calibri" w:cs="Corbel"/>
                <w:sz w:val="20"/>
                <w:lang w:val="en-US"/>
              </w:rPr>
              <w:t xml:space="preserve"> to realize during the life of the project</w:t>
            </w:r>
            <w:r w:rsidRPr="00D779CC">
              <w:rPr>
                <w:rFonts w:ascii="Calibri" w:hAnsi="Calibri" w:cs="Corbel"/>
                <w:sz w:val="20"/>
                <w:lang w:val="en-US"/>
              </w:rPr>
              <w:t>, particularly with respect to enabling PA</w:t>
            </w:r>
            <w:r>
              <w:rPr>
                <w:rFonts w:ascii="Calibri" w:hAnsi="Calibri" w:cs="Corbel"/>
                <w:sz w:val="20"/>
                <w:lang w:val="en-US"/>
              </w:rPr>
              <w:t xml:space="preserve"> Administration</w:t>
            </w:r>
            <w:r w:rsidRPr="00D779CC">
              <w:rPr>
                <w:rFonts w:ascii="Calibri" w:hAnsi="Calibri" w:cs="Corbel"/>
                <w:sz w:val="20"/>
                <w:lang w:val="en-US"/>
              </w:rPr>
              <w:t xml:space="preserve">s to become more financially sustainable as that requires a degree of independence and autonomy that is currently beyond existing </w:t>
            </w:r>
            <w:r w:rsidRPr="00D779CC">
              <w:rPr>
                <w:rFonts w:ascii="Calibri" w:hAnsi="Calibri" w:cs="Corbel"/>
                <w:sz w:val="20"/>
                <w:lang w:val="en-US"/>
              </w:rPr>
              <w:lastRenderedPageBreak/>
              <w:t xml:space="preserve">policies and legislation. </w:t>
            </w:r>
            <w:r>
              <w:rPr>
                <w:rFonts w:ascii="Calibri" w:hAnsi="Calibri" w:cs="Corbel"/>
                <w:sz w:val="20"/>
                <w:lang w:val="en-US"/>
              </w:rPr>
              <w:t xml:space="preserve">This </w:t>
            </w:r>
            <w:r w:rsidRPr="00573B86">
              <w:rPr>
                <w:rFonts w:ascii="Calibri" w:hAnsi="Calibri" w:cs="Corbel"/>
                <w:i/>
                <w:sz w:val="20"/>
                <w:lang w:val="en-US"/>
              </w:rPr>
              <w:t>status quo</w:t>
            </w:r>
            <w:r>
              <w:rPr>
                <w:rFonts w:ascii="Calibri" w:hAnsi="Calibri" w:cs="Corbel"/>
                <w:sz w:val="20"/>
                <w:lang w:val="en-US"/>
              </w:rPr>
              <w:t xml:space="preserve"> has constrained the delivery of Output 1.3 (sustainable financing for PAs) and Output 2.2 (civil society and community engagement in the governance of PAs).</w:t>
            </w:r>
            <w:r w:rsidR="00F15B4D">
              <w:rPr>
                <w:rStyle w:val="FootnoteReference"/>
                <w:rFonts w:ascii="Calibri" w:hAnsi="Calibri" w:cs="Corbel"/>
                <w:sz w:val="20"/>
                <w:lang w:val="en-US"/>
              </w:rPr>
              <w:footnoteReference w:id="4"/>
            </w:r>
            <w:r>
              <w:rPr>
                <w:rFonts w:ascii="Calibri" w:hAnsi="Calibri" w:cs="Corbel"/>
                <w:sz w:val="20"/>
                <w:lang w:val="en-US"/>
              </w:rPr>
              <w:t xml:space="preserve"> </w:t>
            </w:r>
            <w:r w:rsidR="00EF6CA8">
              <w:rPr>
                <w:rFonts w:ascii="Calibri" w:hAnsi="Calibri" w:cs="Corbel"/>
                <w:sz w:val="20"/>
                <w:lang w:val="en-US"/>
              </w:rPr>
              <w:tab/>
            </w:r>
            <w:r>
              <w:rPr>
                <w:rFonts w:ascii="Calibri" w:eastAsia="MS Mincho" w:hAnsi="Calibri" w:cs="Arial"/>
                <w:sz w:val="20"/>
              </w:rPr>
              <w:t>[Further details in</w:t>
            </w:r>
            <w:r w:rsidRPr="0099619A">
              <w:rPr>
                <w:rFonts w:ascii="Calibri" w:eastAsia="MS Mincho" w:hAnsi="Calibri" w:cs="Arial"/>
                <w:sz w:val="20"/>
              </w:rPr>
              <w:t xml:space="preserve"> </w:t>
            </w:r>
            <w:r w:rsidRPr="00D779CC">
              <w:rPr>
                <w:rFonts w:ascii="Calibri" w:hAnsi="Calibri" w:cs="Corbel"/>
                <w:b/>
                <w:sz w:val="20"/>
                <w:lang w:val="en-US"/>
              </w:rPr>
              <w:t>Section</w:t>
            </w:r>
            <w:r>
              <w:rPr>
                <w:rFonts w:ascii="Calibri" w:hAnsi="Calibri" w:cs="Corbel"/>
                <w:b/>
                <w:sz w:val="20"/>
                <w:lang w:val="en-US"/>
              </w:rPr>
              <w:t>s 3.2.6</w:t>
            </w:r>
            <w:r>
              <w:rPr>
                <w:rFonts w:ascii="Calibri" w:hAnsi="Calibri" w:cs="Corbel"/>
                <w:sz w:val="20"/>
                <w:lang w:val="en-US"/>
              </w:rPr>
              <w:t xml:space="preserve"> and</w:t>
            </w:r>
            <w:r>
              <w:rPr>
                <w:rFonts w:ascii="Calibri" w:hAnsi="Calibri" w:cs="Corbel"/>
                <w:b/>
                <w:sz w:val="20"/>
                <w:lang w:val="en-US"/>
              </w:rPr>
              <w:t xml:space="preserve"> 3.3.3</w:t>
            </w:r>
            <w:r>
              <w:rPr>
                <w:rFonts w:ascii="Calibri" w:hAnsi="Calibri" w:cs="Corbel"/>
                <w:sz w:val="20"/>
                <w:lang w:val="en-US"/>
              </w:rPr>
              <w:t>]</w:t>
            </w:r>
          </w:p>
        </w:tc>
      </w:tr>
      <w:tr w:rsidR="0018335E" w:rsidRPr="00DF600A" w14:paraId="4BE46DB0" w14:textId="77777777" w:rsidTr="00A664E2">
        <w:trPr>
          <w:trHeight w:val="233"/>
        </w:trPr>
        <w:tc>
          <w:tcPr>
            <w:tcW w:w="5000" w:type="pct"/>
            <w:gridSpan w:val="3"/>
            <w:shd w:val="clear" w:color="auto" w:fill="E6E6E6"/>
            <w:tcMar>
              <w:top w:w="28" w:type="dxa"/>
              <w:left w:w="57" w:type="dxa"/>
              <w:bottom w:w="28" w:type="dxa"/>
              <w:right w:w="57" w:type="dxa"/>
            </w:tcMar>
          </w:tcPr>
          <w:p w14:paraId="416B4936" w14:textId="14687E65" w:rsidR="0018335E" w:rsidRPr="00DF600A" w:rsidRDefault="0018335E" w:rsidP="00C613AC">
            <w:pPr>
              <w:rPr>
                <w:rFonts w:ascii="Calibri" w:eastAsia="MS Mincho" w:hAnsi="Calibri" w:cs="Arial"/>
                <w:sz w:val="20"/>
              </w:rPr>
            </w:pPr>
            <w:r w:rsidRPr="00DF600A">
              <w:rPr>
                <w:rFonts w:ascii="Calibri" w:eastAsia="MS Mincho" w:hAnsi="Calibri" w:cs="Arial"/>
                <w:b/>
                <w:sz w:val="20"/>
              </w:rPr>
              <w:lastRenderedPageBreak/>
              <w:t xml:space="preserve">Outcomes </w:t>
            </w:r>
            <w:r w:rsidRPr="00DF600A">
              <w:rPr>
                <w:rFonts w:ascii="Calibri" w:eastAsia="MS Mincho" w:hAnsi="Calibri" w:cs="Arial"/>
                <w:bCs/>
                <w:sz w:val="20"/>
              </w:rPr>
              <w:t>(using 6-point satisfaction scale)</w:t>
            </w:r>
          </w:p>
        </w:tc>
      </w:tr>
      <w:tr w:rsidR="00692C5D" w:rsidRPr="00DF600A" w14:paraId="19D7080A" w14:textId="77777777" w:rsidTr="00692C5D">
        <w:tc>
          <w:tcPr>
            <w:tcW w:w="879" w:type="pct"/>
            <w:shd w:val="clear" w:color="auto" w:fill="auto"/>
            <w:tcMar>
              <w:left w:w="57" w:type="dxa"/>
            </w:tcMar>
          </w:tcPr>
          <w:p w14:paraId="1550E74F" w14:textId="77777777" w:rsidR="0018335E" w:rsidRPr="00DF600A" w:rsidRDefault="0018335E" w:rsidP="00C613AC">
            <w:pPr>
              <w:rPr>
                <w:rFonts w:ascii="Calibri" w:eastAsia="MS Mincho" w:hAnsi="Calibri" w:cs="Arial"/>
                <w:i/>
                <w:sz w:val="20"/>
              </w:rPr>
            </w:pPr>
            <w:r w:rsidRPr="00DF600A">
              <w:rPr>
                <w:rFonts w:ascii="Calibri" w:eastAsia="MS Mincho" w:hAnsi="Calibri" w:cs="Arial"/>
                <w:sz w:val="20"/>
              </w:rPr>
              <w:t>Overall quality of project outcomes</w:t>
            </w:r>
          </w:p>
        </w:tc>
        <w:tc>
          <w:tcPr>
            <w:tcW w:w="386" w:type="pct"/>
            <w:tcMar>
              <w:top w:w="28" w:type="dxa"/>
              <w:left w:w="57" w:type="dxa"/>
              <w:bottom w:w="28" w:type="dxa"/>
              <w:right w:w="57" w:type="dxa"/>
            </w:tcMar>
          </w:tcPr>
          <w:p w14:paraId="5BC68A87" w14:textId="77777777" w:rsidR="0018335E" w:rsidRPr="00DF600A" w:rsidRDefault="0018335E" w:rsidP="00C613AC">
            <w:pPr>
              <w:jc w:val="center"/>
              <w:rPr>
                <w:rFonts w:ascii="Calibri" w:eastAsia="MS Mincho" w:hAnsi="Calibri" w:cs="Arial"/>
                <w:b/>
                <w:sz w:val="20"/>
              </w:rPr>
            </w:pPr>
            <w:r w:rsidRPr="00DF600A">
              <w:rPr>
                <w:rFonts w:ascii="Calibri" w:eastAsia="MS Mincho" w:hAnsi="Calibri" w:cs="Arial"/>
                <w:b/>
                <w:sz w:val="20"/>
              </w:rPr>
              <w:t>S</w:t>
            </w:r>
          </w:p>
        </w:tc>
        <w:tc>
          <w:tcPr>
            <w:tcW w:w="3735" w:type="pct"/>
            <w:tcMar>
              <w:left w:w="57" w:type="dxa"/>
              <w:right w:w="57" w:type="dxa"/>
            </w:tcMar>
          </w:tcPr>
          <w:p w14:paraId="6ABD4C29" w14:textId="77777777" w:rsidR="0018335E" w:rsidRDefault="0018335E" w:rsidP="00C613AC">
            <w:pPr>
              <w:spacing w:after="60" w:line="240" w:lineRule="atLeast"/>
              <w:rPr>
                <w:rFonts w:ascii="Calibri" w:eastAsia="MS Mincho" w:hAnsi="Calibri" w:cs="Arial"/>
                <w:sz w:val="20"/>
              </w:rPr>
            </w:pPr>
            <w:r w:rsidRPr="009A5D46">
              <w:rPr>
                <w:rFonts w:ascii="Calibri" w:eastAsia="MS Mincho" w:hAnsi="Calibri" w:cs="Arial"/>
                <w:b/>
                <w:sz w:val="20"/>
              </w:rPr>
              <w:t>The project has met with considerable success in the attainment of its Objective, which is rated as Satisfactory</w:t>
            </w:r>
            <w:r>
              <w:rPr>
                <w:rFonts w:ascii="Calibri" w:eastAsia="MS Mincho" w:hAnsi="Calibri" w:cs="Arial"/>
                <w:sz w:val="20"/>
              </w:rPr>
              <w:t>, as evident from the following:</w:t>
            </w:r>
            <w:r w:rsidRPr="00DF600A">
              <w:rPr>
                <w:rFonts w:ascii="Calibri" w:eastAsia="MS Mincho" w:hAnsi="Calibri" w:cs="Arial"/>
                <w:sz w:val="20"/>
              </w:rPr>
              <w:t xml:space="preserve"> </w:t>
            </w:r>
          </w:p>
          <w:p w14:paraId="7B1FA90B" w14:textId="66E48012" w:rsidR="0018335E" w:rsidRPr="007D5834" w:rsidRDefault="0018335E" w:rsidP="00C613AC">
            <w:pPr>
              <w:spacing w:after="60" w:line="240" w:lineRule="atLeast"/>
              <w:rPr>
                <w:rFonts w:ascii="Calibri" w:eastAsia="MS Mincho" w:hAnsi="Calibri" w:cs="Arial"/>
                <w:sz w:val="20"/>
              </w:rPr>
            </w:pPr>
            <w:r w:rsidRPr="0099619A">
              <w:rPr>
                <w:rFonts w:ascii="Zapf Dingbats" w:eastAsia="MS Mincho" w:hAnsi="Zapf Dingbats" w:cs="Arial"/>
                <w:b/>
                <w:color w:val="008000"/>
                <w:sz w:val="20"/>
              </w:rPr>
              <w:t>✔</w:t>
            </w:r>
            <w:r>
              <w:rPr>
                <w:rFonts w:ascii="Zapf Dingbats" w:eastAsia="MS Mincho" w:hAnsi="Zapf Dingbats" w:cs="Arial"/>
                <w:sz w:val="20"/>
              </w:rPr>
              <w:t></w:t>
            </w:r>
            <w:r w:rsidRPr="007D5834">
              <w:rPr>
                <w:rFonts w:ascii="Calibri" w:eastAsia="MS Mincho" w:hAnsi="Calibri" w:cs="Arial"/>
                <w:sz w:val="20"/>
              </w:rPr>
              <w:t xml:space="preserve">A 24% increase (7,333 ha) in the coverage of PAs in Achara, from 30,469 ha to 37,802. While this does not currently meet the target of 39,202 ha, the target will be exceeded by 2,895 ha with the designation of the proposed Machakhela Protected Landscape. Thus, the total PAs coverage in Achara </w:t>
            </w:r>
            <w:r>
              <w:rPr>
                <w:rFonts w:ascii="Calibri" w:eastAsia="MS Mincho" w:hAnsi="Calibri" w:cs="Arial"/>
                <w:sz w:val="20"/>
              </w:rPr>
              <w:t>is planned to become</w:t>
            </w:r>
            <w:r w:rsidRPr="007D5834">
              <w:rPr>
                <w:rFonts w:ascii="Calibri" w:eastAsia="MS Mincho" w:hAnsi="Calibri" w:cs="Arial"/>
                <w:sz w:val="20"/>
              </w:rPr>
              <w:t xml:space="preserve"> 42,097 ha.</w:t>
            </w:r>
            <w:r>
              <w:rPr>
                <w:rFonts w:ascii="Calibri" w:eastAsia="MS Mincho" w:hAnsi="Calibri" w:cs="Arial"/>
                <w:sz w:val="20"/>
              </w:rPr>
              <w:t xml:space="preserve"> Thus, </w:t>
            </w:r>
            <w:r w:rsidRPr="007D5834">
              <w:rPr>
                <w:rFonts w:ascii="Calibri" w:eastAsia="MS Mincho" w:hAnsi="Calibri" w:cs="Arial"/>
                <w:sz w:val="20"/>
              </w:rPr>
              <w:t>the extent of the national PAs network will have increased from the baseline of 10.7% of the country to over 12%, exceeding the project’s target of 11.7%.</w:t>
            </w:r>
          </w:p>
          <w:p w14:paraId="08A4F745" w14:textId="77777777" w:rsidR="0018335E" w:rsidRPr="007D5834" w:rsidRDefault="0018335E" w:rsidP="00C613AC">
            <w:pPr>
              <w:spacing w:after="60" w:line="240" w:lineRule="atLeast"/>
              <w:rPr>
                <w:rFonts w:ascii="Calibri" w:eastAsia="MS Mincho" w:hAnsi="Calibri" w:cs="Arial"/>
                <w:sz w:val="20"/>
              </w:rPr>
            </w:pPr>
            <w:r w:rsidRPr="0099619A">
              <w:rPr>
                <w:rFonts w:ascii="Zapf Dingbats" w:eastAsia="MS Mincho" w:hAnsi="Zapf Dingbats" w:cs="Arial"/>
                <w:b/>
                <w:color w:val="008000"/>
                <w:sz w:val="20"/>
              </w:rPr>
              <w:t>✔</w:t>
            </w:r>
            <w:r>
              <w:rPr>
                <w:rFonts w:ascii="Zapf Dingbats" w:eastAsia="MS Mincho" w:hAnsi="Zapf Dingbats" w:cs="Arial"/>
                <w:sz w:val="20"/>
              </w:rPr>
              <w:t></w:t>
            </w:r>
            <w:r w:rsidRPr="007D5834">
              <w:rPr>
                <w:rFonts w:ascii="Calibri" w:eastAsia="MS Mincho" w:hAnsi="Calibri" w:cs="Arial"/>
                <w:sz w:val="20"/>
              </w:rPr>
              <w:t>More importantly, the deployment of the protected landscape model should ensure that pressures on Machakhela’s Colchic Forest will be addressed in ways that take into account communities’ livelihood needs using more sustainable land use practices and other alternatives as demonstrated during the project. The proposed Protected Landscape is supported by local communities, which represents a tremendous change in their attitudes as a result of specific project interventions, such as the participatory review of Machakhela NP boundaries and development of a Support Zone Community Action Plan under Outputs 2.1 and 2.3, respectively.</w:t>
            </w:r>
          </w:p>
          <w:p w14:paraId="3BAED7AD" w14:textId="77777777" w:rsidR="0018335E" w:rsidRPr="007D5834" w:rsidRDefault="0018335E" w:rsidP="00C613AC">
            <w:pPr>
              <w:spacing w:after="60" w:line="240" w:lineRule="atLeast"/>
              <w:rPr>
                <w:rFonts w:ascii="Calibri" w:eastAsia="MS Mincho" w:hAnsi="Calibri" w:cs="Arial"/>
                <w:sz w:val="20"/>
              </w:rPr>
            </w:pPr>
            <w:r w:rsidRPr="0099619A">
              <w:rPr>
                <w:rFonts w:ascii="Zapf Dingbats" w:eastAsia="MS Mincho" w:hAnsi="Zapf Dingbats" w:cs="Arial"/>
                <w:b/>
                <w:color w:val="008000"/>
                <w:sz w:val="20"/>
              </w:rPr>
              <w:t>✔</w:t>
            </w:r>
            <w:r>
              <w:rPr>
                <w:rFonts w:ascii="Zapf Dingbats" w:eastAsia="MS Mincho" w:hAnsi="Zapf Dingbats" w:cs="Arial"/>
                <w:sz w:val="20"/>
              </w:rPr>
              <w:t></w:t>
            </w:r>
            <w:r w:rsidRPr="007D5834">
              <w:rPr>
                <w:rFonts w:ascii="Calibri" w:eastAsia="MS Mincho" w:hAnsi="Calibri" w:cs="Arial"/>
                <w:sz w:val="20"/>
              </w:rPr>
              <w:t>The increase in extent of the PAs network in ARA has also been mirrored by substantive development in capacity, with targets at PA system (20%), institutional (29%) and individual levels (13%) greatly exceeded (71%, 65% and 54%, respectively).</w:t>
            </w:r>
          </w:p>
          <w:p w14:paraId="3D94D7DF" w14:textId="77777777" w:rsidR="0018335E" w:rsidRPr="007D5834" w:rsidRDefault="0018335E" w:rsidP="00C613AC">
            <w:pPr>
              <w:spacing w:after="60" w:line="240" w:lineRule="atLeast"/>
              <w:rPr>
                <w:rFonts w:ascii="Calibri" w:eastAsia="MS Mincho" w:hAnsi="Calibri" w:cs="Arial"/>
                <w:sz w:val="20"/>
              </w:rPr>
            </w:pPr>
            <w:r w:rsidRPr="0099619A">
              <w:rPr>
                <w:rFonts w:ascii="Zapf Dingbats" w:eastAsia="MS Mincho" w:hAnsi="Zapf Dingbats" w:cs="Arial"/>
                <w:b/>
                <w:color w:val="008000"/>
                <w:sz w:val="20"/>
              </w:rPr>
              <w:t>✔</w:t>
            </w:r>
            <w:r>
              <w:rPr>
                <w:rFonts w:ascii="Zapf Dingbats" w:eastAsia="MS Mincho" w:hAnsi="Zapf Dingbats" w:cs="Arial"/>
                <w:sz w:val="20"/>
              </w:rPr>
              <w:t></w:t>
            </w:r>
            <w:r w:rsidRPr="007D5834">
              <w:rPr>
                <w:rFonts w:ascii="Calibri" w:eastAsia="MS Mincho" w:hAnsi="Calibri" w:cs="Arial"/>
                <w:sz w:val="20"/>
              </w:rPr>
              <w:t>Similarly, the effectiveness with which PAs are managed in ARA’s Colchic Forests has also increased significantly and met or exceeded METT targets of 73% for Mtirala NP (73%), 67% for Kintrishi SR (69%), 63% for Kintrishi PL (65%) and 71% for Machakhela NP (80%).</w:t>
            </w:r>
          </w:p>
          <w:p w14:paraId="122A5F8E" w14:textId="77777777" w:rsidR="0018335E" w:rsidRPr="007D5834" w:rsidRDefault="0018335E" w:rsidP="00C613AC">
            <w:pPr>
              <w:rPr>
                <w:rFonts w:ascii="Calibri" w:eastAsia="MS Mincho" w:hAnsi="Calibri" w:cs="Arial"/>
                <w:sz w:val="20"/>
              </w:rPr>
            </w:pPr>
            <w:r w:rsidRPr="0099619A">
              <w:rPr>
                <w:rFonts w:ascii="Zapf Dingbats" w:eastAsia="MS Mincho" w:hAnsi="Zapf Dingbats" w:cs="Arial"/>
                <w:b/>
                <w:color w:val="008000"/>
                <w:sz w:val="20"/>
              </w:rPr>
              <w:t>✔</w:t>
            </w:r>
            <w:r>
              <w:rPr>
                <w:rFonts w:ascii="Zapf Dingbats" w:eastAsia="MS Mincho" w:hAnsi="Zapf Dingbats" w:cs="Arial"/>
                <w:sz w:val="20"/>
              </w:rPr>
              <w:t></w:t>
            </w:r>
            <w:r w:rsidRPr="007D5834">
              <w:rPr>
                <w:rFonts w:ascii="Calibri" w:eastAsia="MS Mincho" w:hAnsi="Calibri" w:cs="Arial"/>
                <w:sz w:val="20"/>
              </w:rPr>
              <w:t>Strong ownership at all levels of government, national, regional and municipal, and among the communities residing in and around the PAs has been crucial to the overall achievement of the project objective, together with the technical competence, efficiency and commitment of the PMU facilitating the delivery of project outputs in a well-coordinated and cohesive manner under the oversight of a responsive PEB that has met regularly and fulfilled its role with diligence.</w:t>
            </w:r>
          </w:p>
          <w:p w14:paraId="7EA08062" w14:textId="77777777" w:rsidR="0018335E" w:rsidRPr="007D5834" w:rsidRDefault="0018335E" w:rsidP="00C613AC">
            <w:pPr>
              <w:rPr>
                <w:rFonts w:ascii="Calibri" w:eastAsia="MS Mincho" w:hAnsi="Calibri" w:cs="Arial"/>
                <w:sz w:val="20"/>
              </w:rPr>
            </w:pPr>
            <w:r w:rsidRPr="0099619A">
              <w:rPr>
                <w:rFonts w:ascii="Zapf Dingbats" w:eastAsia="MS Mincho" w:hAnsi="Zapf Dingbats" w:cs="Arial"/>
                <w:b/>
                <w:color w:val="008000"/>
                <w:sz w:val="20"/>
              </w:rPr>
              <w:t>✔</w:t>
            </w:r>
            <w:r>
              <w:rPr>
                <w:rFonts w:ascii="Zapf Dingbats" w:eastAsia="MS Mincho" w:hAnsi="Zapf Dingbats" w:cs="Arial"/>
                <w:sz w:val="20"/>
              </w:rPr>
              <w:t></w:t>
            </w:r>
            <w:r w:rsidRPr="007D5834">
              <w:rPr>
                <w:rFonts w:ascii="Calibri" w:eastAsia="MS Mincho" w:hAnsi="Calibri" w:cs="Arial"/>
                <w:sz w:val="20"/>
              </w:rPr>
              <w:t>The fact that this achievement has been delivered with a grant of little more than US$ 1.3 million is a credit to all stakeholders involved in the project, particularly cofinancing partners whose contributions are estimated to exceed the GEF grant by at least tenfold (</w:t>
            </w:r>
            <w:r w:rsidRPr="00E93F8B">
              <w:rPr>
                <w:rFonts w:ascii="Calibri" w:eastAsia="MS Mincho" w:hAnsi="Calibri" w:cs="Arial"/>
                <w:b/>
                <w:sz w:val="20"/>
              </w:rPr>
              <w:t>Section  3.2.4).</w:t>
            </w:r>
          </w:p>
          <w:p w14:paraId="6E6A1979" w14:textId="77777777" w:rsidR="0018335E" w:rsidRPr="009A5D46" w:rsidRDefault="0018335E" w:rsidP="00733E46">
            <w:pPr>
              <w:spacing w:before="120" w:line="240" w:lineRule="atLeast"/>
              <w:jc w:val="both"/>
              <w:rPr>
                <w:rFonts w:ascii="Calibri" w:eastAsia="MS Mincho" w:hAnsi="Calibri" w:cs="Arial"/>
                <w:sz w:val="20"/>
              </w:rPr>
            </w:pPr>
            <w:r w:rsidRPr="009A5D46">
              <w:rPr>
                <w:rFonts w:ascii="Calibri" w:eastAsia="MS Mincho" w:hAnsi="Calibri" w:cs="Arial"/>
                <w:b/>
                <w:sz w:val="20"/>
              </w:rPr>
              <w:t>Achievement of Outcome 1 is rated as Satisfactory</w:t>
            </w:r>
            <w:r w:rsidRPr="009A5D46">
              <w:rPr>
                <w:rFonts w:ascii="Calibri" w:eastAsia="MS Mincho" w:hAnsi="Calibri" w:cs="Arial"/>
                <w:sz w:val="20"/>
              </w:rPr>
              <w:t>, ref</w:t>
            </w:r>
            <w:r>
              <w:rPr>
                <w:rFonts w:ascii="Calibri" w:eastAsia="MS Mincho" w:hAnsi="Calibri" w:cs="Arial"/>
                <w:sz w:val="20"/>
              </w:rPr>
              <w:t>lecting</w:t>
            </w:r>
            <w:r w:rsidRPr="009A5D46">
              <w:rPr>
                <w:rFonts w:ascii="Calibri" w:eastAsia="MS Mincho" w:hAnsi="Calibri" w:cs="Arial"/>
                <w:sz w:val="20"/>
              </w:rPr>
              <w:t xml:space="preserve"> the excellent cooperation and collaboration between the various donor funded projects, coordinated via the TCG </w:t>
            </w:r>
            <w:r>
              <w:rPr>
                <w:rFonts w:ascii="Calibri" w:eastAsia="MS Mincho" w:hAnsi="Calibri" w:cs="Arial"/>
                <w:sz w:val="20"/>
              </w:rPr>
              <w:t>to</w:t>
            </w:r>
            <w:r w:rsidRPr="009A5D46">
              <w:rPr>
                <w:rFonts w:ascii="Calibri" w:eastAsia="MS Mincho" w:hAnsi="Calibri" w:cs="Arial"/>
                <w:sz w:val="20"/>
              </w:rPr>
              <w:t xml:space="preserve"> ensure that the respective investments were effectively dispersed, with minimal duplication of resources and maximum leverage of co-financing from the GEF grant.</w:t>
            </w:r>
          </w:p>
          <w:p w14:paraId="77602A1E" w14:textId="77777777" w:rsidR="0018335E" w:rsidRDefault="0018335E" w:rsidP="00B513E3">
            <w:pPr>
              <w:jc w:val="both"/>
              <w:rPr>
                <w:rFonts w:ascii="Calibri" w:eastAsia="MS Mincho" w:hAnsi="Calibri" w:cs="Arial"/>
                <w:sz w:val="20"/>
              </w:rPr>
            </w:pPr>
            <w:r w:rsidRPr="009A5D46">
              <w:rPr>
                <w:rFonts w:ascii="Calibri" w:eastAsia="MS Mincho" w:hAnsi="Calibri" w:cs="Arial"/>
                <w:b/>
                <w:sz w:val="20"/>
              </w:rPr>
              <w:lastRenderedPageBreak/>
              <w:t>Achievement of Outcome 2 is rated as Highly Satisfactory</w:t>
            </w:r>
            <w:r>
              <w:rPr>
                <w:rFonts w:ascii="Calibri" w:eastAsia="MS Mincho" w:hAnsi="Calibri" w:cs="Arial"/>
                <w:sz w:val="20"/>
              </w:rPr>
              <w:t>. E</w:t>
            </w:r>
            <w:r w:rsidRPr="009A5D46">
              <w:rPr>
                <w:rFonts w:ascii="Calibri" w:eastAsia="MS Mincho" w:hAnsi="Calibri" w:cs="Arial"/>
                <w:sz w:val="20"/>
              </w:rPr>
              <w:t xml:space="preserve">xcellent progress was achieved with the designation of Machakhela NP </w:t>
            </w:r>
            <w:r>
              <w:rPr>
                <w:rFonts w:ascii="Calibri" w:eastAsia="MS Mincho" w:hAnsi="Calibri" w:cs="Arial"/>
                <w:sz w:val="20"/>
              </w:rPr>
              <w:t xml:space="preserve">in </w:t>
            </w:r>
            <w:r w:rsidRPr="009A5D46">
              <w:rPr>
                <w:rFonts w:ascii="Calibri" w:eastAsia="MS Mincho" w:hAnsi="Calibri" w:cs="Arial"/>
                <w:sz w:val="20"/>
              </w:rPr>
              <w:t>Year 2 (2015)</w:t>
            </w:r>
            <w:r>
              <w:rPr>
                <w:rFonts w:ascii="Calibri" w:eastAsia="MS Mincho" w:hAnsi="Calibri" w:cs="Arial"/>
                <w:sz w:val="20"/>
              </w:rPr>
              <w:t xml:space="preserve"> and </w:t>
            </w:r>
            <w:r w:rsidRPr="009A5D46">
              <w:rPr>
                <w:rFonts w:ascii="Calibri" w:eastAsia="MS Mincho" w:hAnsi="Calibri" w:cs="Arial"/>
                <w:sz w:val="20"/>
              </w:rPr>
              <w:t xml:space="preserve">subsequent </w:t>
            </w:r>
            <w:r>
              <w:rPr>
                <w:rFonts w:ascii="Calibri" w:eastAsia="MS Mincho" w:hAnsi="Calibri" w:cs="Arial"/>
                <w:sz w:val="20"/>
              </w:rPr>
              <w:t xml:space="preserve">review and </w:t>
            </w:r>
            <w:r w:rsidRPr="009A5D46">
              <w:rPr>
                <w:rFonts w:ascii="Calibri" w:eastAsia="MS Mincho" w:hAnsi="Calibri" w:cs="Arial"/>
                <w:sz w:val="20"/>
              </w:rPr>
              <w:t>demarcation of the boundary resulted in the excision of some 1,400 ha in order to address major concerns of local communities whose access and rights to fuelwood and land for cultivat</w:t>
            </w:r>
            <w:r>
              <w:rPr>
                <w:rFonts w:ascii="Calibri" w:eastAsia="MS Mincho" w:hAnsi="Calibri" w:cs="Arial"/>
                <w:sz w:val="20"/>
              </w:rPr>
              <w:t>ion had been overlooked. T</w:t>
            </w:r>
            <w:r w:rsidRPr="009A5D46">
              <w:rPr>
                <w:rFonts w:ascii="Calibri" w:eastAsia="MS Mincho" w:hAnsi="Calibri" w:cs="Arial"/>
                <w:sz w:val="20"/>
              </w:rPr>
              <w:t xml:space="preserve">he project </w:t>
            </w:r>
            <w:r>
              <w:rPr>
                <w:rFonts w:ascii="Calibri" w:eastAsia="MS Mincho" w:hAnsi="Calibri" w:cs="Arial"/>
                <w:sz w:val="20"/>
              </w:rPr>
              <w:t xml:space="preserve">was able to address this </w:t>
            </w:r>
            <w:r w:rsidRPr="009A5D46">
              <w:rPr>
                <w:rFonts w:ascii="Calibri" w:eastAsia="MS Mincho" w:hAnsi="Calibri" w:cs="Arial"/>
                <w:sz w:val="20"/>
              </w:rPr>
              <w:t xml:space="preserve">unforeseen challenge </w:t>
            </w:r>
            <w:r>
              <w:rPr>
                <w:rFonts w:ascii="Calibri" w:eastAsia="MS Mincho" w:hAnsi="Calibri" w:cs="Arial"/>
                <w:sz w:val="20"/>
              </w:rPr>
              <w:t>by</w:t>
            </w:r>
            <w:r w:rsidRPr="009A5D46">
              <w:rPr>
                <w:rFonts w:ascii="Calibri" w:eastAsia="MS Mincho" w:hAnsi="Calibri" w:cs="Arial"/>
                <w:sz w:val="20"/>
              </w:rPr>
              <w:t xml:space="preserve"> secur</w:t>
            </w:r>
            <w:r>
              <w:rPr>
                <w:rFonts w:ascii="Calibri" w:eastAsia="MS Mincho" w:hAnsi="Calibri" w:cs="Arial"/>
                <w:sz w:val="20"/>
              </w:rPr>
              <w:t>ing</w:t>
            </w:r>
            <w:r w:rsidRPr="009A5D46">
              <w:rPr>
                <w:rFonts w:ascii="Calibri" w:eastAsia="MS Mincho" w:hAnsi="Calibri" w:cs="Arial"/>
                <w:sz w:val="20"/>
              </w:rPr>
              <w:t xml:space="preserve"> the support of Machakhela’s communities </w:t>
            </w:r>
            <w:r>
              <w:rPr>
                <w:rFonts w:ascii="Calibri" w:eastAsia="MS Mincho" w:hAnsi="Calibri" w:cs="Arial"/>
                <w:sz w:val="20"/>
              </w:rPr>
              <w:t>in</w:t>
            </w:r>
            <w:r w:rsidRPr="009A5D46">
              <w:rPr>
                <w:rFonts w:ascii="Calibri" w:eastAsia="MS Mincho" w:hAnsi="Calibri" w:cs="Arial"/>
                <w:sz w:val="20"/>
              </w:rPr>
              <w:t xml:space="preserve"> realiz</w:t>
            </w:r>
            <w:r>
              <w:rPr>
                <w:rFonts w:ascii="Calibri" w:eastAsia="MS Mincho" w:hAnsi="Calibri" w:cs="Arial"/>
                <w:sz w:val="20"/>
              </w:rPr>
              <w:t>ing</w:t>
            </w:r>
            <w:r w:rsidRPr="009A5D46">
              <w:rPr>
                <w:rFonts w:ascii="Calibri" w:eastAsia="MS Mincho" w:hAnsi="Calibri" w:cs="Arial"/>
                <w:sz w:val="20"/>
              </w:rPr>
              <w:t xml:space="preserve"> its value as a potential asset for their long-term benefit in terms of ecosystems services provisioning (NTFPs, clean water, ecotourism, production of organic foods etc).</w:t>
            </w:r>
            <w:r>
              <w:rPr>
                <w:rFonts w:ascii="Calibri" w:eastAsia="MS Mincho" w:hAnsi="Calibri" w:cs="Arial"/>
                <w:sz w:val="20"/>
              </w:rPr>
              <w:t xml:space="preserve"> The outcome of this adaptive management is a proposal to designate the Support Zone as a Protected Landscape.</w:t>
            </w:r>
          </w:p>
          <w:p w14:paraId="3F3CC825" w14:textId="77777777" w:rsidR="0018335E" w:rsidRPr="00DF600A" w:rsidRDefault="0018335E" w:rsidP="00C613AC">
            <w:pPr>
              <w:jc w:val="right"/>
              <w:rPr>
                <w:rFonts w:ascii="Calibri" w:eastAsia="MS Mincho" w:hAnsi="Calibri" w:cs="Arial"/>
                <w:sz w:val="20"/>
              </w:rPr>
            </w:pPr>
            <w:r>
              <w:rPr>
                <w:rFonts w:ascii="Calibri" w:eastAsia="MS Mincho" w:hAnsi="Calibri" w:cs="Arial"/>
                <w:sz w:val="20"/>
              </w:rPr>
              <w:t>[Further details in</w:t>
            </w:r>
            <w:r w:rsidRPr="0099619A">
              <w:rPr>
                <w:rFonts w:ascii="Calibri" w:eastAsia="MS Mincho" w:hAnsi="Calibri" w:cs="Arial"/>
                <w:sz w:val="20"/>
              </w:rPr>
              <w:t xml:space="preserve"> </w:t>
            </w:r>
            <w:r w:rsidRPr="00D779CC">
              <w:rPr>
                <w:rFonts w:ascii="Calibri" w:hAnsi="Calibri" w:cs="Corbel"/>
                <w:b/>
                <w:sz w:val="20"/>
                <w:lang w:val="en-US"/>
              </w:rPr>
              <w:t>Section</w:t>
            </w:r>
            <w:r>
              <w:rPr>
                <w:rFonts w:ascii="Calibri" w:hAnsi="Calibri" w:cs="Corbel"/>
                <w:b/>
                <w:sz w:val="20"/>
                <w:lang w:val="en-US"/>
              </w:rPr>
              <w:t>s 3.3.1</w:t>
            </w:r>
            <w:r>
              <w:rPr>
                <w:rFonts w:ascii="Calibri" w:hAnsi="Calibri" w:cs="Corbel"/>
                <w:sz w:val="20"/>
                <w:lang w:val="en-US"/>
              </w:rPr>
              <w:t>]</w:t>
            </w:r>
          </w:p>
        </w:tc>
      </w:tr>
      <w:tr w:rsidR="00692C5D" w:rsidRPr="00DF600A" w14:paraId="4E2008DB" w14:textId="77777777" w:rsidTr="00692C5D">
        <w:tc>
          <w:tcPr>
            <w:tcW w:w="879" w:type="pct"/>
            <w:shd w:val="clear" w:color="auto" w:fill="auto"/>
            <w:tcMar>
              <w:left w:w="57" w:type="dxa"/>
            </w:tcMar>
          </w:tcPr>
          <w:p w14:paraId="695C1DE1" w14:textId="77777777" w:rsidR="0018335E" w:rsidRPr="00DF600A" w:rsidRDefault="0018335E" w:rsidP="00C613AC">
            <w:pPr>
              <w:rPr>
                <w:rFonts w:ascii="Calibri" w:eastAsia="MS Mincho" w:hAnsi="Calibri" w:cs="Arial"/>
                <w:i/>
                <w:sz w:val="20"/>
              </w:rPr>
            </w:pPr>
            <w:r w:rsidRPr="00DF600A">
              <w:rPr>
                <w:rFonts w:ascii="Calibri" w:eastAsia="MS Mincho" w:hAnsi="Calibri" w:cs="Arial"/>
                <w:i/>
                <w:sz w:val="20"/>
              </w:rPr>
              <w:lastRenderedPageBreak/>
              <w:t>Relevance</w:t>
            </w:r>
          </w:p>
        </w:tc>
        <w:tc>
          <w:tcPr>
            <w:tcW w:w="386" w:type="pct"/>
            <w:tcMar>
              <w:top w:w="28" w:type="dxa"/>
              <w:left w:w="57" w:type="dxa"/>
              <w:bottom w:w="28" w:type="dxa"/>
              <w:right w:w="57" w:type="dxa"/>
            </w:tcMar>
          </w:tcPr>
          <w:p w14:paraId="0DF32E10" w14:textId="77777777" w:rsidR="0018335E" w:rsidRPr="00DF600A" w:rsidRDefault="0018335E" w:rsidP="00C613AC">
            <w:pPr>
              <w:jc w:val="center"/>
              <w:rPr>
                <w:rFonts w:ascii="Calibri" w:eastAsia="MS Mincho" w:hAnsi="Calibri" w:cs="Arial"/>
                <w:b/>
                <w:sz w:val="20"/>
              </w:rPr>
            </w:pPr>
            <w:r w:rsidRPr="00DF600A">
              <w:rPr>
                <w:rFonts w:ascii="Calibri" w:eastAsia="MS Mincho" w:hAnsi="Calibri" w:cs="Arial"/>
                <w:b/>
                <w:sz w:val="20"/>
              </w:rPr>
              <w:t>R</w:t>
            </w:r>
          </w:p>
        </w:tc>
        <w:tc>
          <w:tcPr>
            <w:tcW w:w="3735" w:type="pct"/>
            <w:tcMar>
              <w:left w:w="57" w:type="dxa"/>
              <w:right w:w="57" w:type="dxa"/>
            </w:tcMar>
          </w:tcPr>
          <w:p w14:paraId="453ACFD0" w14:textId="77777777" w:rsidR="0018335E" w:rsidRPr="006625CC" w:rsidRDefault="0018335E" w:rsidP="00C613AC">
            <w:pPr>
              <w:spacing w:after="60" w:line="240" w:lineRule="atLeast"/>
              <w:jc w:val="both"/>
              <w:rPr>
                <w:rFonts w:ascii="Calibri" w:eastAsia="MS Mincho" w:hAnsi="Calibri" w:cs="Arial"/>
                <w:sz w:val="20"/>
              </w:rPr>
            </w:pPr>
            <w:r w:rsidRPr="006625CC">
              <w:rPr>
                <w:rFonts w:ascii="Calibri" w:eastAsia="MS Mincho" w:hAnsi="Calibri" w:cs="Arial"/>
                <w:sz w:val="20"/>
              </w:rPr>
              <w:t>The project is globally important with respect to conserving Colchic Forest, a feature of the Caucasus Eco-region that is among the world’s 34 biologically richest and most endangered terrestrial ecosystems and currently proposed for inscription on the World Heritage List.</w:t>
            </w:r>
          </w:p>
          <w:p w14:paraId="7C433AA5" w14:textId="77777777" w:rsidR="0018335E" w:rsidRPr="006625CC" w:rsidRDefault="0018335E" w:rsidP="00C613AC">
            <w:pPr>
              <w:pStyle w:val="BodyText"/>
              <w:spacing w:after="60"/>
              <w:jc w:val="left"/>
              <w:rPr>
                <w:rFonts w:ascii="Calibri" w:eastAsia="MS Mincho" w:hAnsi="Calibri" w:cs="Arial"/>
                <w:b/>
                <w:bCs/>
                <w:sz w:val="20"/>
                <w:lang w:eastAsia="en-GB"/>
              </w:rPr>
            </w:pPr>
            <w:r w:rsidRPr="006625CC">
              <w:rPr>
                <w:rFonts w:ascii="Calibri" w:eastAsia="MS Mincho" w:hAnsi="Calibri" w:cs="Arial"/>
                <w:b/>
                <w:bCs/>
                <w:sz w:val="20"/>
                <w:lang w:eastAsia="en-GB"/>
              </w:rPr>
              <w:t>It is aligned with GEF Biodiversity Focal Area Strategic Objective 1 to: improve sustainability of PAs, thereby contributing to the CBD 2011-2020 Strategic Plan, its Programme of Work on PAs (PoWPA) and its Aichi Targets (see Section 2.3 for more details).</w:t>
            </w:r>
          </w:p>
          <w:p w14:paraId="3A2DD536" w14:textId="49B23188" w:rsidR="0018335E" w:rsidRPr="006625CC" w:rsidRDefault="0018335E" w:rsidP="00C613AC">
            <w:pPr>
              <w:pStyle w:val="NormalWeb"/>
              <w:spacing w:before="0" w:beforeAutospacing="0" w:after="60" w:afterAutospacing="0"/>
              <w:rPr>
                <w:rFonts w:ascii="Calibri" w:eastAsia="MS Mincho" w:hAnsi="Calibri" w:cs="Arial"/>
                <w:sz w:val="20"/>
                <w:szCs w:val="20"/>
                <w:lang w:val="en-GB" w:eastAsia="en-GB"/>
              </w:rPr>
            </w:pPr>
            <w:r w:rsidRPr="006625CC">
              <w:rPr>
                <w:rFonts w:ascii="Calibri" w:eastAsia="MS Mincho" w:hAnsi="Calibri" w:cs="Arial"/>
                <w:sz w:val="20"/>
                <w:szCs w:val="20"/>
                <w:lang w:val="en-GB" w:eastAsia="en-GB"/>
              </w:rPr>
              <w:t xml:space="preserve">Nationally, </w:t>
            </w:r>
            <w:r>
              <w:rPr>
                <w:rFonts w:ascii="Calibri" w:eastAsia="MS Mincho" w:hAnsi="Calibri" w:cs="Arial"/>
                <w:sz w:val="20"/>
                <w:szCs w:val="20"/>
                <w:lang w:val="en-GB" w:eastAsia="en-GB"/>
              </w:rPr>
              <w:t>it</w:t>
            </w:r>
            <w:r w:rsidRPr="006625CC">
              <w:rPr>
                <w:rFonts w:ascii="Calibri" w:eastAsia="MS Mincho" w:hAnsi="Calibri" w:cs="Arial"/>
                <w:sz w:val="20"/>
                <w:szCs w:val="20"/>
                <w:lang w:val="en-GB" w:eastAsia="en-GB"/>
              </w:rPr>
              <w:t xml:space="preserve"> is aligned with the National Environment Action Plan (2012-2016), National Biodiversity Strategy &amp; Action Plan 2005 – since replaced by the 2014 NBSAP, and the 2012 Ecoregion Plan for Caucasus.</w:t>
            </w:r>
          </w:p>
          <w:p w14:paraId="7B6433B1" w14:textId="4CC33FD3" w:rsidR="0018335E" w:rsidRPr="00B73758" w:rsidRDefault="0018335E" w:rsidP="004A4CD0">
            <w:pPr>
              <w:spacing w:line="240" w:lineRule="atLeast"/>
              <w:jc w:val="both"/>
              <w:rPr>
                <w:rFonts w:ascii="Calibri" w:eastAsia="MS Mincho" w:hAnsi="Calibri" w:cs="Arial"/>
                <w:sz w:val="20"/>
              </w:rPr>
            </w:pPr>
            <w:r>
              <w:rPr>
                <w:rFonts w:ascii="Calibri" w:eastAsia="MS Mincho" w:hAnsi="Calibri" w:cs="Arial"/>
                <w:sz w:val="20"/>
              </w:rPr>
              <w:t>The project contributed</w:t>
            </w:r>
            <w:r w:rsidRPr="006625CC">
              <w:rPr>
                <w:rFonts w:ascii="Calibri" w:eastAsia="MS Mincho" w:hAnsi="Calibri" w:cs="Arial"/>
                <w:sz w:val="20"/>
              </w:rPr>
              <w:t xml:space="preserve"> to achieving the 2011-2015 UNDP </w:t>
            </w:r>
            <w:r>
              <w:rPr>
                <w:rFonts w:ascii="Calibri" w:eastAsia="MS Mincho" w:hAnsi="Calibri" w:cs="Arial"/>
                <w:sz w:val="20"/>
              </w:rPr>
              <w:t xml:space="preserve">Georgia </w:t>
            </w:r>
            <w:r w:rsidRPr="006625CC">
              <w:rPr>
                <w:rFonts w:ascii="Calibri" w:eastAsia="MS Mincho" w:hAnsi="Calibri" w:cs="Arial"/>
                <w:sz w:val="20"/>
              </w:rPr>
              <w:t>Country Programme Outcome 3.2.1: Sustainable practices and instruments for the management of chemicals and natural resources</w:t>
            </w:r>
            <w:r>
              <w:rPr>
                <w:rFonts w:ascii="Calibri" w:eastAsia="MS Mincho" w:hAnsi="Calibri" w:cs="Arial"/>
                <w:sz w:val="20"/>
              </w:rPr>
              <w:t xml:space="preserve"> …; and it </w:t>
            </w:r>
            <w:r w:rsidRPr="006625CC">
              <w:rPr>
                <w:rFonts w:ascii="Calibri" w:hAnsi="Calibri"/>
                <w:sz w:val="20"/>
                <w:lang w:val="en-US"/>
              </w:rPr>
              <w:t>continues to be relevant to the 2016-2020 UNDP Country Program for Georgia</w:t>
            </w:r>
            <w:r>
              <w:rPr>
                <w:rFonts w:ascii="Calibri" w:hAnsi="Calibri"/>
                <w:sz w:val="20"/>
                <w:lang w:val="en-US"/>
              </w:rPr>
              <w:t>.</w:t>
            </w:r>
            <w:r w:rsidRPr="006625CC">
              <w:rPr>
                <w:rFonts w:ascii="Calibri" w:hAnsi="Calibri"/>
                <w:sz w:val="20"/>
                <w:lang w:val="en-US"/>
              </w:rPr>
              <w:t xml:space="preserve"> This is important, not only because the project spans two Country Programmes but also in the wake of its six-month extension to December 2018. </w:t>
            </w:r>
            <w:r w:rsidRPr="00B73758">
              <w:rPr>
                <w:rFonts w:ascii="Calibri" w:eastAsia="MS Mincho" w:hAnsi="Calibri" w:cs="Arial"/>
                <w:sz w:val="20"/>
              </w:rPr>
              <w:t xml:space="preserve">[Further details in </w:t>
            </w:r>
            <w:r w:rsidRPr="00B73758">
              <w:rPr>
                <w:rFonts w:ascii="Calibri" w:hAnsi="Calibri" w:cs="Corbel"/>
                <w:b/>
                <w:sz w:val="20"/>
                <w:lang w:val="en-US"/>
              </w:rPr>
              <w:t xml:space="preserve">Sections 2.3 </w:t>
            </w:r>
            <w:r w:rsidRPr="00B73758">
              <w:rPr>
                <w:rFonts w:ascii="Calibri" w:hAnsi="Calibri" w:cs="Corbel"/>
                <w:sz w:val="20"/>
                <w:lang w:val="en-US"/>
              </w:rPr>
              <w:t>and</w:t>
            </w:r>
            <w:r w:rsidRPr="00B73758">
              <w:rPr>
                <w:rFonts w:ascii="Calibri" w:hAnsi="Calibri" w:cs="Corbel"/>
                <w:b/>
                <w:sz w:val="20"/>
                <w:lang w:val="en-US"/>
              </w:rPr>
              <w:t xml:space="preserve"> 3.3.2</w:t>
            </w:r>
            <w:r w:rsidRPr="00B73758">
              <w:rPr>
                <w:rFonts w:ascii="Calibri" w:hAnsi="Calibri" w:cs="Corbel"/>
                <w:sz w:val="20"/>
                <w:lang w:val="en-US"/>
              </w:rPr>
              <w:t>]</w:t>
            </w:r>
          </w:p>
        </w:tc>
      </w:tr>
      <w:tr w:rsidR="00692C5D" w:rsidRPr="00DF600A" w14:paraId="2151E32D" w14:textId="77777777" w:rsidTr="00692C5D">
        <w:tc>
          <w:tcPr>
            <w:tcW w:w="879" w:type="pct"/>
            <w:shd w:val="clear" w:color="auto" w:fill="auto"/>
            <w:tcMar>
              <w:left w:w="57" w:type="dxa"/>
            </w:tcMar>
          </w:tcPr>
          <w:p w14:paraId="3E00A7A1" w14:textId="77777777" w:rsidR="0018335E" w:rsidRPr="00DF600A" w:rsidRDefault="0018335E" w:rsidP="00C613AC">
            <w:pPr>
              <w:rPr>
                <w:rFonts w:ascii="Calibri" w:eastAsia="MS Mincho" w:hAnsi="Calibri" w:cs="Arial"/>
                <w:i/>
                <w:sz w:val="20"/>
              </w:rPr>
            </w:pPr>
            <w:r w:rsidRPr="00DF600A">
              <w:rPr>
                <w:rFonts w:ascii="Calibri" w:eastAsia="MS Mincho" w:hAnsi="Calibri" w:cs="Arial"/>
                <w:i/>
                <w:sz w:val="20"/>
              </w:rPr>
              <w:t>Effectiveness</w:t>
            </w:r>
          </w:p>
        </w:tc>
        <w:tc>
          <w:tcPr>
            <w:tcW w:w="386" w:type="pct"/>
            <w:tcMar>
              <w:top w:w="28" w:type="dxa"/>
              <w:left w:w="57" w:type="dxa"/>
              <w:bottom w:w="28" w:type="dxa"/>
              <w:right w:w="57" w:type="dxa"/>
            </w:tcMar>
          </w:tcPr>
          <w:p w14:paraId="3A2B9ECF" w14:textId="77777777" w:rsidR="0018335E" w:rsidRPr="00DF600A" w:rsidRDefault="0018335E" w:rsidP="00C613AC">
            <w:pPr>
              <w:jc w:val="center"/>
              <w:rPr>
                <w:rFonts w:ascii="Calibri" w:eastAsia="MS Mincho" w:hAnsi="Calibri" w:cs="Arial"/>
                <w:b/>
                <w:sz w:val="20"/>
              </w:rPr>
            </w:pPr>
            <w:r w:rsidRPr="00DF600A">
              <w:rPr>
                <w:rFonts w:ascii="Calibri" w:eastAsia="MS Mincho" w:hAnsi="Calibri" w:cs="Arial"/>
                <w:b/>
                <w:sz w:val="20"/>
              </w:rPr>
              <w:t>S</w:t>
            </w:r>
          </w:p>
        </w:tc>
        <w:tc>
          <w:tcPr>
            <w:tcW w:w="3735" w:type="pct"/>
            <w:tcMar>
              <w:left w:w="57" w:type="dxa"/>
              <w:right w:w="57" w:type="dxa"/>
            </w:tcMar>
          </w:tcPr>
          <w:p w14:paraId="36784471" w14:textId="77777777" w:rsidR="0018335E" w:rsidRDefault="0018335E" w:rsidP="00B513E3">
            <w:pPr>
              <w:tabs>
                <w:tab w:val="num" w:pos="1440"/>
              </w:tabs>
              <w:spacing w:after="40"/>
              <w:rPr>
                <w:rFonts w:ascii="Calibri" w:hAnsi="Calibri" w:cs="Corbel"/>
                <w:sz w:val="20"/>
                <w:lang w:val="en-US"/>
              </w:rPr>
            </w:pPr>
            <w:r w:rsidRPr="001C2BC4">
              <w:rPr>
                <w:rFonts w:ascii="Calibri" w:hAnsi="Calibri" w:cs="Corbel"/>
                <w:sz w:val="20"/>
                <w:lang w:val="en-US"/>
              </w:rPr>
              <w:t xml:space="preserve">The project objective has been achieved in terms of enhancing the </w:t>
            </w:r>
            <w:r w:rsidRPr="001C2BC4">
              <w:rPr>
                <w:rFonts w:ascii="Calibri" w:hAnsi="Calibri" w:cs="Corbel"/>
                <w:b/>
                <w:sz w:val="20"/>
                <w:lang w:val="en-US"/>
              </w:rPr>
              <w:t>biogeographical coverage</w:t>
            </w:r>
            <w:r w:rsidRPr="001C2BC4">
              <w:rPr>
                <w:rFonts w:ascii="Calibri" w:hAnsi="Calibri" w:cs="Corbel"/>
                <w:sz w:val="20"/>
                <w:lang w:val="en-US"/>
              </w:rPr>
              <w:t xml:space="preserve"> of PAs to conserve Colchic Forest in the Achara Region and, to the extent of reducing the distance between fragments of such forest (‘stepping stones’) from 13 km to 6 km, </w:t>
            </w:r>
            <w:r w:rsidRPr="001C2BC4">
              <w:rPr>
                <w:rFonts w:ascii="Calibri" w:hAnsi="Calibri" w:cs="Corbel"/>
                <w:b/>
                <w:sz w:val="20"/>
                <w:lang w:val="en-US"/>
              </w:rPr>
              <w:t>connectivity</w:t>
            </w:r>
            <w:r w:rsidRPr="001C2BC4">
              <w:rPr>
                <w:rFonts w:ascii="Calibri" w:hAnsi="Calibri" w:cs="Corbel"/>
                <w:sz w:val="20"/>
                <w:lang w:val="en-US"/>
              </w:rPr>
              <w:t xml:space="preserve"> has been enhanced.</w:t>
            </w:r>
          </w:p>
          <w:p w14:paraId="277DD49A" w14:textId="19015248" w:rsidR="0018335E" w:rsidRPr="001C2BC4" w:rsidRDefault="0018335E" w:rsidP="0076006F">
            <w:pPr>
              <w:tabs>
                <w:tab w:val="right" w:pos="5896"/>
              </w:tabs>
              <w:rPr>
                <w:rFonts w:ascii="Calibri" w:hAnsi="Calibri" w:cs="Corbel"/>
                <w:sz w:val="20"/>
                <w:lang w:val="en-US"/>
              </w:rPr>
            </w:pPr>
            <w:r w:rsidRPr="001C2BC4">
              <w:rPr>
                <w:rFonts w:ascii="Calibri" w:hAnsi="Calibri" w:cs="Corbel"/>
                <w:b/>
                <w:sz w:val="20"/>
                <w:lang w:val="en-US"/>
              </w:rPr>
              <w:t>Management effectiveness</w:t>
            </w:r>
            <w:r w:rsidRPr="001C2BC4">
              <w:rPr>
                <w:rFonts w:ascii="Calibri" w:hAnsi="Calibri" w:cs="Corbel"/>
                <w:sz w:val="20"/>
                <w:lang w:val="en-US"/>
              </w:rPr>
              <w:t xml:space="preserve"> has also been enhanced, principally under Outcome 1, with METT targets realized and in most cases exceeded for the 4 target PAs. Outcome 2 was focused predominantly on Machakhela NP, enabling it to begin to function effectively as a PA through drawing up its boundaries and planning its management, all of which was undertaken in a participatory manner with local communities and other stakeholders.</w:t>
            </w:r>
            <w:r w:rsidR="0076006F">
              <w:rPr>
                <w:rFonts w:ascii="Calibri" w:eastAsia="MS Mincho" w:hAnsi="Calibri" w:cs="Arial"/>
                <w:sz w:val="20"/>
              </w:rPr>
              <w:tab/>
            </w:r>
            <w:r>
              <w:rPr>
                <w:rFonts w:ascii="Calibri" w:eastAsia="MS Mincho" w:hAnsi="Calibri" w:cs="Arial"/>
                <w:sz w:val="20"/>
              </w:rPr>
              <w:t xml:space="preserve"> [Further details in</w:t>
            </w:r>
            <w:r w:rsidRPr="0099619A">
              <w:rPr>
                <w:rFonts w:ascii="Calibri" w:eastAsia="MS Mincho" w:hAnsi="Calibri" w:cs="Arial"/>
                <w:sz w:val="20"/>
              </w:rPr>
              <w:t xml:space="preserve"> </w:t>
            </w:r>
            <w:r w:rsidRPr="001C2BC4">
              <w:rPr>
                <w:rFonts w:ascii="Calibri" w:eastAsia="MS Mincho" w:hAnsi="Calibri" w:cs="Arial"/>
                <w:b/>
                <w:sz w:val="20"/>
              </w:rPr>
              <w:t>Section 3.3.3</w:t>
            </w:r>
            <w:r w:rsidRPr="001C2BC4">
              <w:rPr>
                <w:rFonts w:ascii="Calibri" w:eastAsia="MS Mincho" w:hAnsi="Calibri" w:cs="Arial"/>
                <w:sz w:val="20"/>
              </w:rPr>
              <w:t>]</w:t>
            </w:r>
          </w:p>
        </w:tc>
      </w:tr>
      <w:tr w:rsidR="00692C5D" w:rsidRPr="00DF600A" w14:paraId="359E85D8" w14:textId="77777777" w:rsidTr="00692C5D">
        <w:tc>
          <w:tcPr>
            <w:tcW w:w="879" w:type="pct"/>
            <w:tcBorders>
              <w:bottom w:val="single" w:sz="4" w:space="0" w:color="auto"/>
            </w:tcBorders>
            <w:shd w:val="clear" w:color="auto" w:fill="auto"/>
            <w:tcMar>
              <w:left w:w="57" w:type="dxa"/>
            </w:tcMar>
          </w:tcPr>
          <w:p w14:paraId="5D84F6E9" w14:textId="77777777" w:rsidR="0018335E" w:rsidRPr="00DF600A" w:rsidRDefault="0018335E" w:rsidP="00C613AC">
            <w:pPr>
              <w:rPr>
                <w:rFonts w:ascii="Calibri" w:eastAsia="MS Mincho" w:hAnsi="Calibri" w:cs="Arial"/>
                <w:i/>
                <w:sz w:val="20"/>
              </w:rPr>
            </w:pPr>
            <w:r w:rsidRPr="00DF600A">
              <w:rPr>
                <w:rFonts w:ascii="Calibri" w:eastAsia="MS Mincho" w:hAnsi="Calibri" w:cs="Arial"/>
                <w:i/>
                <w:sz w:val="20"/>
              </w:rPr>
              <w:t>Efficiency</w:t>
            </w:r>
          </w:p>
        </w:tc>
        <w:tc>
          <w:tcPr>
            <w:tcW w:w="386" w:type="pct"/>
            <w:tcBorders>
              <w:bottom w:val="single" w:sz="4" w:space="0" w:color="auto"/>
            </w:tcBorders>
            <w:tcMar>
              <w:top w:w="28" w:type="dxa"/>
              <w:left w:w="57" w:type="dxa"/>
              <w:bottom w:w="28" w:type="dxa"/>
              <w:right w:w="57" w:type="dxa"/>
            </w:tcMar>
          </w:tcPr>
          <w:p w14:paraId="51012003" w14:textId="77777777" w:rsidR="0018335E" w:rsidRPr="00DF600A" w:rsidRDefault="0018335E" w:rsidP="00C613AC">
            <w:pPr>
              <w:jc w:val="center"/>
              <w:rPr>
                <w:rFonts w:ascii="Calibri" w:eastAsia="MS Mincho" w:hAnsi="Calibri" w:cs="Arial"/>
                <w:b/>
                <w:sz w:val="20"/>
              </w:rPr>
            </w:pPr>
            <w:r>
              <w:rPr>
                <w:rFonts w:ascii="Calibri" w:eastAsia="MS Mincho" w:hAnsi="Calibri" w:cs="Arial"/>
                <w:b/>
                <w:sz w:val="20"/>
              </w:rPr>
              <w:t>H</w:t>
            </w:r>
            <w:r w:rsidRPr="00DF600A">
              <w:rPr>
                <w:rFonts w:ascii="Calibri" w:eastAsia="MS Mincho" w:hAnsi="Calibri" w:cs="Arial"/>
                <w:b/>
                <w:sz w:val="20"/>
              </w:rPr>
              <w:t>S</w:t>
            </w:r>
          </w:p>
        </w:tc>
        <w:tc>
          <w:tcPr>
            <w:tcW w:w="3735" w:type="pct"/>
            <w:tcBorders>
              <w:bottom w:val="single" w:sz="4" w:space="0" w:color="auto"/>
            </w:tcBorders>
            <w:tcMar>
              <w:left w:w="57" w:type="dxa"/>
              <w:right w:w="57" w:type="dxa"/>
            </w:tcMar>
          </w:tcPr>
          <w:p w14:paraId="424645F9" w14:textId="2E7C989F" w:rsidR="0076006F" w:rsidRDefault="0018335E" w:rsidP="00C613AC">
            <w:pPr>
              <w:tabs>
                <w:tab w:val="right" w:pos="6037"/>
              </w:tabs>
              <w:rPr>
                <w:rFonts w:ascii="Calibri" w:eastAsia="MS Mincho" w:hAnsi="Calibri" w:cs="Arial"/>
                <w:sz w:val="20"/>
              </w:rPr>
            </w:pPr>
            <w:r w:rsidRPr="00AD0771">
              <w:rPr>
                <w:rFonts w:ascii="Calibri" w:hAnsi="Calibri" w:cs="Corbel"/>
                <w:sz w:val="20"/>
                <w:lang w:val="en-US"/>
              </w:rPr>
              <w:t>Overall, the project results have been delivered in a highly cost effective manner, particularly given the relatively small GEF grant of US$ 1.</w:t>
            </w:r>
            <w:r w:rsidR="004E516C">
              <w:rPr>
                <w:rFonts w:ascii="Calibri" w:hAnsi="Calibri" w:cs="Corbel"/>
                <w:sz w:val="20"/>
                <w:lang w:val="en-US"/>
              </w:rPr>
              <w:t>3</w:t>
            </w:r>
            <w:r w:rsidRPr="00AD0771">
              <w:rPr>
                <w:rFonts w:ascii="Calibri" w:hAnsi="Calibri" w:cs="Corbel"/>
                <w:sz w:val="20"/>
                <w:lang w:val="en-US"/>
              </w:rPr>
              <w:t xml:space="preserve"> million in relation to the wide range of outputs delivered across three Colchic Forests (target areas) in collaboration with several other donors, the tenfold plus co-financing leverage of additional financial support towards the establishing and management of PAs, including improved access to them for potentially sustainable tourism benefits. Also, considered is the six-month extension at no extra cost and critical with respect to delivering consensus on the proposed Protected Landscape that emerged as the adaptive management solution to the future management of the inhabited lower valleys of Machakhela Gorge.</w:t>
            </w:r>
            <w:r>
              <w:rPr>
                <w:rFonts w:ascii="Calibri" w:hAnsi="Calibri" w:cs="Corbel"/>
                <w:sz w:val="20"/>
                <w:lang w:val="en-US"/>
              </w:rPr>
              <w:tab/>
            </w:r>
            <w:r>
              <w:rPr>
                <w:rFonts w:ascii="Calibri" w:eastAsia="MS Mincho" w:hAnsi="Calibri" w:cs="Arial"/>
                <w:sz w:val="20"/>
              </w:rPr>
              <w:t>[</w:t>
            </w:r>
          </w:p>
          <w:p w14:paraId="3335E4FD" w14:textId="03CE581F" w:rsidR="0018335E" w:rsidRPr="00AD0771" w:rsidRDefault="0076006F" w:rsidP="00B513E3">
            <w:pPr>
              <w:tabs>
                <w:tab w:val="right" w:pos="5902"/>
              </w:tabs>
              <w:rPr>
                <w:rFonts w:ascii="Calibri" w:eastAsia="MS Mincho" w:hAnsi="Calibri" w:cs="Arial"/>
                <w:sz w:val="20"/>
              </w:rPr>
            </w:pPr>
            <w:r>
              <w:rPr>
                <w:rFonts w:ascii="Calibri" w:eastAsia="MS Mincho" w:hAnsi="Calibri" w:cs="Arial"/>
                <w:sz w:val="20"/>
              </w:rPr>
              <w:tab/>
            </w:r>
            <w:r w:rsidR="00B513E3">
              <w:rPr>
                <w:rFonts w:ascii="Calibri" w:eastAsia="MS Mincho" w:hAnsi="Calibri" w:cs="Arial"/>
                <w:sz w:val="20"/>
              </w:rPr>
              <w:t>[</w:t>
            </w:r>
            <w:r w:rsidR="0018335E">
              <w:rPr>
                <w:rFonts w:ascii="Calibri" w:eastAsia="MS Mincho" w:hAnsi="Calibri" w:cs="Arial"/>
                <w:sz w:val="20"/>
              </w:rPr>
              <w:t>Further details in</w:t>
            </w:r>
            <w:r w:rsidR="0018335E" w:rsidRPr="0099619A">
              <w:rPr>
                <w:rFonts w:ascii="Calibri" w:eastAsia="MS Mincho" w:hAnsi="Calibri" w:cs="Arial"/>
                <w:sz w:val="20"/>
              </w:rPr>
              <w:t xml:space="preserve"> </w:t>
            </w:r>
            <w:r w:rsidR="0018335E" w:rsidRPr="001C2BC4">
              <w:rPr>
                <w:rFonts w:ascii="Calibri" w:eastAsia="MS Mincho" w:hAnsi="Calibri" w:cs="Arial"/>
                <w:b/>
                <w:sz w:val="20"/>
              </w:rPr>
              <w:t>Section 3.3.3</w:t>
            </w:r>
            <w:r w:rsidR="0018335E" w:rsidRPr="001C2BC4">
              <w:rPr>
                <w:rFonts w:ascii="Calibri" w:eastAsia="MS Mincho" w:hAnsi="Calibri" w:cs="Arial"/>
                <w:sz w:val="20"/>
              </w:rPr>
              <w:t>]</w:t>
            </w:r>
          </w:p>
        </w:tc>
      </w:tr>
      <w:tr w:rsidR="0018335E" w:rsidRPr="00DF600A" w14:paraId="09E596C2" w14:textId="77777777" w:rsidTr="00A664E2">
        <w:tc>
          <w:tcPr>
            <w:tcW w:w="5000" w:type="pct"/>
            <w:gridSpan w:val="3"/>
            <w:shd w:val="clear" w:color="auto" w:fill="E6E6E6"/>
            <w:tcMar>
              <w:top w:w="28" w:type="dxa"/>
              <w:left w:w="57" w:type="dxa"/>
              <w:bottom w:w="28" w:type="dxa"/>
              <w:right w:w="57" w:type="dxa"/>
            </w:tcMar>
          </w:tcPr>
          <w:p w14:paraId="1D817155" w14:textId="77777777" w:rsidR="0018335E" w:rsidRPr="00DF600A" w:rsidRDefault="0018335E" w:rsidP="00C613AC">
            <w:pPr>
              <w:rPr>
                <w:rFonts w:ascii="Calibri" w:eastAsia="MS Mincho" w:hAnsi="Calibri" w:cs="Arial"/>
                <w:sz w:val="20"/>
              </w:rPr>
            </w:pPr>
            <w:r w:rsidRPr="00DF600A">
              <w:rPr>
                <w:rFonts w:ascii="Calibri" w:eastAsia="MS Mincho" w:hAnsi="Calibri" w:cs="Arial"/>
                <w:b/>
                <w:sz w:val="20"/>
              </w:rPr>
              <w:t>Sustainability</w:t>
            </w:r>
            <w:r w:rsidRPr="00DF600A">
              <w:rPr>
                <w:rFonts w:ascii="Calibri" w:eastAsia="MS Mincho" w:hAnsi="Calibri" w:cs="Arial"/>
                <w:bCs/>
                <w:sz w:val="20"/>
              </w:rPr>
              <w:t xml:space="preserve"> (using 4-point likelihood scale)</w:t>
            </w:r>
            <w:r w:rsidRPr="00DF600A">
              <w:rPr>
                <w:rStyle w:val="FootnoteReference"/>
                <w:rFonts w:eastAsia="MS Mincho" w:cs="Arial"/>
                <w:sz w:val="20"/>
              </w:rPr>
              <w:t xml:space="preserve"> </w:t>
            </w:r>
          </w:p>
        </w:tc>
      </w:tr>
      <w:tr w:rsidR="00692C5D" w:rsidRPr="00DF600A" w14:paraId="31FC7515" w14:textId="77777777" w:rsidTr="00692C5D">
        <w:trPr>
          <w:trHeight w:val="396"/>
        </w:trPr>
        <w:tc>
          <w:tcPr>
            <w:tcW w:w="879" w:type="pct"/>
            <w:shd w:val="clear" w:color="auto" w:fill="auto"/>
            <w:tcMar>
              <w:left w:w="57" w:type="dxa"/>
            </w:tcMar>
          </w:tcPr>
          <w:p w14:paraId="47D551E4" w14:textId="451ADC8A" w:rsidR="0018335E" w:rsidRPr="00DF600A" w:rsidRDefault="0018335E" w:rsidP="0037067B">
            <w:pPr>
              <w:rPr>
                <w:rFonts w:ascii="Calibri" w:eastAsia="MS Mincho" w:hAnsi="Calibri" w:cs="Arial"/>
                <w:b/>
                <w:sz w:val="20"/>
              </w:rPr>
            </w:pPr>
            <w:r w:rsidRPr="00DF600A">
              <w:rPr>
                <w:rFonts w:ascii="Calibri" w:eastAsia="MS Mincho" w:hAnsi="Calibri" w:cs="Arial"/>
                <w:sz w:val="20"/>
              </w:rPr>
              <w:t>Overall likelihood of sustainability</w:t>
            </w:r>
          </w:p>
        </w:tc>
        <w:tc>
          <w:tcPr>
            <w:tcW w:w="386" w:type="pct"/>
            <w:tcMar>
              <w:top w:w="28" w:type="dxa"/>
              <w:left w:w="57" w:type="dxa"/>
              <w:bottom w:w="28" w:type="dxa"/>
              <w:right w:w="57" w:type="dxa"/>
            </w:tcMar>
          </w:tcPr>
          <w:p w14:paraId="5DB36142" w14:textId="77777777" w:rsidR="0018335E" w:rsidRPr="00DF600A" w:rsidRDefault="0018335E" w:rsidP="00C613AC">
            <w:pPr>
              <w:jc w:val="center"/>
              <w:rPr>
                <w:rFonts w:ascii="Calibri" w:eastAsia="MS Mincho" w:hAnsi="Calibri" w:cs="Arial"/>
                <w:b/>
                <w:sz w:val="20"/>
              </w:rPr>
            </w:pPr>
            <w:r w:rsidRPr="00DF600A">
              <w:rPr>
                <w:rFonts w:ascii="Calibri" w:eastAsia="MS Mincho" w:hAnsi="Calibri" w:cs="Arial"/>
                <w:b/>
                <w:sz w:val="20"/>
              </w:rPr>
              <w:t>ML</w:t>
            </w:r>
          </w:p>
        </w:tc>
        <w:tc>
          <w:tcPr>
            <w:tcW w:w="3735" w:type="pct"/>
            <w:tcMar>
              <w:left w:w="57" w:type="dxa"/>
              <w:right w:w="57" w:type="dxa"/>
            </w:tcMar>
          </w:tcPr>
          <w:p w14:paraId="45A6FB1E" w14:textId="77777777" w:rsidR="0018335E" w:rsidRPr="00DF600A" w:rsidRDefault="0018335E" w:rsidP="00B513E3">
            <w:pPr>
              <w:rPr>
                <w:rFonts w:ascii="Calibri" w:eastAsia="MS Mincho" w:hAnsi="Calibri" w:cs="Arial"/>
                <w:sz w:val="20"/>
              </w:rPr>
            </w:pPr>
            <w:r w:rsidRPr="00AD0771">
              <w:rPr>
                <w:rFonts w:ascii="Calibri" w:eastAsia="MS Mincho" w:hAnsi="Calibri" w:cs="Arial"/>
                <w:sz w:val="20"/>
              </w:rPr>
              <w:t xml:space="preserve">Under GEF criteria, each sustainability dimension is critical, so the overall ranking cannot be higher than the lowest one. The four dimensions of sustainability are rated </w:t>
            </w:r>
            <w:r>
              <w:rPr>
                <w:rFonts w:ascii="Calibri" w:eastAsia="MS Mincho" w:hAnsi="Calibri" w:cs="Arial"/>
                <w:sz w:val="20"/>
              </w:rPr>
              <w:t>below</w:t>
            </w:r>
            <w:r w:rsidRPr="00AD0771">
              <w:rPr>
                <w:rFonts w:ascii="Calibri" w:eastAsia="MS Mincho" w:hAnsi="Calibri" w:cs="Arial"/>
                <w:sz w:val="20"/>
              </w:rPr>
              <w:t>, with evidence provided alongside.</w:t>
            </w:r>
          </w:p>
        </w:tc>
      </w:tr>
      <w:tr w:rsidR="00692C5D" w:rsidRPr="00DF600A" w14:paraId="6BD35745" w14:textId="77777777" w:rsidTr="00692C5D">
        <w:tc>
          <w:tcPr>
            <w:tcW w:w="879" w:type="pct"/>
            <w:shd w:val="clear" w:color="auto" w:fill="auto"/>
            <w:tcMar>
              <w:left w:w="57" w:type="dxa"/>
            </w:tcMar>
          </w:tcPr>
          <w:p w14:paraId="3D246F89" w14:textId="77777777" w:rsidR="0018335E" w:rsidRPr="00DF600A" w:rsidRDefault="0018335E" w:rsidP="00C613AC">
            <w:pPr>
              <w:rPr>
                <w:rFonts w:ascii="Calibri" w:eastAsia="MS Mincho" w:hAnsi="Calibri" w:cs="Arial"/>
                <w:i/>
                <w:sz w:val="20"/>
              </w:rPr>
            </w:pPr>
            <w:r w:rsidRPr="00DF600A">
              <w:rPr>
                <w:rFonts w:ascii="Calibri" w:eastAsia="MS Mincho" w:hAnsi="Calibri" w:cs="Arial"/>
                <w:i/>
                <w:sz w:val="20"/>
              </w:rPr>
              <w:t xml:space="preserve">Financial </w:t>
            </w:r>
            <w:r w:rsidRPr="00DF600A">
              <w:rPr>
                <w:rFonts w:ascii="Calibri" w:eastAsia="MS Mincho" w:hAnsi="Calibri" w:cs="Arial"/>
                <w:i/>
                <w:sz w:val="20"/>
              </w:rPr>
              <w:lastRenderedPageBreak/>
              <w:t>resources</w:t>
            </w:r>
          </w:p>
        </w:tc>
        <w:tc>
          <w:tcPr>
            <w:tcW w:w="386" w:type="pct"/>
            <w:tcMar>
              <w:top w:w="28" w:type="dxa"/>
              <w:left w:w="57" w:type="dxa"/>
              <w:bottom w:w="28" w:type="dxa"/>
              <w:right w:w="57" w:type="dxa"/>
            </w:tcMar>
          </w:tcPr>
          <w:p w14:paraId="39D7AA7E" w14:textId="77777777" w:rsidR="0018335E" w:rsidRPr="00DF600A" w:rsidRDefault="0018335E" w:rsidP="00C613AC">
            <w:pPr>
              <w:jc w:val="center"/>
              <w:rPr>
                <w:rFonts w:ascii="Calibri" w:eastAsia="MS Mincho" w:hAnsi="Calibri" w:cs="Arial"/>
                <w:b/>
                <w:sz w:val="20"/>
              </w:rPr>
            </w:pPr>
            <w:r w:rsidRPr="00DF600A">
              <w:rPr>
                <w:rFonts w:ascii="Calibri" w:eastAsia="MS Mincho" w:hAnsi="Calibri" w:cs="Arial"/>
                <w:b/>
                <w:sz w:val="20"/>
              </w:rPr>
              <w:lastRenderedPageBreak/>
              <w:t>ML</w:t>
            </w:r>
            <w:r w:rsidRPr="00DF600A">
              <w:rPr>
                <w:rFonts w:ascii="Calibri" w:eastAsia="MS Mincho" w:hAnsi="Calibri" w:cs="Arial"/>
                <w:sz w:val="20"/>
              </w:rPr>
              <w:t xml:space="preserve"> </w:t>
            </w:r>
          </w:p>
        </w:tc>
        <w:tc>
          <w:tcPr>
            <w:tcW w:w="3735" w:type="pct"/>
            <w:tcMar>
              <w:left w:w="57" w:type="dxa"/>
              <w:right w:w="57" w:type="dxa"/>
            </w:tcMar>
          </w:tcPr>
          <w:p w14:paraId="21B487CE" w14:textId="77777777" w:rsidR="0018335E" w:rsidRPr="00DF600A" w:rsidRDefault="0018335E" w:rsidP="00B513E3">
            <w:pPr>
              <w:rPr>
                <w:rFonts w:ascii="Calibri" w:eastAsia="MS Mincho" w:hAnsi="Calibri" w:cs="Arial"/>
                <w:sz w:val="20"/>
              </w:rPr>
            </w:pPr>
            <w:r w:rsidRPr="00DF600A">
              <w:rPr>
                <w:rFonts w:ascii="Calibri" w:eastAsia="MS Mincho" w:hAnsi="Calibri" w:cs="Arial"/>
                <w:sz w:val="20"/>
              </w:rPr>
              <w:t xml:space="preserve">The risk of government failing to commit sufficient financial support to new PAs </w:t>
            </w:r>
            <w:r w:rsidRPr="00DF600A">
              <w:rPr>
                <w:rFonts w:ascii="Calibri" w:eastAsia="MS Mincho" w:hAnsi="Calibri" w:cs="Arial"/>
                <w:sz w:val="20"/>
              </w:rPr>
              <w:lastRenderedPageBreak/>
              <w:t xml:space="preserve">planning and management, resulting in a shortfall that PAs are unable to finance, is rated </w:t>
            </w:r>
            <w:r w:rsidRPr="00DF600A">
              <w:rPr>
                <w:rFonts w:ascii="Calibri" w:eastAsia="MS Mincho" w:hAnsi="Calibri" w:cs="Arial"/>
                <w:sz w:val="20"/>
                <w:u w:val="single"/>
              </w:rPr>
              <w:t>high</w:t>
            </w:r>
            <w:r w:rsidRPr="00DF600A">
              <w:rPr>
                <w:rFonts w:ascii="Calibri" w:eastAsia="MS Mincho" w:hAnsi="Calibri" w:cs="Arial"/>
                <w:sz w:val="20"/>
              </w:rPr>
              <w:t xml:space="preserve"> in the ProDoc. The assumption cited in the SRF is that government will gazette Machakhela NP and meet the full management costs. This high risk has been reduced, albeit sustainable funding of PAs will remain an issue for as long as APA maintains, rather than delegates, its authority over PA budgets and management, as discussed in </w:t>
            </w:r>
            <w:r w:rsidRPr="00DF600A">
              <w:rPr>
                <w:rFonts w:ascii="Calibri" w:eastAsia="MS Mincho" w:hAnsi="Calibri" w:cs="Arial"/>
                <w:b/>
                <w:sz w:val="20"/>
              </w:rPr>
              <w:t>Section 3.2.1</w:t>
            </w:r>
            <w:r w:rsidRPr="00DF600A">
              <w:rPr>
                <w:rFonts w:ascii="Calibri" w:eastAsia="MS Mincho" w:hAnsi="Calibri" w:cs="Arial"/>
                <w:sz w:val="20"/>
              </w:rPr>
              <w:t>.</w:t>
            </w:r>
          </w:p>
          <w:p w14:paraId="25CAB01F" w14:textId="3DDA4A11" w:rsidR="0018335E" w:rsidRPr="00DF600A" w:rsidRDefault="0018335E" w:rsidP="00B513E3">
            <w:pPr>
              <w:rPr>
                <w:rFonts w:ascii="Calibri" w:eastAsia="MS Mincho" w:hAnsi="Calibri" w:cs="Arial"/>
                <w:sz w:val="20"/>
              </w:rPr>
            </w:pPr>
            <w:r w:rsidRPr="00DF600A">
              <w:rPr>
                <w:rFonts w:ascii="Calibri" w:eastAsia="MS Mincho" w:hAnsi="Calibri" w:cs="Arial"/>
                <w:sz w:val="20"/>
              </w:rPr>
              <w:t xml:space="preserve">Considerable country ownership of this project has been demonstrated at national, regional and municipal levels, which is also reflected in the co-financing secured from each of these levels, all of which is evidence to suggest that the proposed Machakhela Protected Landscape </w:t>
            </w:r>
            <w:r w:rsidR="00A664E2">
              <w:rPr>
                <w:rFonts w:ascii="Calibri" w:eastAsia="MS Mincho" w:hAnsi="Calibri" w:cs="Arial"/>
                <w:sz w:val="20"/>
              </w:rPr>
              <w:t>is likely to</w:t>
            </w:r>
            <w:r w:rsidRPr="00DF600A">
              <w:rPr>
                <w:rFonts w:ascii="Calibri" w:eastAsia="MS Mincho" w:hAnsi="Calibri" w:cs="Arial"/>
                <w:sz w:val="20"/>
              </w:rPr>
              <w:t xml:space="preserve"> benefit from regional and municipal funds not available to NPs</w:t>
            </w:r>
            <w:r w:rsidR="00A664E2">
              <w:rPr>
                <w:rFonts w:ascii="Calibri" w:eastAsia="MS Mincho" w:hAnsi="Calibri" w:cs="Arial"/>
                <w:sz w:val="20"/>
              </w:rPr>
              <w:t xml:space="preserve"> if</w:t>
            </w:r>
            <w:r w:rsidRPr="00DF600A">
              <w:rPr>
                <w:rFonts w:ascii="Calibri" w:eastAsia="MS Mincho" w:hAnsi="Calibri" w:cs="Arial"/>
                <w:sz w:val="20"/>
              </w:rPr>
              <w:t xml:space="preserve"> its management is passed to Khelvachauri Municipality. Meanwhile, Machakhela NP, with its recently revised boundaries, will receive additional funding for staff salaries from CNF as from 2019. Project initiatives, such as creating NP Friends Associations, provide a mechanism for increasing PA resources that is independent of the current legislative restrictions imposed on PA Administrations. Also, PA policy and legislation is currently under review as part of a GIZ-funded project that is expected to help modernise the current institutional approach to PAs. Thus, the prognosis for financial sustainability is deemed to be </w:t>
            </w:r>
            <w:r w:rsidRPr="00DF600A">
              <w:rPr>
                <w:rFonts w:ascii="Calibri" w:eastAsia="MS Mincho" w:hAnsi="Calibri" w:cs="Arial"/>
                <w:b/>
                <w:sz w:val="20"/>
              </w:rPr>
              <w:t>Moderately Likely</w:t>
            </w:r>
            <w:r w:rsidRPr="00DF600A">
              <w:rPr>
                <w:rFonts w:ascii="Calibri" w:eastAsia="MS Mincho" w:hAnsi="Calibri" w:cs="Arial"/>
                <w:sz w:val="20"/>
              </w:rPr>
              <w:t>.</w:t>
            </w:r>
          </w:p>
        </w:tc>
      </w:tr>
      <w:tr w:rsidR="00692C5D" w:rsidRPr="00DF600A" w14:paraId="29897F6D" w14:textId="77777777" w:rsidTr="00692C5D">
        <w:tc>
          <w:tcPr>
            <w:tcW w:w="879" w:type="pct"/>
            <w:shd w:val="clear" w:color="auto" w:fill="auto"/>
            <w:tcMar>
              <w:left w:w="57" w:type="dxa"/>
            </w:tcMar>
          </w:tcPr>
          <w:p w14:paraId="25C7F33F" w14:textId="77777777" w:rsidR="0018335E" w:rsidRPr="00DF600A" w:rsidRDefault="0018335E" w:rsidP="00C613AC">
            <w:pPr>
              <w:rPr>
                <w:rFonts w:ascii="Calibri" w:eastAsia="MS Mincho" w:hAnsi="Calibri" w:cs="Arial"/>
                <w:i/>
                <w:sz w:val="20"/>
              </w:rPr>
            </w:pPr>
            <w:r w:rsidRPr="00DF600A">
              <w:rPr>
                <w:rFonts w:ascii="Calibri" w:eastAsia="MS Mincho" w:hAnsi="Calibri" w:cs="Arial"/>
                <w:i/>
                <w:sz w:val="20"/>
              </w:rPr>
              <w:lastRenderedPageBreak/>
              <w:t>Socio-economic</w:t>
            </w:r>
          </w:p>
        </w:tc>
        <w:tc>
          <w:tcPr>
            <w:tcW w:w="386" w:type="pct"/>
            <w:tcMar>
              <w:top w:w="28" w:type="dxa"/>
              <w:left w:w="57" w:type="dxa"/>
              <w:bottom w:w="28" w:type="dxa"/>
              <w:right w:w="57" w:type="dxa"/>
            </w:tcMar>
          </w:tcPr>
          <w:p w14:paraId="02CB7110" w14:textId="77777777" w:rsidR="0018335E" w:rsidRPr="00DF600A" w:rsidRDefault="0018335E" w:rsidP="00C613AC">
            <w:pPr>
              <w:jc w:val="center"/>
              <w:rPr>
                <w:rFonts w:ascii="Calibri" w:eastAsia="MS Mincho" w:hAnsi="Calibri" w:cs="Arial"/>
                <w:b/>
                <w:sz w:val="20"/>
              </w:rPr>
            </w:pPr>
            <w:r w:rsidRPr="00DF600A">
              <w:rPr>
                <w:rFonts w:ascii="Calibri" w:eastAsia="MS Mincho" w:hAnsi="Calibri" w:cs="Arial"/>
                <w:b/>
                <w:sz w:val="20"/>
              </w:rPr>
              <w:t>ML</w:t>
            </w:r>
          </w:p>
        </w:tc>
        <w:tc>
          <w:tcPr>
            <w:tcW w:w="3735" w:type="pct"/>
            <w:tcMar>
              <w:left w:w="57" w:type="dxa"/>
              <w:right w:w="57" w:type="dxa"/>
            </w:tcMar>
          </w:tcPr>
          <w:p w14:paraId="51BD16A1" w14:textId="77777777" w:rsidR="0018335E" w:rsidRPr="00DF600A" w:rsidRDefault="0018335E" w:rsidP="00C613AC">
            <w:pPr>
              <w:spacing w:after="40"/>
              <w:rPr>
                <w:rFonts w:ascii="Calibri" w:eastAsia="MS Mincho" w:hAnsi="Calibri" w:cs="Arial"/>
                <w:sz w:val="20"/>
              </w:rPr>
            </w:pPr>
            <w:r w:rsidRPr="00DF600A">
              <w:rPr>
                <w:rFonts w:ascii="Calibri" w:eastAsia="MS Mincho" w:hAnsi="Calibri" w:cs="Arial"/>
                <w:sz w:val="20"/>
              </w:rPr>
              <w:t xml:space="preserve">Conflicts and misunderstandings among public and private sector partners, NGOs and resource users are identified in the ProDoc as a </w:t>
            </w:r>
            <w:r w:rsidRPr="00DF600A">
              <w:rPr>
                <w:rFonts w:ascii="Calibri" w:eastAsia="MS Mincho" w:hAnsi="Calibri" w:cs="Arial"/>
                <w:sz w:val="20"/>
                <w:u w:val="single"/>
              </w:rPr>
              <w:t>moderate risk</w:t>
            </w:r>
            <w:r w:rsidRPr="00DF600A">
              <w:rPr>
                <w:rFonts w:ascii="Calibri" w:eastAsia="MS Mincho" w:hAnsi="Calibri" w:cs="Arial"/>
                <w:sz w:val="20"/>
              </w:rPr>
              <w:t xml:space="preserve"> that undermines socio-economic sustainability. Much has been achieved by the project, particularly in Machakhela Gorge, to engage communities in participatory processes and initiatives, such a review of the NP boundary, management planning, Mtirala &amp; Machakhela NPs Friends Association (including its Community Rangers and Junior Rangers programmes), cooperatives for honey and fuel (from hazelnut shells) production and handicrafts, to raise their awareness of the importance and value of their natural heritage and support its conservation, as a means of enhancing and securing their own livelihoods. </w:t>
            </w:r>
          </w:p>
          <w:p w14:paraId="5E19F196" w14:textId="77777777" w:rsidR="0018335E" w:rsidRPr="00DF600A" w:rsidRDefault="0018335E" w:rsidP="00C613AC">
            <w:pPr>
              <w:spacing w:after="40"/>
              <w:rPr>
                <w:rFonts w:ascii="Calibri" w:eastAsia="MS Mincho" w:hAnsi="Calibri" w:cs="Arial"/>
                <w:sz w:val="20"/>
              </w:rPr>
            </w:pPr>
            <w:r w:rsidRPr="00DF600A">
              <w:rPr>
                <w:rFonts w:ascii="Calibri" w:eastAsia="MS Mincho" w:hAnsi="Calibri" w:cs="Arial"/>
                <w:sz w:val="20"/>
              </w:rPr>
              <w:t xml:space="preserve">The MTR raises concerns about the small scale of these interventions but they are intended as demonstrations for replicating and mainstreaming, as appropriate and the next step of planning for the future vision and its realisation is underway. The revision of Machakhela NP’s boundaries and development of a 6-year management plan (including its zonation), together with the consensus in support of the proposed Machakhela PL are clear evidence of the trust and support gained from communities and other stakeholders living, working or having other interests in this area. Both of these initiatives, to conserve biodiversity and secure ecosystems services for public benefits, are closely integrated within a PAs complex that serves to protect biodiversity within the NP and buffer it from threats and pressures by means of  the PL in which land and water resources are protected from pollutants and used sustainably in the interests of local livelihoods and visitors wishing to enjoy the natural beauty, historic heritage and local culture of Machakhela Gorge. </w:t>
            </w:r>
          </w:p>
          <w:p w14:paraId="2455E2D5" w14:textId="77777777" w:rsidR="0018335E" w:rsidRPr="00DF600A" w:rsidRDefault="0018335E" w:rsidP="00C613AC">
            <w:pPr>
              <w:spacing w:after="40"/>
              <w:rPr>
                <w:rFonts w:ascii="Calibri" w:eastAsia="MS Mincho" w:hAnsi="Calibri" w:cs="Arial"/>
                <w:sz w:val="20"/>
              </w:rPr>
            </w:pPr>
            <w:r w:rsidRPr="00DF600A">
              <w:rPr>
                <w:rFonts w:ascii="Calibri" w:eastAsia="MS Mincho" w:hAnsi="Calibri" w:cs="Arial"/>
                <w:sz w:val="20"/>
              </w:rPr>
              <w:t>Other initiatives are also being considered, such as the inclusion of Machakhela (or part of it) in the nomination of Colchic Forests for inscription on the World Heritage List; and the establishment of one or more villages and their landscapes as destinations for cultural tourism heritage – all of which will contribute to the socio-economy of the area. More immediate economic opportunities include ecologically sustainable forms of tourism, with an emphasis on ‘quiet’ enjoyment, and the emerging Local Action Groups (LAGs) programme due to be implemented by Achara’s Ministry of Agriculture.</w:t>
            </w:r>
          </w:p>
          <w:p w14:paraId="0DEBC8F8" w14:textId="270720CC" w:rsidR="0018335E" w:rsidRPr="00DF600A" w:rsidRDefault="0018335E" w:rsidP="00EF6CA8">
            <w:pPr>
              <w:spacing w:after="40"/>
              <w:rPr>
                <w:rFonts w:ascii="Calibri" w:eastAsia="MS Mincho" w:hAnsi="Calibri" w:cs="Arial"/>
                <w:sz w:val="20"/>
              </w:rPr>
            </w:pPr>
            <w:r w:rsidRPr="00DF600A">
              <w:rPr>
                <w:rFonts w:ascii="Calibri" w:eastAsia="MS Mincho" w:hAnsi="Calibri" w:cs="Arial"/>
                <w:sz w:val="20"/>
              </w:rPr>
              <w:t xml:space="preserve">The Protected Landscape approach paves the way for socio-economic revival within the lower valleys of Machakhela, provided adequate planning in terms of resource use and safeguards are in place to ensure that the natural, cultural and historic resources are not eroded. Socio-economic sustainability is </w:t>
            </w:r>
            <w:r w:rsidRPr="00DF600A">
              <w:rPr>
                <w:rFonts w:ascii="Calibri" w:eastAsia="MS Mincho" w:hAnsi="Calibri" w:cs="Arial"/>
                <w:b/>
                <w:sz w:val="20"/>
              </w:rPr>
              <w:t xml:space="preserve">Moderately </w:t>
            </w:r>
            <w:r w:rsidRPr="00DF600A">
              <w:rPr>
                <w:rFonts w:ascii="Calibri" w:eastAsia="MS Mincho" w:hAnsi="Calibri" w:cs="Arial"/>
                <w:b/>
                <w:sz w:val="20"/>
              </w:rPr>
              <w:lastRenderedPageBreak/>
              <w:t>Likely</w:t>
            </w:r>
            <w:r w:rsidRPr="00DF600A">
              <w:rPr>
                <w:rFonts w:ascii="Calibri" w:eastAsia="MS Mincho" w:hAnsi="Calibri" w:cs="Arial"/>
                <w:sz w:val="20"/>
              </w:rPr>
              <w:t xml:space="preserve">, increasing to </w:t>
            </w:r>
            <w:r w:rsidRPr="00DF600A">
              <w:rPr>
                <w:rFonts w:ascii="Calibri" w:eastAsia="MS Mincho" w:hAnsi="Calibri" w:cs="Arial"/>
                <w:b/>
                <w:sz w:val="20"/>
              </w:rPr>
              <w:t>Likely</w:t>
            </w:r>
            <w:r w:rsidRPr="00DF600A">
              <w:rPr>
                <w:rFonts w:ascii="Calibri" w:eastAsia="MS Mincho" w:hAnsi="Calibri" w:cs="Arial"/>
                <w:sz w:val="20"/>
              </w:rPr>
              <w:t xml:space="preserve"> once </w:t>
            </w:r>
            <w:r>
              <w:rPr>
                <w:rFonts w:ascii="Calibri" w:eastAsia="MS Mincho" w:hAnsi="Calibri" w:cs="Arial"/>
                <w:sz w:val="20"/>
              </w:rPr>
              <w:t>Machakhela</w:t>
            </w:r>
            <w:r w:rsidRPr="00DF600A">
              <w:rPr>
                <w:rFonts w:ascii="Calibri" w:eastAsia="MS Mincho" w:hAnsi="Calibri" w:cs="Arial"/>
                <w:sz w:val="20"/>
              </w:rPr>
              <w:t xml:space="preserve"> PL is designated. </w:t>
            </w:r>
          </w:p>
        </w:tc>
      </w:tr>
      <w:tr w:rsidR="00692C5D" w:rsidRPr="00DF600A" w14:paraId="46FF06B5" w14:textId="77777777" w:rsidTr="00692C5D">
        <w:tc>
          <w:tcPr>
            <w:tcW w:w="879" w:type="pct"/>
            <w:shd w:val="clear" w:color="auto" w:fill="auto"/>
            <w:tcMar>
              <w:left w:w="57" w:type="dxa"/>
            </w:tcMar>
          </w:tcPr>
          <w:p w14:paraId="1AEA4E51" w14:textId="77777777" w:rsidR="0018335E" w:rsidRPr="00DF600A" w:rsidRDefault="0018335E" w:rsidP="00C613AC">
            <w:pPr>
              <w:rPr>
                <w:rFonts w:ascii="Calibri" w:eastAsia="MS Mincho" w:hAnsi="Calibri" w:cs="Arial"/>
                <w:i/>
                <w:sz w:val="20"/>
              </w:rPr>
            </w:pPr>
            <w:r w:rsidRPr="00DF600A">
              <w:rPr>
                <w:rFonts w:ascii="Calibri" w:eastAsia="MS Mincho" w:hAnsi="Calibri" w:cs="Arial"/>
                <w:i/>
                <w:sz w:val="20"/>
              </w:rPr>
              <w:lastRenderedPageBreak/>
              <w:t>Institutional framework and governance</w:t>
            </w:r>
          </w:p>
        </w:tc>
        <w:tc>
          <w:tcPr>
            <w:tcW w:w="386" w:type="pct"/>
            <w:tcMar>
              <w:top w:w="28" w:type="dxa"/>
              <w:left w:w="57" w:type="dxa"/>
              <w:bottom w:w="28" w:type="dxa"/>
              <w:right w:w="57" w:type="dxa"/>
            </w:tcMar>
          </w:tcPr>
          <w:p w14:paraId="29CB4B79" w14:textId="77777777" w:rsidR="0018335E" w:rsidRPr="00DF600A" w:rsidRDefault="0018335E" w:rsidP="00C613AC">
            <w:pPr>
              <w:jc w:val="center"/>
              <w:rPr>
                <w:rFonts w:ascii="Calibri" w:eastAsia="MS Mincho" w:hAnsi="Calibri" w:cs="Arial"/>
                <w:b/>
                <w:sz w:val="20"/>
              </w:rPr>
            </w:pPr>
            <w:r w:rsidRPr="00DF600A">
              <w:rPr>
                <w:rFonts w:ascii="Calibri" w:eastAsia="MS Mincho" w:hAnsi="Calibri" w:cs="Arial"/>
                <w:b/>
                <w:sz w:val="20"/>
              </w:rPr>
              <w:t>M</w:t>
            </w:r>
            <w:r>
              <w:rPr>
                <w:rFonts w:ascii="Calibri" w:eastAsia="MS Mincho" w:hAnsi="Calibri" w:cs="Arial"/>
                <w:b/>
                <w:sz w:val="20"/>
              </w:rPr>
              <w:t>U</w:t>
            </w:r>
          </w:p>
        </w:tc>
        <w:tc>
          <w:tcPr>
            <w:tcW w:w="3735" w:type="pct"/>
            <w:tcMar>
              <w:left w:w="57" w:type="dxa"/>
              <w:right w:w="57" w:type="dxa"/>
            </w:tcMar>
          </w:tcPr>
          <w:p w14:paraId="771B36D2" w14:textId="67C7C75B" w:rsidR="0018335E" w:rsidRPr="00494A51" w:rsidRDefault="0018335E" w:rsidP="00C613AC">
            <w:pPr>
              <w:spacing w:after="40"/>
              <w:rPr>
                <w:rFonts w:ascii="Calibri" w:eastAsia="MS Mincho" w:hAnsi="Calibri" w:cs="Arial"/>
                <w:sz w:val="20"/>
              </w:rPr>
            </w:pPr>
            <w:r w:rsidRPr="00494A51">
              <w:rPr>
                <w:rFonts w:ascii="Calibri" w:eastAsia="MS Mincho" w:hAnsi="Calibri" w:cs="Arial"/>
                <w:sz w:val="20"/>
              </w:rPr>
              <w:t xml:space="preserve">The fact that current institutions show limited support for “de-concentration” [of] management authority to PA administrations or to changes needed to improve PA management cost-effectiveness is identified as a </w:t>
            </w:r>
            <w:r w:rsidRPr="00494A51">
              <w:rPr>
                <w:rFonts w:ascii="Calibri" w:eastAsia="MS Mincho" w:hAnsi="Calibri" w:cs="Arial"/>
                <w:sz w:val="20"/>
                <w:u w:val="single"/>
              </w:rPr>
              <w:t>moderate risk</w:t>
            </w:r>
            <w:r w:rsidRPr="00494A51">
              <w:rPr>
                <w:rFonts w:ascii="Calibri" w:eastAsia="MS Mincho" w:hAnsi="Calibri" w:cs="Arial"/>
                <w:sz w:val="20"/>
              </w:rPr>
              <w:t>.</w:t>
            </w:r>
            <w:r>
              <w:rPr>
                <w:rFonts w:ascii="Calibri" w:eastAsia="MS Mincho" w:hAnsi="Calibri" w:cs="Arial"/>
                <w:sz w:val="20"/>
              </w:rPr>
              <w:t xml:space="preserve"> The assumption in the ProDoc</w:t>
            </w:r>
            <w:r w:rsidRPr="00494A51">
              <w:rPr>
                <w:rFonts w:ascii="Calibri" w:eastAsia="MS Mincho" w:hAnsi="Calibri" w:cs="Arial"/>
                <w:sz w:val="20"/>
              </w:rPr>
              <w:t xml:space="preserve"> that APA w</w:t>
            </w:r>
            <w:r>
              <w:rPr>
                <w:rFonts w:ascii="Calibri" w:eastAsia="MS Mincho" w:hAnsi="Calibri" w:cs="Arial"/>
                <w:sz w:val="20"/>
              </w:rPr>
              <w:t>ould</w:t>
            </w:r>
            <w:r w:rsidRPr="00494A51">
              <w:rPr>
                <w:rFonts w:ascii="Calibri" w:eastAsia="MS Mincho" w:hAnsi="Calibri" w:cs="Arial"/>
                <w:sz w:val="20"/>
              </w:rPr>
              <w:t xml:space="preserve"> delegate more authority to PAs to</w:t>
            </w:r>
            <w:r>
              <w:rPr>
                <w:rFonts w:ascii="Calibri" w:eastAsia="MS Mincho" w:hAnsi="Calibri" w:cs="Arial"/>
                <w:sz w:val="20"/>
              </w:rPr>
              <w:t xml:space="preserve"> allow more adaptive management </w:t>
            </w:r>
            <w:r w:rsidRPr="00494A51">
              <w:rPr>
                <w:rFonts w:ascii="Calibri" w:eastAsia="MS Mincho" w:hAnsi="Calibri" w:cs="Arial"/>
                <w:sz w:val="20"/>
              </w:rPr>
              <w:t>proved to be over-optimistic</w:t>
            </w:r>
            <w:r>
              <w:rPr>
                <w:rFonts w:ascii="Calibri" w:eastAsia="MS Mincho" w:hAnsi="Calibri" w:cs="Arial"/>
                <w:sz w:val="20"/>
              </w:rPr>
              <w:t xml:space="preserve">, although there has been some progress </w:t>
            </w:r>
            <w:r w:rsidR="001749E4">
              <w:rPr>
                <w:rFonts w:ascii="Calibri" w:eastAsia="MS Mincho" w:hAnsi="Calibri" w:cs="Arial"/>
                <w:sz w:val="20"/>
              </w:rPr>
              <w:t>regarding</w:t>
            </w:r>
            <w:r>
              <w:rPr>
                <w:rFonts w:ascii="Calibri" w:eastAsia="MS Mincho" w:hAnsi="Calibri" w:cs="Arial"/>
                <w:sz w:val="20"/>
              </w:rPr>
              <w:t xml:space="preserve"> stakeholder involvement in PA governance (see </w:t>
            </w:r>
            <w:r w:rsidRPr="002E016D">
              <w:rPr>
                <w:rFonts w:ascii="Calibri" w:eastAsia="MS Mincho" w:hAnsi="Calibri" w:cs="Arial"/>
                <w:b/>
                <w:sz w:val="20"/>
              </w:rPr>
              <w:t>Section 3.2.2</w:t>
            </w:r>
            <w:r>
              <w:rPr>
                <w:rFonts w:ascii="Calibri" w:eastAsia="MS Mincho" w:hAnsi="Calibri" w:cs="Arial"/>
                <w:sz w:val="20"/>
              </w:rPr>
              <w:t>).</w:t>
            </w:r>
          </w:p>
          <w:p w14:paraId="6A131CA2" w14:textId="77777777" w:rsidR="0018335E" w:rsidRPr="00494A51" w:rsidRDefault="0018335E" w:rsidP="00C613AC">
            <w:pPr>
              <w:spacing w:after="40"/>
              <w:rPr>
                <w:rFonts w:ascii="Calibri" w:eastAsia="MS Mincho" w:hAnsi="Calibri" w:cs="Arial"/>
                <w:sz w:val="20"/>
              </w:rPr>
            </w:pPr>
            <w:r>
              <w:rPr>
                <w:rFonts w:ascii="Calibri" w:eastAsia="MS Mincho" w:hAnsi="Calibri" w:cs="Arial"/>
                <w:sz w:val="20"/>
              </w:rPr>
              <w:t>Another constraint identified in the MTR and this TE is the high turnover of staff within APA, both at senior levels (e.g. NPD in the case of this project) and within PA Administrations, especially among the rangers (due to their low salaries), all of which fosters instability and undermines working relationships.</w:t>
            </w:r>
          </w:p>
          <w:p w14:paraId="7A3E66EA" w14:textId="77777777" w:rsidR="0018335E" w:rsidRPr="00DF600A" w:rsidRDefault="0018335E" w:rsidP="00C613AC">
            <w:pPr>
              <w:rPr>
                <w:rFonts w:ascii="Calibri" w:eastAsia="MS Mincho" w:hAnsi="Calibri" w:cs="Arial"/>
                <w:sz w:val="20"/>
              </w:rPr>
            </w:pPr>
            <w:r>
              <w:rPr>
                <w:rFonts w:ascii="Calibri" w:eastAsia="MS Mincho" w:hAnsi="Calibri" w:cs="Arial"/>
                <w:sz w:val="20"/>
              </w:rPr>
              <w:t xml:space="preserve">This situation deemed likely to remain </w:t>
            </w:r>
            <w:r w:rsidRPr="00B72EA8">
              <w:rPr>
                <w:rFonts w:ascii="Calibri" w:eastAsia="MS Mincho" w:hAnsi="Calibri" w:cs="Arial"/>
                <w:b/>
                <w:sz w:val="20"/>
              </w:rPr>
              <w:t>Moderately Unsustainable</w:t>
            </w:r>
            <w:r>
              <w:rPr>
                <w:rFonts w:ascii="Calibri" w:eastAsia="MS Mincho" w:hAnsi="Calibri" w:cs="Arial"/>
                <w:sz w:val="20"/>
              </w:rPr>
              <w:t xml:space="preserve"> until such time as the PA policy and legislation is revised, enabling APA to decentralise its operations and provide more autonomy to PA Administrations.</w:t>
            </w:r>
            <w:r w:rsidRPr="00DF600A">
              <w:rPr>
                <w:rFonts w:ascii="Calibri" w:eastAsia="MS Mincho" w:hAnsi="Calibri" w:cs="Arial"/>
                <w:sz w:val="20"/>
              </w:rPr>
              <w:t xml:space="preserve"> </w:t>
            </w:r>
          </w:p>
        </w:tc>
      </w:tr>
      <w:tr w:rsidR="00692C5D" w:rsidRPr="00DF600A" w14:paraId="6BA58202" w14:textId="77777777" w:rsidTr="00692C5D">
        <w:tc>
          <w:tcPr>
            <w:tcW w:w="879" w:type="pct"/>
            <w:tcBorders>
              <w:bottom w:val="single" w:sz="4" w:space="0" w:color="auto"/>
            </w:tcBorders>
            <w:shd w:val="clear" w:color="auto" w:fill="auto"/>
            <w:tcMar>
              <w:left w:w="57" w:type="dxa"/>
            </w:tcMar>
          </w:tcPr>
          <w:p w14:paraId="40B13694" w14:textId="77777777" w:rsidR="0018335E" w:rsidRPr="00DF600A" w:rsidRDefault="0018335E" w:rsidP="00C613AC">
            <w:pPr>
              <w:rPr>
                <w:rFonts w:ascii="Calibri" w:eastAsia="MS Mincho" w:hAnsi="Calibri" w:cs="Arial"/>
                <w:i/>
                <w:sz w:val="20"/>
              </w:rPr>
            </w:pPr>
            <w:r w:rsidRPr="00DF600A">
              <w:rPr>
                <w:rFonts w:ascii="Calibri" w:eastAsia="MS Mincho" w:hAnsi="Calibri" w:cs="Arial"/>
                <w:i/>
                <w:sz w:val="20"/>
              </w:rPr>
              <w:t>Environmental</w:t>
            </w:r>
          </w:p>
        </w:tc>
        <w:tc>
          <w:tcPr>
            <w:tcW w:w="386" w:type="pct"/>
            <w:tcBorders>
              <w:bottom w:val="single" w:sz="4" w:space="0" w:color="auto"/>
            </w:tcBorders>
            <w:tcMar>
              <w:top w:w="28" w:type="dxa"/>
              <w:left w:w="57" w:type="dxa"/>
              <w:bottom w:w="28" w:type="dxa"/>
              <w:right w:w="57" w:type="dxa"/>
            </w:tcMar>
          </w:tcPr>
          <w:p w14:paraId="6987AA06" w14:textId="77777777" w:rsidR="0018335E" w:rsidRPr="00DF600A" w:rsidRDefault="0018335E" w:rsidP="00C613AC">
            <w:pPr>
              <w:jc w:val="center"/>
              <w:rPr>
                <w:rFonts w:ascii="Calibri" w:eastAsia="MS Mincho" w:hAnsi="Calibri" w:cs="Arial"/>
                <w:b/>
                <w:sz w:val="20"/>
              </w:rPr>
            </w:pPr>
            <w:r w:rsidRPr="00DF600A">
              <w:rPr>
                <w:rFonts w:ascii="Calibri" w:eastAsia="MS Mincho" w:hAnsi="Calibri" w:cs="Arial"/>
                <w:b/>
                <w:sz w:val="20"/>
              </w:rPr>
              <w:t>L</w:t>
            </w:r>
          </w:p>
        </w:tc>
        <w:tc>
          <w:tcPr>
            <w:tcW w:w="3735" w:type="pct"/>
            <w:tcBorders>
              <w:bottom w:val="single" w:sz="4" w:space="0" w:color="auto"/>
            </w:tcBorders>
            <w:tcMar>
              <w:left w:w="57" w:type="dxa"/>
              <w:right w:w="57" w:type="dxa"/>
            </w:tcMar>
          </w:tcPr>
          <w:p w14:paraId="1492955A" w14:textId="77777777" w:rsidR="0018335E" w:rsidRPr="007E4A63" w:rsidRDefault="0018335E" w:rsidP="00C613AC">
            <w:pPr>
              <w:spacing w:after="40"/>
              <w:rPr>
                <w:rFonts w:ascii="Calibri" w:eastAsia="MS Mincho" w:hAnsi="Calibri" w:cs="Arial"/>
                <w:sz w:val="20"/>
              </w:rPr>
            </w:pPr>
            <w:r w:rsidRPr="007E4A63">
              <w:rPr>
                <w:rFonts w:ascii="Calibri" w:eastAsia="MS Mincho" w:hAnsi="Calibri" w:cs="Arial"/>
                <w:sz w:val="20"/>
              </w:rPr>
              <w:t xml:space="preserve">The resilience of ecosystems and their biological and physical integrity are identified in the ProDoc as being </w:t>
            </w:r>
            <w:r w:rsidRPr="007E4A63">
              <w:rPr>
                <w:rFonts w:ascii="Calibri" w:eastAsia="MS Mincho" w:hAnsi="Calibri" w:cs="Arial"/>
                <w:sz w:val="20"/>
                <w:u w:val="single"/>
              </w:rPr>
              <w:t>moderately at risk</w:t>
            </w:r>
            <w:r w:rsidRPr="007E4A63">
              <w:rPr>
                <w:rFonts w:ascii="Calibri" w:eastAsia="MS Mincho" w:hAnsi="Calibri" w:cs="Arial"/>
                <w:sz w:val="20"/>
              </w:rPr>
              <w:t xml:space="preserve"> from the incremental impacts of climate change. As highlighted in the MTR, despite the project’s focus on enhancing management effectiveness and PAs coverage, climate changes poses a significant risk to the conservation of Colchic Forests that are expected to shift to higher altitudes in the later part of the 21st century, resulting in an expansion of invasive species and loss of species with specialised habitat requirements. </w:t>
            </w:r>
          </w:p>
          <w:p w14:paraId="56786A1F" w14:textId="77777777" w:rsidR="0018335E" w:rsidRDefault="0018335E" w:rsidP="00C613AC">
            <w:pPr>
              <w:spacing w:after="40"/>
              <w:rPr>
                <w:rFonts w:ascii="Calibri" w:eastAsia="MS Mincho" w:hAnsi="Calibri" w:cs="Arial"/>
                <w:sz w:val="20"/>
              </w:rPr>
            </w:pPr>
            <w:r w:rsidRPr="007E4A63">
              <w:rPr>
                <w:rFonts w:ascii="Calibri" w:eastAsia="MS Mincho" w:hAnsi="Calibri" w:cs="Arial"/>
                <w:sz w:val="20"/>
              </w:rPr>
              <w:t>Other concerns are: the limited science available to inform management and, even when it is available, the likelihood of it being ignored or rejected</w:t>
            </w:r>
            <w:r>
              <w:rPr>
                <w:rFonts w:ascii="Calibri" w:eastAsia="MS Mincho" w:hAnsi="Calibri" w:cs="Arial"/>
                <w:sz w:val="20"/>
              </w:rPr>
              <w:t>, as in the case of the zonation plan produced by Ilia State University (</w:t>
            </w:r>
            <w:r w:rsidRPr="007E4A63">
              <w:rPr>
                <w:rFonts w:ascii="Calibri" w:eastAsia="MS Mincho" w:hAnsi="Calibri" w:cs="Arial"/>
                <w:b/>
                <w:sz w:val="20"/>
              </w:rPr>
              <w:t>Section 3.2.6</w:t>
            </w:r>
            <w:r>
              <w:rPr>
                <w:rFonts w:ascii="Calibri" w:eastAsia="MS Mincho" w:hAnsi="Calibri" w:cs="Arial"/>
                <w:sz w:val="20"/>
              </w:rPr>
              <w:t>)</w:t>
            </w:r>
            <w:r w:rsidRPr="007E4A63">
              <w:rPr>
                <w:rFonts w:ascii="Calibri" w:eastAsia="MS Mincho" w:hAnsi="Calibri" w:cs="Arial"/>
                <w:sz w:val="20"/>
              </w:rPr>
              <w:t>; and the hostile political environment in which the likes of APA are operating in the face of powerful sectors, such as the Ministry of Energy</w:t>
            </w:r>
            <w:r>
              <w:rPr>
                <w:rFonts w:ascii="Calibri" w:eastAsia="MS Mincho" w:hAnsi="Calibri" w:cs="Arial"/>
                <w:sz w:val="20"/>
              </w:rPr>
              <w:t xml:space="preserve"> with its controversial</w:t>
            </w:r>
            <w:r w:rsidRPr="007E4A63">
              <w:rPr>
                <w:rFonts w:ascii="Calibri" w:eastAsia="MS Mincho" w:hAnsi="Calibri" w:cs="Arial"/>
                <w:sz w:val="20"/>
              </w:rPr>
              <w:t xml:space="preserve"> hydroelectric installation in Machakhela Gorge.</w:t>
            </w:r>
          </w:p>
          <w:p w14:paraId="648C0B97" w14:textId="101F9796" w:rsidR="0018335E" w:rsidRPr="00DF600A" w:rsidRDefault="0018335E" w:rsidP="00EF6CA8">
            <w:pPr>
              <w:spacing w:after="40"/>
              <w:rPr>
                <w:rFonts w:ascii="Calibri" w:eastAsia="MS Mincho" w:hAnsi="Calibri" w:cs="Arial"/>
                <w:sz w:val="20"/>
              </w:rPr>
            </w:pPr>
            <w:r>
              <w:rPr>
                <w:rFonts w:ascii="Calibri" w:eastAsia="MS Mincho" w:hAnsi="Calibri" w:cs="Arial"/>
                <w:sz w:val="20"/>
              </w:rPr>
              <w:t xml:space="preserve">On balance, the benefits accrued as a result of implementation are </w:t>
            </w:r>
            <w:r w:rsidRPr="00F270A2">
              <w:rPr>
                <w:rFonts w:ascii="Calibri" w:eastAsia="MS Mincho" w:hAnsi="Calibri" w:cs="Arial"/>
                <w:b/>
                <w:sz w:val="20"/>
              </w:rPr>
              <w:t>likely to be sustained</w:t>
            </w:r>
            <w:r>
              <w:rPr>
                <w:rFonts w:ascii="Calibri" w:eastAsia="MS Mincho" w:hAnsi="Calibri" w:cs="Arial"/>
                <w:sz w:val="20"/>
              </w:rPr>
              <w:t xml:space="preserve"> post-project, provided </w:t>
            </w:r>
            <w:r w:rsidR="00EF6CA8">
              <w:rPr>
                <w:rFonts w:ascii="Calibri" w:eastAsia="MS Mincho" w:hAnsi="Calibri" w:cs="Arial"/>
                <w:sz w:val="20"/>
              </w:rPr>
              <w:t xml:space="preserve">Machakhela PL is designated </w:t>
            </w:r>
            <w:r>
              <w:rPr>
                <w:rFonts w:ascii="Calibri" w:eastAsia="MS Mincho" w:hAnsi="Calibri" w:cs="Arial"/>
                <w:sz w:val="20"/>
              </w:rPr>
              <w:t xml:space="preserve">realised. </w:t>
            </w:r>
          </w:p>
        </w:tc>
      </w:tr>
      <w:tr w:rsidR="0018335E" w:rsidRPr="00DF600A" w14:paraId="1BEF6D93" w14:textId="77777777" w:rsidTr="00692C5D">
        <w:trPr>
          <w:trHeight w:val="65"/>
        </w:trPr>
        <w:tc>
          <w:tcPr>
            <w:tcW w:w="5000" w:type="pct"/>
            <w:gridSpan w:val="3"/>
            <w:shd w:val="clear" w:color="auto" w:fill="E6E6E6"/>
            <w:tcMar>
              <w:top w:w="28" w:type="dxa"/>
              <w:left w:w="57" w:type="dxa"/>
              <w:bottom w:w="28" w:type="dxa"/>
              <w:right w:w="57" w:type="dxa"/>
            </w:tcMar>
          </w:tcPr>
          <w:p w14:paraId="477984FB" w14:textId="77777777" w:rsidR="0018335E" w:rsidRPr="00DF600A" w:rsidRDefault="0018335E" w:rsidP="00C613AC">
            <w:pPr>
              <w:rPr>
                <w:rFonts w:ascii="Calibri" w:eastAsia="MS Mincho" w:hAnsi="Calibri" w:cs="Arial"/>
                <w:sz w:val="20"/>
              </w:rPr>
            </w:pPr>
            <w:r w:rsidRPr="00DF600A">
              <w:rPr>
                <w:rFonts w:ascii="Calibri" w:eastAsia="MS Mincho" w:hAnsi="Calibri" w:cs="Arial"/>
                <w:b/>
                <w:sz w:val="20"/>
              </w:rPr>
              <w:t xml:space="preserve">Impact </w:t>
            </w:r>
            <w:r w:rsidRPr="00DF600A">
              <w:rPr>
                <w:rFonts w:ascii="Calibri" w:eastAsia="MS Mincho" w:hAnsi="Calibri" w:cs="Arial"/>
                <w:bCs/>
                <w:sz w:val="20"/>
              </w:rPr>
              <w:t>(using 3-point impact scale)</w:t>
            </w:r>
          </w:p>
        </w:tc>
      </w:tr>
      <w:tr w:rsidR="00692C5D" w:rsidRPr="00DF600A" w14:paraId="6E435460" w14:textId="77777777" w:rsidTr="00692C5D">
        <w:trPr>
          <w:trHeight w:val="188"/>
        </w:trPr>
        <w:tc>
          <w:tcPr>
            <w:tcW w:w="879" w:type="pct"/>
            <w:shd w:val="clear" w:color="auto" w:fill="auto"/>
            <w:tcMar>
              <w:left w:w="57" w:type="dxa"/>
            </w:tcMar>
          </w:tcPr>
          <w:p w14:paraId="4B4B5274" w14:textId="77777777" w:rsidR="0018335E" w:rsidRPr="00DF600A" w:rsidRDefault="0018335E" w:rsidP="00C613AC">
            <w:pPr>
              <w:rPr>
                <w:rFonts w:ascii="Calibri" w:eastAsia="MS Mincho" w:hAnsi="Calibri" w:cs="Arial"/>
                <w:i/>
                <w:sz w:val="20"/>
              </w:rPr>
            </w:pPr>
            <w:r w:rsidRPr="00DF600A">
              <w:rPr>
                <w:rFonts w:ascii="Calibri" w:eastAsia="MS Mincho" w:hAnsi="Calibri" w:cs="Arial"/>
                <w:i/>
                <w:sz w:val="20"/>
              </w:rPr>
              <w:t xml:space="preserve"> Environmental status improvement</w:t>
            </w:r>
          </w:p>
        </w:tc>
        <w:tc>
          <w:tcPr>
            <w:tcW w:w="386" w:type="pct"/>
            <w:tcMar>
              <w:top w:w="28" w:type="dxa"/>
              <w:left w:w="57" w:type="dxa"/>
              <w:bottom w:w="28" w:type="dxa"/>
              <w:right w:w="57" w:type="dxa"/>
            </w:tcMar>
          </w:tcPr>
          <w:p w14:paraId="23A712DF" w14:textId="77777777" w:rsidR="0018335E" w:rsidRPr="00DF600A" w:rsidRDefault="0018335E" w:rsidP="00C613AC">
            <w:pPr>
              <w:jc w:val="center"/>
              <w:rPr>
                <w:rFonts w:ascii="Calibri" w:eastAsia="MS Mincho" w:hAnsi="Calibri" w:cs="Arial"/>
                <w:b/>
                <w:sz w:val="20"/>
              </w:rPr>
            </w:pPr>
            <w:r>
              <w:rPr>
                <w:rFonts w:ascii="Calibri" w:eastAsia="MS Mincho" w:hAnsi="Calibri" w:cs="Arial"/>
                <w:b/>
                <w:sz w:val="20"/>
              </w:rPr>
              <w:t>S</w:t>
            </w:r>
          </w:p>
        </w:tc>
        <w:tc>
          <w:tcPr>
            <w:tcW w:w="3735" w:type="pct"/>
            <w:vMerge w:val="restart"/>
            <w:tcMar>
              <w:left w:w="57" w:type="dxa"/>
              <w:right w:w="57" w:type="dxa"/>
            </w:tcMar>
          </w:tcPr>
          <w:p w14:paraId="5B8BA99C" w14:textId="77777777" w:rsidR="0018335E" w:rsidRDefault="0018335E" w:rsidP="00692C5D">
            <w:pPr>
              <w:pStyle w:val="BodyText"/>
              <w:spacing w:after="40" w:line="240" w:lineRule="auto"/>
              <w:jc w:val="left"/>
              <w:rPr>
                <w:rFonts w:ascii="Calibri" w:eastAsia="MS Mincho" w:hAnsi="Calibri" w:cs="Arial"/>
                <w:b/>
                <w:bCs/>
                <w:sz w:val="20"/>
                <w:lang w:eastAsia="en-GB"/>
              </w:rPr>
            </w:pPr>
            <w:r>
              <w:rPr>
                <w:rFonts w:ascii="Calibri" w:eastAsia="MS Mincho" w:hAnsi="Calibri" w:cs="Arial"/>
                <w:b/>
                <w:bCs/>
                <w:sz w:val="20"/>
                <w:lang w:eastAsia="en-GB"/>
              </w:rPr>
              <w:t>T</w:t>
            </w:r>
            <w:r w:rsidRPr="00B73758">
              <w:rPr>
                <w:rFonts w:ascii="Calibri" w:eastAsia="MS Mincho" w:hAnsi="Calibri" w:cs="Arial"/>
                <w:b/>
                <w:bCs/>
                <w:sz w:val="20"/>
                <w:lang w:eastAsia="en-GB"/>
              </w:rPr>
              <w:t>he project is likely to have had a significant positive impact on the ecological status of Colchic Forest (increase in extent of protection) and at least a minimal reduction in stress on ecological systems in Colchic Forest (improved management effectiveness), even if mostly with respect to the operationalization of Machakhela NP, which covers a significant area totalling 7,333.18 ha  (19.3% of ARA’s protected Colchic Forest).</w:t>
            </w:r>
          </w:p>
          <w:p w14:paraId="17F6B325" w14:textId="77777777" w:rsidR="0018335E" w:rsidRPr="00B73758" w:rsidRDefault="0018335E" w:rsidP="00D4049D">
            <w:pPr>
              <w:pStyle w:val="BodyText"/>
              <w:spacing w:after="0"/>
              <w:jc w:val="right"/>
              <w:rPr>
                <w:rFonts w:ascii="Calibri" w:eastAsia="MS Mincho" w:hAnsi="Calibri" w:cs="Arial"/>
                <w:sz w:val="20"/>
                <w:lang w:eastAsia="en-GB"/>
              </w:rPr>
            </w:pPr>
            <w:r w:rsidRPr="00B513E3">
              <w:rPr>
                <w:rFonts w:ascii="Calibri" w:eastAsia="MS Mincho" w:hAnsi="Calibri" w:cs="Arial"/>
                <w:sz w:val="20"/>
              </w:rPr>
              <w:t>[Further details</w:t>
            </w:r>
            <w:r w:rsidRPr="00B73758">
              <w:rPr>
                <w:rFonts w:ascii="Calibri" w:eastAsia="MS Mincho" w:hAnsi="Calibri" w:cs="Arial"/>
                <w:b/>
                <w:sz w:val="20"/>
              </w:rPr>
              <w:t xml:space="preserve"> in </w:t>
            </w:r>
            <w:r w:rsidRPr="00B513E3">
              <w:rPr>
                <w:rFonts w:ascii="Calibri" w:hAnsi="Calibri" w:cs="Corbel"/>
                <w:b/>
                <w:sz w:val="20"/>
              </w:rPr>
              <w:t>Sections 3.3.8</w:t>
            </w:r>
            <w:r w:rsidRPr="00B73758">
              <w:rPr>
                <w:rFonts w:ascii="Calibri" w:hAnsi="Calibri" w:cs="Corbel"/>
                <w:b/>
                <w:sz w:val="20"/>
              </w:rPr>
              <w:t>]</w:t>
            </w:r>
          </w:p>
        </w:tc>
      </w:tr>
      <w:tr w:rsidR="00692C5D" w:rsidRPr="00DF600A" w14:paraId="5ECAB8CF" w14:textId="77777777" w:rsidTr="00692C5D">
        <w:tc>
          <w:tcPr>
            <w:tcW w:w="879" w:type="pct"/>
            <w:shd w:val="clear" w:color="auto" w:fill="auto"/>
            <w:tcMar>
              <w:left w:w="57" w:type="dxa"/>
            </w:tcMar>
          </w:tcPr>
          <w:p w14:paraId="2808E116" w14:textId="77777777" w:rsidR="0018335E" w:rsidRPr="00DF600A" w:rsidRDefault="0018335E" w:rsidP="00C613AC">
            <w:pPr>
              <w:rPr>
                <w:rFonts w:ascii="Calibri" w:eastAsia="MS Mincho" w:hAnsi="Calibri" w:cs="Arial"/>
                <w:i/>
                <w:sz w:val="20"/>
              </w:rPr>
            </w:pPr>
            <w:r w:rsidRPr="00DF600A">
              <w:rPr>
                <w:rFonts w:ascii="Calibri" w:eastAsia="MS Mincho" w:hAnsi="Calibri" w:cs="Arial"/>
                <w:i/>
                <w:sz w:val="20"/>
              </w:rPr>
              <w:t>Environmental stress reduction</w:t>
            </w:r>
          </w:p>
        </w:tc>
        <w:tc>
          <w:tcPr>
            <w:tcW w:w="386" w:type="pct"/>
            <w:tcMar>
              <w:top w:w="28" w:type="dxa"/>
              <w:left w:w="57" w:type="dxa"/>
              <w:bottom w:w="28" w:type="dxa"/>
              <w:right w:w="57" w:type="dxa"/>
            </w:tcMar>
          </w:tcPr>
          <w:p w14:paraId="77AFC65B" w14:textId="77777777" w:rsidR="0018335E" w:rsidRPr="00DF600A" w:rsidRDefault="0018335E" w:rsidP="00C613AC">
            <w:pPr>
              <w:jc w:val="center"/>
              <w:rPr>
                <w:rFonts w:ascii="Calibri" w:eastAsia="MS Mincho" w:hAnsi="Calibri" w:cs="Arial"/>
                <w:b/>
                <w:sz w:val="20"/>
              </w:rPr>
            </w:pPr>
            <w:r w:rsidRPr="00DF600A">
              <w:rPr>
                <w:rFonts w:ascii="Calibri" w:eastAsia="MS Mincho" w:hAnsi="Calibri" w:cs="Arial"/>
                <w:b/>
                <w:sz w:val="20"/>
              </w:rPr>
              <w:t>M</w:t>
            </w:r>
          </w:p>
        </w:tc>
        <w:tc>
          <w:tcPr>
            <w:tcW w:w="3735" w:type="pct"/>
            <w:vMerge/>
            <w:tcMar>
              <w:left w:w="57" w:type="dxa"/>
              <w:right w:w="57" w:type="dxa"/>
            </w:tcMar>
          </w:tcPr>
          <w:p w14:paraId="2D598832" w14:textId="77777777" w:rsidR="0018335E" w:rsidRPr="00DF600A" w:rsidRDefault="0018335E" w:rsidP="00C613AC">
            <w:pPr>
              <w:rPr>
                <w:rFonts w:ascii="Calibri" w:eastAsia="MS Mincho" w:hAnsi="Calibri" w:cs="Arial"/>
                <w:sz w:val="20"/>
              </w:rPr>
            </w:pPr>
          </w:p>
        </w:tc>
      </w:tr>
      <w:tr w:rsidR="00692C5D" w:rsidRPr="00DF600A" w14:paraId="336AB317" w14:textId="77777777" w:rsidTr="00692C5D">
        <w:trPr>
          <w:trHeight w:val="502"/>
        </w:trPr>
        <w:tc>
          <w:tcPr>
            <w:tcW w:w="879" w:type="pct"/>
            <w:shd w:val="clear" w:color="auto" w:fill="auto"/>
            <w:tcMar>
              <w:left w:w="57" w:type="dxa"/>
            </w:tcMar>
          </w:tcPr>
          <w:p w14:paraId="2220C474" w14:textId="77777777" w:rsidR="0018335E" w:rsidRPr="00DF600A" w:rsidRDefault="0018335E" w:rsidP="00C613AC">
            <w:pPr>
              <w:rPr>
                <w:rFonts w:ascii="Calibri" w:eastAsia="MS Mincho" w:hAnsi="Calibri" w:cs="Arial"/>
                <w:i/>
                <w:sz w:val="20"/>
              </w:rPr>
            </w:pPr>
            <w:r w:rsidRPr="00DF600A">
              <w:rPr>
                <w:rFonts w:ascii="Calibri" w:eastAsia="MS Mincho" w:hAnsi="Calibri" w:cs="Arial"/>
                <w:i/>
                <w:sz w:val="20"/>
              </w:rPr>
              <w:t xml:space="preserve">Progress towards stress/status change </w:t>
            </w:r>
          </w:p>
        </w:tc>
        <w:tc>
          <w:tcPr>
            <w:tcW w:w="386" w:type="pct"/>
            <w:tcMar>
              <w:top w:w="28" w:type="dxa"/>
              <w:left w:w="57" w:type="dxa"/>
              <w:bottom w:w="28" w:type="dxa"/>
              <w:right w:w="57" w:type="dxa"/>
            </w:tcMar>
          </w:tcPr>
          <w:p w14:paraId="5E1D5527" w14:textId="77777777" w:rsidR="0018335E" w:rsidRPr="00DF600A" w:rsidRDefault="0018335E" w:rsidP="00C613AC">
            <w:pPr>
              <w:jc w:val="center"/>
              <w:rPr>
                <w:rFonts w:ascii="Calibri" w:eastAsia="MS Mincho" w:hAnsi="Calibri" w:cs="Arial"/>
                <w:b/>
                <w:sz w:val="20"/>
              </w:rPr>
            </w:pPr>
            <w:r>
              <w:rPr>
                <w:rFonts w:ascii="Calibri" w:eastAsia="MS Mincho" w:hAnsi="Calibri" w:cs="Arial"/>
                <w:b/>
                <w:sz w:val="20"/>
              </w:rPr>
              <w:t>N/A</w:t>
            </w:r>
          </w:p>
        </w:tc>
        <w:tc>
          <w:tcPr>
            <w:tcW w:w="3735" w:type="pct"/>
            <w:tcMar>
              <w:left w:w="57" w:type="dxa"/>
              <w:right w:w="57" w:type="dxa"/>
            </w:tcMar>
          </w:tcPr>
          <w:p w14:paraId="2658B028" w14:textId="77777777" w:rsidR="0018335E" w:rsidRPr="00DF600A" w:rsidRDefault="0018335E" w:rsidP="00C613AC">
            <w:pPr>
              <w:rPr>
                <w:rFonts w:ascii="Calibri" w:eastAsia="MS Mincho" w:hAnsi="Calibri" w:cs="Arial"/>
                <w:sz w:val="20"/>
              </w:rPr>
            </w:pPr>
          </w:p>
        </w:tc>
      </w:tr>
      <w:tr w:rsidR="00692C5D" w:rsidRPr="00DF600A" w14:paraId="607CFF86" w14:textId="77777777" w:rsidTr="00692C5D">
        <w:trPr>
          <w:trHeight w:val="235"/>
        </w:trPr>
        <w:tc>
          <w:tcPr>
            <w:tcW w:w="879" w:type="pct"/>
            <w:tcBorders>
              <w:bottom w:val="single" w:sz="4" w:space="0" w:color="auto"/>
            </w:tcBorders>
            <w:shd w:val="clear" w:color="auto" w:fill="E6E6E6"/>
            <w:tcMar>
              <w:top w:w="28" w:type="dxa"/>
              <w:left w:w="57" w:type="dxa"/>
              <w:bottom w:w="28" w:type="dxa"/>
              <w:right w:w="57" w:type="dxa"/>
            </w:tcMar>
          </w:tcPr>
          <w:p w14:paraId="1F655AEA" w14:textId="77777777" w:rsidR="0018335E" w:rsidRPr="00DF600A" w:rsidRDefault="0018335E" w:rsidP="00C613AC">
            <w:pPr>
              <w:rPr>
                <w:rFonts w:ascii="Calibri" w:eastAsia="MS Mincho" w:hAnsi="Calibri" w:cs="Arial"/>
                <w:b/>
                <w:sz w:val="20"/>
              </w:rPr>
            </w:pPr>
            <w:r w:rsidRPr="00DF600A">
              <w:rPr>
                <w:rFonts w:ascii="Calibri" w:eastAsia="MS Mincho" w:hAnsi="Calibri" w:cs="Arial"/>
                <w:b/>
                <w:sz w:val="20"/>
              </w:rPr>
              <w:t>Overall Project Results</w:t>
            </w:r>
          </w:p>
          <w:p w14:paraId="0E5D8985" w14:textId="77777777" w:rsidR="0018335E" w:rsidRPr="00DF600A" w:rsidRDefault="0018335E" w:rsidP="00C613AC">
            <w:pPr>
              <w:rPr>
                <w:rFonts w:ascii="Calibri" w:eastAsia="MS Mincho" w:hAnsi="Calibri" w:cs="Arial"/>
                <w:b/>
                <w:sz w:val="20"/>
              </w:rPr>
            </w:pPr>
            <w:r w:rsidRPr="00DF600A">
              <w:rPr>
                <w:rFonts w:ascii="Calibri" w:eastAsia="MS Mincho" w:hAnsi="Calibri" w:cs="Arial"/>
                <w:bCs/>
                <w:sz w:val="20"/>
              </w:rPr>
              <w:t>(using 6-point satisfaction scale)</w:t>
            </w:r>
          </w:p>
        </w:tc>
        <w:tc>
          <w:tcPr>
            <w:tcW w:w="386" w:type="pct"/>
            <w:tcBorders>
              <w:bottom w:val="single" w:sz="4" w:space="0" w:color="auto"/>
            </w:tcBorders>
            <w:shd w:val="clear" w:color="auto" w:fill="E6E6E6"/>
            <w:tcMar>
              <w:top w:w="28" w:type="dxa"/>
              <w:left w:w="57" w:type="dxa"/>
              <w:bottom w:w="28" w:type="dxa"/>
              <w:right w:w="57" w:type="dxa"/>
            </w:tcMar>
          </w:tcPr>
          <w:p w14:paraId="357163DF" w14:textId="77777777" w:rsidR="0018335E" w:rsidRPr="00EF6CA8" w:rsidRDefault="0018335E" w:rsidP="00EF6CA8">
            <w:pPr>
              <w:spacing w:before="120"/>
              <w:jc w:val="center"/>
              <w:rPr>
                <w:rFonts w:ascii="Calibri" w:eastAsia="MS Mincho" w:hAnsi="Calibri" w:cs="Arial"/>
                <w:b/>
                <w:bCs/>
                <w:sz w:val="40"/>
                <w:szCs w:val="40"/>
                <w:highlight w:val="magenta"/>
              </w:rPr>
            </w:pPr>
            <w:r w:rsidRPr="00EF6CA8">
              <w:rPr>
                <w:rFonts w:ascii="Calibri" w:eastAsia="MS Mincho" w:hAnsi="Calibri" w:cs="Arial"/>
                <w:b/>
                <w:bCs/>
                <w:sz w:val="40"/>
                <w:szCs w:val="40"/>
              </w:rPr>
              <w:t>S</w:t>
            </w:r>
          </w:p>
        </w:tc>
        <w:tc>
          <w:tcPr>
            <w:tcW w:w="3735" w:type="pct"/>
            <w:tcBorders>
              <w:bottom w:val="single" w:sz="4" w:space="0" w:color="auto"/>
            </w:tcBorders>
            <w:shd w:val="clear" w:color="auto" w:fill="E6E6E6"/>
            <w:tcMar>
              <w:top w:w="28" w:type="dxa"/>
              <w:left w:w="57" w:type="dxa"/>
              <w:bottom w:w="28" w:type="dxa"/>
              <w:right w:w="57" w:type="dxa"/>
            </w:tcMar>
          </w:tcPr>
          <w:p w14:paraId="5A113076" w14:textId="77777777" w:rsidR="0018335E" w:rsidRPr="00DF600A" w:rsidRDefault="0018335E" w:rsidP="00C613AC">
            <w:pPr>
              <w:rPr>
                <w:rFonts w:ascii="Calibri" w:eastAsia="MS Mincho" w:hAnsi="Calibri" w:cs="Arial"/>
                <w:sz w:val="20"/>
              </w:rPr>
            </w:pPr>
          </w:p>
        </w:tc>
      </w:tr>
      <w:tr w:rsidR="0018335E" w:rsidRPr="00DF5337" w14:paraId="5483BE70" w14:textId="77777777" w:rsidTr="00A664E2">
        <w:tc>
          <w:tcPr>
            <w:tcW w:w="5000" w:type="pct"/>
            <w:gridSpan w:val="3"/>
            <w:tcBorders>
              <w:left w:val="nil"/>
              <w:bottom w:val="nil"/>
              <w:right w:val="nil"/>
            </w:tcBorders>
            <w:shd w:val="clear" w:color="auto" w:fill="auto"/>
            <w:tcMar>
              <w:top w:w="28" w:type="dxa"/>
              <w:left w:w="0" w:type="dxa"/>
              <w:bottom w:w="28" w:type="dxa"/>
              <w:right w:w="0" w:type="dxa"/>
            </w:tcMar>
          </w:tcPr>
          <w:p w14:paraId="36639DA8" w14:textId="77777777" w:rsidR="0018335E" w:rsidRPr="00DF5337" w:rsidRDefault="0018335E" w:rsidP="00C613AC">
            <w:pPr>
              <w:ind w:left="1758" w:hanging="1701"/>
              <w:rPr>
                <w:rFonts w:ascii="Calibri" w:hAnsi="Calibri" w:cs="Arial"/>
                <w:sz w:val="20"/>
              </w:rPr>
            </w:pPr>
            <w:r w:rsidRPr="00DF5337">
              <w:rPr>
                <w:rFonts w:ascii="Calibri" w:hAnsi="Calibri" w:cs="Arial"/>
                <w:b/>
                <w:bCs/>
                <w:sz w:val="20"/>
              </w:rPr>
              <w:t>Satisfaction scale</w:t>
            </w:r>
            <w:r w:rsidRPr="00DF5337">
              <w:rPr>
                <w:rFonts w:ascii="Calibri" w:hAnsi="Calibri" w:cs="Arial"/>
                <w:sz w:val="20"/>
              </w:rPr>
              <w:t>:</w:t>
            </w:r>
            <w:r w:rsidRPr="00DF5337">
              <w:rPr>
                <w:rFonts w:ascii="Calibri" w:hAnsi="Calibri" w:cs="Arial"/>
                <w:sz w:val="20"/>
              </w:rPr>
              <w:tab/>
            </w:r>
            <w:r w:rsidRPr="00DF5337">
              <w:rPr>
                <w:rFonts w:ascii="Calibri" w:hAnsi="Calibri" w:cs="Arial"/>
                <w:b/>
                <w:sz w:val="20"/>
              </w:rPr>
              <w:t>H</w:t>
            </w:r>
            <w:r w:rsidRPr="00DF5337">
              <w:rPr>
                <w:rFonts w:ascii="Calibri" w:hAnsi="Calibri" w:cs="Arial"/>
                <w:sz w:val="20"/>
              </w:rPr>
              <w:t xml:space="preserve">ighly </w:t>
            </w:r>
            <w:r w:rsidRPr="00DF5337">
              <w:rPr>
                <w:rFonts w:ascii="Calibri" w:hAnsi="Calibri" w:cs="Arial"/>
                <w:b/>
                <w:sz w:val="20"/>
              </w:rPr>
              <w:t>S</w:t>
            </w:r>
            <w:r w:rsidRPr="00DF5337">
              <w:rPr>
                <w:rFonts w:ascii="Calibri" w:hAnsi="Calibri" w:cs="Arial"/>
                <w:sz w:val="20"/>
              </w:rPr>
              <w:t>atisfactory,</w:t>
            </w:r>
            <w:r w:rsidRPr="00DF5337">
              <w:rPr>
                <w:rFonts w:ascii="Calibri" w:hAnsi="Calibri" w:cs="Arial"/>
                <w:b/>
                <w:sz w:val="20"/>
              </w:rPr>
              <w:t xml:space="preserve"> S</w:t>
            </w:r>
            <w:r w:rsidRPr="00DF5337">
              <w:rPr>
                <w:rFonts w:ascii="Calibri" w:hAnsi="Calibri" w:cs="Arial"/>
                <w:sz w:val="20"/>
              </w:rPr>
              <w:t>atisfactory,</w:t>
            </w:r>
            <w:r w:rsidRPr="00DF5337">
              <w:rPr>
                <w:rFonts w:ascii="Calibri" w:hAnsi="Calibri" w:cs="Arial"/>
                <w:b/>
                <w:sz w:val="20"/>
              </w:rPr>
              <w:t xml:space="preserve"> M</w:t>
            </w:r>
            <w:r w:rsidRPr="00DF5337">
              <w:rPr>
                <w:rFonts w:ascii="Calibri" w:hAnsi="Calibri" w:cs="Arial"/>
                <w:sz w:val="20"/>
              </w:rPr>
              <w:t xml:space="preserve">oderately </w:t>
            </w:r>
            <w:r w:rsidRPr="00DF5337">
              <w:rPr>
                <w:rFonts w:ascii="Calibri" w:hAnsi="Calibri" w:cs="Arial"/>
                <w:b/>
                <w:sz w:val="20"/>
              </w:rPr>
              <w:t>S</w:t>
            </w:r>
            <w:r w:rsidRPr="00DF5337">
              <w:rPr>
                <w:rFonts w:ascii="Calibri" w:hAnsi="Calibri" w:cs="Arial"/>
                <w:sz w:val="20"/>
              </w:rPr>
              <w:t xml:space="preserve">atisfactory, </w:t>
            </w:r>
          </w:p>
          <w:p w14:paraId="26A4180A" w14:textId="77777777" w:rsidR="0018335E" w:rsidRPr="00DF5337" w:rsidRDefault="0018335E" w:rsidP="00C613AC">
            <w:pPr>
              <w:ind w:left="1758"/>
              <w:rPr>
                <w:rFonts w:ascii="Calibri" w:hAnsi="Calibri" w:cs="Arial"/>
                <w:b/>
                <w:bCs/>
                <w:sz w:val="20"/>
              </w:rPr>
            </w:pPr>
            <w:r w:rsidRPr="00DF5337">
              <w:rPr>
                <w:rFonts w:ascii="Calibri" w:hAnsi="Calibri" w:cs="Arial"/>
                <w:b/>
                <w:sz w:val="20"/>
              </w:rPr>
              <w:t>M</w:t>
            </w:r>
            <w:r w:rsidRPr="00DF5337">
              <w:rPr>
                <w:rFonts w:ascii="Calibri" w:hAnsi="Calibri" w:cs="Arial"/>
                <w:sz w:val="20"/>
              </w:rPr>
              <w:t xml:space="preserve">oderately </w:t>
            </w:r>
            <w:r w:rsidRPr="00DF5337">
              <w:rPr>
                <w:rFonts w:ascii="Calibri" w:hAnsi="Calibri" w:cs="Arial"/>
                <w:b/>
                <w:sz w:val="20"/>
              </w:rPr>
              <w:t>U</w:t>
            </w:r>
            <w:r w:rsidRPr="00DF5337">
              <w:rPr>
                <w:rFonts w:ascii="Calibri" w:hAnsi="Calibri" w:cs="Arial"/>
                <w:sz w:val="20"/>
              </w:rPr>
              <w:t>nsatisfactory,</w:t>
            </w:r>
            <w:r w:rsidRPr="00DF5337">
              <w:rPr>
                <w:rFonts w:ascii="Calibri" w:hAnsi="Calibri" w:cs="Arial"/>
                <w:b/>
                <w:sz w:val="20"/>
              </w:rPr>
              <w:t xml:space="preserve"> U</w:t>
            </w:r>
            <w:r w:rsidRPr="00DF5337">
              <w:rPr>
                <w:rFonts w:ascii="Calibri" w:hAnsi="Calibri" w:cs="Arial"/>
                <w:sz w:val="20"/>
              </w:rPr>
              <w:t xml:space="preserve">nsatisfactory, </w:t>
            </w:r>
            <w:r w:rsidRPr="00DF5337">
              <w:rPr>
                <w:rFonts w:ascii="Calibri" w:hAnsi="Calibri" w:cs="Arial"/>
                <w:b/>
                <w:sz w:val="20"/>
              </w:rPr>
              <w:t>H</w:t>
            </w:r>
            <w:r w:rsidRPr="00DF5337">
              <w:rPr>
                <w:rFonts w:ascii="Calibri" w:hAnsi="Calibri" w:cs="Arial"/>
                <w:sz w:val="20"/>
              </w:rPr>
              <w:t xml:space="preserve">ighly </w:t>
            </w:r>
            <w:r w:rsidRPr="00DF5337">
              <w:rPr>
                <w:rFonts w:ascii="Calibri" w:hAnsi="Calibri" w:cs="Arial"/>
                <w:b/>
                <w:sz w:val="20"/>
              </w:rPr>
              <w:t>U</w:t>
            </w:r>
            <w:r w:rsidRPr="00DF5337">
              <w:rPr>
                <w:rFonts w:ascii="Calibri" w:hAnsi="Calibri" w:cs="Arial"/>
                <w:sz w:val="20"/>
              </w:rPr>
              <w:t>nsatisfactory</w:t>
            </w:r>
            <w:r w:rsidRPr="00DF5337">
              <w:rPr>
                <w:rFonts w:ascii="Calibri" w:hAnsi="Calibri" w:cs="Arial"/>
                <w:b/>
                <w:bCs/>
                <w:sz w:val="20"/>
              </w:rPr>
              <w:t xml:space="preserve"> </w:t>
            </w:r>
          </w:p>
          <w:p w14:paraId="003B0197" w14:textId="77777777" w:rsidR="0018335E" w:rsidRPr="00DF5337" w:rsidRDefault="0018335E" w:rsidP="00C613AC">
            <w:pPr>
              <w:tabs>
                <w:tab w:val="left" w:pos="1758"/>
              </w:tabs>
              <w:ind w:left="1758" w:hanging="1701"/>
              <w:rPr>
                <w:rFonts w:ascii="Calibri" w:eastAsia="MS Mincho" w:hAnsi="Calibri" w:cs="Arial"/>
                <w:b/>
                <w:bCs/>
                <w:sz w:val="20"/>
              </w:rPr>
            </w:pPr>
            <w:r w:rsidRPr="00DF5337">
              <w:rPr>
                <w:rFonts w:ascii="Calibri" w:hAnsi="Calibri" w:cs="Arial"/>
                <w:b/>
                <w:bCs/>
                <w:sz w:val="20"/>
              </w:rPr>
              <w:t>Relevance scale:</w:t>
            </w:r>
            <w:r w:rsidRPr="00DF5337">
              <w:rPr>
                <w:rFonts w:ascii="Calibri" w:hAnsi="Calibri" w:cs="Arial"/>
                <w:sz w:val="20"/>
              </w:rPr>
              <w:tab/>
            </w:r>
            <w:r w:rsidRPr="00DF5337">
              <w:rPr>
                <w:rFonts w:ascii="Calibri" w:hAnsi="Calibri" w:cs="Arial"/>
                <w:b/>
                <w:bCs/>
                <w:sz w:val="20"/>
              </w:rPr>
              <w:t>R</w:t>
            </w:r>
            <w:r w:rsidRPr="00DF5337">
              <w:rPr>
                <w:rFonts w:ascii="Calibri" w:hAnsi="Calibri" w:cs="Arial"/>
                <w:sz w:val="20"/>
              </w:rPr>
              <w:t xml:space="preserve">elevant; </w:t>
            </w:r>
            <w:r w:rsidRPr="00DF5337">
              <w:rPr>
                <w:rFonts w:ascii="Calibri" w:hAnsi="Calibri" w:cs="Arial"/>
                <w:b/>
                <w:bCs/>
                <w:sz w:val="20"/>
              </w:rPr>
              <w:t>N</w:t>
            </w:r>
            <w:r w:rsidRPr="00DF5337">
              <w:rPr>
                <w:rFonts w:ascii="Calibri" w:hAnsi="Calibri" w:cs="Arial"/>
                <w:sz w:val="20"/>
              </w:rPr>
              <w:t>ot</w:t>
            </w:r>
            <w:r w:rsidRPr="00DF5337">
              <w:rPr>
                <w:rFonts w:ascii="Calibri" w:hAnsi="Calibri" w:cs="Arial"/>
                <w:b/>
                <w:bCs/>
                <w:sz w:val="20"/>
              </w:rPr>
              <w:t xml:space="preserve"> R</w:t>
            </w:r>
            <w:r w:rsidRPr="00DF5337">
              <w:rPr>
                <w:rFonts w:ascii="Calibri" w:hAnsi="Calibri" w:cs="Arial"/>
                <w:sz w:val="20"/>
              </w:rPr>
              <w:t>elevant</w:t>
            </w:r>
          </w:p>
          <w:p w14:paraId="72B8BC0B" w14:textId="77777777" w:rsidR="0018335E" w:rsidRPr="00DF5337" w:rsidRDefault="0018335E" w:rsidP="00C613AC">
            <w:pPr>
              <w:tabs>
                <w:tab w:val="left" w:pos="1499"/>
              </w:tabs>
              <w:ind w:left="1758" w:hanging="1701"/>
              <w:rPr>
                <w:rFonts w:ascii="Calibri" w:hAnsi="Calibri" w:cs="Arial"/>
                <w:sz w:val="20"/>
              </w:rPr>
            </w:pPr>
            <w:r w:rsidRPr="00DF5337">
              <w:rPr>
                <w:rFonts w:ascii="Calibri" w:hAnsi="Calibri" w:cs="Arial"/>
                <w:b/>
                <w:bCs/>
                <w:sz w:val="20"/>
              </w:rPr>
              <w:t>Sustainability scale:</w:t>
            </w:r>
            <w:r w:rsidRPr="00DF5337">
              <w:rPr>
                <w:rFonts w:ascii="Calibri" w:hAnsi="Calibri" w:cs="Arial"/>
                <w:sz w:val="20"/>
              </w:rPr>
              <w:tab/>
            </w:r>
            <w:r w:rsidRPr="00DF5337">
              <w:rPr>
                <w:rFonts w:ascii="Calibri" w:hAnsi="Calibri" w:cs="Arial"/>
                <w:b/>
                <w:sz w:val="20"/>
              </w:rPr>
              <w:t>L</w:t>
            </w:r>
            <w:r w:rsidRPr="00DF5337">
              <w:rPr>
                <w:rFonts w:ascii="Calibri" w:hAnsi="Calibri" w:cs="Arial"/>
                <w:sz w:val="20"/>
              </w:rPr>
              <w:t xml:space="preserve">ikely, </w:t>
            </w:r>
            <w:r w:rsidRPr="00DF5337">
              <w:rPr>
                <w:rFonts w:ascii="Calibri" w:hAnsi="Calibri" w:cs="Arial"/>
                <w:b/>
                <w:sz w:val="20"/>
              </w:rPr>
              <w:t>M</w:t>
            </w:r>
            <w:r w:rsidRPr="00DF5337">
              <w:rPr>
                <w:rFonts w:ascii="Calibri" w:hAnsi="Calibri" w:cs="Arial"/>
                <w:sz w:val="20"/>
              </w:rPr>
              <w:t xml:space="preserve">oderately </w:t>
            </w:r>
            <w:r w:rsidRPr="00DF5337">
              <w:rPr>
                <w:rFonts w:ascii="Calibri" w:hAnsi="Calibri" w:cs="Arial"/>
                <w:b/>
                <w:sz w:val="20"/>
              </w:rPr>
              <w:t>L</w:t>
            </w:r>
            <w:r w:rsidRPr="00DF5337">
              <w:rPr>
                <w:rFonts w:ascii="Calibri" w:hAnsi="Calibri" w:cs="Arial"/>
                <w:sz w:val="20"/>
              </w:rPr>
              <w:t xml:space="preserve">ikely, </w:t>
            </w:r>
            <w:r w:rsidRPr="00DF5337">
              <w:rPr>
                <w:rFonts w:ascii="Calibri" w:hAnsi="Calibri" w:cs="Arial"/>
                <w:b/>
                <w:sz w:val="20"/>
              </w:rPr>
              <w:t>M</w:t>
            </w:r>
            <w:r w:rsidRPr="00DF5337">
              <w:rPr>
                <w:rFonts w:ascii="Calibri" w:hAnsi="Calibri" w:cs="Arial"/>
                <w:sz w:val="20"/>
              </w:rPr>
              <w:t xml:space="preserve">oderately </w:t>
            </w:r>
            <w:r w:rsidRPr="00DF5337">
              <w:rPr>
                <w:rFonts w:ascii="Calibri" w:hAnsi="Calibri" w:cs="Arial"/>
                <w:b/>
                <w:sz w:val="20"/>
              </w:rPr>
              <w:t>U</w:t>
            </w:r>
            <w:r w:rsidRPr="00DF5337">
              <w:rPr>
                <w:rFonts w:ascii="Calibri" w:hAnsi="Calibri" w:cs="Arial"/>
                <w:sz w:val="20"/>
              </w:rPr>
              <w:t xml:space="preserve">nlikely, </w:t>
            </w:r>
            <w:r w:rsidRPr="00DF5337">
              <w:rPr>
                <w:rFonts w:ascii="Calibri" w:hAnsi="Calibri" w:cs="Arial"/>
                <w:b/>
                <w:sz w:val="20"/>
              </w:rPr>
              <w:t>U</w:t>
            </w:r>
            <w:r w:rsidRPr="00DF5337">
              <w:rPr>
                <w:rFonts w:ascii="Calibri" w:hAnsi="Calibri" w:cs="Arial"/>
                <w:sz w:val="20"/>
              </w:rPr>
              <w:t>nlikely</w:t>
            </w:r>
          </w:p>
          <w:p w14:paraId="3412E90F" w14:textId="77777777" w:rsidR="0018335E" w:rsidRPr="00DF5337" w:rsidRDefault="0018335E" w:rsidP="00C613AC">
            <w:pPr>
              <w:tabs>
                <w:tab w:val="left" w:pos="1758"/>
              </w:tabs>
              <w:ind w:left="1758" w:hanging="1701"/>
              <w:rPr>
                <w:rFonts w:ascii="Calibri" w:eastAsia="MS Mincho" w:hAnsi="Calibri" w:cs="Arial"/>
                <w:sz w:val="20"/>
              </w:rPr>
            </w:pPr>
            <w:r w:rsidRPr="00DF5337">
              <w:rPr>
                <w:rFonts w:ascii="Calibri" w:hAnsi="Calibri" w:cs="Arial"/>
                <w:b/>
                <w:bCs/>
                <w:sz w:val="20"/>
              </w:rPr>
              <w:t>Impact scale:</w:t>
            </w:r>
            <w:r w:rsidRPr="00DF5337">
              <w:rPr>
                <w:rFonts w:ascii="Calibri" w:hAnsi="Calibri" w:cs="Arial"/>
                <w:sz w:val="20"/>
              </w:rPr>
              <w:tab/>
            </w:r>
            <w:r w:rsidRPr="00DF5337">
              <w:rPr>
                <w:rFonts w:ascii="Calibri" w:hAnsi="Calibri" w:cs="Arial"/>
                <w:b/>
                <w:bCs/>
                <w:sz w:val="20"/>
              </w:rPr>
              <w:t>S</w:t>
            </w:r>
            <w:r w:rsidRPr="00DF5337">
              <w:rPr>
                <w:rFonts w:ascii="Calibri" w:hAnsi="Calibri" w:cs="Arial"/>
                <w:sz w:val="20"/>
              </w:rPr>
              <w:t xml:space="preserve">ignificant, </w:t>
            </w:r>
            <w:r w:rsidRPr="00DF5337">
              <w:rPr>
                <w:rFonts w:ascii="Calibri" w:hAnsi="Calibri" w:cs="Arial"/>
                <w:b/>
                <w:bCs/>
                <w:sz w:val="20"/>
              </w:rPr>
              <w:t>M</w:t>
            </w:r>
            <w:r w:rsidRPr="00DF5337">
              <w:rPr>
                <w:rFonts w:ascii="Calibri" w:hAnsi="Calibri" w:cs="Arial"/>
                <w:sz w:val="20"/>
              </w:rPr>
              <w:t xml:space="preserve">inimal, </w:t>
            </w:r>
            <w:r w:rsidRPr="00DF5337">
              <w:rPr>
                <w:rFonts w:ascii="Calibri" w:hAnsi="Calibri" w:cs="Arial"/>
                <w:b/>
                <w:bCs/>
                <w:sz w:val="20"/>
              </w:rPr>
              <w:t>N</w:t>
            </w:r>
            <w:r w:rsidRPr="00DF5337">
              <w:rPr>
                <w:rFonts w:ascii="Calibri" w:hAnsi="Calibri" w:cs="Arial"/>
                <w:sz w:val="20"/>
              </w:rPr>
              <w:t>egligible</w:t>
            </w:r>
          </w:p>
        </w:tc>
      </w:tr>
    </w:tbl>
    <w:p w14:paraId="357357D3" w14:textId="77777777" w:rsidR="00DF5337" w:rsidRDefault="00DF5337" w:rsidP="001E4967">
      <w:pPr>
        <w:spacing w:before="240" w:after="120"/>
        <w:jc w:val="both"/>
        <w:rPr>
          <w:rFonts w:asciiTheme="minorHAnsi" w:hAnsiTheme="minorHAnsi"/>
          <w:b/>
          <w:sz w:val="24"/>
          <w:highlight w:val="lightGray"/>
          <w:lang w:val="en-US"/>
        </w:rPr>
      </w:pPr>
    </w:p>
    <w:p w14:paraId="1957F7AD" w14:textId="77777777" w:rsidR="00DF5337" w:rsidRDefault="00DF5337">
      <w:pPr>
        <w:overflowPunct/>
        <w:autoSpaceDE/>
        <w:autoSpaceDN/>
        <w:adjustRightInd/>
        <w:textAlignment w:val="auto"/>
        <w:rPr>
          <w:rFonts w:asciiTheme="minorHAnsi" w:hAnsiTheme="minorHAnsi"/>
          <w:b/>
          <w:sz w:val="24"/>
          <w:highlight w:val="lightGray"/>
          <w:lang w:val="en-US"/>
        </w:rPr>
      </w:pPr>
      <w:r>
        <w:rPr>
          <w:rFonts w:asciiTheme="minorHAnsi" w:hAnsiTheme="minorHAnsi"/>
          <w:b/>
          <w:sz w:val="24"/>
          <w:highlight w:val="lightGray"/>
          <w:lang w:val="en-US"/>
        </w:rPr>
        <w:br w:type="page"/>
      </w:r>
    </w:p>
    <w:p w14:paraId="0119E7A9" w14:textId="24FD028F" w:rsidR="00A44E79" w:rsidRPr="00FC32BB" w:rsidRDefault="002C3E7F" w:rsidP="001E4967">
      <w:pPr>
        <w:spacing w:before="240" w:after="120"/>
        <w:jc w:val="both"/>
        <w:rPr>
          <w:rFonts w:asciiTheme="minorHAnsi" w:hAnsiTheme="minorHAnsi"/>
          <w:b/>
          <w:sz w:val="24"/>
          <w:lang w:val="en-US"/>
        </w:rPr>
      </w:pPr>
      <w:r w:rsidRPr="005718A5">
        <w:rPr>
          <w:rFonts w:asciiTheme="minorHAnsi" w:hAnsiTheme="minorHAnsi"/>
          <w:b/>
          <w:sz w:val="24"/>
          <w:highlight w:val="lightGray"/>
          <w:lang w:val="en-US"/>
        </w:rPr>
        <w:lastRenderedPageBreak/>
        <w:t>Recommendations</w:t>
      </w:r>
    </w:p>
    <w:p w14:paraId="2A5CC1FD" w14:textId="77777777" w:rsidR="0066350C" w:rsidRPr="00A2005B" w:rsidRDefault="0066350C" w:rsidP="0066350C">
      <w:pPr>
        <w:pStyle w:val="BodyText"/>
        <w:overflowPunct/>
        <w:autoSpaceDE/>
        <w:autoSpaceDN/>
        <w:adjustRightInd/>
        <w:textAlignment w:val="auto"/>
        <w:rPr>
          <w:rFonts w:ascii="Calibri" w:hAnsi="Calibri"/>
          <w:i/>
        </w:rPr>
      </w:pPr>
      <w:r w:rsidRPr="00A2005B">
        <w:rPr>
          <w:rFonts w:ascii="Calibri" w:hAnsi="Calibri"/>
          <w:b/>
          <w:i/>
        </w:rPr>
        <w:t>Note:</w:t>
      </w:r>
      <w:r>
        <w:rPr>
          <w:rFonts w:ascii="Calibri" w:hAnsi="Calibri"/>
        </w:rPr>
        <w:t xml:space="preserve"> </w:t>
      </w:r>
      <w:r w:rsidRPr="00A2005B">
        <w:rPr>
          <w:rFonts w:ascii="Calibri" w:hAnsi="Calibri"/>
          <w:i/>
        </w:rPr>
        <w:t>Lead agencies are indicated in square brackets for each recommendation</w:t>
      </w:r>
    </w:p>
    <w:p w14:paraId="438ABFB5" w14:textId="2DF14198" w:rsidR="0066350C" w:rsidRDefault="0066350C" w:rsidP="00991B6C">
      <w:pPr>
        <w:pStyle w:val="BodyText"/>
        <w:numPr>
          <w:ilvl w:val="0"/>
          <w:numId w:val="21"/>
        </w:numPr>
        <w:overflowPunct/>
        <w:autoSpaceDE/>
        <w:autoSpaceDN/>
        <w:adjustRightInd/>
        <w:textAlignment w:val="auto"/>
        <w:rPr>
          <w:rFonts w:ascii="Calibri" w:hAnsi="Calibri"/>
        </w:rPr>
      </w:pPr>
      <w:r>
        <w:rPr>
          <w:rFonts w:ascii="Calibri" w:hAnsi="Calibri"/>
          <w:b/>
        </w:rPr>
        <w:t>[UNDP] In general,</w:t>
      </w:r>
      <w:r w:rsidRPr="00EF0435">
        <w:rPr>
          <w:rFonts w:ascii="Calibri" w:hAnsi="Calibri"/>
          <w:b/>
        </w:rPr>
        <w:t xml:space="preserve"> </w:t>
      </w:r>
      <w:r w:rsidRPr="00894432">
        <w:rPr>
          <w:rFonts w:ascii="Calibri" w:hAnsi="Calibri"/>
        </w:rPr>
        <w:t>now that the project’s T</w:t>
      </w:r>
      <w:r>
        <w:rPr>
          <w:rFonts w:ascii="Calibri" w:hAnsi="Calibri"/>
        </w:rPr>
        <w:t>echnical Coordination Group is over,</w:t>
      </w:r>
      <w:r w:rsidRPr="00894432">
        <w:rPr>
          <w:rFonts w:ascii="Calibri" w:hAnsi="Calibri"/>
        </w:rPr>
        <w:t xml:space="preserve"> </w:t>
      </w:r>
      <w:r>
        <w:rPr>
          <w:rFonts w:ascii="Calibri" w:hAnsi="Calibri"/>
        </w:rPr>
        <w:t>i</w:t>
      </w:r>
      <w:r w:rsidRPr="00EF0435">
        <w:rPr>
          <w:rFonts w:ascii="Calibri" w:hAnsi="Calibri"/>
        </w:rPr>
        <w:t xml:space="preserve">t is proposed that an appropriate way of taking forward some of the recommendations below would be to </w:t>
      </w:r>
      <w:r>
        <w:rPr>
          <w:rFonts w:ascii="Calibri" w:hAnsi="Calibri"/>
        </w:rPr>
        <w:t xml:space="preserve">bring them </w:t>
      </w:r>
      <w:r w:rsidRPr="00EF0435">
        <w:rPr>
          <w:rFonts w:ascii="Calibri" w:hAnsi="Calibri"/>
        </w:rPr>
        <w:t xml:space="preserve">to the </w:t>
      </w:r>
      <w:r>
        <w:rPr>
          <w:rFonts w:ascii="Calibri" w:hAnsi="Calibri"/>
        </w:rPr>
        <w:t xml:space="preserve">attention of the Technical Coordination platform that UNDP facilitates on behalf of the donor community. </w:t>
      </w:r>
      <w:r w:rsidRPr="00EF0435">
        <w:rPr>
          <w:rFonts w:ascii="Calibri" w:hAnsi="Calibri"/>
        </w:rPr>
        <w:t>T</w:t>
      </w:r>
      <w:r>
        <w:rPr>
          <w:rFonts w:ascii="Calibri" w:hAnsi="Calibri"/>
        </w:rPr>
        <w:t>his</w:t>
      </w:r>
      <w:r w:rsidRPr="00EF0435">
        <w:rPr>
          <w:rFonts w:ascii="Calibri" w:hAnsi="Calibri"/>
        </w:rPr>
        <w:t xml:space="preserve"> </w:t>
      </w:r>
      <w:r>
        <w:rPr>
          <w:rFonts w:ascii="Calibri" w:hAnsi="Calibri"/>
        </w:rPr>
        <w:t>c</w:t>
      </w:r>
      <w:r w:rsidRPr="00EF0435">
        <w:rPr>
          <w:rFonts w:ascii="Calibri" w:hAnsi="Calibri"/>
        </w:rPr>
        <w:t xml:space="preserve">ould provide an appropriate </w:t>
      </w:r>
      <w:r>
        <w:rPr>
          <w:rFonts w:ascii="Calibri" w:hAnsi="Calibri"/>
        </w:rPr>
        <w:t>opportunity</w:t>
      </w:r>
      <w:r w:rsidRPr="00EF0435">
        <w:rPr>
          <w:rFonts w:ascii="Calibri" w:hAnsi="Calibri"/>
        </w:rPr>
        <w:t xml:space="preserve"> </w:t>
      </w:r>
      <w:r>
        <w:rPr>
          <w:rFonts w:ascii="Calibri" w:hAnsi="Calibri"/>
        </w:rPr>
        <w:t xml:space="preserve">to </w:t>
      </w:r>
      <w:r w:rsidRPr="00EF0435">
        <w:rPr>
          <w:rFonts w:ascii="Calibri" w:hAnsi="Calibri"/>
        </w:rPr>
        <w:t xml:space="preserve">consider further how </w:t>
      </w:r>
      <w:r>
        <w:rPr>
          <w:rFonts w:ascii="Calibri" w:hAnsi="Calibri"/>
        </w:rPr>
        <w:t xml:space="preserve">some of </w:t>
      </w:r>
      <w:r w:rsidRPr="00EF0435">
        <w:rPr>
          <w:rFonts w:ascii="Calibri" w:hAnsi="Calibri"/>
        </w:rPr>
        <w:t>these actions might be</w:t>
      </w:r>
      <w:r>
        <w:rPr>
          <w:rFonts w:ascii="Calibri" w:hAnsi="Calibri"/>
        </w:rPr>
        <w:t xml:space="preserve"> institutionalized/resourced.</w:t>
      </w:r>
    </w:p>
    <w:p w14:paraId="374375EE" w14:textId="5CBFF01A" w:rsidR="0066350C" w:rsidRDefault="0066350C" w:rsidP="0066350C">
      <w:pPr>
        <w:pStyle w:val="BodyText"/>
        <w:overflowPunct/>
        <w:autoSpaceDE/>
        <w:autoSpaceDN/>
        <w:adjustRightInd/>
        <w:textAlignment w:val="auto"/>
        <w:rPr>
          <w:highlight w:val="lightGray"/>
        </w:rPr>
      </w:pPr>
      <w:r w:rsidRPr="00EF0435">
        <w:rPr>
          <w:rFonts w:ascii="Calibri" w:hAnsi="Calibri"/>
        </w:rPr>
        <w:t>In practice, a relatively small amount of grant aid may be sufficient to leverage additional co</w:t>
      </w:r>
      <w:r>
        <w:rPr>
          <w:rFonts w:ascii="Calibri" w:hAnsi="Calibri"/>
        </w:rPr>
        <w:t>-</w:t>
      </w:r>
      <w:r w:rsidRPr="00EF0435">
        <w:rPr>
          <w:rFonts w:ascii="Calibri" w:hAnsi="Calibri"/>
        </w:rPr>
        <w:t>financing sufficient to address most of the recommendation and thereby ensure that the momentum generated by the project is strategically channelled/mainstreamed in the right directions among interested parties (budget holders) and not left to dissipate in a vacuum. If this recommendation gains traction</w:t>
      </w:r>
      <w:r>
        <w:rPr>
          <w:rFonts w:ascii="Calibri" w:hAnsi="Calibri"/>
        </w:rPr>
        <w:t>,</w:t>
      </w:r>
      <w:r w:rsidRPr="006117C8">
        <w:rPr>
          <w:rFonts w:ascii="Calibri" w:hAnsi="Calibri"/>
        </w:rPr>
        <w:t xml:space="preserve"> </w:t>
      </w:r>
      <w:r>
        <w:rPr>
          <w:rFonts w:ascii="Calibri" w:hAnsi="Calibri"/>
        </w:rPr>
        <w:t>national and r</w:t>
      </w:r>
      <w:r w:rsidRPr="00EF0435">
        <w:rPr>
          <w:rFonts w:ascii="Calibri" w:hAnsi="Calibri"/>
        </w:rPr>
        <w:t xml:space="preserve">egional </w:t>
      </w:r>
      <w:r>
        <w:rPr>
          <w:rFonts w:ascii="Calibri" w:hAnsi="Calibri"/>
        </w:rPr>
        <w:t>g</w:t>
      </w:r>
      <w:r w:rsidRPr="00EF0435">
        <w:rPr>
          <w:rFonts w:ascii="Calibri" w:hAnsi="Calibri"/>
        </w:rPr>
        <w:t>overnment</w:t>
      </w:r>
      <w:r>
        <w:rPr>
          <w:rFonts w:ascii="Calibri" w:hAnsi="Calibri"/>
        </w:rPr>
        <w:t>s</w:t>
      </w:r>
      <w:r w:rsidRPr="00EF0435">
        <w:rPr>
          <w:rFonts w:ascii="Calibri" w:hAnsi="Calibri"/>
        </w:rPr>
        <w:t xml:space="preserve"> </w:t>
      </w:r>
      <w:r>
        <w:rPr>
          <w:rFonts w:ascii="Calibri" w:hAnsi="Calibri"/>
        </w:rPr>
        <w:t xml:space="preserve">(as appropriate) should </w:t>
      </w:r>
      <w:r w:rsidRPr="00EF0435">
        <w:rPr>
          <w:rFonts w:ascii="Calibri" w:hAnsi="Calibri"/>
        </w:rPr>
        <w:t xml:space="preserve">be invited to </w:t>
      </w:r>
      <w:r>
        <w:rPr>
          <w:rFonts w:ascii="Calibri" w:hAnsi="Calibri"/>
        </w:rPr>
        <w:t>consider cofinancing given their strong interest in Colchic Forest</w:t>
      </w:r>
      <w:r w:rsidRPr="00EF0435">
        <w:rPr>
          <w:rFonts w:ascii="Calibri" w:hAnsi="Calibri"/>
        </w:rPr>
        <w:t>.</w:t>
      </w:r>
    </w:p>
    <w:p w14:paraId="321009B9" w14:textId="77777777" w:rsidR="0066350C" w:rsidRPr="0091687A" w:rsidRDefault="0066350C" w:rsidP="0066350C">
      <w:pPr>
        <w:pStyle w:val="BodyText"/>
        <w:spacing w:before="240"/>
        <w:rPr>
          <w:rFonts w:ascii="Calibri" w:hAnsi="Calibri"/>
          <w:highlight w:val="lightGray"/>
        </w:rPr>
      </w:pPr>
      <w:r w:rsidRPr="0091687A">
        <w:rPr>
          <w:rFonts w:ascii="Calibri" w:hAnsi="Calibri"/>
          <w:highlight w:val="lightGray"/>
        </w:rPr>
        <w:t>ACTIONS TO FOLLOW UP OR REINFORCE INITIAL BENEFITS FROM THE PROJECT</w:t>
      </w:r>
    </w:p>
    <w:p w14:paraId="2C51C504" w14:textId="0FD07223" w:rsidR="0066350C" w:rsidRDefault="0066350C" w:rsidP="00991B6C">
      <w:pPr>
        <w:pStyle w:val="BodyText"/>
        <w:numPr>
          <w:ilvl w:val="0"/>
          <w:numId w:val="21"/>
        </w:numPr>
        <w:overflowPunct/>
        <w:autoSpaceDE/>
        <w:autoSpaceDN/>
        <w:adjustRightInd/>
        <w:textAlignment w:val="auto"/>
        <w:rPr>
          <w:rFonts w:ascii="Calibri" w:hAnsi="Calibri"/>
        </w:rPr>
      </w:pPr>
      <w:r>
        <w:rPr>
          <w:rFonts w:ascii="Calibri" w:hAnsi="Calibri"/>
          <w:b/>
        </w:rPr>
        <w:t>[UNDP] Proposed Machakhela Protected Landscape</w:t>
      </w:r>
      <w:r w:rsidRPr="00EF0435">
        <w:rPr>
          <w:rFonts w:ascii="Calibri" w:hAnsi="Calibri"/>
          <w:b/>
        </w:rPr>
        <w:t>:</w:t>
      </w:r>
      <w:r>
        <w:rPr>
          <w:rFonts w:ascii="Calibri" w:hAnsi="Calibri"/>
          <w:b/>
        </w:rPr>
        <w:t xml:space="preserve"> </w:t>
      </w:r>
      <w:r w:rsidRPr="00EF0435">
        <w:rPr>
          <w:rFonts w:ascii="Calibri" w:hAnsi="Calibri"/>
        </w:rPr>
        <w:t xml:space="preserve">Fundamentally most important is to designate the Lower Valleys of Machakhela Gorge as a protected landscape during the early part of 2019, in line with the extensive research, consultation and consensus generated by the project during the latter part of its term. </w:t>
      </w:r>
      <w:r>
        <w:rPr>
          <w:rFonts w:ascii="Calibri" w:hAnsi="Calibri"/>
        </w:rPr>
        <w:t>UNDP is well placed to continue to follow up with national and regional governments, as appropriate, through its Czech-funded initiative that is supported the development of a management plan for the proposed Machakhela Protected Landscape. If technical problems are delaying the designation of this Protected Landscape, it may be appropriate to explore whether or not technical assistance would be welcomed by government and, if so, whether or not the Czech Government would be amenable to extending their present support in order to maintain the momentum and realize this objective,</w:t>
      </w:r>
      <w:r w:rsidRPr="00EF0435">
        <w:rPr>
          <w:rFonts w:ascii="Calibri" w:hAnsi="Calibri"/>
        </w:rPr>
        <w:t xml:space="preserve"> to which so many stakeholders in government (national, regional, municipal and PA Administrations), among the communities in Machakhe</w:t>
      </w:r>
      <w:r>
        <w:rPr>
          <w:rFonts w:ascii="Calibri" w:hAnsi="Calibri"/>
        </w:rPr>
        <w:t>la and donors have contributed.</w:t>
      </w:r>
    </w:p>
    <w:p w14:paraId="57FFF6E1" w14:textId="7BF9E25F" w:rsidR="0066350C" w:rsidRPr="00E368B2" w:rsidRDefault="0066350C" w:rsidP="0066350C">
      <w:pPr>
        <w:pStyle w:val="BodyText"/>
        <w:overflowPunct/>
        <w:autoSpaceDE/>
        <w:autoSpaceDN/>
        <w:adjustRightInd/>
        <w:textAlignment w:val="auto"/>
        <w:rPr>
          <w:rFonts w:ascii="Calibri" w:hAnsi="Calibri"/>
        </w:rPr>
      </w:pPr>
      <w:r>
        <w:rPr>
          <w:rFonts w:ascii="Calibri" w:hAnsi="Calibri"/>
        </w:rPr>
        <w:t xml:space="preserve">A further consideration, assuming that the designation and establishment of Machakhela PL will be realised:  it is strongly recommended that a coordinating mechanism be established between the NP and PL, particularly given that the two PAs will be under different management bodies, APA and Khelvachauri Municipality, respectively. Additionally, it would be appropriate to set up a stakeholder forum for the Machakhela Gorge that would embrace the interests of all those living and working in the PAs and the respective sectors of local, regional and national government involved in their administration and servicing their needs (health, education, welfare, energy, environment, agriculture, waste, tourism etc.). This would also be beneficial for the long-term future, should stakeholders ever it appropriate to nominate the Gorge for Biosphere Reserve status (see </w:t>
      </w:r>
      <w:r>
        <w:rPr>
          <w:rFonts w:ascii="Calibri" w:hAnsi="Calibri"/>
          <w:b/>
        </w:rPr>
        <w:t>Recommendation 10)</w:t>
      </w:r>
      <w:r>
        <w:rPr>
          <w:rFonts w:ascii="Calibri" w:hAnsi="Calibri"/>
        </w:rPr>
        <w:t>. These actions could be followed up in the event of any extension to the Czech support.</w:t>
      </w:r>
    </w:p>
    <w:p w14:paraId="11AEFA12" w14:textId="38236393" w:rsidR="0066350C" w:rsidRDefault="0066350C" w:rsidP="00991B6C">
      <w:pPr>
        <w:pStyle w:val="BodyText"/>
        <w:numPr>
          <w:ilvl w:val="0"/>
          <w:numId w:val="21"/>
        </w:numPr>
        <w:overflowPunct/>
        <w:autoSpaceDE/>
        <w:autoSpaceDN/>
        <w:adjustRightInd/>
        <w:textAlignment w:val="auto"/>
        <w:rPr>
          <w:rFonts w:ascii="Calibri" w:hAnsi="Calibri"/>
          <w:b/>
        </w:rPr>
      </w:pPr>
      <w:r>
        <w:rPr>
          <w:rFonts w:ascii="Calibri" w:hAnsi="Calibri"/>
          <w:b/>
        </w:rPr>
        <w:t xml:space="preserve">[UNDP] Staff retention and continuity within APA </w:t>
      </w:r>
      <w:r w:rsidRPr="0091687A">
        <w:rPr>
          <w:rFonts w:ascii="Calibri" w:hAnsi="Calibri"/>
        </w:rPr>
        <w:t>is an issue that impacted on the project and is likely to remain so in the immediate future</w:t>
      </w:r>
      <w:r>
        <w:rPr>
          <w:rFonts w:ascii="Calibri" w:hAnsi="Calibri"/>
        </w:rPr>
        <w:t>. S</w:t>
      </w:r>
      <w:r w:rsidRPr="0091687A">
        <w:rPr>
          <w:rFonts w:ascii="Calibri" w:hAnsi="Calibri"/>
        </w:rPr>
        <w:t>ome measures are in place to increase staff salaries annually until they are comparable with those in other government sectors. Additionally, in agreement with APA, for some years CNF has been supplementing staff salaries</w:t>
      </w:r>
      <w:r w:rsidRPr="00A70854">
        <w:rPr>
          <w:rFonts w:ascii="Calibri" w:hAnsi="Calibri"/>
        </w:rPr>
        <w:t xml:space="preserve"> </w:t>
      </w:r>
      <w:r>
        <w:rPr>
          <w:rFonts w:ascii="Calibri" w:hAnsi="Calibri"/>
        </w:rPr>
        <w:t xml:space="preserve">within NP Administrations to help counter the seepage of rangers and other </w:t>
      </w:r>
      <w:r>
        <w:rPr>
          <w:rFonts w:ascii="Calibri" w:hAnsi="Calibri"/>
        </w:rPr>
        <w:lastRenderedPageBreak/>
        <w:t>staff seeking better salaries.</w:t>
      </w:r>
      <w:r w:rsidRPr="0091687A">
        <w:rPr>
          <w:rFonts w:ascii="Calibri" w:hAnsi="Calibri"/>
        </w:rPr>
        <w:t xml:space="preserve"> </w:t>
      </w:r>
      <w:r>
        <w:rPr>
          <w:rFonts w:ascii="Calibri" w:hAnsi="Calibri"/>
        </w:rPr>
        <w:t>UNDP is well placed among these partners to strongly advocate, as necessary, that:</w:t>
      </w:r>
    </w:p>
    <w:p w14:paraId="00BC4056" w14:textId="77777777" w:rsidR="0066350C" w:rsidRPr="0091687A" w:rsidRDefault="0066350C" w:rsidP="00991B6C">
      <w:pPr>
        <w:pStyle w:val="BodyText"/>
        <w:numPr>
          <w:ilvl w:val="1"/>
          <w:numId w:val="21"/>
        </w:numPr>
        <w:overflowPunct/>
        <w:autoSpaceDE/>
        <w:autoSpaceDN/>
        <w:adjustRightInd/>
        <w:ind w:left="567" w:hanging="283"/>
        <w:textAlignment w:val="auto"/>
        <w:rPr>
          <w:rFonts w:ascii="Calibri" w:hAnsi="Calibri"/>
        </w:rPr>
      </w:pPr>
      <w:r w:rsidRPr="0091687A">
        <w:rPr>
          <w:rFonts w:ascii="Calibri" w:hAnsi="Calibri"/>
        </w:rPr>
        <w:t>CNF makes available the salary supplement for Machakhela NP Admi</w:t>
      </w:r>
      <w:r>
        <w:rPr>
          <w:rFonts w:ascii="Calibri" w:hAnsi="Calibri"/>
        </w:rPr>
        <w:t>ni</w:t>
      </w:r>
      <w:r w:rsidRPr="0091687A">
        <w:rPr>
          <w:rFonts w:ascii="Calibri" w:hAnsi="Calibri"/>
        </w:rPr>
        <w:t>stration; and</w:t>
      </w:r>
    </w:p>
    <w:p w14:paraId="50FCD4C5" w14:textId="77777777" w:rsidR="0066350C" w:rsidRPr="0091687A" w:rsidRDefault="0066350C" w:rsidP="00991B6C">
      <w:pPr>
        <w:pStyle w:val="BodyText"/>
        <w:numPr>
          <w:ilvl w:val="1"/>
          <w:numId w:val="21"/>
        </w:numPr>
        <w:overflowPunct/>
        <w:autoSpaceDE/>
        <w:autoSpaceDN/>
        <w:adjustRightInd/>
        <w:ind w:left="567" w:hanging="283"/>
        <w:textAlignment w:val="auto"/>
        <w:rPr>
          <w:rFonts w:ascii="Calibri" w:hAnsi="Calibri"/>
        </w:rPr>
      </w:pPr>
      <w:r w:rsidRPr="0091687A">
        <w:rPr>
          <w:rFonts w:ascii="Calibri" w:hAnsi="Calibri"/>
        </w:rPr>
        <w:t xml:space="preserve">attractive financial provisions be made available for recruiting staff to manage the Machakhela PL. This may require special provisions as management will be under the authority of Khelvachauri Municipality. </w:t>
      </w:r>
    </w:p>
    <w:p w14:paraId="0E7B65E2" w14:textId="366C0429" w:rsidR="0066350C" w:rsidRPr="003D794D" w:rsidRDefault="0066350C" w:rsidP="00991B6C">
      <w:pPr>
        <w:pStyle w:val="BodyText"/>
        <w:numPr>
          <w:ilvl w:val="0"/>
          <w:numId w:val="21"/>
        </w:numPr>
        <w:overflowPunct/>
        <w:autoSpaceDE/>
        <w:autoSpaceDN/>
        <w:adjustRightInd/>
        <w:textAlignment w:val="auto"/>
        <w:rPr>
          <w:rFonts w:ascii="Calibri" w:hAnsi="Calibri"/>
        </w:rPr>
      </w:pPr>
      <w:r w:rsidRPr="003D794D">
        <w:rPr>
          <w:rFonts w:ascii="Calibri" w:hAnsi="Calibri"/>
          <w:b/>
        </w:rPr>
        <w:t>[APA and PA Administrations, ARA and Municipalities] Sustainable Tourism Development Strategies and Action Plans</w:t>
      </w:r>
      <w:r w:rsidRPr="003D794D">
        <w:rPr>
          <w:rFonts w:ascii="Calibri" w:hAnsi="Calibri"/>
        </w:rPr>
        <w:t xml:space="preserve"> have been prepared for each of the project’s target PAs, with due consideration given to safeguarding their natural and cultural heritage. It is recommended that these are implemented in a coordinated manner, using the Achara Tourism Advisory Council or other appropriate regional body, to raise the profile these Strategies and Action Plans within the tourism sector (e.g. National Tourism Administration, Department of Tourism and Resorts A.R., Adjara Tourism Product Development Agency) and facilitate their collaboration with APA, PA Administrations and their respective Advisory Councils and Friends Associations, to realize these Strategies and Action Plans in a manner that is:</w:t>
      </w:r>
    </w:p>
    <w:p w14:paraId="2F0045A7" w14:textId="5C8D1D12" w:rsidR="0066350C" w:rsidRDefault="0066350C" w:rsidP="00991B6C">
      <w:pPr>
        <w:pStyle w:val="BodyText"/>
        <w:numPr>
          <w:ilvl w:val="1"/>
          <w:numId w:val="29"/>
        </w:numPr>
        <w:tabs>
          <w:tab w:val="right" w:pos="567"/>
        </w:tabs>
        <w:overflowPunct/>
        <w:autoSpaceDE/>
        <w:adjustRightInd/>
        <w:ind w:left="567" w:hanging="283"/>
        <w:textAlignment w:val="auto"/>
        <w:rPr>
          <w:rFonts w:ascii="Calibri" w:hAnsi="Calibri"/>
        </w:rPr>
      </w:pPr>
      <w:r>
        <w:rPr>
          <w:rFonts w:ascii="Calibri" w:hAnsi="Calibri"/>
        </w:rPr>
        <w:t>aligned with Achara’s regional sustainable tourism development plan(s)</w:t>
      </w:r>
      <w:r w:rsidRPr="0091687A">
        <w:rPr>
          <w:rFonts w:ascii="Calibri" w:hAnsi="Calibri"/>
        </w:rPr>
        <w:t>;</w:t>
      </w:r>
    </w:p>
    <w:p w14:paraId="387CD423" w14:textId="2CA116CE" w:rsidR="0066350C" w:rsidRDefault="0066350C" w:rsidP="00991B6C">
      <w:pPr>
        <w:pStyle w:val="BodyText"/>
        <w:numPr>
          <w:ilvl w:val="1"/>
          <w:numId w:val="29"/>
        </w:numPr>
        <w:tabs>
          <w:tab w:val="right" w:pos="567"/>
        </w:tabs>
        <w:overflowPunct/>
        <w:autoSpaceDE/>
        <w:adjustRightInd/>
        <w:ind w:left="567" w:hanging="283"/>
        <w:textAlignment w:val="auto"/>
        <w:rPr>
          <w:rFonts w:ascii="Calibri" w:hAnsi="Calibri"/>
        </w:rPr>
      </w:pPr>
      <w:r>
        <w:rPr>
          <w:rFonts w:ascii="Calibri" w:hAnsi="Calibri"/>
        </w:rPr>
        <w:t>Integrated with the respective PA management plans;</w:t>
      </w:r>
    </w:p>
    <w:p w14:paraId="27E30C99" w14:textId="54AFCEF5" w:rsidR="0066350C" w:rsidRDefault="0066350C" w:rsidP="00991B6C">
      <w:pPr>
        <w:pStyle w:val="BodyText"/>
        <w:numPr>
          <w:ilvl w:val="1"/>
          <w:numId w:val="29"/>
        </w:numPr>
        <w:tabs>
          <w:tab w:val="right" w:pos="567"/>
        </w:tabs>
        <w:overflowPunct/>
        <w:autoSpaceDE/>
        <w:adjustRightInd/>
        <w:ind w:left="567" w:hanging="283"/>
        <w:textAlignment w:val="auto"/>
        <w:rPr>
          <w:rFonts w:ascii="Calibri" w:hAnsi="Calibri"/>
        </w:rPr>
      </w:pPr>
      <w:r>
        <w:rPr>
          <w:rFonts w:ascii="Calibri" w:hAnsi="Calibri"/>
        </w:rPr>
        <w:t xml:space="preserve">in the case of Machakhela, aligned with the cultural village/ semi-natural landscape concept that is under development by Achara A.R. Government; and </w:t>
      </w:r>
    </w:p>
    <w:p w14:paraId="4C6700CE" w14:textId="5200C5E6" w:rsidR="0066350C" w:rsidRDefault="0066350C" w:rsidP="00991B6C">
      <w:pPr>
        <w:pStyle w:val="BodyText"/>
        <w:numPr>
          <w:ilvl w:val="1"/>
          <w:numId w:val="29"/>
        </w:numPr>
        <w:tabs>
          <w:tab w:val="right" w:pos="567"/>
        </w:tabs>
        <w:overflowPunct/>
        <w:autoSpaceDE/>
        <w:adjustRightInd/>
        <w:ind w:left="567" w:hanging="283"/>
        <w:textAlignment w:val="auto"/>
        <w:rPr>
          <w:rFonts w:ascii="Calibri" w:hAnsi="Calibri"/>
        </w:rPr>
      </w:pPr>
      <w:r>
        <w:rPr>
          <w:rFonts w:ascii="Calibri" w:hAnsi="Calibri"/>
        </w:rPr>
        <w:t>subject to stringent social and environmental safeguard procedures that should now be in place in ARA following recent investments at national and regional levels</w:t>
      </w:r>
      <w:r>
        <w:rPr>
          <w:rStyle w:val="FootnoteReference"/>
          <w:rFonts w:ascii="Calibri" w:hAnsi="Calibri"/>
        </w:rPr>
        <w:footnoteReference w:id="5"/>
      </w:r>
      <w:r>
        <w:rPr>
          <w:rFonts w:ascii="Calibri" w:hAnsi="Calibri"/>
        </w:rPr>
        <w:t>.</w:t>
      </w:r>
    </w:p>
    <w:p w14:paraId="22E34A37" w14:textId="77777777" w:rsidR="0066350C" w:rsidRDefault="0066350C" w:rsidP="0066350C">
      <w:pPr>
        <w:pStyle w:val="BodyText"/>
        <w:tabs>
          <w:tab w:val="right" w:pos="567"/>
        </w:tabs>
        <w:overflowPunct/>
        <w:autoSpaceDE/>
        <w:autoSpaceDN/>
        <w:adjustRightInd/>
        <w:textAlignment w:val="auto"/>
        <w:rPr>
          <w:rFonts w:ascii="Calibri" w:hAnsi="Calibri"/>
        </w:rPr>
      </w:pPr>
      <w:r>
        <w:rPr>
          <w:rFonts w:ascii="Calibri" w:hAnsi="Calibri"/>
        </w:rPr>
        <w:t xml:space="preserve">It is also recommended, given the tremendous amount of valuable and interesting information provided in the </w:t>
      </w:r>
      <w:r w:rsidRPr="005E4DB4">
        <w:rPr>
          <w:rFonts w:ascii="Calibri" w:hAnsi="Calibri"/>
          <w:i/>
        </w:rPr>
        <w:t xml:space="preserve">Ajara Protected Areas Sustainable </w:t>
      </w:r>
      <w:r>
        <w:rPr>
          <w:rFonts w:ascii="Calibri" w:hAnsi="Calibri"/>
          <w:i/>
        </w:rPr>
        <w:t xml:space="preserve">Tourism </w:t>
      </w:r>
      <w:r w:rsidRPr="005E4DB4">
        <w:rPr>
          <w:rFonts w:ascii="Calibri" w:hAnsi="Calibri"/>
          <w:i/>
        </w:rPr>
        <w:t>Strategy</w:t>
      </w:r>
      <w:r>
        <w:rPr>
          <w:rFonts w:ascii="Calibri" w:hAnsi="Calibri"/>
        </w:rPr>
        <w:t xml:space="preserve"> and in the </w:t>
      </w:r>
      <w:r w:rsidRPr="005E4DB4">
        <w:rPr>
          <w:rFonts w:ascii="Calibri" w:hAnsi="Calibri"/>
          <w:i/>
        </w:rPr>
        <w:t>Tourism Development Strategy and Action Plan</w:t>
      </w:r>
      <w:r>
        <w:rPr>
          <w:rFonts w:ascii="Calibri" w:hAnsi="Calibri"/>
        </w:rPr>
        <w:t xml:space="preserve"> for each target PA, that:</w:t>
      </w:r>
    </w:p>
    <w:p w14:paraId="04A2F733" w14:textId="77777777" w:rsidR="0066350C" w:rsidRPr="003D794D" w:rsidRDefault="0066350C" w:rsidP="00991B6C">
      <w:pPr>
        <w:pStyle w:val="BodyText"/>
        <w:numPr>
          <w:ilvl w:val="1"/>
          <w:numId w:val="29"/>
        </w:numPr>
        <w:tabs>
          <w:tab w:val="right" w:pos="567"/>
        </w:tabs>
        <w:overflowPunct/>
        <w:autoSpaceDE/>
        <w:adjustRightInd/>
        <w:ind w:left="567" w:hanging="283"/>
        <w:textAlignment w:val="auto"/>
        <w:rPr>
          <w:rFonts w:ascii="Calibri" w:hAnsi="Calibri"/>
        </w:rPr>
      </w:pPr>
      <w:r w:rsidRPr="003D794D">
        <w:rPr>
          <w:rFonts w:ascii="Calibri" w:hAnsi="Calibri"/>
        </w:rPr>
        <w:t>The contents (text, maps and images) be reviewed</w:t>
      </w:r>
      <w:r w:rsidRPr="00D04B9C">
        <w:rPr>
          <w:rFonts w:ascii="Calibri" w:hAnsi="Calibri"/>
        </w:rPr>
        <w:t xml:space="preserve"> and transformed into a visitor guide to Achara’s Protected Colchi Forests and/or a series of shorter guides and maps for each of the three PA complexes</w:t>
      </w:r>
      <w:r w:rsidRPr="003D794D">
        <w:rPr>
          <w:rFonts w:ascii="Calibri" w:hAnsi="Calibri"/>
        </w:rPr>
        <w:t>.</w:t>
      </w:r>
      <w:r w:rsidRPr="003D794D">
        <w:rPr>
          <w:rFonts w:ascii="Calibri" w:hAnsi="Calibri"/>
          <w:szCs w:val="24"/>
          <w:vertAlign w:val="superscript"/>
        </w:rPr>
        <w:footnoteReference w:id="6"/>
      </w:r>
      <w:r w:rsidRPr="003D794D">
        <w:rPr>
          <w:rFonts w:ascii="Calibri" w:hAnsi="Calibri"/>
        </w:rPr>
        <w:t xml:space="preserve"> Th</w:t>
      </w:r>
      <w:r w:rsidRPr="00D04B9C">
        <w:rPr>
          <w:rFonts w:ascii="Calibri" w:hAnsi="Calibri"/>
        </w:rPr>
        <w:t>e latter could be done simply and quickly using the web; and maybe facilitated by the respective Friends Associations in collaboration with the PA Administrations.)</w:t>
      </w:r>
    </w:p>
    <w:p w14:paraId="0D2F35C2" w14:textId="67EFE9A0" w:rsidR="0066350C" w:rsidRPr="0091687A" w:rsidRDefault="0066350C" w:rsidP="00991B6C">
      <w:pPr>
        <w:pStyle w:val="BodyText"/>
        <w:numPr>
          <w:ilvl w:val="0"/>
          <w:numId w:val="21"/>
        </w:numPr>
        <w:overflowPunct/>
        <w:autoSpaceDE/>
        <w:autoSpaceDN/>
        <w:adjustRightInd/>
        <w:textAlignment w:val="auto"/>
        <w:rPr>
          <w:rFonts w:ascii="Calibri" w:hAnsi="Calibri"/>
        </w:rPr>
      </w:pPr>
      <w:r>
        <w:rPr>
          <w:rFonts w:ascii="Calibri" w:hAnsi="Calibri"/>
          <w:b/>
        </w:rPr>
        <w:t xml:space="preserve">[APA and PA Administrations] Sustainable agricultural development </w:t>
      </w:r>
      <w:r w:rsidRPr="0091687A">
        <w:rPr>
          <w:rFonts w:ascii="Calibri" w:hAnsi="Calibri"/>
        </w:rPr>
        <w:t xml:space="preserve">is very </w:t>
      </w:r>
      <w:r>
        <w:rPr>
          <w:rFonts w:ascii="Calibri" w:hAnsi="Calibri"/>
        </w:rPr>
        <w:t xml:space="preserve">much </w:t>
      </w:r>
      <w:r w:rsidRPr="0091687A">
        <w:rPr>
          <w:rFonts w:ascii="Calibri" w:hAnsi="Calibri"/>
        </w:rPr>
        <w:t>on the agenda of ARA’s Ministry of Agriculture, which will be promoting its ‘spatial clusters’ programme in and arou</w:t>
      </w:r>
      <w:r>
        <w:rPr>
          <w:rFonts w:ascii="Calibri" w:hAnsi="Calibri"/>
        </w:rPr>
        <w:t>nd PAs. The Ministry’s</w:t>
      </w:r>
      <w:r w:rsidRPr="0091687A">
        <w:rPr>
          <w:rFonts w:ascii="Calibri" w:hAnsi="Calibri"/>
        </w:rPr>
        <w:t xml:space="preserve"> goal is for all produce to be organic within the </w:t>
      </w:r>
      <w:r w:rsidRPr="0091687A">
        <w:rPr>
          <w:rFonts w:ascii="Calibri" w:hAnsi="Calibri"/>
        </w:rPr>
        <w:lastRenderedPageBreak/>
        <w:t xml:space="preserve">next three years. Along with tourism, it is strongly recommended that </w:t>
      </w:r>
      <w:r>
        <w:rPr>
          <w:rFonts w:ascii="Calibri" w:hAnsi="Calibri"/>
        </w:rPr>
        <w:t>APA proactively engage with Achara’s agricultural sector as it is timely and the door is wide open. This may also prove to be an area that the Friends Associations can explore and ultimately help to facilitate and promote in terms of organic produce and its marketing and agri-tourism.</w:t>
      </w:r>
    </w:p>
    <w:p w14:paraId="672E0EF8" w14:textId="77777777" w:rsidR="0066350C" w:rsidRDefault="0066350C" w:rsidP="00991B6C">
      <w:pPr>
        <w:pStyle w:val="BodyText"/>
        <w:numPr>
          <w:ilvl w:val="0"/>
          <w:numId w:val="21"/>
        </w:numPr>
        <w:overflowPunct/>
        <w:autoSpaceDE/>
        <w:autoSpaceDN/>
        <w:adjustRightInd/>
        <w:textAlignment w:val="auto"/>
        <w:rPr>
          <w:rFonts w:ascii="Calibri" w:hAnsi="Calibri"/>
        </w:rPr>
      </w:pPr>
      <w:r w:rsidRPr="0091687A">
        <w:rPr>
          <w:rFonts w:ascii="Calibri" w:hAnsi="Calibri"/>
          <w:b/>
        </w:rPr>
        <w:t>Mtirala and Machakhela National Parks Friends Association</w:t>
      </w:r>
      <w:r w:rsidRPr="0091687A">
        <w:rPr>
          <w:rFonts w:ascii="Calibri" w:hAnsi="Calibri"/>
        </w:rPr>
        <w:t xml:space="preserve"> </w:t>
      </w:r>
      <w:r>
        <w:rPr>
          <w:rFonts w:ascii="Calibri" w:hAnsi="Calibri"/>
        </w:rPr>
        <w:t xml:space="preserve">is in its formative and somewhat vulnerable stage. Having demonstrated its value to the PA Administrations and local communities through various initiatives in a number of quarters, in the absence of the project’s continuing support it now needs to consolidate its </w:t>
      </w:r>
      <w:r w:rsidRPr="0091687A">
        <w:rPr>
          <w:rFonts w:ascii="Calibri" w:hAnsi="Calibri"/>
        </w:rPr>
        <w:t xml:space="preserve">charter or comparable legal instrument </w:t>
      </w:r>
      <w:r>
        <w:rPr>
          <w:rFonts w:ascii="Calibri" w:hAnsi="Calibri"/>
        </w:rPr>
        <w:t>in terms of</w:t>
      </w:r>
      <w:r w:rsidRPr="0091687A">
        <w:rPr>
          <w:rFonts w:ascii="Calibri" w:hAnsi="Calibri"/>
        </w:rPr>
        <w:t xml:space="preserve"> clearly defin</w:t>
      </w:r>
      <w:r>
        <w:rPr>
          <w:rFonts w:ascii="Calibri" w:hAnsi="Calibri"/>
        </w:rPr>
        <w:t xml:space="preserve">ing its </w:t>
      </w:r>
      <w:r w:rsidRPr="0091687A">
        <w:rPr>
          <w:rFonts w:ascii="Calibri" w:hAnsi="Calibri"/>
        </w:rPr>
        <w:t>role, scope of activiti</w:t>
      </w:r>
      <w:r>
        <w:rPr>
          <w:rFonts w:ascii="Calibri" w:hAnsi="Calibri"/>
        </w:rPr>
        <w:t xml:space="preserve">es, membership, modus operandi </w:t>
      </w:r>
      <w:r w:rsidRPr="0091687A">
        <w:rPr>
          <w:rFonts w:ascii="Calibri" w:hAnsi="Calibri"/>
        </w:rPr>
        <w:t xml:space="preserve">and relationship with </w:t>
      </w:r>
      <w:r>
        <w:rPr>
          <w:rFonts w:ascii="Calibri" w:hAnsi="Calibri"/>
        </w:rPr>
        <w:t>its</w:t>
      </w:r>
      <w:r w:rsidRPr="0091687A">
        <w:rPr>
          <w:rFonts w:ascii="Calibri" w:hAnsi="Calibri"/>
        </w:rPr>
        <w:t xml:space="preserve"> respective PA Administrations.</w:t>
      </w:r>
      <w:r>
        <w:rPr>
          <w:rFonts w:ascii="Calibri" w:hAnsi="Calibri"/>
        </w:rPr>
        <w:t xml:space="preserve"> Then it needs to determine its strategy over the next few years, including financial sustainability for which an assessment was completed in November 2018. Assuming that this work is in hand, one outstanding and one new action are recommended to help reduce the Association’s current vulnerability and strengthen its profile and role, as follows:</w:t>
      </w:r>
    </w:p>
    <w:p w14:paraId="6D012279" w14:textId="77777777" w:rsidR="0066350C" w:rsidRDefault="0066350C" w:rsidP="00991B6C">
      <w:pPr>
        <w:pStyle w:val="BodyText"/>
        <w:numPr>
          <w:ilvl w:val="1"/>
          <w:numId w:val="21"/>
        </w:numPr>
        <w:tabs>
          <w:tab w:val="right" w:pos="567"/>
        </w:tabs>
        <w:overflowPunct/>
        <w:autoSpaceDE/>
        <w:autoSpaceDN/>
        <w:adjustRightInd/>
        <w:ind w:left="567" w:hanging="283"/>
        <w:textAlignment w:val="auto"/>
        <w:rPr>
          <w:rFonts w:ascii="Calibri" w:hAnsi="Calibri"/>
        </w:rPr>
      </w:pPr>
      <w:r>
        <w:rPr>
          <w:rFonts w:ascii="Calibri" w:hAnsi="Calibri"/>
        </w:rPr>
        <w:t xml:space="preserve">The Association needs a voice within the PA governance system and, in the current context, it would be most appropriate for it to be a PA Advisory Council member. </w:t>
      </w:r>
    </w:p>
    <w:p w14:paraId="5F9468C0" w14:textId="77777777" w:rsidR="0066350C" w:rsidRDefault="0066350C" w:rsidP="00991B6C">
      <w:pPr>
        <w:pStyle w:val="BodyText"/>
        <w:numPr>
          <w:ilvl w:val="1"/>
          <w:numId w:val="21"/>
        </w:numPr>
        <w:tabs>
          <w:tab w:val="right" w:pos="567"/>
        </w:tabs>
        <w:overflowPunct/>
        <w:autoSpaceDE/>
        <w:autoSpaceDN/>
        <w:adjustRightInd/>
        <w:ind w:left="567" w:hanging="283"/>
        <w:textAlignment w:val="auto"/>
        <w:rPr>
          <w:rFonts w:ascii="Calibri" w:hAnsi="Calibri"/>
        </w:rPr>
      </w:pPr>
      <w:r>
        <w:rPr>
          <w:rFonts w:ascii="Calibri" w:hAnsi="Calibri"/>
        </w:rPr>
        <w:t xml:space="preserve">The Association needs to be able to engage readily with the Municipality, particularly in the case of Machakhela, proposed for designation as a protected landscape and, therefore, due to come under its delegated authority. Likewise, PAs need to work closely with their respective municipalities on a wide range of issues, be it tourism, water and waste management, access (roads) and more – all of which have a greater or lesser relevance to the Friends Association. Thus, there is a rationale for establishing a small platform that brings together the PA, Friends Association and Municipality on a regular base (maybe quarterly). </w:t>
      </w:r>
    </w:p>
    <w:p w14:paraId="5B83840F" w14:textId="77777777" w:rsidR="0066350C" w:rsidRDefault="0066350C" w:rsidP="0066350C">
      <w:pPr>
        <w:pStyle w:val="BodyText"/>
        <w:tabs>
          <w:tab w:val="right" w:pos="567"/>
        </w:tabs>
        <w:overflowPunct/>
        <w:autoSpaceDE/>
        <w:autoSpaceDN/>
        <w:adjustRightInd/>
        <w:ind w:left="284"/>
        <w:textAlignment w:val="auto"/>
        <w:rPr>
          <w:rFonts w:ascii="Calibri" w:hAnsi="Calibri"/>
        </w:rPr>
      </w:pPr>
      <w:r>
        <w:rPr>
          <w:rFonts w:ascii="Calibri" w:hAnsi="Calibri"/>
        </w:rPr>
        <w:t xml:space="preserve">The above two recommendations could equally apply to other Friends Associations. Meanwhile, the initiative could be trialed in Machakhela. </w:t>
      </w:r>
    </w:p>
    <w:p w14:paraId="5F6E2C62" w14:textId="77777777" w:rsidR="0066350C" w:rsidRPr="0091687A" w:rsidRDefault="0066350C" w:rsidP="0066350C">
      <w:pPr>
        <w:pStyle w:val="BodyText"/>
        <w:overflowPunct/>
        <w:autoSpaceDE/>
        <w:autoSpaceDN/>
        <w:adjustRightInd/>
        <w:textAlignment w:val="auto"/>
        <w:rPr>
          <w:rFonts w:ascii="Calibri" w:hAnsi="Calibri"/>
        </w:rPr>
      </w:pPr>
      <w:r>
        <w:rPr>
          <w:rFonts w:ascii="Calibri" w:hAnsi="Calibri"/>
        </w:rPr>
        <w:t>The above two recommendations could equally apply to other Friends Associations. Meanwhile, the initiative could be trialed in Machakhela.</w:t>
      </w:r>
    </w:p>
    <w:p w14:paraId="20A98BE3" w14:textId="68CF3EF3" w:rsidR="0066350C" w:rsidRDefault="0066350C" w:rsidP="00991B6C">
      <w:pPr>
        <w:pStyle w:val="BodyText"/>
        <w:numPr>
          <w:ilvl w:val="0"/>
          <w:numId w:val="21"/>
        </w:numPr>
        <w:overflowPunct/>
        <w:autoSpaceDE/>
        <w:autoSpaceDN/>
        <w:adjustRightInd/>
        <w:textAlignment w:val="auto"/>
        <w:rPr>
          <w:rFonts w:ascii="Calibri" w:hAnsi="Calibri"/>
        </w:rPr>
      </w:pPr>
      <w:r>
        <w:rPr>
          <w:rFonts w:ascii="Calibri" w:hAnsi="Calibri"/>
          <w:b/>
        </w:rPr>
        <w:t>[APA and PA Administrations] Training in SMART patrolling</w:t>
      </w:r>
      <w:r>
        <w:rPr>
          <w:rFonts w:ascii="Calibri" w:hAnsi="Calibri"/>
        </w:rPr>
        <w:t>, a recommendation adopted from the MTR was completed only in November 2018; hence, it will be important to ensure that SMART is introduced and training reinforced early in 2019, and then consolidated and reviewed collectively by the PA Administrations in Achara in order to identify, share and apply lessons learnt from their experiences.</w:t>
      </w:r>
    </w:p>
    <w:p w14:paraId="2368469A" w14:textId="77777777" w:rsidR="0066350C" w:rsidRPr="00657786" w:rsidRDefault="0066350C" w:rsidP="0066350C">
      <w:pPr>
        <w:pStyle w:val="BodyText"/>
        <w:spacing w:before="240"/>
        <w:rPr>
          <w:rFonts w:ascii="Calibri" w:hAnsi="Calibri"/>
          <w:highlight w:val="lightGray"/>
        </w:rPr>
      </w:pPr>
      <w:r w:rsidRPr="00657786">
        <w:rPr>
          <w:rFonts w:ascii="Calibri" w:hAnsi="Calibri"/>
          <w:highlight w:val="lightGray"/>
        </w:rPr>
        <w:t>PROPOSALS FOR FUTURE DIRECTIONS UNDERLINING MAIN OBJECTIVES</w:t>
      </w:r>
    </w:p>
    <w:p w14:paraId="72695231" w14:textId="2656536B" w:rsidR="0066350C" w:rsidRPr="00EF4637" w:rsidRDefault="0066350C" w:rsidP="00991B6C">
      <w:pPr>
        <w:pStyle w:val="BodyText"/>
        <w:numPr>
          <w:ilvl w:val="0"/>
          <w:numId w:val="21"/>
        </w:numPr>
        <w:overflowPunct/>
        <w:autoSpaceDE/>
        <w:autoSpaceDN/>
        <w:adjustRightInd/>
        <w:textAlignment w:val="auto"/>
        <w:rPr>
          <w:rFonts w:ascii="Calibri" w:hAnsi="Calibri"/>
        </w:rPr>
      </w:pPr>
      <w:r>
        <w:rPr>
          <w:rFonts w:ascii="Calibri" w:hAnsi="Calibri"/>
          <w:b/>
        </w:rPr>
        <w:t>APA] Protected Areas policy and legislation:</w:t>
      </w:r>
      <w:r>
        <w:rPr>
          <w:rFonts w:ascii="Calibri" w:hAnsi="Calibri"/>
        </w:rPr>
        <w:t xml:space="preserve"> It is all too apparent from this project that the on-going review of PAs policy and the 1996 legislation under the IBiS project is welcome, if not overdue.Until such time as APA is able to de-centralise its current operations and delegate powers to its PA Administrations to manage their respective PAs, including financial resources, the outcomes of this and other PA projects will not be fully realised. Thus, it is important that APA participates whole-heartedly in the review, which includes the forest sector, to ensure that the revised policies and legislation fully addresses the short-comings experienced by its PA Administrations and stakeholders, including local communities address. Where possible and appropriate, it is recommended that some of the </w:t>
      </w:r>
      <w:r>
        <w:rPr>
          <w:rFonts w:ascii="Calibri" w:hAnsi="Calibri"/>
        </w:rPr>
        <w:lastRenderedPageBreak/>
        <w:t>proposed changes be piloted with immediate effect within one of more of the proposed Colchic Forest PAs nominated for World Heritage status in order to demonstrate that government is being proactive in strengthening its management effectiveness and efficiency. This action will also better inform the outcomes of the policy review.</w:t>
      </w:r>
    </w:p>
    <w:p w14:paraId="4D83103F" w14:textId="431457B1" w:rsidR="0066350C" w:rsidRDefault="0066350C" w:rsidP="00991B6C">
      <w:pPr>
        <w:pStyle w:val="BodyText"/>
        <w:numPr>
          <w:ilvl w:val="0"/>
          <w:numId w:val="21"/>
        </w:numPr>
        <w:overflowPunct/>
        <w:autoSpaceDE/>
        <w:autoSpaceDN/>
        <w:adjustRightInd/>
        <w:textAlignment w:val="auto"/>
        <w:rPr>
          <w:rFonts w:ascii="Calibri" w:hAnsi="Calibri"/>
        </w:rPr>
      </w:pPr>
      <w:r w:rsidRPr="00D80D93">
        <w:rPr>
          <w:rFonts w:ascii="Calibri" w:hAnsi="Calibri"/>
          <w:szCs w:val="24"/>
        </w:rPr>
        <w:t>[UNDP to advise, APA to follow up with Forestry Agency] Increasing connectivity of Colchic Forest fragments further, to address the remaining 6 km gap in protected forest cover between Machakhela NP and Mtirala/Kintrishi PA Complex, would seem to be an obvious further step to take in order to expand the integrity of protected Colchic Forest, especially given its global value in the light of the recent nomination of Mtirala and Kintrishi for World Heritage listing.</w:t>
      </w:r>
    </w:p>
    <w:p w14:paraId="381310D6" w14:textId="77777777" w:rsidR="0066350C" w:rsidRPr="00EF4637" w:rsidRDefault="0066350C" w:rsidP="0066350C">
      <w:pPr>
        <w:pStyle w:val="BodyText"/>
        <w:overflowPunct/>
        <w:autoSpaceDE/>
        <w:autoSpaceDN/>
        <w:adjustRightInd/>
        <w:textAlignment w:val="auto"/>
        <w:rPr>
          <w:rFonts w:ascii="Calibri" w:hAnsi="Calibri"/>
        </w:rPr>
      </w:pPr>
      <w:r>
        <w:rPr>
          <w:rFonts w:ascii="Calibri" w:hAnsi="Calibri"/>
          <w:szCs w:val="24"/>
        </w:rPr>
        <w:t>Most of this 6 km gap is</w:t>
      </w:r>
      <w:r w:rsidRPr="00BD7814">
        <w:rPr>
          <w:rFonts w:ascii="Calibri" w:hAnsi="Calibri"/>
          <w:szCs w:val="24"/>
        </w:rPr>
        <w:t xml:space="preserve"> </w:t>
      </w:r>
      <w:r>
        <w:rPr>
          <w:rFonts w:ascii="Calibri" w:hAnsi="Calibri"/>
          <w:szCs w:val="24"/>
        </w:rPr>
        <w:t xml:space="preserve">under the </w:t>
      </w:r>
      <w:r w:rsidRPr="00BD7814">
        <w:rPr>
          <w:rFonts w:ascii="Calibri" w:hAnsi="Calibri"/>
          <w:szCs w:val="24"/>
        </w:rPr>
        <w:t xml:space="preserve">Forestry Agency so </w:t>
      </w:r>
      <w:r>
        <w:rPr>
          <w:rFonts w:ascii="Calibri" w:hAnsi="Calibri"/>
          <w:szCs w:val="24"/>
        </w:rPr>
        <w:t>it would be appropriate to highlight its importance in</w:t>
      </w:r>
      <w:r w:rsidRPr="00BD7814">
        <w:rPr>
          <w:rFonts w:ascii="Calibri" w:hAnsi="Calibri"/>
          <w:szCs w:val="24"/>
        </w:rPr>
        <w:t xml:space="preserve"> the local forestry 10</w:t>
      </w:r>
      <w:r>
        <w:rPr>
          <w:rFonts w:ascii="Calibri" w:hAnsi="Calibri"/>
          <w:szCs w:val="24"/>
        </w:rPr>
        <w:t>-</w:t>
      </w:r>
      <w:r w:rsidRPr="00BD7814">
        <w:rPr>
          <w:rFonts w:ascii="Calibri" w:hAnsi="Calibri"/>
          <w:szCs w:val="24"/>
        </w:rPr>
        <w:t xml:space="preserve">year plan </w:t>
      </w:r>
      <w:r>
        <w:rPr>
          <w:rFonts w:ascii="Calibri" w:hAnsi="Calibri"/>
          <w:szCs w:val="24"/>
        </w:rPr>
        <w:t>and ensure appropriate protection and other management measures are prescribed. The m</w:t>
      </w:r>
      <w:r w:rsidRPr="00BD7814">
        <w:rPr>
          <w:rFonts w:ascii="Calibri" w:hAnsi="Calibri"/>
          <w:szCs w:val="24"/>
        </w:rPr>
        <w:t xml:space="preserve">ain barrier </w:t>
      </w:r>
      <w:r>
        <w:rPr>
          <w:rFonts w:ascii="Calibri" w:hAnsi="Calibri"/>
          <w:szCs w:val="24"/>
        </w:rPr>
        <w:t xml:space="preserve">to connectivity </w:t>
      </w:r>
      <w:r w:rsidRPr="00BD7814">
        <w:rPr>
          <w:rFonts w:ascii="Calibri" w:hAnsi="Calibri"/>
          <w:szCs w:val="24"/>
        </w:rPr>
        <w:t xml:space="preserve">is the highway but this </w:t>
      </w:r>
      <w:r>
        <w:rPr>
          <w:rFonts w:ascii="Calibri" w:hAnsi="Calibri"/>
          <w:szCs w:val="24"/>
        </w:rPr>
        <w:t xml:space="preserve">applies principally to </w:t>
      </w:r>
      <w:r w:rsidRPr="00BD7814">
        <w:rPr>
          <w:rFonts w:ascii="Calibri" w:hAnsi="Calibri"/>
          <w:szCs w:val="24"/>
        </w:rPr>
        <w:t>mammal</w:t>
      </w:r>
      <w:r>
        <w:rPr>
          <w:rFonts w:ascii="Calibri" w:hAnsi="Calibri"/>
          <w:szCs w:val="24"/>
        </w:rPr>
        <w:t>s and</w:t>
      </w:r>
      <w:r w:rsidRPr="00BD7814">
        <w:rPr>
          <w:rFonts w:ascii="Calibri" w:hAnsi="Calibri"/>
          <w:szCs w:val="24"/>
        </w:rPr>
        <w:t xml:space="preserve"> not forest.</w:t>
      </w:r>
      <w:r w:rsidRPr="00EF4637">
        <w:rPr>
          <w:rFonts w:ascii="Calibri" w:hAnsi="Calibri"/>
        </w:rPr>
        <w:t>.</w:t>
      </w:r>
    </w:p>
    <w:p w14:paraId="4E79B450" w14:textId="3329E077" w:rsidR="0066350C" w:rsidRPr="00EF4637" w:rsidRDefault="0066350C" w:rsidP="00991B6C">
      <w:pPr>
        <w:pStyle w:val="BodyText"/>
        <w:numPr>
          <w:ilvl w:val="0"/>
          <w:numId w:val="21"/>
        </w:numPr>
        <w:overflowPunct/>
        <w:autoSpaceDE/>
        <w:autoSpaceDN/>
        <w:adjustRightInd/>
        <w:textAlignment w:val="auto"/>
        <w:rPr>
          <w:rFonts w:ascii="Calibri" w:hAnsi="Calibri"/>
        </w:rPr>
      </w:pPr>
      <w:r>
        <w:rPr>
          <w:rFonts w:ascii="Calibri" w:hAnsi="Calibri"/>
          <w:b/>
        </w:rPr>
        <w:t>[APA and PA Administrations, ARA and Municipalities] UNESCO Biosphere Reserve model</w:t>
      </w:r>
      <w:r>
        <w:rPr>
          <w:rFonts w:ascii="Calibri" w:hAnsi="Calibri"/>
        </w:rPr>
        <w:t xml:space="preserve"> is something that was examined during the assessment of what might be the most appropriate PA designation for the Support Zone that is now proposed as Machakhela Protected Landscape. While not a priority, which is to consolidate the establishment and management of the Machakhela NP/PL Complex, the Biosphere Reserve approach</w:t>
      </w:r>
      <w:r>
        <w:rPr>
          <w:rStyle w:val="FootnoteReference"/>
        </w:rPr>
        <w:footnoteReference w:id="7"/>
      </w:r>
      <w:r>
        <w:rPr>
          <w:rFonts w:ascii="Calibri" w:hAnsi="Calibri"/>
        </w:rPr>
        <w:t xml:space="preserve"> is potentially pertinent to this Complex and may well prove to be a highly appropriate model to consider over the longer term, beyond which there would also be the opportunity to establish a transboundary Biosphere Reserve with Jamili Biosphere Reserve abutting the border with Turkey. Clearly, the Turkish authorities have no current interest in such a venture despite the project’s significant investment in time and energy to engage with them. This may change at some time in the future, so the recommendation is simply to note the bigger picture and continue to explore options as opportunities arise.</w:t>
      </w:r>
    </w:p>
    <w:p w14:paraId="2780D4BB" w14:textId="77777777" w:rsidR="00994763" w:rsidRPr="00E22EBA" w:rsidRDefault="00994763" w:rsidP="00994763">
      <w:pPr>
        <w:pStyle w:val="BodyText"/>
        <w:spacing w:line="240" w:lineRule="auto"/>
        <w:rPr>
          <w:rFonts w:asciiTheme="minorHAnsi" w:hAnsiTheme="minorHAnsi" w:cs="Corbel"/>
          <w:color w:val="000000" w:themeColor="text1"/>
          <w:szCs w:val="21"/>
        </w:rPr>
      </w:pPr>
    </w:p>
    <w:p w14:paraId="146DDCCF" w14:textId="77777777" w:rsidR="00D654F0" w:rsidRPr="00E22EBA" w:rsidRDefault="00D654F0" w:rsidP="00A44E79">
      <w:pPr>
        <w:overflowPunct/>
        <w:spacing w:after="120"/>
        <w:jc w:val="both"/>
        <w:textAlignment w:val="auto"/>
        <w:rPr>
          <w:rFonts w:asciiTheme="minorHAnsi" w:hAnsiTheme="minorHAnsi"/>
          <w:lang w:val="en-US"/>
        </w:rPr>
        <w:sectPr w:rsidR="00D654F0" w:rsidRPr="00E22EBA" w:rsidSect="001B651D">
          <w:footerReference w:type="default" r:id="rId14"/>
          <w:footnotePr>
            <w:numRestart w:val="eachPage"/>
          </w:footnotePr>
          <w:pgSz w:w="11906" w:h="16838" w:code="1"/>
          <w:pgMar w:top="1440" w:right="1440" w:bottom="1440" w:left="1440" w:header="288" w:footer="288" w:gutter="0"/>
          <w:pgNumType w:fmt="lowerRoman" w:start="1"/>
          <w:cols w:space="708"/>
          <w:docGrid w:linePitch="299"/>
        </w:sectPr>
      </w:pPr>
    </w:p>
    <w:p w14:paraId="55BCA0A1" w14:textId="77777777" w:rsidR="003C1CF2" w:rsidRPr="00E22EBA" w:rsidRDefault="00B14C56" w:rsidP="00123B95">
      <w:pPr>
        <w:pStyle w:val="Heading1"/>
        <w:spacing w:after="120" w:line="240" w:lineRule="auto"/>
        <w:jc w:val="left"/>
        <w:rPr>
          <w:rFonts w:asciiTheme="minorHAnsi" w:hAnsiTheme="minorHAnsi" w:cs="Calibri"/>
          <w:b/>
          <w:sz w:val="28"/>
        </w:rPr>
      </w:pPr>
      <w:bookmarkStart w:id="6" w:name="_Toc414745304"/>
      <w:r w:rsidRPr="00E22EBA">
        <w:rPr>
          <w:rFonts w:asciiTheme="minorHAnsi" w:hAnsiTheme="minorHAnsi" w:cs="Calibri"/>
          <w:b/>
          <w:smallCaps w:val="0"/>
          <w:sz w:val="32"/>
        </w:rPr>
        <w:lastRenderedPageBreak/>
        <w:t>Abbreviations and Acronyms</w:t>
      </w:r>
      <w:bookmarkEnd w:id="6"/>
      <w:r w:rsidRPr="00E22EBA">
        <w:rPr>
          <w:rFonts w:asciiTheme="minorHAnsi" w:hAnsiTheme="minorHAnsi" w:cs="Calibri"/>
          <w:b/>
          <w:sz w:val="28"/>
        </w:rPr>
        <w:tab/>
      </w:r>
    </w:p>
    <w:p w14:paraId="406B1981" w14:textId="5B1D5770" w:rsidR="00904E9B" w:rsidRPr="00E22EBA" w:rsidRDefault="002A2606" w:rsidP="00072DC1">
      <w:pPr>
        <w:overflowPunct/>
        <w:spacing w:after="120"/>
        <w:ind w:left="1440" w:hanging="1440"/>
        <w:textAlignment w:val="auto"/>
        <w:rPr>
          <w:rFonts w:ascii="Calibri" w:hAnsi="Calibri" w:cs="Calibri"/>
          <w:sz w:val="20"/>
          <w:szCs w:val="22"/>
          <w:lang w:val="en-US"/>
        </w:rPr>
      </w:pPr>
      <w:r w:rsidRPr="002A2606">
        <w:rPr>
          <w:rFonts w:ascii="Calibri" w:hAnsi="Calibri" w:cs="Calibri"/>
          <w:sz w:val="20"/>
          <w:szCs w:val="22"/>
          <w:lang w:val="en-US"/>
        </w:rPr>
        <w:t xml:space="preserve">UN Operational </w:t>
      </w:r>
      <w:r>
        <w:rPr>
          <w:rFonts w:ascii="Calibri" w:hAnsi="Calibri" w:cs="Calibri"/>
          <w:sz w:val="20"/>
          <w:szCs w:val="22"/>
          <w:lang w:val="en-US"/>
        </w:rPr>
        <w:t xml:space="preserve">Rates of </w:t>
      </w:r>
      <w:r w:rsidR="00904E9B" w:rsidRPr="002A2606">
        <w:rPr>
          <w:rFonts w:ascii="Calibri" w:hAnsi="Calibri" w:cs="Calibri"/>
          <w:sz w:val="20"/>
          <w:szCs w:val="22"/>
          <w:lang w:val="en-US"/>
        </w:rPr>
        <w:t xml:space="preserve">Exchange on </w:t>
      </w:r>
      <w:r w:rsidR="00F83C7B" w:rsidRPr="002A2606">
        <w:rPr>
          <w:rFonts w:ascii="Calibri" w:hAnsi="Calibri" w:cs="Calibri"/>
          <w:sz w:val="20"/>
          <w:szCs w:val="22"/>
          <w:lang w:val="en-US"/>
        </w:rPr>
        <w:t>1</w:t>
      </w:r>
      <w:r w:rsidR="009C047F" w:rsidRPr="002A2606">
        <w:rPr>
          <w:rFonts w:ascii="Calibri" w:hAnsi="Calibri" w:cs="Calibri"/>
          <w:sz w:val="20"/>
          <w:szCs w:val="22"/>
          <w:lang w:val="en-US"/>
        </w:rPr>
        <w:t xml:space="preserve"> December</w:t>
      </w:r>
      <w:r w:rsidR="00F83C7B" w:rsidRPr="002A2606">
        <w:rPr>
          <w:rFonts w:ascii="Calibri" w:hAnsi="Calibri" w:cs="Calibri"/>
          <w:sz w:val="20"/>
          <w:szCs w:val="22"/>
          <w:lang w:val="en-US"/>
        </w:rPr>
        <w:t xml:space="preserve"> 20</w:t>
      </w:r>
      <w:r w:rsidR="009C047F" w:rsidRPr="002A2606">
        <w:rPr>
          <w:rFonts w:ascii="Calibri" w:hAnsi="Calibri" w:cs="Calibri"/>
          <w:sz w:val="20"/>
          <w:szCs w:val="22"/>
          <w:lang w:val="en-US"/>
        </w:rPr>
        <w:t>18</w:t>
      </w:r>
      <w:r w:rsidR="00904E9B" w:rsidRPr="002A2606">
        <w:rPr>
          <w:rFonts w:ascii="Calibri" w:hAnsi="Calibri" w:cs="Calibri"/>
          <w:sz w:val="20"/>
          <w:szCs w:val="22"/>
          <w:lang w:val="en-US"/>
        </w:rPr>
        <w:t xml:space="preserve">:  </w:t>
      </w:r>
      <w:r w:rsidR="00904E9B" w:rsidRPr="002A2606">
        <w:rPr>
          <w:rFonts w:ascii="Calibri" w:hAnsi="Calibri" w:cs="Calibri"/>
          <w:sz w:val="20"/>
          <w:szCs w:val="22"/>
          <w:lang w:val="en-US"/>
        </w:rPr>
        <w:tab/>
      </w:r>
      <w:r w:rsidR="009C047F" w:rsidRPr="002A2606">
        <w:rPr>
          <w:rFonts w:ascii="Calibri" w:hAnsi="Calibri" w:cs="Calibri"/>
          <w:sz w:val="20"/>
          <w:szCs w:val="22"/>
          <w:lang w:val="en-US"/>
        </w:rPr>
        <w:t>Georgian Lari</w:t>
      </w:r>
      <w:r w:rsidR="00F83C7B" w:rsidRPr="002A2606">
        <w:rPr>
          <w:rFonts w:ascii="Calibri" w:hAnsi="Calibri" w:cs="Calibri"/>
          <w:sz w:val="20"/>
          <w:szCs w:val="22"/>
          <w:lang w:val="en-US"/>
        </w:rPr>
        <w:t xml:space="preserve"> (</w:t>
      </w:r>
      <w:r w:rsidR="009C047F" w:rsidRPr="002A2606">
        <w:rPr>
          <w:rFonts w:ascii="Calibri" w:hAnsi="Calibri" w:cs="Calibri"/>
          <w:sz w:val="20"/>
          <w:szCs w:val="22"/>
          <w:lang w:val="en-US"/>
        </w:rPr>
        <w:t>GEL</w:t>
      </w:r>
      <w:r w:rsidR="00F83C7B" w:rsidRPr="002A2606">
        <w:rPr>
          <w:rFonts w:ascii="Calibri" w:hAnsi="Calibri" w:cs="Calibri"/>
          <w:sz w:val="20"/>
          <w:szCs w:val="22"/>
          <w:lang w:val="en-US"/>
        </w:rPr>
        <w:t>)</w:t>
      </w:r>
      <w:r>
        <w:rPr>
          <w:rFonts w:ascii="Calibri" w:hAnsi="Calibri" w:cs="Calibri"/>
          <w:sz w:val="20"/>
          <w:szCs w:val="22"/>
          <w:lang w:val="en-US"/>
        </w:rPr>
        <w:t xml:space="preserve"> </w:t>
      </w:r>
      <w:r w:rsidR="00904E9B" w:rsidRPr="002A2606">
        <w:rPr>
          <w:rFonts w:ascii="Calibri" w:hAnsi="Calibri" w:cs="Calibri"/>
          <w:sz w:val="20"/>
          <w:szCs w:val="22"/>
          <w:lang w:val="en-US"/>
        </w:rPr>
        <w:t xml:space="preserve">: USD = </w:t>
      </w:r>
      <w:r w:rsidR="009C047F" w:rsidRPr="002A2606">
        <w:rPr>
          <w:rFonts w:ascii="Calibri" w:hAnsi="Calibri" w:cs="Calibri"/>
          <w:sz w:val="20"/>
          <w:szCs w:val="22"/>
          <w:lang w:val="en-US"/>
        </w:rPr>
        <w:t>2.702</w:t>
      </w:r>
    </w:p>
    <w:tbl>
      <w:tblPr>
        <w:tblW w:w="92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144"/>
        <w:gridCol w:w="8134"/>
      </w:tblGrid>
      <w:tr w:rsidR="006013A5" w:rsidRPr="00614914" w14:paraId="399399F7" w14:textId="77777777" w:rsidTr="009B5678">
        <w:trPr>
          <w:trHeight w:val="170"/>
        </w:trPr>
        <w:tc>
          <w:tcPr>
            <w:tcW w:w="1144" w:type="dxa"/>
            <w:shd w:val="clear" w:color="auto" w:fill="auto"/>
            <w:noWrap/>
            <w:tcMar>
              <w:left w:w="0" w:type="dxa"/>
              <w:right w:w="0" w:type="dxa"/>
            </w:tcMar>
            <w:vAlign w:val="center"/>
          </w:tcPr>
          <w:p w14:paraId="46496F8D" w14:textId="3E76C67B" w:rsidR="006013A5" w:rsidRPr="00614914" w:rsidRDefault="006013A5" w:rsidP="00D53598">
            <w:pPr>
              <w:contextualSpacing/>
              <w:rPr>
                <w:rFonts w:ascii="Calibri" w:hAnsi="Calibri"/>
                <w:sz w:val="18"/>
                <w:szCs w:val="18"/>
              </w:rPr>
            </w:pPr>
            <w:r w:rsidRPr="00614914">
              <w:rPr>
                <w:rFonts w:ascii="Calibri" w:hAnsi="Calibri"/>
                <w:sz w:val="18"/>
                <w:szCs w:val="18"/>
              </w:rPr>
              <w:t>A</w:t>
            </w:r>
            <w:r w:rsidR="001C62AC" w:rsidRPr="00614914">
              <w:rPr>
                <w:rFonts w:ascii="Calibri" w:hAnsi="Calibri"/>
                <w:sz w:val="18"/>
                <w:szCs w:val="18"/>
              </w:rPr>
              <w:t>R</w:t>
            </w:r>
            <w:r w:rsidR="005813EA" w:rsidRPr="00614914">
              <w:rPr>
                <w:rFonts w:ascii="Calibri" w:hAnsi="Calibri"/>
                <w:sz w:val="18"/>
                <w:szCs w:val="18"/>
              </w:rPr>
              <w:t>A</w:t>
            </w:r>
            <w:r w:rsidRPr="00614914">
              <w:rPr>
                <w:rFonts w:ascii="Calibri" w:hAnsi="Calibri"/>
                <w:sz w:val="18"/>
                <w:szCs w:val="18"/>
              </w:rPr>
              <w:t xml:space="preserve"> </w:t>
            </w:r>
          </w:p>
        </w:tc>
        <w:tc>
          <w:tcPr>
            <w:tcW w:w="8134" w:type="dxa"/>
            <w:shd w:val="clear" w:color="auto" w:fill="auto"/>
            <w:noWrap/>
            <w:tcMar>
              <w:left w:w="0" w:type="dxa"/>
              <w:right w:w="0" w:type="dxa"/>
            </w:tcMar>
            <w:vAlign w:val="center"/>
          </w:tcPr>
          <w:p w14:paraId="0A495020" w14:textId="1959D1C7" w:rsidR="001C62AC" w:rsidRPr="00614914" w:rsidRDefault="005813EA" w:rsidP="00614914">
            <w:pPr>
              <w:widowControl w:val="0"/>
              <w:overflowPunct/>
              <w:contextualSpacing/>
              <w:textAlignment w:val="auto"/>
              <w:rPr>
                <w:rFonts w:ascii="Calibri" w:hAnsi="Calibri"/>
                <w:sz w:val="18"/>
                <w:szCs w:val="18"/>
              </w:rPr>
            </w:pPr>
            <w:r w:rsidRPr="00614914">
              <w:rPr>
                <w:rFonts w:ascii="Calibri" w:hAnsi="Calibri"/>
                <w:sz w:val="18"/>
                <w:szCs w:val="18"/>
              </w:rPr>
              <w:t>T</w:t>
            </w:r>
            <w:r w:rsidRPr="00614914">
              <w:rPr>
                <w:rFonts w:ascii="Arial Narrow" w:hAnsi="Arial Narrow"/>
                <w:sz w:val="18"/>
                <w:szCs w:val="18"/>
              </w:rPr>
              <w:t xml:space="preserve">he </w:t>
            </w:r>
            <w:r w:rsidR="006013A5" w:rsidRPr="00614914">
              <w:rPr>
                <w:rFonts w:ascii="Arial Narrow" w:hAnsi="Arial Narrow"/>
                <w:sz w:val="18"/>
                <w:szCs w:val="18"/>
              </w:rPr>
              <w:t>Autonomous Re</w:t>
            </w:r>
            <w:r w:rsidR="001F1525" w:rsidRPr="00614914">
              <w:rPr>
                <w:rFonts w:ascii="Arial Narrow" w:hAnsi="Arial Narrow"/>
                <w:sz w:val="18"/>
                <w:szCs w:val="18"/>
              </w:rPr>
              <w:t>public</w:t>
            </w:r>
            <w:r w:rsidR="001C62AC" w:rsidRPr="00614914">
              <w:rPr>
                <w:rFonts w:ascii="Arial Narrow" w:hAnsi="Arial Narrow"/>
                <w:sz w:val="18"/>
                <w:szCs w:val="18"/>
              </w:rPr>
              <w:t xml:space="preserve"> </w:t>
            </w:r>
            <w:r w:rsidRPr="00614914">
              <w:rPr>
                <w:rFonts w:ascii="Arial Narrow" w:hAnsi="Arial Narrow"/>
                <w:noProof/>
                <w:sz w:val="18"/>
                <w:szCs w:val="18"/>
                <w:lang w:val="en-US"/>
              </w:rPr>
              <w:drawing>
                <wp:inline distT="0" distB="0" distL="0" distR="0" wp14:anchorId="51B8F462" wp14:editId="3F8426D9">
                  <wp:extent cx="10795" cy="10795"/>
                  <wp:effectExtent l="0" t="0" r="0" b="0"/>
                  <wp:docPr id="20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614914">
              <w:rPr>
                <w:rFonts w:ascii="Arial Narrow" w:hAnsi="Arial Narrow"/>
                <w:sz w:val="18"/>
                <w:szCs w:val="18"/>
              </w:rPr>
              <w:t xml:space="preserve">of Achara </w:t>
            </w:r>
            <w:r w:rsidR="00D53598" w:rsidRPr="00614914">
              <w:rPr>
                <w:rFonts w:ascii="Arial Narrow" w:hAnsi="Arial Narrow"/>
                <w:sz w:val="18"/>
                <w:szCs w:val="18"/>
              </w:rPr>
              <w:t>in Georgia</w:t>
            </w:r>
            <w:r w:rsidR="001C62AC" w:rsidRPr="00614914">
              <w:rPr>
                <w:rFonts w:ascii="Arial Narrow" w:hAnsi="Arial Narrow"/>
                <w:sz w:val="18"/>
                <w:szCs w:val="18"/>
              </w:rPr>
              <w:t xml:space="preserve"> has its own parliament and legislative system, established </w:t>
            </w:r>
            <w:r w:rsidR="00DD786B" w:rsidRPr="00614914">
              <w:rPr>
                <w:rFonts w:ascii="Arial Narrow" w:hAnsi="Arial Narrow"/>
                <w:sz w:val="18"/>
                <w:szCs w:val="18"/>
              </w:rPr>
              <w:t>after</w:t>
            </w:r>
            <w:r w:rsidR="001C62AC" w:rsidRPr="00614914">
              <w:rPr>
                <w:rFonts w:ascii="Arial Narrow" w:hAnsi="Arial Narrow"/>
                <w:sz w:val="18"/>
                <w:szCs w:val="18"/>
              </w:rPr>
              <w:t xml:space="preserve"> the collapse of the Soviet Union and Georgia’s independence (1991). Note</w:t>
            </w:r>
            <w:r w:rsidR="00DD786B" w:rsidRPr="00614914">
              <w:rPr>
                <w:rFonts w:ascii="Arial Narrow" w:hAnsi="Arial Narrow"/>
                <w:sz w:val="18"/>
                <w:szCs w:val="18"/>
              </w:rPr>
              <w:t xml:space="preserve">: </w:t>
            </w:r>
            <w:r w:rsidR="00614914">
              <w:rPr>
                <w:rFonts w:ascii="Arial Narrow" w:hAnsi="Arial Narrow"/>
                <w:sz w:val="18"/>
                <w:szCs w:val="18"/>
              </w:rPr>
              <w:t>T</w:t>
            </w:r>
            <w:r w:rsidR="006013A5" w:rsidRPr="00614914">
              <w:rPr>
                <w:rFonts w:ascii="Arial Narrow" w:hAnsi="Arial Narrow"/>
                <w:sz w:val="18"/>
                <w:szCs w:val="18"/>
              </w:rPr>
              <w:t xml:space="preserve">ransliterated </w:t>
            </w:r>
            <w:r w:rsidR="001C62AC" w:rsidRPr="00614914">
              <w:rPr>
                <w:rFonts w:ascii="Arial Narrow" w:hAnsi="Arial Narrow"/>
                <w:sz w:val="18"/>
                <w:szCs w:val="18"/>
              </w:rPr>
              <w:t>of the Georgian name for this</w:t>
            </w:r>
            <w:r w:rsidR="006013A5" w:rsidRPr="00614914">
              <w:rPr>
                <w:rFonts w:ascii="Arial Narrow" w:hAnsi="Arial Narrow"/>
                <w:sz w:val="18"/>
                <w:szCs w:val="18"/>
              </w:rPr>
              <w:t xml:space="preserve"> region is </w:t>
            </w:r>
            <w:r w:rsidRPr="00E60FB2">
              <w:rPr>
                <w:rFonts w:ascii="Arial Narrow" w:hAnsi="Arial Narrow"/>
                <w:sz w:val="18"/>
                <w:szCs w:val="18"/>
              </w:rPr>
              <w:t>officially A</w:t>
            </w:r>
            <w:r w:rsidR="00587144" w:rsidRPr="00E60FB2">
              <w:rPr>
                <w:rFonts w:ascii="Arial Narrow" w:hAnsi="Arial Narrow"/>
                <w:sz w:val="18"/>
                <w:szCs w:val="18"/>
              </w:rPr>
              <w:t>d</w:t>
            </w:r>
            <w:r w:rsidR="001C62AC" w:rsidRPr="00E60FB2">
              <w:rPr>
                <w:rFonts w:ascii="Arial Narrow" w:hAnsi="Arial Narrow"/>
                <w:sz w:val="18"/>
                <w:szCs w:val="18"/>
              </w:rPr>
              <w:t>jara</w:t>
            </w:r>
            <w:r w:rsidR="001C62AC" w:rsidRPr="00614914">
              <w:rPr>
                <w:rFonts w:ascii="Arial Narrow" w:hAnsi="Arial Narrow"/>
                <w:sz w:val="18"/>
                <w:szCs w:val="18"/>
              </w:rPr>
              <w:t xml:space="preserve"> but </w:t>
            </w:r>
            <w:r w:rsidR="003A7183" w:rsidRPr="00614914">
              <w:rPr>
                <w:rFonts w:ascii="Arial Narrow" w:hAnsi="Arial Narrow"/>
                <w:sz w:val="18"/>
                <w:szCs w:val="18"/>
              </w:rPr>
              <w:t xml:space="preserve">other spellings exist, including Achara that has been adopted in </w:t>
            </w:r>
            <w:r w:rsidR="006013A5" w:rsidRPr="00614914">
              <w:rPr>
                <w:rFonts w:ascii="Arial Narrow" w:hAnsi="Arial Narrow"/>
                <w:sz w:val="18"/>
                <w:szCs w:val="18"/>
              </w:rPr>
              <w:t>the UNDP-GEF Project Document.</w:t>
            </w:r>
            <w:r w:rsidR="006013A5" w:rsidRPr="00614914">
              <w:rPr>
                <w:rFonts w:ascii="Calibri" w:hAnsi="Calibri"/>
                <w:sz w:val="18"/>
                <w:szCs w:val="18"/>
              </w:rPr>
              <w:t xml:space="preserve"> </w:t>
            </w:r>
          </w:p>
        </w:tc>
      </w:tr>
      <w:tr w:rsidR="006013A5" w:rsidRPr="00614914" w14:paraId="7D5C9895" w14:textId="77777777" w:rsidTr="009B5678">
        <w:trPr>
          <w:trHeight w:val="170"/>
        </w:trPr>
        <w:tc>
          <w:tcPr>
            <w:tcW w:w="1144" w:type="dxa"/>
            <w:shd w:val="clear" w:color="auto" w:fill="auto"/>
            <w:noWrap/>
            <w:tcMar>
              <w:left w:w="0" w:type="dxa"/>
              <w:right w:w="0" w:type="dxa"/>
            </w:tcMar>
            <w:vAlign w:val="center"/>
          </w:tcPr>
          <w:p w14:paraId="21BF552C" w14:textId="77777777" w:rsidR="006013A5" w:rsidRPr="00614914" w:rsidRDefault="006013A5" w:rsidP="00D53598">
            <w:pPr>
              <w:rPr>
                <w:rFonts w:ascii="Calibri" w:hAnsi="Calibri"/>
                <w:sz w:val="18"/>
                <w:szCs w:val="18"/>
              </w:rPr>
            </w:pPr>
            <w:r w:rsidRPr="00614914">
              <w:rPr>
                <w:rFonts w:ascii="Calibri" w:hAnsi="Calibri"/>
                <w:sz w:val="18"/>
                <w:szCs w:val="18"/>
              </w:rPr>
              <w:t>APA</w:t>
            </w:r>
          </w:p>
        </w:tc>
        <w:tc>
          <w:tcPr>
            <w:tcW w:w="8134" w:type="dxa"/>
            <w:shd w:val="clear" w:color="auto" w:fill="auto"/>
            <w:noWrap/>
            <w:tcMar>
              <w:left w:w="0" w:type="dxa"/>
              <w:right w:w="0" w:type="dxa"/>
            </w:tcMar>
            <w:vAlign w:val="center"/>
          </w:tcPr>
          <w:p w14:paraId="4433414A" w14:textId="77777777" w:rsidR="006013A5" w:rsidRPr="00614914" w:rsidRDefault="006013A5" w:rsidP="00D53598">
            <w:pPr>
              <w:rPr>
                <w:rFonts w:ascii="Calibri" w:hAnsi="Calibri"/>
                <w:sz w:val="18"/>
                <w:szCs w:val="18"/>
              </w:rPr>
            </w:pPr>
            <w:r w:rsidRPr="00614914">
              <w:rPr>
                <w:rFonts w:ascii="Calibri" w:hAnsi="Calibri"/>
                <w:sz w:val="18"/>
                <w:szCs w:val="18"/>
              </w:rPr>
              <w:t>Agency for Protected Areas</w:t>
            </w:r>
          </w:p>
        </w:tc>
      </w:tr>
      <w:tr w:rsidR="006013A5" w:rsidRPr="00614914" w14:paraId="716BD57C" w14:textId="77777777" w:rsidTr="009B5678">
        <w:trPr>
          <w:trHeight w:val="170"/>
        </w:trPr>
        <w:tc>
          <w:tcPr>
            <w:tcW w:w="1144" w:type="dxa"/>
            <w:shd w:val="clear" w:color="auto" w:fill="auto"/>
            <w:noWrap/>
            <w:tcMar>
              <w:left w:w="0" w:type="dxa"/>
              <w:right w:w="0" w:type="dxa"/>
            </w:tcMar>
            <w:vAlign w:val="center"/>
          </w:tcPr>
          <w:p w14:paraId="64569120" w14:textId="77777777" w:rsidR="006013A5" w:rsidRPr="00614914" w:rsidRDefault="006013A5" w:rsidP="00D53598">
            <w:pPr>
              <w:rPr>
                <w:rFonts w:ascii="Calibri" w:hAnsi="Calibri"/>
                <w:sz w:val="18"/>
                <w:szCs w:val="18"/>
              </w:rPr>
            </w:pPr>
            <w:r w:rsidRPr="00614914">
              <w:rPr>
                <w:rFonts w:ascii="Calibri" w:hAnsi="Calibri"/>
                <w:sz w:val="18"/>
                <w:szCs w:val="18"/>
              </w:rPr>
              <w:t>APR</w:t>
            </w:r>
          </w:p>
        </w:tc>
        <w:tc>
          <w:tcPr>
            <w:tcW w:w="8134" w:type="dxa"/>
            <w:shd w:val="clear" w:color="auto" w:fill="auto"/>
            <w:noWrap/>
            <w:tcMar>
              <w:left w:w="0" w:type="dxa"/>
              <w:right w:w="0" w:type="dxa"/>
            </w:tcMar>
            <w:vAlign w:val="center"/>
          </w:tcPr>
          <w:p w14:paraId="680A6259" w14:textId="77777777" w:rsidR="006013A5" w:rsidRPr="00614914" w:rsidRDefault="006013A5" w:rsidP="00D53598">
            <w:pPr>
              <w:rPr>
                <w:rFonts w:ascii="Calibri" w:hAnsi="Calibri"/>
                <w:sz w:val="18"/>
                <w:szCs w:val="18"/>
              </w:rPr>
            </w:pPr>
            <w:r w:rsidRPr="00614914">
              <w:rPr>
                <w:rFonts w:ascii="Calibri" w:hAnsi="Calibri"/>
                <w:sz w:val="18"/>
                <w:szCs w:val="18"/>
              </w:rPr>
              <w:t>Annual Progress Report</w:t>
            </w:r>
          </w:p>
        </w:tc>
      </w:tr>
      <w:tr w:rsidR="006013A5" w:rsidRPr="00614914" w14:paraId="1E6374DF" w14:textId="77777777" w:rsidTr="009B5678">
        <w:trPr>
          <w:trHeight w:val="170"/>
        </w:trPr>
        <w:tc>
          <w:tcPr>
            <w:tcW w:w="1144" w:type="dxa"/>
            <w:shd w:val="clear" w:color="auto" w:fill="auto"/>
            <w:noWrap/>
            <w:tcMar>
              <w:left w:w="0" w:type="dxa"/>
              <w:right w:w="0" w:type="dxa"/>
            </w:tcMar>
            <w:vAlign w:val="center"/>
          </w:tcPr>
          <w:p w14:paraId="1BD09950" w14:textId="77777777" w:rsidR="006013A5" w:rsidRPr="00614914" w:rsidRDefault="006013A5" w:rsidP="00D53598">
            <w:pPr>
              <w:rPr>
                <w:rFonts w:ascii="Calibri" w:hAnsi="Calibri"/>
                <w:sz w:val="18"/>
                <w:szCs w:val="18"/>
              </w:rPr>
            </w:pPr>
            <w:r w:rsidRPr="00614914">
              <w:rPr>
                <w:rFonts w:ascii="Calibri" w:hAnsi="Calibri"/>
                <w:sz w:val="18"/>
                <w:szCs w:val="18"/>
              </w:rPr>
              <w:t>AWP</w:t>
            </w:r>
          </w:p>
        </w:tc>
        <w:tc>
          <w:tcPr>
            <w:tcW w:w="8134" w:type="dxa"/>
            <w:shd w:val="clear" w:color="auto" w:fill="auto"/>
            <w:noWrap/>
            <w:tcMar>
              <w:left w:w="0" w:type="dxa"/>
              <w:right w:w="0" w:type="dxa"/>
            </w:tcMar>
            <w:vAlign w:val="center"/>
          </w:tcPr>
          <w:p w14:paraId="2C9655B9" w14:textId="77777777" w:rsidR="006013A5" w:rsidRPr="00614914" w:rsidRDefault="006013A5" w:rsidP="00D53598">
            <w:pPr>
              <w:rPr>
                <w:rFonts w:ascii="Calibri" w:hAnsi="Calibri"/>
                <w:sz w:val="18"/>
                <w:szCs w:val="18"/>
              </w:rPr>
            </w:pPr>
            <w:r w:rsidRPr="00614914">
              <w:rPr>
                <w:rFonts w:ascii="Calibri" w:hAnsi="Calibri"/>
                <w:sz w:val="18"/>
                <w:szCs w:val="18"/>
              </w:rPr>
              <w:t>Annual Work Plan</w:t>
            </w:r>
          </w:p>
        </w:tc>
      </w:tr>
      <w:tr w:rsidR="006013A5" w:rsidRPr="00614914" w14:paraId="7AF35210" w14:textId="77777777" w:rsidTr="009B5678">
        <w:trPr>
          <w:trHeight w:val="170"/>
        </w:trPr>
        <w:tc>
          <w:tcPr>
            <w:tcW w:w="1144" w:type="dxa"/>
            <w:shd w:val="clear" w:color="auto" w:fill="auto"/>
            <w:noWrap/>
            <w:tcMar>
              <w:left w:w="0" w:type="dxa"/>
              <w:right w:w="0" w:type="dxa"/>
            </w:tcMar>
            <w:vAlign w:val="center"/>
          </w:tcPr>
          <w:p w14:paraId="6887609B" w14:textId="77777777" w:rsidR="006013A5" w:rsidRPr="00614914" w:rsidRDefault="006013A5" w:rsidP="00D53598">
            <w:pPr>
              <w:rPr>
                <w:rFonts w:ascii="Calibri" w:hAnsi="Calibri"/>
                <w:sz w:val="18"/>
                <w:szCs w:val="18"/>
              </w:rPr>
            </w:pPr>
            <w:r w:rsidRPr="00614914">
              <w:rPr>
                <w:rFonts w:ascii="Calibri" w:hAnsi="Calibri"/>
                <w:sz w:val="18"/>
                <w:szCs w:val="18"/>
              </w:rPr>
              <w:t>CBD</w:t>
            </w:r>
          </w:p>
        </w:tc>
        <w:tc>
          <w:tcPr>
            <w:tcW w:w="8134" w:type="dxa"/>
            <w:shd w:val="clear" w:color="auto" w:fill="auto"/>
            <w:noWrap/>
            <w:tcMar>
              <w:left w:w="0" w:type="dxa"/>
              <w:right w:w="0" w:type="dxa"/>
            </w:tcMar>
            <w:vAlign w:val="center"/>
          </w:tcPr>
          <w:p w14:paraId="2C921318" w14:textId="77777777" w:rsidR="006013A5" w:rsidRPr="00614914" w:rsidRDefault="006013A5" w:rsidP="00D53598">
            <w:pPr>
              <w:rPr>
                <w:rFonts w:ascii="Calibri" w:hAnsi="Calibri"/>
                <w:sz w:val="18"/>
                <w:szCs w:val="18"/>
              </w:rPr>
            </w:pPr>
            <w:r w:rsidRPr="00614914">
              <w:rPr>
                <w:rFonts w:ascii="Calibri" w:hAnsi="Calibri"/>
                <w:sz w:val="18"/>
                <w:szCs w:val="18"/>
              </w:rPr>
              <w:t>Convention on Biological Diversity</w:t>
            </w:r>
          </w:p>
        </w:tc>
      </w:tr>
      <w:tr w:rsidR="006013A5" w:rsidRPr="00614914" w14:paraId="15F91EDC" w14:textId="77777777" w:rsidTr="009B5678">
        <w:trPr>
          <w:trHeight w:val="170"/>
        </w:trPr>
        <w:tc>
          <w:tcPr>
            <w:tcW w:w="1144" w:type="dxa"/>
            <w:shd w:val="clear" w:color="auto" w:fill="auto"/>
            <w:noWrap/>
            <w:tcMar>
              <w:left w:w="0" w:type="dxa"/>
              <w:right w:w="0" w:type="dxa"/>
            </w:tcMar>
            <w:vAlign w:val="center"/>
          </w:tcPr>
          <w:p w14:paraId="63A0218D" w14:textId="77777777" w:rsidR="006013A5" w:rsidRPr="00614914" w:rsidRDefault="006013A5" w:rsidP="00D53598">
            <w:pPr>
              <w:rPr>
                <w:rFonts w:ascii="Calibri" w:hAnsi="Calibri"/>
                <w:sz w:val="18"/>
                <w:szCs w:val="18"/>
              </w:rPr>
            </w:pPr>
            <w:r w:rsidRPr="00614914">
              <w:rPr>
                <w:rFonts w:ascii="Calibri" w:hAnsi="Calibri"/>
                <w:sz w:val="18"/>
                <w:szCs w:val="18"/>
              </w:rPr>
              <w:t>CBO</w:t>
            </w:r>
          </w:p>
        </w:tc>
        <w:tc>
          <w:tcPr>
            <w:tcW w:w="8134" w:type="dxa"/>
            <w:shd w:val="clear" w:color="auto" w:fill="auto"/>
            <w:noWrap/>
            <w:tcMar>
              <w:left w:w="0" w:type="dxa"/>
              <w:right w:w="0" w:type="dxa"/>
            </w:tcMar>
            <w:vAlign w:val="center"/>
          </w:tcPr>
          <w:p w14:paraId="1134143D" w14:textId="77777777" w:rsidR="006013A5" w:rsidRPr="00614914" w:rsidRDefault="006013A5" w:rsidP="00D53598">
            <w:pPr>
              <w:rPr>
                <w:rFonts w:ascii="Calibri" w:hAnsi="Calibri"/>
                <w:sz w:val="18"/>
                <w:szCs w:val="18"/>
              </w:rPr>
            </w:pPr>
            <w:r w:rsidRPr="00614914">
              <w:rPr>
                <w:rFonts w:ascii="Calibri" w:hAnsi="Calibri"/>
                <w:sz w:val="18"/>
                <w:szCs w:val="18"/>
              </w:rPr>
              <w:t>Community Based Organisation</w:t>
            </w:r>
          </w:p>
        </w:tc>
      </w:tr>
      <w:tr w:rsidR="006013A5" w:rsidRPr="00614914" w14:paraId="5ACC9680" w14:textId="77777777" w:rsidTr="009B5678">
        <w:trPr>
          <w:trHeight w:val="170"/>
        </w:trPr>
        <w:tc>
          <w:tcPr>
            <w:tcW w:w="1144" w:type="dxa"/>
            <w:shd w:val="clear" w:color="auto" w:fill="auto"/>
            <w:noWrap/>
            <w:tcMar>
              <w:left w:w="0" w:type="dxa"/>
              <w:right w:w="0" w:type="dxa"/>
            </w:tcMar>
            <w:vAlign w:val="center"/>
          </w:tcPr>
          <w:p w14:paraId="1121A854" w14:textId="77777777" w:rsidR="006013A5" w:rsidRPr="00614914" w:rsidRDefault="006013A5" w:rsidP="00D53598">
            <w:pPr>
              <w:contextualSpacing/>
              <w:rPr>
                <w:rFonts w:ascii="Calibri" w:hAnsi="Calibri"/>
                <w:sz w:val="18"/>
                <w:szCs w:val="18"/>
              </w:rPr>
            </w:pPr>
            <w:r w:rsidRPr="00614914">
              <w:rPr>
                <w:rFonts w:ascii="Calibri" w:hAnsi="Calibri"/>
                <w:sz w:val="18"/>
                <w:szCs w:val="18"/>
              </w:rPr>
              <w:t xml:space="preserve">CEO </w:t>
            </w:r>
          </w:p>
        </w:tc>
        <w:tc>
          <w:tcPr>
            <w:tcW w:w="8134" w:type="dxa"/>
            <w:shd w:val="clear" w:color="auto" w:fill="auto"/>
            <w:noWrap/>
            <w:tcMar>
              <w:left w:w="0" w:type="dxa"/>
              <w:right w:w="0" w:type="dxa"/>
            </w:tcMar>
            <w:vAlign w:val="center"/>
          </w:tcPr>
          <w:p w14:paraId="53436027" w14:textId="5010E961" w:rsidR="006013A5" w:rsidRPr="00614914" w:rsidRDefault="006013A5" w:rsidP="00D53598">
            <w:pPr>
              <w:contextualSpacing/>
              <w:rPr>
                <w:rFonts w:ascii="Calibri" w:hAnsi="Calibri"/>
                <w:sz w:val="18"/>
                <w:szCs w:val="18"/>
              </w:rPr>
            </w:pPr>
            <w:r w:rsidRPr="00614914">
              <w:rPr>
                <w:rFonts w:ascii="Calibri" w:hAnsi="Calibri"/>
                <w:sz w:val="18"/>
                <w:szCs w:val="18"/>
              </w:rPr>
              <w:t>Chief Executive Officer (refer</w:t>
            </w:r>
            <w:r w:rsidR="009A54CE" w:rsidRPr="00614914">
              <w:rPr>
                <w:rFonts w:ascii="Calibri" w:hAnsi="Calibri"/>
                <w:sz w:val="18"/>
                <w:szCs w:val="18"/>
              </w:rPr>
              <w:t xml:space="preserve">s </w:t>
            </w:r>
            <w:r w:rsidRPr="00614914">
              <w:rPr>
                <w:rFonts w:ascii="Calibri" w:hAnsi="Calibri"/>
                <w:sz w:val="18"/>
                <w:szCs w:val="18"/>
              </w:rPr>
              <w:t xml:space="preserve">to GEF) </w:t>
            </w:r>
          </w:p>
        </w:tc>
      </w:tr>
      <w:tr w:rsidR="006013A5" w:rsidRPr="00614914" w14:paraId="7DE8ADCC" w14:textId="77777777" w:rsidTr="009B5678">
        <w:trPr>
          <w:trHeight w:val="170"/>
        </w:trPr>
        <w:tc>
          <w:tcPr>
            <w:tcW w:w="1144" w:type="dxa"/>
            <w:shd w:val="clear" w:color="auto" w:fill="auto"/>
            <w:noWrap/>
            <w:tcMar>
              <w:left w:w="0" w:type="dxa"/>
              <w:right w:w="0" w:type="dxa"/>
            </w:tcMar>
            <w:vAlign w:val="center"/>
          </w:tcPr>
          <w:p w14:paraId="0F0BAA6B" w14:textId="77777777" w:rsidR="006013A5" w:rsidRPr="00614914" w:rsidRDefault="006013A5" w:rsidP="00D53598">
            <w:pPr>
              <w:rPr>
                <w:rFonts w:ascii="Calibri" w:hAnsi="Calibri"/>
                <w:sz w:val="18"/>
                <w:szCs w:val="18"/>
              </w:rPr>
            </w:pPr>
            <w:r w:rsidRPr="00614914">
              <w:rPr>
                <w:rFonts w:ascii="Calibri" w:hAnsi="Calibri"/>
                <w:sz w:val="18"/>
                <w:szCs w:val="18"/>
              </w:rPr>
              <w:t>CNF</w:t>
            </w:r>
          </w:p>
        </w:tc>
        <w:tc>
          <w:tcPr>
            <w:tcW w:w="8134" w:type="dxa"/>
            <w:shd w:val="clear" w:color="auto" w:fill="auto"/>
            <w:noWrap/>
            <w:tcMar>
              <w:left w:w="0" w:type="dxa"/>
              <w:right w:w="0" w:type="dxa"/>
            </w:tcMar>
            <w:vAlign w:val="center"/>
          </w:tcPr>
          <w:p w14:paraId="4D959101" w14:textId="77777777" w:rsidR="006013A5" w:rsidRPr="00614914" w:rsidRDefault="006013A5" w:rsidP="00D53598">
            <w:pPr>
              <w:rPr>
                <w:rFonts w:ascii="Calibri" w:hAnsi="Calibri"/>
                <w:sz w:val="18"/>
                <w:szCs w:val="18"/>
              </w:rPr>
            </w:pPr>
            <w:r w:rsidRPr="00614914">
              <w:rPr>
                <w:rFonts w:ascii="Calibri" w:hAnsi="Calibri"/>
                <w:sz w:val="18"/>
                <w:szCs w:val="18"/>
              </w:rPr>
              <w:t>Caucasus Nature Fund</w:t>
            </w:r>
          </w:p>
        </w:tc>
      </w:tr>
      <w:tr w:rsidR="006013A5" w:rsidRPr="00614914" w14:paraId="70CB84B7" w14:textId="77777777" w:rsidTr="009B5678">
        <w:trPr>
          <w:trHeight w:val="170"/>
        </w:trPr>
        <w:tc>
          <w:tcPr>
            <w:tcW w:w="1144" w:type="dxa"/>
            <w:shd w:val="clear" w:color="auto" w:fill="auto"/>
            <w:noWrap/>
            <w:tcMar>
              <w:left w:w="0" w:type="dxa"/>
              <w:right w:w="0" w:type="dxa"/>
            </w:tcMar>
            <w:vAlign w:val="center"/>
          </w:tcPr>
          <w:p w14:paraId="52C35BDE" w14:textId="77777777" w:rsidR="006013A5" w:rsidRPr="00614914" w:rsidRDefault="006013A5" w:rsidP="00D53598">
            <w:pPr>
              <w:rPr>
                <w:rFonts w:ascii="Calibri" w:hAnsi="Calibri"/>
                <w:sz w:val="18"/>
                <w:szCs w:val="18"/>
              </w:rPr>
            </w:pPr>
            <w:r w:rsidRPr="00614914">
              <w:rPr>
                <w:rFonts w:ascii="Calibri" w:hAnsi="Calibri"/>
                <w:sz w:val="18"/>
                <w:szCs w:val="18"/>
              </w:rPr>
              <w:t>CPAP</w:t>
            </w:r>
          </w:p>
        </w:tc>
        <w:tc>
          <w:tcPr>
            <w:tcW w:w="8134" w:type="dxa"/>
            <w:shd w:val="clear" w:color="auto" w:fill="auto"/>
            <w:noWrap/>
            <w:tcMar>
              <w:left w:w="0" w:type="dxa"/>
              <w:right w:w="0" w:type="dxa"/>
            </w:tcMar>
            <w:vAlign w:val="center"/>
          </w:tcPr>
          <w:p w14:paraId="2BA840D2" w14:textId="77777777" w:rsidR="006013A5" w:rsidRPr="00614914" w:rsidRDefault="006013A5" w:rsidP="00D53598">
            <w:pPr>
              <w:rPr>
                <w:rFonts w:ascii="Calibri" w:hAnsi="Calibri"/>
                <w:sz w:val="18"/>
                <w:szCs w:val="18"/>
              </w:rPr>
            </w:pPr>
            <w:r w:rsidRPr="00614914">
              <w:rPr>
                <w:rFonts w:ascii="Calibri" w:hAnsi="Calibri"/>
                <w:sz w:val="18"/>
                <w:szCs w:val="18"/>
              </w:rPr>
              <w:t>Country Programme Action Plan</w:t>
            </w:r>
          </w:p>
        </w:tc>
      </w:tr>
      <w:tr w:rsidR="006013A5" w:rsidRPr="00614914" w14:paraId="432AA9D2" w14:textId="77777777" w:rsidTr="009B5678">
        <w:trPr>
          <w:trHeight w:val="170"/>
        </w:trPr>
        <w:tc>
          <w:tcPr>
            <w:tcW w:w="1144" w:type="dxa"/>
            <w:shd w:val="clear" w:color="auto" w:fill="auto"/>
            <w:noWrap/>
            <w:tcMar>
              <w:left w:w="0" w:type="dxa"/>
              <w:right w:w="0" w:type="dxa"/>
            </w:tcMar>
            <w:vAlign w:val="center"/>
          </w:tcPr>
          <w:p w14:paraId="4AAF44CF" w14:textId="77777777" w:rsidR="006013A5" w:rsidRPr="00614914" w:rsidRDefault="006013A5" w:rsidP="00D53598">
            <w:pPr>
              <w:rPr>
                <w:rFonts w:ascii="Calibri" w:hAnsi="Calibri"/>
                <w:sz w:val="18"/>
                <w:szCs w:val="18"/>
              </w:rPr>
            </w:pPr>
            <w:r w:rsidRPr="00614914">
              <w:rPr>
                <w:rFonts w:ascii="Calibri" w:hAnsi="Calibri"/>
                <w:sz w:val="18"/>
                <w:szCs w:val="18"/>
              </w:rPr>
              <w:t>ECPC</w:t>
            </w:r>
          </w:p>
        </w:tc>
        <w:tc>
          <w:tcPr>
            <w:tcW w:w="8134" w:type="dxa"/>
            <w:shd w:val="clear" w:color="auto" w:fill="auto"/>
            <w:noWrap/>
            <w:tcMar>
              <w:left w:w="0" w:type="dxa"/>
              <w:right w:w="0" w:type="dxa"/>
            </w:tcMar>
            <w:vAlign w:val="center"/>
          </w:tcPr>
          <w:p w14:paraId="40EF9B6E" w14:textId="77777777" w:rsidR="006013A5" w:rsidRPr="00614914" w:rsidRDefault="006013A5" w:rsidP="00D53598">
            <w:pPr>
              <w:rPr>
                <w:rFonts w:ascii="Calibri" w:hAnsi="Calibri"/>
                <w:sz w:val="18"/>
                <w:szCs w:val="18"/>
              </w:rPr>
            </w:pPr>
            <w:r w:rsidRPr="00614914">
              <w:rPr>
                <w:rFonts w:ascii="Calibri" w:hAnsi="Calibri"/>
                <w:sz w:val="18"/>
                <w:szCs w:val="18"/>
              </w:rPr>
              <w:t>Eco-regional Conservation Plan for the Caucasus</w:t>
            </w:r>
          </w:p>
        </w:tc>
      </w:tr>
      <w:tr w:rsidR="006013A5" w:rsidRPr="00614914" w14:paraId="44B29930" w14:textId="77777777" w:rsidTr="009B5678">
        <w:trPr>
          <w:trHeight w:val="170"/>
        </w:trPr>
        <w:tc>
          <w:tcPr>
            <w:tcW w:w="1144" w:type="dxa"/>
            <w:shd w:val="clear" w:color="auto" w:fill="auto"/>
            <w:noWrap/>
            <w:tcMar>
              <w:left w:w="0" w:type="dxa"/>
              <w:right w:w="0" w:type="dxa"/>
            </w:tcMar>
            <w:vAlign w:val="center"/>
          </w:tcPr>
          <w:p w14:paraId="56C1B57B" w14:textId="77777777" w:rsidR="006013A5" w:rsidRPr="00614914" w:rsidRDefault="006013A5" w:rsidP="00D53598">
            <w:pPr>
              <w:rPr>
                <w:rFonts w:ascii="Calibri" w:hAnsi="Calibri"/>
                <w:sz w:val="18"/>
                <w:szCs w:val="18"/>
              </w:rPr>
            </w:pPr>
            <w:r w:rsidRPr="00614914">
              <w:rPr>
                <w:rFonts w:ascii="Calibri" w:hAnsi="Calibri"/>
                <w:sz w:val="18"/>
                <w:szCs w:val="18"/>
              </w:rPr>
              <w:t>EIA</w:t>
            </w:r>
          </w:p>
        </w:tc>
        <w:tc>
          <w:tcPr>
            <w:tcW w:w="8134" w:type="dxa"/>
            <w:shd w:val="clear" w:color="auto" w:fill="auto"/>
            <w:noWrap/>
            <w:tcMar>
              <w:left w:w="0" w:type="dxa"/>
              <w:right w:w="0" w:type="dxa"/>
            </w:tcMar>
            <w:vAlign w:val="center"/>
          </w:tcPr>
          <w:p w14:paraId="605C0181" w14:textId="77777777" w:rsidR="006013A5" w:rsidRPr="00614914" w:rsidRDefault="006013A5" w:rsidP="00D53598">
            <w:pPr>
              <w:rPr>
                <w:rFonts w:ascii="Calibri" w:hAnsi="Calibri"/>
                <w:sz w:val="18"/>
                <w:szCs w:val="18"/>
              </w:rPr>
            </w:pPr>
            <w:r w:rsidRPr="00614914">
              <w:rPr>
                <w:rFonts w:ascii="Calibri" w:hAnsi="Calibri"/>
                <w:sz w:val="18"/>
                <w:szCs w:val="18"/>
              </w:rPr>
              <w:t>Environmental Impact Assessment</w:t>
            </w:r>
          </w:p>
        </w:tc>
      </w:tr>
      <w:tr w:rsidR="006013A5" w:rsidRPr="00614914" w14:paraId="11D2FA9E" w14:textId="77777777" w:rsidTr="009B5678">
        <w:trPr>
          <w:trHeight w:val="170"/>
        </w:trPr>
        <w:tc>
          <w:tcPr>
            <w:tcW w:w="1144" w:type="dxa"/>
            <w:shd w:val="clear" w:color="auto" w:fill="auto"/>
            <w:noWrap/>
            <w:tcMar>
              <w:left w:w="0" w:type="dxa"/>
              <w:right w:w="0" w:type="dxa"/>
            </w:tcMar>
            <w:vAlign w:val="center"/>
          </w:tcPr>
          <w:p w14:paraId="12ABB2C9" w14:textId="77777777" w:rsidR="006013A5" w:rsidRPr="00614914" w:rsidRDefault="006013A5" w:rsidP="00D53598">
            <w:pPr>
              <w:contextualSpacing/>
              <w:rPr>
                <w:rFonts w:ascii="Calibri" w:hAnsi="Calibri"/>
                <w:sz w:val="18"/>
                <w:szCs w:val="18"/>
              </w:rPr>
            </w:pPr>
            <w:r w:rsidRPr="00614914">
              <w:rPr>
                <w:rFonts w:ascii="Calibri" w:hAnsi="Calibri"/>
                <w:sz w:val="18"/>
                <w:szCs w:val="18"/>
              </w:rPr>
              <w:t xml:space="preserve">EOP </w:t>
            </w:r>
          </w:p>
        </w:tc>
        <w:tc>
          <w:tcPr>
            <w:tcW w:w="8134" w:type="dxa"/>
            <w:shd w:val="clear" w:color="auto" w:fill="auto"/>
            <w:noWrap/>
            <w:tcMar>
              <w:left w:w="0" w:type="dxa"/>
              <w:right w:w="0" w:type="dxa"/>
            </w:tcMar>
            <w:vAlign w:val="center"/>
          </w:tcPr>
          <w:p w14:paraId="5FF69585" w14:textId="77777777" w:rsidR="006013A5" w:rsidRPr="00614914" w:rsidRDefault="006013A5" w:rsidP="00D53598">
            <w:pPr>
              <w:widowControl w:val="0"/>
              <w:overflowPunct/>
              <w:contextualSpacing/>
              <w:textAlignment w:val="auto"/>
              <w:rPr>
                <w:rFonts w:ascii="Calibri" w:hAnsi="Calibri"/>
                <w:sz w:val="18"/>
                <w:szCs w:val="18"/>
              </w:rPr>
            </w:pPr>
            <w:r w:rsidRPr="00614914">
              <w:rPr>
                <w:rFonts w:ascii="Calibri" w:hAnsi="Calibri"/>
                <w:sz w:val="18"/>
                <w:szCs w:val="18"/>
              </w:rPr>
              <w:t xml:space="preserve">End of Project (usually in the context of targets for indicators) </w:t>
            </w:r>
            <w:r w:rsidRPr="00614914">
              <w:rPr>
                <w:rFonts w:ascii="Calibri" w:hAnsi="Calibri"/>
                <w:noProof/>
                <w:sz w:val="18"/>
                <w:szCs w:val="18"/>
                <w:lang w:val="en-US"/>
              </w:rPr>
              <w:drawing>
                <wp:inline distT="0" distB="0" distL="0" distR="0" wp14:anchorId="4451EC44" wp14:editId="15E1C319">
                  <wp:extent cx="10795" cy="10795"/>
                  <wp:effectExtent l="0" t="0" r="0" b="0"/>
                  <wp:docPr id="20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614914">
              <w:rPr>
                <w:rFonts w:ascii="Calibri" w:hAnsi="Calibri"/>
                <w:sz w:val="18"/>
                <w:szCs w:val="18"/>
              </w:rPr>
              <w:t xml:space="preserve"> </w:t>
            </w:r>
          </w:p>
        </w:tc>
      </w:tr>
      <w:tr w:rsidR="006013A5" w:rsidRPr="00614914" w14:paraId="01E008A1" w14:textId="77777777" w:rsidTr="009B5678">
        <w:trPr>
          <w:trHeight w:val="170"/>
        </w:trPr>
        <w:tc>
          <w:tcPr>
            <w:tcW w:w="1144" w:type="dxa"/>
            <w:shd w:val="clear" w:color="auto" w:fill="auto"/>
            <w:noWrap/>
            <w:tcMar>
              <w:left w:w="0" w:type="dxa"/>
              <w:right w:w="0" w:type="dxa"/>
            </w:tcMar>
            <w:vAlign w:val="center"/>
          </w:tcPr>
          <w:p w14:paraId="65E53711" w14:textId="77777777" w:rsidR="006013A5" w:rsidRPr="00614914" w:rsidRDefault="006013A5" w:rsidP="00D53598">
            <w:pPr>
              <w:rPr>
                <w:rFonts w:ascii="Calibri" w:hAnsi="Calibri"/>
                <w:sz w:val="18"/>
                <w:szCs w:val="18"/>
              </w:rPr>
            </w:pPr>
            <w:r w:rsidRPr="00614914">
              <w:rPr>
                <w:rFonts w:ascii="Calibri" w:hAnsi="Calibri"/>
                <w:sz w:val="18"/>
                <w:szCs w:val="18"/>
              </w:rPr>
              <w:t>EU</w:t>
            </w:r>
          </w:p>
        </w:tc>
        <w:tc>
          <w:tcPr>
            <w:tcW w:w="8134" w:type="dxa"/>
            <w:shd w:val="clear" w:color="auto" w:fill="auto"/>
            <w:noWrap/>
            <w:tcMar>
              <w:left w:w="0" w:type="dxa"/>
              <w:right w:w="0" w:type="dxa"/>
            </w:tcMar>
            <w:vAlign w:val="center"/>
          </w:tcPr>
          <w:p w14:paraId="257E85CE" w14:textId="77777777" w:rsidR="006013A5" w:rsidRPr="00614914" w:rsidRDefault="006013A5" w:rsidP="00D53598">
            <w:pPr>
              <w:rPr>
                <w:rFonts w:ascii="Calibri" w:hAnsi="Calibri"/>
                <w:sz w:val="18"/>
                <w:szCs w:val="18"/>
              </w:rPr>
            </w:pPr>
            <w:r w:rsidRPr="00614914">
              <w:rPr>
                <w:rFonts w:ascii="Calibri" w:hAnsi="Calibri"/>
                <w:sz w:val="18"/>
                <w:szCs w:val="18"/>
              </w:rPr>
              <w:t xml:space="preserve">European Union </w:t>
            </w:r>
          </w:p>
        </w:tc>
      </w:tr>
      <w:tr w:rsidR="006013A5" w:rsidRPr="00614914" w14:paraId="28C515CE" w14:textId="77777777" w:rsidTr="009B5678">
        <w:trPr>
          <w:trHeight w:val="170"/>
        </w:trPr>
        <w:tc>
          <w:tcPr>
            <w:tcW w:w="1144" w:type="dxa"/>
            <w:shd w:val="clear" w:color="auto" w:fill="auto"/>
            <w:noWrap/>
            <w:tcMar>
              <w:left w:w="0" w:type="dxa"/>
              <w:right w:w="0" w:type="dxa"/>
            </w:tcMar>
            <w:vAlign w:val="center"/>
          </w:tcPr>
          <w:p w14:paraId="35C373F6" w14:textId="77777777" w:rsidR="006013A5" w:rsidRPr="00614914" w:rsidRDefault="006013A5" w:rsidP="00D53598">
            <w:pPr>
              <w:contextualSpacing/>
              <w:rPr>
                <w:rFonts w:ascii="Calibri" w:hAnsi="Calibri"/>
                <w:sz w:val="18"/>
                <w:szCs w:val="18"/>
              </w:rPr>
            </w:pPr>
            <w:r w:rsidRPr="00614914">
              <w:rPr>
                <w:rFonts w:ascii="Calibri" w:hAnsi="Calibri"/>
                <w:sz w:val="18"/>
                <w:szCs w:val="18"/>
              </w:rPr>
              <w:t xml:space="preserve">GEF </w:t>
            </w:r>
          </w:p>
        </w:tc>
        <w:tc>
          <w:tcPr>
            <w:tcW w:w="8134" w:type="dxa"/>
            <w:shd w:val="clear" w:color="auto" w:fill="auto"/>
            <w:noWrap/>
            <w:tcMar>
              <w:left w:w="0" w:type="dxa"/>
              <w:right w:w="0" w:type="dxa"/>
            </w:tcMar>
            <w:vAlign w:val="center"/>
          </w:tcPr>
          <w:p w14:paraId="26446435" w14:textId="77777777" w:rsidR="006013A5" w:rsidRPr="00614914" w:rsidRDefault="006013A5" w:rsidP="00D53598">
            <w:pPr>
              <w:contextualSpacing/>
              <w:rPr>
                <w:rFonts w:ascii="Calibri" w:hAnsi="Calibri"/>
                <w:sz w:val="18"/>
                <w:szCs w:val="18"/>
              </w:rPr>
            </w:pPr>
            <w:r w:rsidRPr="00614914">
              <w:rPr>
                <w:rFonts w:ascii="Calibri" w:hAnsi="Calibri"/>
                <w:sz w:val="18"/>
                <w:szCs w:val="18"/>
              </w:rPr>
              <w:t xml:space="preserve">Global Environment Facility </w:t>
            </w:r>
          </w:p>
        </w:tc>
      </w:tr>
      <w:tr w:rsidR="006013A5" w:rsidRPr="00614914" w14:paraId="4A22BDED" w14:textId="77777777" w:rsidTr="009B5678">
        <w:trPr>
          <w:trHeight w:val="170"/>
        </w:trPr>
        <w:tc>
          <w:tcPr>
            <w:tcW w:w="1144" w:type="dxa"/>
            <w:shd w:val="clear" w:color="auto" w:fill="auto"/>
            <w:noWrap/>
            <w:tcMar>
              <w:left w:w="0" w:type="dxa"/>
              <w:right w:w="0" w:type="dxa"/>
            </w:tcMar>
            <w:vAlign w:val="center"/>
          </w:tcPr>
          <w:p w14:paraId="2BE23D6E" w14:textId="77777777" w:rsidR="006013A5" w:rsidRPr="00614914" w:rsidRDefault="006013A5" w:rsidP="00D53598">
            <w:pPr>
              <w:rPr>
                <w:rFonts w:ascii="Calibri" w:hAnsi="Calibri"/>
                <w:sz w:val="18"/>
                <w:szCs w:val="18"/>
              </w:rPr>
            </w:pPr>
            <w:r w:rsidRPr="00614914">
              <w:rPr>
                <w:rFonts w:ascii="Calibri" w:hAnsi="Calibri"/>
                <w:sz w:val="18"/>
                <w:szCs w:val="18"/>
              </w:rPr>
              <w:t>GEL</w:t>
            </w:r>
          </w:p>
        </w:tc>
        <w:tc>
          <w:tcPr>
            <w:tcW w:w="8134" w:type="dxa"/>
            <w:shd w:val="clear" w:color="auto" w:fill="auto"/>
            <w:noWrap/>
            <w:tcMar>
              <w:left w:w="0" w:type="dxa"/>
              <w:right w:w="0" w:type="dxa"/>
            </w:tcMar>
            <w:vAlign w:val="center"/>
          </w:tcPr>
          <w:p w14:paraId="215B6447" w14:textId="77777777" w:rsidR="006013A5" w:rsidRPr="00614914" w:rsidRDefault="006013A5" w:rsidP="00D53598">
            <w:pPr>
              <w:rPr>
                <w:rFonts w:ascii="Calibri" w:hAnsi="Calibri"/>
                <w:sz w:val="18"/>
                <w:szCs w:val="18"/>
              </w:rPr>
            </w:pPr>
            <w:r w:rsidRPr="00614914">
              <w:rPr>
                <w:rFonts w:ascii="Calibri" w:hAnsi="Calibri"/>
                <w:sz w:val="18"/>
                <w:szCs w:val="18"/>
              </w:rPr>
              <w:t>Georgian Lari (currency)</w:t>
            </w:r>
          </w:p>
        </w:tc>
      </w:tr>
      <w:tr w:rsidR="006013A5" w:rsidRPr="00614914" w14:paraId="043DCFC0" w14:textId="77777777" w:rsidTr="009B5678">
        <w:trPr>
          <w:trHeight w:val="170"/>
        </w:trPr>
        <w:tc>
          <w:tcPr>
            <w:tcW w:w="1144" w:type="dxa"/>
            <w:shd w:val="clear" w:color="auto" w:fill="auto"/>
            <w:noWrap/>
            <w:tcMar>
              <w:left w:w="0" w:type="dxa"/>
              <w:right w:w="0" w:type="dxa"/>
            </w:tcMar>
            <w:vAlign w:val="center"/>
          </w:tcPr>
          <w:p w14:paraId="5361B6EB" w14:textId="77777777" w:rsidR="006013A5" w:rsidRPr="00614914" w:rsidRDefault="006013A5" w:rsidP="00D53598">
            <w:pPr>
              <w:contextualSpacing/>
              <w:rPr>
                <w:rFonts w:ascii="Calibri" w:hAnsi="Calibri"/>
                <w:sz w:val="18"/>
                <w:szCs w:val="18"/>
              </w:rPr>
            </w:pPr>
            <w:r w:rsidRPr="00614914">
              <w:rPr>
                <w:rFonts w:ascii="Calibri" w:hAnsi="Calibri"/>
                <w:sz w:val="18"/>
                <w:szCs w:val="18"/>
              </w:rPr>
              <w:t xml:space="preserve">GIS </w:t>
            </w:r>
          </w:p>
        </w:tc>
        <w:tc>
          <w:tcPr>
            <w:tcW w:w="8134" w:type="dxa"/>
            <w:shd w:val="clear" w:color="auto" w:fill="auto"/>
            <w:noWrap/>
            <w:tcMar>
              <w:left w:w="0" w:type="dxa"/>
              <w:right w:w="0" w:type="dxa"/>
            </w:tcMar>
            <w:vAlign w:val="center"/>
          </w:tcPr>
          <w:p w14:paraId="66B3367A" w14:textId="6A5FF13E" w:rsidR="006013A5" w:rsidRPr="00614914" w:rsidRDefault="006013A5" w:rsidP="00D53598">
            <w:pPr>
              <w:widowControl w:val="0"/>
              <w:overflowPunct/>
              <w:contextualSpacing/>
              <w:textAlignment w:val="auto"/>
              <w:rPr>
                <w:rFonts w:ascii="Calibri" w:hAnsi="Calibri"/>
                <w:sz w:val="18"/>
                <w:szCs w:val="18"/>
              </w:rPr>
            </w:pPr>
            <w:r w:rsidRPr="00614914">
              <w:rPr>
                <w:rFonts w:ascii="Calibri" w:hAnsi="Calibri"/>
                <w:noProof/>
                <w:sz w:val="18"/>
                <w:szCs w:val="18"/>
                <w:lang w:val="en-US"/>
              </w:rPr>
              <w:drawing>
                <wp:inline distT="0" distB="0" distL="0" distR="0" wp14:anchorId="11065A1F" wp14:editId="3BBC080A">
                  <wp:extent cx="10795" cy="10795"/>
                  <wp:effectExtent l="0" t="0" r="0" b="0"/>
                  <wp:docPr id="20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614914">
              <w:rPr>
                <w:rFonts w:ascii="Calibri" w:hAnsi="Calibri"/>
                <w:sz w:val="18"/>
                <w:szCs w:val="18"/>
              </w:rPr>
              <w:t>Geographical Information System</w:t>
            </w:r>
          </w:p>
        </w:tc>
      </w:tr>
      <w:tr w:rsidR="006013A5" w:rsidRPr="00614914" w14:paraId="254E2E94" w14:textId="77777777" w:rsidTr="009B5678">
        <w:trPr>
          <w:trHeight w:val="170"/>
        </w:trPr>
        <w:tc>
          <w:tcPr>
            <w:tcW w:w="1144" w:type="dxa"/>
            <w:shd w:val="clear" w:color="auto" w:fill="auto"/>
            <w:noWrap/>
            <w:tcMar>
              <w:left w:w="0" w:type="dxa"/>
              <w:right w:w="0" w:type="dxa"/>
            </w:tcMar>
            <w:vAlign w:val="center"/>
          </w:tcPr>
          <w:p w14:paraId="52579BAA" w14:textId="77777777" w:rsidR="006013A5" w:rsidRPr="00614914" w:rsidRDefault="006013A5" w:rsidP="00D53598">
            <w:pPr>
              <w:rPr>
                <w:rFonts w:ascii="Calibri" w:hAnsi="Calibri"/>
                <w:sz w:val="18"/>
                <w:szCs w:val="18"/>
              </w:rPr>
            </w:pPr>
            <w:r w:rsidRPr="00614914">
              <w:rPr>
                <w:rFonts w:ascii="Calibri" w:hAnsi="Calibri"/>
                <w:sz w:val="18"/>
                <w:szCs w:val="18"/>
              </w:rPr>
              <w:t>GIZ</w:t>
            </w:r>
          </w:p>
        </w:tc>
        <w:tc>
          <w:tcPr>
            <w:tcW w:w="8134" w:type="dxa"/>
            <w:shd w:val="clear" w:color="auto" w:fill="auto"/>
            <w:noWrap/>
            <w:tcMar>
              <w:left w:w="0" w:type="dxa"/>
              <w:right w:w="0" w:type="dxa"/>
            </w:tcMar>
            <w:vAlign w:val="center"/>
          </w:tcPr>
          <w:p w14:paraId="05FBBB54" w14:textId="77777777" w:rsidR="006013A5" w:rsidRPr="00614914" w:rsidRDefault="006013A5" w:rsidP="00D53598">
            <w:pPr>
              <w:rPr>
                <w:rFonts w:ascii="Calibri" w:hAnsi="Calibri"/>
                <w:sz w:val="18"/>
                <w:szCs w:val="18"/>
              </w:rPr>
            </w:pPr>
            <w:r w:rsidRPr="00614914">
              <w:rPr>
                <w:rFonts w:ascii="Calibri" w:hAnsi="Calibri"/>
                <w:sz w:val="18"/>
                <w:szCs w:val="18"/>
              </w:rPr>
              <w:t xml:space="preserve">Deutsche Gesellschaft für Internationale Zusammenarbeit </w:t>
            </w:r>
          </w:p>
        </w:tc>
      </w:tr>
      <w:tr w:rsidR="006013A5" w:rsidRPr="00614914" w14:paraId="44253C60" w14:textId="77777777" w:rsidTr="009B5678">
        <w:trPr>
          <w:trHeight w:val="170"/>
        </w:trPr>
        <w:tc>
          <w:tcPr>
            <w:tcW w:w="1144" w:type="dxa"/>
            <w:shd w:val="clear" w:color="auto" w:fill="auto"/>
            <w:noWrap/>
            <w:tcMar>
              <w:left w:w="0" w:type="dxa"/>
              <w:right w:w="0" w:type="dxa"/>
            </w:tcMar>
            <w:vAlign w:val="center"/>
          </w:tcPr>
          <w:p w14:paraId="435DABEC" w14:textId="77777777" w:rsidR="006013A5" w:rsidRPr="00614914" w:rsidRDefault="006013A5" w:rsidP="00D53598">
            <w:pPr>
              <w:contextualSpacing/>
              <w:rPr>
                <w:rFonts w:ascii="Calibri" w:hAnsi="Calibri"/>
                <w:sz w:val="18"/>
                <w:szCs w:val="18"/>
              </w:rPr>
            </w:pPr>
            <w:r w:rsidRPr="00614914">
              <w:rPr>
                <w:rFonts w:ascii="Calibri" w:hAnsi="Calibri"/>
                <w:sz w:val="18"/>
                <w:szCs w:val="18"/>
              </w:rPr>
              <w:t xml:space="preserve">ha </w:t>
            </w:r>
          </w:p>
        </w:tc>
        <w:tc>
          <w:tcPr>
            <w:tcW w:w="8134" w:type="dxa"/>
            <w:shd w:val="clear" w:color="auto" w:fill="auto"/>
            <w:noWrap/>
            <w:tcMar>
              <w:left w:w="0" w:type="dxa"/>
              <w:right w:w="0" w:type="dxa"/>
            </w:tcMar>
            <w:vAlign w:val="center"/>
          </w:tcPr>
          <w:p w14:paraId="7B99537F" w14:textId="77777777" w:rsidR="006013A5" w:rsidRPr="00614914" w:rsidRDefault="006013A5" w:rsidP="00D53598">
            <w:pPr>
              <w:widowControl w:val="0"/>
              <w:overflowPunct/>
              <w:contextualSpacing/>
              <w:textAlignment w:val="auto"/>
              <w:rPr>
                <w:rFonts w:ascii="Calibri" w:hAnsi="Calibri"/>
                <w:sz w:val="18"/>
                <w:szCs w:val="18"/>
              </w:rPr>
            </w:pPr>
            <w:r w:rsidRPr="00614914">
              <w:rPr>
                <w:rFonts w:ascii="Calibri" w:hAnsi="Calibri"/>
                <w:noProof/>
                <w:sz w:val="18"/>
                <w:szCs w:val="18"/>
                <w:lang w:val="en-US"/>
              </w:rPr>
              <w:drawing>
                <wp:inline distT="0" distB="0" distL="0" distR="0" wp14:anchorId="378D4AFD" wp14:editId="4282A034">
                  <wp:extent cx="10795" cy="10795"/>
                  <wp:effectExtent l="0" t="0" r="0" b="0"/>
                  <wp:docPr id="20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614914">
              <w:rPr>
                <w:rFonts w:ascii="Calibri" w:hAnsi="Calibri"/>
                <w:sz w:val="18"/>
                <w:szCs w:val="18"/>
              </w:rPr>
              <w:t xml:space="preserve">Hectares </w:t>
            </w:r>
          </w:p>
        </w:tc>
      </w:tr>
      <w:tr w:rsidR="006013A5" w:rsidRPr="00614914" w14:paraId="7CBD0D78" w14:textId="77777777" w:rsidTr="009B5678">
        <w:trPr>
          <w:trHeight w:val="170"/>
        </w:trPr>
        <w:tc>
          <w:tcPr>
            <w:tcW w:w="1144" w:type="dxa"/>
            <w:shd w:val="clear" w:color="auto" w:fill="auto"/>
            <w:noWrap/>
            <w:tcMar>
              <w:left w:w="0" w:type="dxa"/>
              <w:right w:w="0" w:type="dxa"/>
            </w:tcMar>
            <w:vAlign w:val="center"/>
          </w:tcPr>
          <w:p w14:paraId="638A17D9" w14:textId="77777777" w:rsidR="006013A5" w:rsidRPr="00614914" w:rsidRDefault="006013A5" w:rsidP="00D53598">
            <w:pPr>
              <w:rPr>
                <w:rFonts w:ascii="Calibri" w:hAnsi="Calibri"/>
                <w:sz w:val="18"/>
                <w:szCs w:val="18"/>
              </w:rPr>
            </w:pPr>
            <w:r w:rsidRPr="00614914">
              <w:rPr>
                <w:rFonts w:ascii="Calibri" w:hAnsi="Calibri"/>
                <w:sz w:val="18"/>
                <w:szCs w:val="18"/>
              </w:rPr>
              <w:t>IUCN</w:t>
            </w:r>
          </w:p>
        </w:tc>
        <w:tc>
          <w:tcPr>
            <w:tcW w:w="8134" w:type="dxa"/>
            <w:shd w:val="clear" w:color="auto" w:fill="auto"/>
            <w:noWrap/>
            <w:tcMar>
              <w:left w:w="0" w:type="dxa"/>
              <w:right w:w="0" w:type="dxa"/>
            </w:tcMar>
            <w:vAlign w:val="center"/>
          </w:tcPr>
          <w:p w14:paraId="43C1CC07" w14:textId="77777777" w:rsidR="006013A5" w:rsidRPr="00614914" w:rsidRDefault="006013A5" w:rsidP="00D53598">
            <w:pPr>
              <w:rPr>
                <w:rFonts w:ascii="Calibri" w:hAnsi="Calibri"/>
                <w:sz w:val="18"/>
                <w:szCs w:val="18"/>
              </w:rPr>
            </w:pPr>
            <w:r w:rsidRPr="00614914">
              <w:rPr>
                <w:rFonts w:ascii="Calibri" w:hAnsi="Calibri"/>
                <w:sz w:val="18"/>
                <w:szCs w:val="18"/>
              </w:rPr>
              <w:t>International Union for Conservation of Nature</w:t>
            </w:r>
          </w:p>
        </w:tc>
      </w:tr>
      <w:tr w:rsidR="006013A5" w:rsidRPr="00614914" w14:paraId="79AEF99D" w14:textId="77777777" w:rsidTr="009B5678">
        <w:trPr>
          <w:trHeight w:val="170"/>
        </w:trPr>
        <w:tc>
          <w:tcPr>
            <w:tcW w:w="1144" w:type="dxa"/>
            <w:shd w:val="clear" w:color="auto" w:fill="auto"/>
            <w:noWrap/>
            <w:tcMar>
              <w:left w:w="0" w:type="dxa"/>
              <w:right w:w="0" w:type="dxa"/>
            </w:tcMar>
            <w:vAlign w:val="center"/>
          </w:tcPr>
          <w:p w14:paraId="6164E4F8" w14:textId="77777777" w:rsidR="006013A5" w:rsidRPr="00614914" w:rsidRDefault="006013A5" w:rsidP="00D53598">
            <w:pPr>
              <w:contextualSpacing/>
              <w:rPr>
                <w:rFonts w:ascii="Calibri" w:hAnsi="Calibri"/>
                <w:sz w:val="18"/>
                <w:szCs w:val="18"/>
              </w:rPr>
            </w:pPr>
            <w:r w:rsidRPr="00614914">
              <w:rPr>
                <w:rFonts w:ascii="Calibri" w:hAnsi="Calibri"/>
                <w:sz w:val="18"/>
                <w:szCs w:val="18"/>
              </w:rPr>
              <w:t xml:space="preserve">M&amp;E </w:t>
            </w:r>
          </w:p>
        </w:tc>
        <w:tc>
          <w:tcPr>
            <w:tcW w:w="8134" w:type="dxa"/>
            <w:shd w:val="clear" w:color="auto" w:fill="auto"/>
            <w:noWrap/>
            <w:tcMar>
              <w:left w:w="0" w:type="dxa"/>
              <w:right w:w="0" w:type="dxa"/>
            </w:tcMar>
            <w:vAlign w:val="center"/>
          </w:tcPr>
          <w:p w14:paraId="76B0DA2D" w14:textId="77777777" w:rsidR="006013A5" w:rsidRPr="00614914" w:rsidRDefault="006013A5" w:rsidP="00D53598">
            <w:pPr>
              <w:contextualSpacing/>
              <w:rPr>
                <w:rFonts w:ascii="Calibri" w:hAnsi="Calibri"/>
                <w:sz w:val="18"/>
                <w:szCs w:val="18"/>
              </w:rPr>
            </w:pPr>
            <w:r w:rsidRPr="00614914">
              <w:rPr>
                <w:rFonts w:ascii="Calibri" w:hAnsi="Calibri"/>
                <w:sz w:val="18"/>
                <w:szCs w:val="18"/>
              </w:rPr>
              <w:t xml:space="preserve">Monitoring and Evaluation </w:t>
            </w:r>
          </w:p>
        </w:tc>
      </w:tr>
      <w:tr w:rsidR="006013A5" w:rsidRPr="00614914" w14:paraId="51D1DEC2" w14:textId="77777777" w:rsidTr="009B5678">
        <w:trPr>
          <w:trHeight w:val="170"/>
        </w:trPr>
        <w:tc>
          <w:tcPr>
            <w:tcW w:w="1144" w:type="dxa"/>
            <w:shd w:val="clear" w:color="auto" w:fill="auto"/>
            <w:noWrap/>
            <w:tcMar>
              <w:left w:w="0" w:type="dxa"/>
              <w:right w:w="0" w:type="dxa"/>
            </w:tcMar>
            <w:vAlign w:val="center"/>
          </w:tcPr>
          <w:p w14:paraId="48AAF33F" w14:textId="77777777" w:rsidR="006013A5" w:rsidRPr="00614914" w:rsidRDefault="006013A5" w:rsidP="00D53598">
            <w:pPr>
              <w:rPr>
                <w:rFonts w:ascii="Calibri" w:hAnsi="Calibri"/>
                <w:sz w:val="18"/>
                <w:szCs w:val="18"/>
              </w:rPr>
            </w:pPr>
            <w:r w:rsidRPr="00614914">
              <w:rPr>
                <w:rFonts w:ascii="Calibri" w:hAnsi="Calibri"/>
                <w:sz w:val="18"/>
                <w:szCs w:val="18"/>
              </w:rPr>
              <w:t>METT</w:t>
            </w:r>
          </w:p>
        </w:tc>
        <w:tc>
          <w:tcPr>
            <w:tcW w:w="8134" w:type="dxa"/>
            <w:shd w:val="clear" w:color="auto" w:fill="auto"/>
            <w:noWrap/>
            <w:tcMar>
              <w:left w:w="0" w:type="dxa"/>
              <w:right w:w="0" w:type="dxa"/>
            </w:tcMar>
            <w:vAlign w:val="center"/>
          </w:tcPr>
          <w:p w14:paraId="6142916D" w14:textId="77777777" w:rsidR="006013A5" w:rsidRPr="00614914" w:rsidRDefault="006013A5" w:rsidP="00D53598">
            <w:pPr>
              <w:rPr>
                <w:rFonts w:ascii="Calibri" w:hAnsi="Calibri"/>
                <w:sz w:val="18"/>
                <w:szCs w:val="18"/>
              </w:rPr>
            </w:pPr>
            <w:r w:rsidRPr="00614914">
              <w:rPr>
                <w:rFonts w:ascii="Calibri" w:hAnsi="Calibri"/>
                <w:sz w:val="18"/>
                <w:szCs w:val="18"/>
              </w:rPr>
              <w:t>Management Effectiveness Tracking Tool</w:t>
            </w:r>
          </w:p>
        </w:tc>
      </w:tr>
      <w:tr w:rsidR="006013A5" w:rsidRPr="00614914" w14:paraId="5A1FD40B" w14:textId="77777777" w:rsidTr="009B5678">
        <w:trPr>
          <w:trHeight w:val="170"/>
        </w:trPr>
        <w:tc>
          <w:tcPr>
            <w:tcW w:w="1144" w:type="dxa"/>
            <w:shd w:val="clear" w:color="auto" w:fill="auto"/>
            <w:noWrap/>
            <w:tcMar>
              <w:left w:w="0" w:type="dxa"/>
              <w:right w:w="0" w:type="dxa"/>
            </w:tcMar>
            <w:vAlign w:val="center"/>
          </w:tcPr>
          <w:p w14:paraId="6FD46A92" w14:textId="77777777" w:rsidR="006013A5" w:rsidRPr="00614914" w:rsidRDefault="006013A5" w:rsidP="00D53598">
            <w:pPr>
              <w:rPr>
                <w:rFonts w:ascii="Calibri" w:hAnsi="Calibri"/>
                <w:sz w:val="18"/>
                <w:szCs w:val="18"/>
              </w:rPr>
            </w:pPr>
            <w:r w:rsidRPr="00614914">
              <w:rPr>
                <w:rFonts w:ascii="Calibri" w:hAnsi="Calibri"/>
                <w:sz w:val="18"/>
                <w:szCs w:val="18"/>
              </w:rPr>
              <w:t>MoEP</w:t>
            </w:r>
          </w:p>
        </w:tc>
        <w:tc>
          <w:tcPr>
            <w:tcW w:w="8134" w:type="dxa"/>
            <w:shd w:val="clear" w:color="auto" w:fill="auto"/>
            <w:noWrap/>
            <w:tcMar>
              <w:left w:w="0" w:type="dxa"/>
              <w:right w:w="0" w:type="dxa"/>
            </w:tcMar>
            <w:vAlign w:val="center"/>
          </w:tcPr>
          <w:p w14:paraId="430962CB" w14:textId="45390E5D" w:rsidR="006013A5" w:rsidRPr="00614914" w:rsidRDefault="006013A5" w:rsidP="00D53598">
            <w:pPr>
              <w:rPr>
                <w:rFonts w:ascii="Calibri" w:hAnsi="Calibri"/>
                <w:sz w:val="18"/>
                <w:szCs w:val="18"/>
              </w:rPr>
            </w:pPr>
            <w:r w:rsidRPr="00614914">
              <w:rPr>
                <w:rFonts w:ascii="Calibri" w:hAnsi="Calibri"/>
                <w:sz w:val="18"/>
                <w:szCs w:val="18"/>
              </w:rPr>
              <w:t>Ministry of Environment Protection</w:t>
            </w:r>
            <w:r w:rsidR="00312F00" w:rsidRPr="00614914">
              <w:rPr>
                <w:rFonts w:ascii="Calibri" w:hAnsi="Calibri"/>
                <w:sz w:val="18"/>
                <w:szCs w:val="18"/>
              </w:rPr>
              <w:t xml:space="preserve"> (merged with Agriculture in December 2017)</w:t>
            </w:r>
          </w:p>
        </w:tc>
      </w:tr>
      <w:tr w:rsidR="00312F00" w:rsidRPr="00614914" w14:paraId="7294C460" w14:textId="77777777" w:rsidTr="009B5678">
        <w:trPr>
          <w:trHeight w:val="170"/>
        </w:trPr>
        <w:tc>
          <w:tcPr>
            <w:tcW w:w="1144" w:type="dxa"/>
            <w:shd w:val="clear" w:color="auto" w:fill="auto"/>
            <w:noWrap/>
            <w:tcMar>
              <w:left w:w="0" w:type="dxa"/>
              <w:right w:w="0" w:type="dxa"/>
            </w:tcMar>
            <w:vAlign w:val="center"/>
          </w:tcPr>
          <w:p w14:paraId="329FB7AE" w14:textId="503E7D4D" w:rsidR="00312F00" w:rsidRPr="00614914" w:rsidRDefault="00312F00" w:rsidP="00D53598">
            <w:pPr>
              <w:contextualSpacing/>
              <w:rPr>
                <w:rFonts w:ascii="Calibri" w:hAnsi="Calibri"/>
                <w:sz w:val="18"/>
                <w:szCs w:val="18"/>
              </w:rPr>
            </w:pPr>
            <w:r w:rsidRPr="00614914">
              <w:rPr>
                <w:rFonts w:ascii="Calibri" w:hAnsi="Calibri"/>
                <w:sz w:val="18"/>
                <w:szCs w:val="18"/>
              </w:rPr>
              <w:t>MoEPA</w:t>
            </w:r>
          </w:p>
        </w:tc>
        <w:tc>
          <w:tcPr>
            <w:tcW w:w="8134" w:type="dxa"/>
            <w:shd w:val="clear" w:color="auto" w:fill="auto"/>
            <w:noWrap/>
            <w:tcMar>
              <w:left w:w="0" w:type="dxa"/>
              <w:right w:w="0" w:type="dxa"/>
            </w:tcMar>
            <w:vAlign w:val="center"/>
          </w:tcPr>
          <w:p w14:paraId="34566CB2" w14:textId="1F1251F2" w:rsidR="00312F00" w:rsidRPr="00614914" w:rsidRDefault="00312F00" w:rsidP="00D53598">
            <w:pPr>
              <w:contextualSpacing/>
              <w:rPr>
                <w:rFonts w:ascii="Calibri" w:hAnsi="Calibri"/>
                <w:sz w:val="18"/>
                <w:szCs w:val="18"/>
              </w:rPr>
            </w:pPr>
            <w:r w:rsidRPr="00614914">
              <w:rPr>
                <w:rFonts w:ascii="Calibri" w:hAnsi="Calibri"/>
                <w:sz w:val="18"/>
                <w:szCs w:val="18"/>
              </w:rPr>
              <w:t>Ministry of Environment Protection and Agriculture</w:t>
            </w:r>
          </w:p>
        </w:tc>
      </w:tr>
      <w:tr w:rsidR="006013A5" w:rsidRPr="00614914" w14:paraId="54338A4E" w14:textId="77777777" w:rsidTr="009B5678">
        <w:trPr>
          <w:trHeight w:val="170"/>
        </w:trPr>
        <w:tc>
          <w:tcPr>
            <w:tcW w:w="1144" w:type="dxa"/>
            <w:shd w:val="clear" w:color="auto" w:fill="auto"/>
            <w:noWrap/>
            <w:tcMar>
              <w:left w:w="0" w:type="dxa"/>
              <w:right w:w="0" w:type="dxa"/>
            </w:tcMar>
            <w:vAlign w:val="center"/>
          </w:tcPr>
          <w:p w14:paraId="1216A315" w14:textId="77777777" w:rsidR="006013A5" w:rsidRPr="00614914" w:rsidRDefault="006013A5" w:rsidP="00D53598">
            <w:pPr>
              <w:contextualSpacing/>
              <w:rPr>
                <w:rFonts w:ascii="Calibri" w:hAnsi="Calibri"/>
                <w:sz w:val="18"/>
                <w:szCs w:val="18"/>
              </w:rPr>
            </w:pPr>
            <w:r w:rsidRPr="00614914">
              <w:rPr>
                <w:rFonts w:ascii="Calibri" w:hAnsi="Calibri"/>
                <w:sz w:val="18"/>
                <w:szCs w:val="18"/>
              </w:rPr>
              <w:t xml:space="preserve">MTR </w:t>
            </w:r>
          </w:p>
        </w:tc>
        <w:tc>
          <w:tcPr>
            <w:tcW w:w="8134" w:type="dxa"/>
            <w:shd w:val="clear" w:color="auto" w:fill="auto"/>
            <w:noWrap/>
            <w:tcMar>
              <w:left w:w="0" w:type="dxa"/>
              <w:right w:w="0" w:type="dxa"/>
            </w:tcMar>
            <w:vAlign w:val="center"/>
          </w:tcPr>
          <w:p w14:paraId="097B247D" w14:textId="77777777" w:rsidR="006013A5" w:rsidRPr="00614914" w:rsidRDefault="006013A5" w:rsidP="00D53598">
            <w:pPr>
              <w:contextualSpacing/>
              <w:rPr>
                <w:rFonts w:ascii="Calibri" w:hAnsi="Calibri"/>
                <w:sz w:val="18"/>
                <w:szCs w:val="18"/>
              </w:rPr>
            </w:pPr>
            <w:r w:rsidRPr="00614914">
              <w:rPr>
                <w:rFonts w:ascii="Calibri" w:hAnsi="Calibri"/>
                <w:sz w:val="18"/>
                <w:szCs w:val="18"/>
              </w:rPr>
              <w:t xml:space="preserve">Midterm Review </w:t>
            </w:r>
          </w:p>
        </w:tc>
      </w:tr>
      <w:tr w:rsidR="006013A5" w:rsidRPr="00614914" w14:paraId="050C261D" w14:textId="77777777" w:rsidTr="009B5678">
        <w:trPr>
          <w:trHeight w:val="170"/>
        </w:trPr>
        <w:tc>
          <w:tcPr>
            <w:tcW w:w="1144" w:type="dxa"/>
            <w:shd w:val="clear" w:color="auto" w:fill="auto"/>
            <w:noWrap/>
            <w:tcMar>
              <w:left w:w="0" w:type="dxa"/>
              <w:right w:w="0" w:type="dxa"/>
            </w:tcMar>
            <w:vAlign w:val="center"/>
          </w:tcPr>
          <w:p w14:paraId="584DA355" w14:textId="77777777" w:rsidR="006013A5" w:rsidRPr="00614914" w:rsidRDefault="006013A5" w:rsidP="00D53598">
            <w:pPr>
              <w:rPr>
                <w:rFonts w:ascii="Calibri" w:hAnsi="Calibri"/>
                <w:sz w:val="18"/>
                <w:szCs w:val="18"/>
              </w:rPr>
            </w:pPr>
            <w:r w:rsidRPr="00614914">
              <w:rPr>
                <w:rFonts w:ascii="Calibri" w:hAnsi="Calibri"/>
                <w:sz w:val="18"/>
                <w:szCs w:val="18"/>
              </w:rPr>
              <w:t>NBSAP</w:t>
            </w:r>
          </w:p>
        </w:tc>
        <w:tc>
          <w:tcPr>
            <w:tcW w:w="8134" w:type="dxa"/>
            <w:shd w:val="clear" w:color="auto" w:fill="auto"/>
            <w:noWrap/>
            <w:tcMar>
              <w:left w:w="0" w:type="dxa"/>
              <w:right w:w="0" w:type="dxa"/>
            </w:tcMar>
            <w:vAlign w:val="center"/>
          </w:tcPr>
          <w:p w14:paraId="357FDB48" w14:textId="77777777" w:rsidR="006013A5" w:rsidRPr="00614914" w:rsidRDefault="006013A5" w:rsidP="00D53598">
            <w:pPr>
              <w:rPr>
                <w:rFonts w:ascii="Calibri" w:hAnsi="Calibri"/>
                <w:sz w:val="18"/>
                <w:szCs w:val="18"/>
              </w:rPr>
            </w:pPr>
            <w:r w:rsidRPr="00614914">
              <w:rPr>
                <w:rFonts w:ascii="Calibri" w:hAnsi="Calibri"/>
                <w:sz w:val="18"/>
                <w:szCs w:val="18"/>
              </w:rPr>
              <w:t>National Biodiversity Strategy and Action Plan</w:t>
            </w:r>
          </w:p>
        </w:tc>
      </w:tr>
      <w:tr w:rsidR="006013A5" w:rsidRPr="00614914" w14:paraId="097AE1E7" w14:textId="77777777" w:rsidTr="009B5678">
        <w:trPr>
          <w:trHeight w:val="170"/>
        </w:trPr>
        <w:tc>
          <w:tcPr>
            <w:tcW w:w="1144" w:type="dxa"/>
            <w:shd w:val="clear" w:color="auto" w:fill="auto"/>
            <w:noWrap/>
            <w:tcMar>
              <w:left w:w="0" w:type="dxa"/>
              <w:right w:w="0" w:type="dxa"/>
            </w:tcMar>
            <w:vAlign w:val="center"/>
          </w:tcPr>
          <w:p w14:paraId="6FAA9E4A" w14:textId="77777777" w:rsidR="006013A5" w:rsidRPr="00614914" w:rsidRDefault="006013A5" w:rsidP="00D53598">
            <w:pPr>
              <w:contextualSpacing/>
              <w:rPr>
                <w:rFonts w:ascii="Calibri" w:hAnsi="Calibri"/>
                <w:sz w:val="18"/>
                <w:szCs w:val="18"/>
              </w:rPr>
            </w:pPr>
            <w:r w:rsidRPr="00614914">
              <w:rPr>
                <w:rFonts w:ascii="Calibri" w:hAnsi="Calibri"/>
                <w:sz w:val="18"/>
                <w:szCs w:val="18"/>
              </w:rPr>
              <w:t xml:space="preserve">NGO </w:t>
            </w:r>
          </w:p>
        </w:tc>
        <w:tc>
          <w:tcPr>
            <w:tcW w:w="8134" w:type="dxa"/>
            <w:shd w:val="clear" w:color="auto" w:fill="auto"/>
            <w:noWrap/>
            <w:tcMar>
              <w:left w:w="0" w:type="dxa"/>
              <w:right w:w="0" w:type="dxa"/>
            </w:tcMar>
            <w:vAlign w:val="center"/>
          </w:tcPr>
          <w:p w14:paraId="7F876D59" w14:textId="77777777" w:rsidR="006013A5" w:rsidRPr="00614914" w:rsidRDefault="006013A5" w:rsidP="00D53598">
            <w:pPr>
              <w:widowControl w:val="0"/>
              <w:overflowPunct/>
              <w:contextualSpacing/>
              <w:textAlignment w:val="auto"/>
              <w:rPr>
                <w:rFonts w:ascii="Calibri" w:hAnsi="Calibri"/>
                <w:sz w:val="18"/>
                <w:szCs w:val="18"/>
              </w:rPr>
            </w:pPr>
            <w:r w:rsidRPr="00614914">
              <w:rPr>
                <w:rFonts w:ascii="Calibri" w:hAnsi="Calibri"/>
                <w:noProof/>
                <w:sz w:val="18"/>
                <w:szCs w:val="18"/>
                <w:lang w:val="en-US"/>
              </w:rPr>
              <w:drawing>
                <wp:inline distT="0" distB="0" distL="0" distR="0" wp14:anchorId="5CF910AD" wp14:editId="5A01AC91">
                  <wp:extent cx="10795" cy="10795"/>
                  <wp:effectExtent l="0" t="0" r="0" b="0"/>
                  <wp:docPr id="20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614914">
              <w:rPr>
                <w:rFonts w:ascii="Calibri" w:hAnsi="Calibri"/>
                <w:sz w:val="18"/>
                <w:szCs w:val="18"/>
              </w:rPr>
              <w:t xml:space="preserve">Non-governmental Organisation </w:t>
            </w:r>
            <w:r w:rsidRPr="00614914">
              <w:rPr>
                <w:rFonts w:ascii="Calibri" w:hAnsi="Calibri"/>
                <w:noProof/>
                <w:sz w:val="18"/>
                <w:szCs w:val="18"/>
                <w:lang w:val="en-US"/>
              </w:rPr>
              <w:drawing>
                <wp:inline distT="0" distB="0" distL="0" distR="0" wp14:anchorId="0D4609D9" wp14:editId="52F49522">
                  <wp:extent cx="10795" cy="10795"/>
                  <wp:effectExtent l="0" t="0" r="0" b="0"/>
                  <wp:docPr id="20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r>
      <w:tr w:rsidR="006013A5" w:rsidRPr="00614914" w14:paraId="00A75644" w14:textId="77777777" w:rsidTr="009B5678">
        <w:trPr>
          <w:trHeight w:val="170"/>
        </w:trPr>
        <w:tc>
          <w:tcPr>
            <w:tcW w:w="1144" w:type="dxa"/>
            <w:shd w:val="clear" w:color="auto" w:fill="auto"/>
            <w:noWrap/>
            <w:tcMar>
              <w:left w:w="0" w:type="dxa"/>
              <w:right w:w="0" w:type="dxa"/>
            </w:tcMar>
            <w:vAlign w:val="center"/>
          </w:tcPr>
          <w:p w14:paraId="4A39040E" w14:textId="77777777" w:rsidR="006013A5" w:rsidRPr="00614914" w:rsidRDefault="006013A5" w:rsidP="00D53598">
            <w:pPr>
              <w:rPr>
                <w:rFonts w:ascii="Calibri" w:hAnsi="Calibri"/>
                <w:sz w:val="18"/>
                <w:szCs w:val="18"/>
              </w:rPr>
            </w:pPr>
            <w:r w:rsidRPr="00614914">
              <w:rPr>
                <w:rFonts w:ascii="Calibri" w:hAnsi="Calibri"/>
                <w:sz w:val="18"/>
                <w:szCs w:val="18"/>
              </w:rPr>
              <w:t>NIM</w:t>
            </w:r>
          </w:p>
        </w:tc>
        <w:tc>
          <w:tcPr>
            <w:tcW w:w="8134" w:type="dxa"/>
            <w:shd w:val="clear" w:color="auto" w:fill="auto"/>
            <w:noWrap/>
            <w:tcMar>
              <w:left w:w="0" w:type="dxa"/>
              <w:right w:w="0" w:type="dxa"/>
            </w:tcMar>
            <w:vAlign w:val="center"/>
          </w:tcPr>
          <w:p w14:paraId="085D5C37" w14:textId="07BFD068" w:rsidR="006013A5" w:rsidRPr="00614914" w:rsidRDefault="006013A5" w:rsidP="00D53598">
            <w:pPr>
              <w:rPr>
                <w:rFonts w:ascii="Calibri" w:hAnsi="Calibri"/>
                <w:sz w:val="18"/>
                <w:szCs w:val="18"/>
              </w:rPr>
            </w:pPr>
            <w:r w:rsidRPr="00614914">
              <w:rPr>
                <w:rFonts w:ascii="Calibri" w:hAnsi="Calibri"/>
                <w:sz w:val="18"/>
                <w:szCs w:val="18"/>
              </w:rPr>
              <w:t>National Implementation Modality</w:t>
            </w:r>
          </w:p>
        </w:tc>
      </w:tr>
      <w:tr w:rsidR="006013A5" w:rsidRPr="00614914" w14:paraId="145EB0E8" w14:textId="77777777" w:rsidTr="009B5678">
        <w:trPr>
          <w:trHeight w:val="170"/>
        </w:trPr>
        <w:tc>
          <w:tcPr>
            <w:tcW w:w="1144" w:type="dxa"/>
            <w:shd w:val="clear" w:color="auto" w:fill="auto"/>
            <w:noWrap/>
            <w:tcMar>
              <w:left w:w="0" w:type="dxa"/>
              <w:right w:w="0" w:type="dxa"/>
            </w:tcMar>
            <w:vAlign w:val="center"/>
          </w:tcPr>
          <w:p w14:paraId="661A26F1" w14:textId="77777777" w:rsidR="006013A5" w:rsidRPr="00614914" w:rsidRDefault="006013A5" w:rsidP="00D53598">
            <w:pPr>
              <w:rPr>
                <w:rFonts w:ascii="Calibri" w:hAnsi="Calibri"/>
                <w:sz w:val="18"/>
                <w:szCs w:val="18"/>
              </w:rPr>
            </w:pPr>
            <w:r w:rsidRPr="00614914">
              <w:rPr>
                <w:rFonts w:ascii="Calibri" w:hAnsi="Calibri"/>
                <w:sz w:val="18"/>
                <w:szCs w:val="18"/>
              </w:rPr>
              <w:t>NP</w:t>
            </w:r>
          </w:p>
        </w:tc>
        <w:tc>
          <w:tcPr>
            <w:tcW w:w="8134" w:type="dxa"/>
            <w:shd w:val="clear" w:color="auto" w:fill="auto"/>
            <w:noWrap/>
            <w:tcMar>
              <w:left w:w="0" w:type="dxa"/>
              <w:right w:w="0" w:type="dxa"/>
            </w:tcMar>
            <w:vAlign w:val="center"/>
          </w:tcPr>
          <w:p w14:paraId="1454CD8F" w14:textId="77777777" w:rsidR="006013A5" w:rsidRPr="00614914" w:rsidRDefault="006013A5" w:rsidP="00D53598">
            <w:pPr>
              <w:rPr>
                <w:rFonts w:ascii="Calibri" w:hAnsi="Calibri"/>
                <w:sz w:val="18"/>
                <w:szCs w:val="18"/>
              </w:rPr>
            </w:pPr>
            <w:r w:rsidRPr="00614914">
              <w:rPr>
                <w:rFonts w:ascii="Calibri" w:hAnsi="Calibri"/>
                <w:sz w:val="18"/>
                <w:szCs w:val="18"/>
              </w:rPr>
              <w:t>National Park</w:t>
            </w:r>
          </w:p>
        </w:tc>
      </w:tr>
      <w:tr w:rsidR="006013A5" w:rsidRPr="00614914" w14:paraId="65F0648F" w14:textId="77777777" w:rsidTr="009B5678">
        <w:trPr>
          <w:trHeight w:val="170"/>
        </w:trPr>
        <w:tc>
          <w:tcPr>
            <w:tcW w:w="1144" w:type="dxa"/>
            <w:shd w:val="clear" w:color="auto" w:fill="auto"/>
            <w:noWrap/>
            <w:tcMar>
              <w:left w:w="0" w:type="dxa"/>
              <w:right w:w="0" w:type="dxa"/>
            </w:tcMar>
            <w:vAlign w:val="center"/>
          </w:tcPr>
          <w:p w14:paraId="0FB5727A" w14:textId="41844823" w:rsidR="006013A5" w:rsidRPr="00614914" w:rsidRDefault="00D93BC6" w:rsidP="00D53598">
            <w:pPr>
              <w:contextualSpacing/>
              <w:rPr>
                <w:rFonts w:ascii="Calibri" w:hAnsi="Calibri"/>
                <w:sz w:val="18"/>
                <w:szCs w:val="18"/>
              </w:rPr>
            </w:pPr>
            <w:r w:rsidRPr="00614914">
              <w:rPr>
                <w:rFonts w:ascii="Calibri" w:hAnsi="Calibri"/>
                <w:sz w:val="18"/>
                <w:szCs w:val="18"/>
              </w:rPr>
              <w:t>NPD</w:t>
            </w:r>
          </w:p>
        </w:tc>
        <w:tc>
          <w:tcPr>
            <w:tcW w:w="8134" w:type="dxa"/>
            <w:shd w:val="clear" w:color="auto" w:fill="auto"/>
            <w:noWrap/>
            <w:tcMar>
              <w:left w:w="0" w:type="dxa"/>
              <w:right w:w="0" w:type="dxa"/>
            </w:tcMar>
            <w:vAlign w:val="center"/>
          </w:tcPr>
          <w:p w14:paraId="3EF55CA8" w14:textId="718E81A9" w:rsidR="006013A5" w:rsidRPr="00614914" w:rsidRDefault="006013A5" w:rsidP="00D53598">
            <w:pPr>
              <w:widowControl w:val="0"/>
              <w:overflowPunct/>
              <w:contextualSpacing/>
              <w:textAlignment w:val="auto"/>
              <w:rPr>
                <w:rFonts w:ascii="Calibri" w:hAnsi="Calibri"/>
                <w:sz w:val="18"/>
                <w:szCs w:val="18"/>
              </w:rPr>
            </w:pPr>
            <w:r w:rsidRPr="00614914">
              <w:rPr>
                <w:rFonts w:ascii="Calibri" w:hAnsi="Calibri"/>
                <w:sz w:val="18"/>
                <w:szCs w:val="18"/>
              </w:rPr>
              <w:t xml:space="preserve">National Project </w:t>
            </w:r>
            <w:r w:rsidR="00D93BC6" w:rsidRPr="00614914">
              <w:rPr>
                <w:rFonts w:ascii="Calibri" w:hAnsi="Calibri"/>
                <w:sz w:val="18"/>
                <w:szCs w:val="18"/>
              </w:rPr>
              <w:t>Director</w:t>
            </w:r>
            <w:r w:rsidRPr="00614914">
              <w:rPr>
                <w:rFonts w:ascii="Calibri" w:hAnsi="Calibri"/>
                <w:sz w:val="18"/>
                <w:szCs w:val="18"/>
              </w:rPr>
              <w:t xml:space="preserve"> </w:t>
            </w:r>
            <w:r w:rsidRPr="00614914">
              <w:rPr>
                <w:rFonts w:ascii="Calibri" w:hAnsi="Calibri"/>
                <w:noProof/>
                <w:sz w:val="18"/>
                <w:szCs w:val="18"/>
                <w:lang w:val="en-US"/>
              </w:rPr>
              <w:drawing>
                <wp:inline distT="0" distB="0" distL="0" distR="0" wp14:anchorId="0C0A2840" wp14:editId="7CB6CC21">
                  <wp:extent cx="10795" cy="10795"/>
                  <wp:effectExtent l="0" t="0" r="0" b="0"/>
                  <wp:docPr id="20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r>
      <w:tr w:rsidR="006013A5" w:rsidRPr="00614914" w14:paraId="0B031286" w14:textId="77777777" w:rsidTr="009B5678">
        <w:trPr>
          <w:trHeight w:val="170"/>
        </w:trPr>
        <w:tc>
          <w:tcPr>
            <w:tcW w:w="1144" w:type="dxa"/>
            <w:shd w:val="clear" w:color="auto" w:fill="auto"/>
            <w:noWrap/>
            <w:tcMar>
              <w:left w:w="0" w:type="dxa"/>
              <w:right w:w="0" w:type="dxa"/>
            </w:tcMar>
            <w:vAlign w:val="center"/>
          </w:tcPr>
          <w:p w14:paraId="59392047" w14:textId="77777777" w:rsidR="006013A5" w:rsidRPr="00614914" w:rsidRDefault="006013A5" w:rsidP="00D53598">
            <w:pPr>
              <w:rPr>
                <w:rFonts w:ascii="Calibri" w:hAnsi="Calibri"/>
                <w:sz w:val="18"/>
                <w:szCs w:val="18"/>
              </w:rPr>
            </w:pPr>
            <w:r w:rsidRPr="00614914">
              <w:rPr>
                <w:rFonts w:ascii="Calibri" w:hAnsi="Calibri"/>
                <w:sz w:val="18"/>
                <w:szCs w:val="18"/>
              </w:rPr>
              <w:t>NTFP</w:t>
            </w:r>
          </w:p>
        </w:tc>
        <w:tc>
          <w:tcPr>
            <w:tcW w:w="8134" w:type="dxa"/>
            <w:shd w:val="clear" w:color="auto" w:fill="auto"/>
            <w:noWrap/>
            <w:tcMar>
              <w:left w:w="0" w:type="dxa"/>
              <w:right w:w="0" w:type="dxa"/>
            </w:tcMar>
            <w:vAlign w:val="center"/>
          </w:tcPr>
          <w:p w14:paraId="7F982652" w14:textId="14788C1B" w:rsidR="006013A5" w:rsidRPr="00614914" w:rsidRDefault="006013A5" w:rsidP="00D53598">
            <w:pPr>
              <w:rPr>
                <w:rFonts w:ascii="Calibri" w:hAnsi="Calibri"/>
                <w:sz w:val="18"/>
                <w:szCs w:val="18"/>
              </w:rPr>
            </w:pPr>
            <w:r w:rsidRPr="00614914">
              <w:rPr>
                <w:rFonts w:ascii="Calibri" w:hAnsi="Calibri"/>
                <w:sz w:val="18"/>
                <w:szCs w:val="18"/>
              </w:rPr>
              <w:t>Non Timber Forest Product</w:t>
            </w:r>
          </w:p>
        </w:tc>
      </w:tr>
      <w:tr w:rsidR="006013A5" w:rsidRPr="00614914" w14:paraId="121F188B" w14:textId="77777777" w:rsidTr="009B5678">
        <w:trPr>
          <w:trHeight w:val="170"/>
        </w:trPr>
        <w:tc>
          <w:tcPr>
            <w:tcW w:w="1144" w:type="dxa"/>
            <w:shd w:val="clear" w:color="auto" w:fill="auto"/>
            <w:noWrap/>
            <w:tcMar>
              <w:left w:w="0" w:type="dxa"/>
              <w:right w:w="0" w:type="dxa"/>
            </w:tcMar>
            <w:vAlign w:val="center"/>
          </w:tcPr>
          <w:p w14:paraId="0FEA668A" w14:textId="4AFDE919" w:rsidR="006013A5" w:rsidRPr="00614914" w:rsidRDefault="006013A5" w:rsidP="00D53598">
            <w:pPr>
              <w:contextualSpacing/>
              <w:rPr>
                <w:rFonts w:ascii="Calibri" w:hAnsi="Calibri"/>
                <w:sz w:val="18"/>
                <w:szCs w:val="18"/>
              </w:rPr>
            </w:pPr>
            <w:r w:rsidRPr="00614914">
              <w:rPr>
                <w:rFonts w:ascii="Calibri" w:hAnsi="Calibri"/>
                <w:sz w:val="18"/>
                <w:szCs w:val="18"/>
              </w:rPr>
              <w:t xml:space="preserve">PA(s) </w:t>
            </w:r>
          </w:p>
        </w:tc>
        <w:tc>
          <w:tcPr>
            <w:tcW w:w="8134" w:type="dxa"/>
            <w:shd w:val="clear" w:color="auto" w:fill="auto"/>
            <w:noWrap/>
            <w:tcMar>
              <w:left w:w="0" w:type="dxa"/>
              <w:right w:w="0" w:type="dxa"/>
            </w:tcMar>
            <w:vAlign w:val="center"/>
          </w:tcPr>
          <w:p w14:paraId="2E6C7707" w14:textId="2FDA933C" w:rsidR="006013A5" w:rsidRPr="00614914" w:rsidRDefault="006013A5" w:rsidP="00D53598">
            <w:pPr>
              <w:widowControl w:val="0"/>
              <w:overflowPunct/>
              <w:contextualSpacing/>
              <w:textAlignment w:val="auto"/>
              <w:rPr>
                <w:rFonts w:ascii="Calibri" w:hAnsi="Calibri"/>
                <w:sz w:val="18"/>
                <w:szCs w:val="18"/>
              </w:rPr>
            </w:pPr>
            <w:r w:rsidRPr="00614914">
              <w:rPr>
                <w:rFonts w:ascii="Calibri" w:hAnsi="Calibri"/>
                <w:noProof/>
                <w:sz w:val="18"/>
                <w:szCs w:val="18"/>
                <w:lang w:val="en-US"/>
              </w:rPr>
              <w:drawing>
                <wp:inline distT="0" distB="0" distL="0" distR="0" wp14:anchorId="0BC206A0" wp14:editId="2D84ECB0">
                  <wp:extent cx="10795" cy="10795"/>
                  <wp:effectExtent l="0" t="0" r="0" b="0"/>
                  <wp:docPr id="20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614914">
              <w:rPr>
                <w:rFonts w:ascii="Calibri" w:hAnsi="Calibri"/>
                <w:sz w:val="18"/>
                <w:szCs w:val="18"/>
              </w:rPr>
              <w:t>Protected Area(s)</w:t>
            </w:r>
          </w:p>
        </w:tc>
      </w:tr>
      <w:tr w:rsidR="006013A5" w:rsidRPr="00614914" w14:paraId="70565896" w14:textId="77777777" w:rsidTr="009B5678">
        <w:trPr>
          <w:trHeight w:val="170"/>
        </w:trPr>
        <w:tc>
          <w:tcPr>
            <w:tcW w:w="1144" w:type="dxa"/>
            <w:shd w:val="clear" w:color="auto" w:fill="auto"/>
            <w:noWrap/>
            <w:tcMar>
              <w:left w:w="0" w:type="dxa"/>
              <w:right w:w="0" w:type="dxa"/>
            </w:tcMar>
            <w:vAlign w:val="center"/>
          </w:tcPr>
          <w:p w14:paraId="7149B829" w14:textId="77777777" w:rsidR="006013A5" w:rsidRPr="00614914" w:rsidRDefault="006013A5" w:rsidP="00D53598">
            <w:pPr>
              <w:contextualSpacing/>
              <w:rPr>
                <w:rFonts w:ascii="Calibri" w:hAnsi="Calibri"/>
                <w:sz w:val="18"/>
                <w:szCs w:val="18"/>
              </w:rPr>
            </w:pPr>
            <w:r w:rsidRPr="00614914">
              <w:rPr>
                <w:rFonts w:ascii="Calibri" w:hAnsi="Calibri"/>
                <w:sz w:val="18"/>
                <w:szCs w:val="18"/>
              </w:rPr>
              <w:t xml:space="preserve">PEB </w:t>
            </w:r>
          </w:p>
        </w:tc>
        <w:tc>
          <w:tcPr>
            <w:tcW w:w="8134" w:type="dxa"/>
            <w:shd w:val="clear" w:color="auto" w:fill="auto"/>
            <w:noWrap/>
            <w:tcMar>
              <w:left w:w="0" w:type="dxa"/>
              <w:right w:w="0" w:type="dxa"/>
            </w:tcMar>
            <w:vAlign w:val="center"/>
          </w:tcPr>
          <w:p w14:paraId="342AFDC6" w14:textId="77777777" w:rsidR="006013A5" w:rsidRPr="00614914" w:rsidRDefault="006013A5" w:rsidP="00D53598">
            <w:pPr>
              <w:contextualSpacing/>
              <w:rPr>
                <w:rFonts w:ascii="Calibri" w:hAnsi="Calibri"/>
                <w:sz w:val="18"/>
                <w:szCs w:val="18"/>
              </w:rPr>
            </w:pPr>
            <w:r w:rsidRPr="00614914">
              <w:rPr>
                <w:rFonts w:ascii="Calibri" w:hAnsi="Calibri"/>
                <w:sz w:val="18"/>
                <w:szCs w:val="18"/>
              </w:rPr>
              <w:t xml:space="preserve">Project Executive Board </w:t>
            </w:r>
          </w:p>
        </w:tc>
      </w:tr>
      <w:tr w:rsidR="006013A5" w:rsidRPr="00614914" w14:paraId="468F512C" w14:textId="77777777" w:rsidTr="009B5678">
        <w:trPr>
          <w:trHeight w:val="170"/>
        </w:trPr>
        <w:tc>
          <w:tcPr>
            <w:tcW w:w="1144" w:type="dxa"/>
            <w:shd w:val="clear" w:color="auto" w:fill="auto"/>
            <w:noWrap/>
            <w:tcMar>
              <w:left w:w="0" w:type="dxa"/>
              <w:right w:w="0" w:type="dxa"/>
            </w:tcMar>
            <w:vAlign w:val="center"/>
          </w:tcPr>
          <w:p w14:paraId="3B917385" w14:textId="77777777" w:rsidR="006013A5" w:rsidRPr="00614914" w:rsidRDefault="006013A5" w:rsidP="00D53598">
            <w:pPr>
              <w:contextualSpacing/>
              <w:rPr>
                <w:rFonts w:ascii="Calibri" w:hAnsi="Calibri"/>
                <w:sz w:val="18"/>
                <w:szCs w:val="18"/>
              </w:rPr>
            </w:pPr>
            <w:r w:rsidRPr="00614914">
              <w:rPr>
                <w:rFonts w:ascii="Calibri" w:hAnsi="Calibri"/>
                <w:sz w:val="18"/>
                <w:szCs w:val="18"/>
              </w:rPr>
              <w:t xml:space="preserve">PIF </w:t>
            </w:r>
          </w:p>
        </w:tc>
        <w:tc>
          <w:tcPr>
            <w:tcW w:w="8134" w:type="dxa"/>
            <w:shd w:val="clear" w:color="auto" w:fill="auto"/>
            <w:noWrap/>
            <w:tcMar>
              <w:left w:w="0" w:type="dxa"/>
              <w:right w:w="0" w:type="dxa"/>
            </w:tcMar>
            <w:vAlign w:val="center"/>
          </w:tcPr>
          <w:p w14:paraId="56098710" w14:textId="77777777" w:rsidR="006013A5" w:rsidRPr="00614914" w:rsidRDefault="006013A5" w:rsidP="00D53598">
            <w:pPr>
              <w:contextualSpacing/>
              <w:rPr>
                <w:rFonts w:ascii="Calibri" w:hAnsi="Calibri"/>
                <w:sz w:val="18"/>
                <w:szCs w:val="18"/>
              </w:rPr>
            </w:pPr>
            <w:r w:rsidRPr="00614914">
              <w:rPr>
                <w:rFonts w:ascii="Calibri" w:hAnsi="Calibri"/>
                <w:sz w:val="18"/>
                <w:szCs w:val="18"/>
              </w:rPr>
              <w:t xml:space="preserve">Project Identification Form </w:t>
            </w:r>
          </w:p>
        </w:tc>
      </w:tr>
      <w:tr w:rsidR="006013A5" w:rsidRPr="00614914" w14:paraId="6BBA4C6C" w14:textId="77777777" w:rsidTr="009B5678">
        <w:trPr>
          <w:trHeight w:val="170"/>
        </w:trPr>
        <w:tc>
          <w:tcPr>
            <w:tcW w:w="1144" w:type="dxa"/>
            <w:shd w:val="clear" w:color="auto" w:fill="auto"/>
            <w:noWrap/>
            <w:tcMar>
              <w:left w:w="0" w:type="dxa"/>
              <w:right w:w="0" w:type="dxa"/>
            </w:tcMar>
            <w:vAlign w:val="center"/>
          </w:tcPr>
          <w:p w14:paraId="7362BA24" w14:textId="77777777" w:rsidR="006013A5" w:rsidRPr="00614914" w:rsidRDefault="006013A5" w:rsidP="00D53598">
            <w:pPr>
              <w:contextualSpacing/>
              <w:rPr>
                <w:rFonts w:ascii="Calibri" w:hAnsi="Calibri"/>
                <w:sz w:val="18"/>
                <w:szCs w:val="18"/>
              </w:rPr>
            </w:pPr>
            <w:r w:rsidRPr="00614914">
              <w:rPr>
                <w:rFonts w:ascii="Calibri" w:hAnsi="Calibri"/>
                <w:sz w:val="18"/>
                <w:szCs w:val="18"/>
              </w:rPr>
              <w:t xml:space="preserve">PIR </w:t>
            </w:r>
          </w:p>
        </w:tc>
        <w:tc>
          <w:tcPr>
            <w:tcW w:w="8134" w:type="dxa"/>
            <w:shd w:val="clear" w:color="auto" w:fill="auto"/>
            <w:noWrap/>
            <w:tcMar>
              <w:left w:w="0" w:type="dxa"/>
              <w:right w:w="0" w:type="dxa"/>
            </w:tcMar>
            <w:vAlign w:val="center"/>
          </w:tcPr>
          <w:p w14:paraId="2D8BEAC5" w14:textId="77777777" w:rsidR="006013A5" w:rsidRPr="00614914" w:rsidRDefault="006013A5" w:rsidP="00D53598">
            <w:pPr>
              <w:contextualSpacing/>
              <w:rPr>
                <w:rFonts w:ascii="Calibri" w:hAnsi="Calibri"/>
                <w:sz w:val="18"/>
                <w:szCs w:val="18"/>
              </w:rPr>
            </w:pPr>
            <w:r w:rsidRPr="00614914">
              <w:rPr>
                <w:rFonts w:ascii="Calibri" w:hAnsi="Calibri"/>
                <w:sz w:val="18"/>
                <w:szCs w:val="18"/>
              </w:rPr>
              <w:t xml:space="preserve">Project Implementation Review </w:t>
            </w:r>
          </w:p>
        </w:tc>
      </w:tr>
      <w:tr w:rsidR="006013A5" w:rsidRPr="00614914" w14:paraId="1A30699A" w14:textId="77777777" w:rsidTr="009B5678">
        <w:trPr>
          <w:trHeight w:val="170"/>
        </w:trPr>
        <w:tc>
          <w:tcPr>
            <w:tcW w:w="1144" w:type="dxa"/>
            <w:shd w:val="clear" w:color="auto" w:fill="auto"/>
            <w:noWrap/>
            <w:tcMar>
              <w:left w:w="0" w:type="dxa"/>
              <w:right w:w="0" w:type="dxa"/>
            </w:tcMar>
            <w:vAlign w:val="center"/>
          </w:tcPr>
          <w:p w14:paraId="6512C8AA" w14:textId="77777777" w:rsidR="006013A5" w:rsidRPr="00614914" w:rsidRDefault="006013A5" w:rsidP="00D53598">
            <w:pPr>
              <w:rPr>
                <w:rFonts w:ascii="Calibri" w:hAnsi="Calibri"/>
                <w:sz w:val="18"/>
                <w:szCs w:val="18"/>
              </w:rPr>
            </w:pPr>
            <w:r w:rsidRPr="00614914">
              <w:rPr>
                <w:rFonts w:ascii="Calibri" w:hAnsi="Calibri"/>
                <w:sz w:val="18"/>
                <w:szCs w:val="18"/>
              </w:rPr>
              <w:t>PM</w:t>
            </w:r>
          </w:p>
        </w:tc>
        <w:tc>
          <w:tcPr>
            <w:tcW w:w="8134" w:type="dxa"/>
            <w:shd w:val="clear" w:color="auto" w:fill="auto"/>
            <w:noWrap/>
            <w:tcMar>
              <w:left w:w="0" w:type="dxa"/>
              <w:right w:w="0" w:type="dxa"/>
            </w:tcMar>
            <w:vAlign w:val="center"/>
          </w:tcPr>
          <w:p w14:paraId="1CA8FE4C" w14:textId="77777777" w:rsidR="006013A5" w:rsidRPr="00614914" w:rsidRDefault="006013A5" w:rsidP="00D53598">
            <w:pPr>
              <w:rPr>
                <w:rFonts w:ascii="Calibri" w:hAnsi="Calibri"/>
                <w:sz w:val="18"/>
                <w:szCs w:val="18"/>
              </w:rPr>
            </w:pPr>
            <w:r w:rsidRPr="00614914">
              <w:rPr>
                <w:rFonts w:ascii="Calibri" w:hAnsi="Calibri"/>
                <w:sz w:val="18"/>
                <w:szCs w:val="18"/>
              </w:rPr>
              <w:t>Project Manager</w:t>
            </w:r>
          </w:p>
        </w:tc>
      </w:tr>
      <w:tr w:rsidR="006013A5" w:rsidRPr="00614914" w14:paraId="09C28EE5" w14:textId="77777777" w:rsidTr="009B5678">
        <w:trPr>
          <w:trHeight w:val="170"/>
        </w:trPr>
        <w:tc>
          <w:tcPr>
            <w:tcW w:w="1144" w:type="dxa"/>
            <w:shd w:val="clear" w:color="auto" w:fill="auto"/>
            <w:noWrap/>
            <w:tcMar>
              <w:left w:w="0" w:type="dxa"/>
              <w:right w:w="0" w:type="dxa"/>
            </w:tcMar>
            <w:vAlign w:val="center"/>
          </w:tcPr>
          <w:p w14:paraId="4E4FF111" w14:textId="77777777" w:rsidR="006013A5" w:rsidRPr="00614914" w:rsidRDefault="006013A5" w:rsidP="00D53598">
            <w:pPr>
              <w:contextualSpacing/>
              <w:rPr>
                <w:rFonts w:ascii="Calibri" w:hAnsi="Calibri"/>
                <w:sz w:val="18"/>
                <w:szCs w:val="18"/>
              </w:rPr>
            </w:pPr>
            <w:r w:rsidRPr="00614914">
              <w:rPr>
                <w:rFonts w:ascii="Calibri" w:hAnsi="Calibri"/>
                <w:sz w:val="18"/>
                <w:szCs w:val="18"/>
              </w:rPr>
              <w:t xml:space="preserve">PMU </w:t>
            </w:r>
          </w:p>
        </w:tc>
        <w:tc>
          <w:tcPr>
            <w:tcW w:w="8134" w:type="dxa"/>
            <w:shd w:val="clear" w:color="auto" w:fill="auto"/>
            <w:noWrap/>
            <w:tcMar>
              <w:left w:w="0" w:type="dxa"/>
              <w:right w:w="0" w:type="dxa"/>
            </w:tcMar>
            <w:vAlign w:val="center"/>
          </w:tcPr>
          <w:p w14:paraId="6BDFF4E3" w14:textId="77777777" w:rsidR="006013A5" w:rsidRPr="00614914" w:rsidRDefault="006013A5" w:rsidP="00D53598">
            <w:pPr>
              <w:contextualSpacing/>
              <w:rPr>
                <w:rFonts w:ascii="Calibri" w:hAnsi="Calibri"/>
                <w:sz w:val="18"/>
                <w:szCs w:val="18"/>
              </w:rPr>
            </w:pPr>
            <w:r w:rsidRPr="00614914">
              <w:rPr>
                <w:rFonts w:ascii="Calibri" w:hAnsi="Calibri"/>
                <w:sz w:val="18"/>
                <w:szCs w:val="18"/>
              </w:rPr>
              <w:t xml:space="preserve">Project Management Unit </w:t>
            </w:r>
          </w:p>
        </w:tc>
      </w:tr>
      <w:tr w:rsidR="006013A5" w:rsidRPr="00614914" w14:paraId="236BC315" w14:textId="77777777" w:rsidTr="009B5678">
        <w:trPr>
          <w:trHeight w:val="170"/>
        </w:trPr>
        <w:tc>
          <w:tcPr>
            <w:tcW w:w="1144" w:type="dxa"/>
            <w:shd w:val="clear" w:color="auto" w:fill="auto"/>
            <w:noWrap/>
            <w:tcMar>
              <w:left w:w="0" w:type="dxa"/>
              <w:right w:w="0" w:type="dxa"/>
            </w:tcMar>
            <w:vAlign w:val="center"/>
          </w:tcPr>
          <w:p w14:paraId="07F0A65C" w14:textId="77777777" w:rsidR="006013A5" w:rsidRPr="00614914" w:rsidRDefault="006013A5" w:rsidP="00D53598">
            <w:pPr>
              <w:contextualSpacing/>
              <w:rPr>
                <w:rFonts w:ascii="Calibri" w:hAnsi="Calibri"/>
                <w:sz w:val="18"/>
                <w:szCs w:val="18"/>
              </w:rPr>
            </w:pPr>
            <w:r w:rsidRPr="00614914">
              <w:rPr>
                <w:rFonts w:ascii="Calibri" w:hAnsi="Calibri"/>
                <w:sz w:val="18"/>
                <w:szCs w:val="18"/>
              </w:rPr>
              <w:t xml:space="preserve">PPG </w:t>
            </w:r>
          </w:p>
        </w:tc>
        <w:tc>
          <w:tcPr>
            <w:tcW w:w="8134" w:type="dxa"/>
            <w:shd w:val="clear" w:color="auto" w:fill="auto"/>
            <w:noWrap/>
            <w:tcMar>
              <w:left w:w="0" w:type="dxa"/>
              <w:right w:w="0" w:type="dxa"/>
            </w:tcMar>
            <w:vAlign w:val="center"/>
          </w:tcPr>
          <w:p w14:paraId="362ACF9E" w14:textId="77777777" w:rsidR="006013A5" w:rsidRPr="00614914" w:rsidRDefault="006013A5" w:rsidP="00D53598">
            <w:pPr>
              <w:contextualSpacing/>
              <w:rPr>
                <w:rFonts w:ascii="Calibri" w:hAnsi="Calibri"/>
                <w:sz w:val="18"/>
                <w:szCs w:val="18"/>
              </w:rPr>
            </w:pPr>
            <w:r w:rsidRPr="00614914">
              <w:rPr>
                <w:rFonts w:ascii="Calibri" w:hAnsi="Calibri"/>
                <w:sz w:val="18"/>
                <w:szCs w:val="18"/>
              </w:rPr>
              <w:t xml:space="preserve">Project Preparation Grant </w:t>
            </w:r>
          </w:p>
        </w:tc>
      </w:tr>
      <w:tr w:rsidR="006013A5" w:rsidRPr="00614914" w14:paraId="4537AAA2" w14:textId="77777777" w:rsidTr="009B5678">
        <w:trPr>
          <w:trHeight w:val="170"/>
        </w:trPr>
        <w:tc>
          <w:tcPr>
            <w:tcW w:w="1144" w:type="dxa"/>
            <w:shd w:val="clear" w:color="auto" w:fill="auto"/>
            <w:noWrap/>
            <w:tcMar>
              <w:left w:w="0" w:type="dxa"/>
              <w:right w:w="0" w:type="dxa"/>
            </w:tcMar>
            <w:vAlign w:val="center"/>
          </w:tcPr>
          <w:p w14:paraId="0F7C0AEA" w14:textId="77777777" w:rsidR="006013A5" w:rsidRPr="00614914" w:rsidRDefault="006013A5" w:rsidP="00D53598">
            <w:pPr>
              <w:contextualSpacing/>
              <w:rPr>
                <w:rFonts w:ascii="Calibri" w:hAnsi="Calibri"/>
                <w:sz w:val="18"/>
                <w:szCs w:val="18"/>
              </w:rPr>
            </w:pPr>
            <w:r w:rsidRPr="00614914">
              <w:rPr>
                <w:rFonts w:ascii="Calibri" w:hAnsi="Calibri"/>
                <w:sz w:val="18"/>
                <w:szCs w:val="18"/>
              </w:rPr>
              <w:t xml:space="preserve">ProDoc </w:t>
            </w:r>
          </w:p>
        </w:tc>
        <w:tc>
          <w:tcPr>
            <w:tcW w:w="8134" w:type="dxa"/>
            <w:shd w:val="clear" w:color="auto" w:fill="auto"/>
            <w:noWrap/>
            <w:tcMar>
              <w:left w:w="0" w:type="dxa"/>
              <w:right w:w="0" w:type="dxa"/>
            </w:tcMar>
            <w:vAlign w:val="center"/>
          </w:tcPr>
          <w:p w14:paraId="24BB6C54" w14:textId="09E4409F" w:rsidR="006013A5" w:rsidRPr="00614914" w:rsidRDefault="006013A5" w:rsidP="00D53598">
            <w:pPr>
              <w:contextualSpacing/>
              <w:rPr>
                <w:rFonts w:ascii="Calibri" w:hAnsi="Calibri"/>
                <w:sz w:val="18"/>
                <w:szCs w:val="18"/>
              </w:rPr>
            </w:pPr>
            <w:r w:rsidRPr="00614914">
              <w:rPr>
                <w:rFonts w:ascii="Calibri" w:hAnsi="Calibri"/>
                <w:sz w:val="18"/>
                <w:szCs w:val="18"/>
              </w:rPr>
              <w:t xml:space="preserve">Project Document </w:t>
            </w:r>
          </w:p>
        </w:tc>
      </w:tr>
      <w:tr w:rsidR="006013A5" w:rsidRPr="00614914" w14:paraId="3F0D262D" w14:textId="77777777" w:rsidTr="009B5678">
        <w:trPr>
          <w:trHeight w:val="170"/>
        </w:trPr>
        <w:tc>
          <w:tcPr>
            <w:tcW w:w="1144" w:type="dxa"/>
            <w:shd w:val="clear" w:color="auto" w:fill="auto"/>
            <w:noWrap/>
            <w:tcMar>
              <w:left w:w="0" w:type="dxa"/>
              <w:right w:w="0" w:type="dxa"/>
            </w:tcMar>
            <w:vAlign w:val="center"/>
          </w:tcPr>
          <w:p w14:paraId="37C8DCA4" w14:textId="77777777" w:rsidR="006013A5" w:rsidRPr="00614914" w:rsidRDefault="006013A5" w:rsidP="00D53598">
            <w:pPr>
              <w:rPr>
                <w:rFonts w:ascii="Calibri" w:hAnsi="Calibri"/>
                <w:sz w:val="18"/>
                <w:szCs w:val="18"/>
              </w:rPr>
            </w:pPr>
            <w:r w:rsidRPr="00614914">
              <w:rPr>
                <w:rFonts w:ascii="Calibri" w:hAnsi="Calibri"/>
                <w:sz w:val="18"/>
                <w:szCs w:val="18"/>
              </w:rPr>
              <w:t>RTA</w:t>
            </w:r>
          </w:p>
        </w:tc>
        <w:tc>
          <w:tcPr>
            <w:tcW w:w="8134" w:type="dxa"/>
            <w:shd w:val="clear" w:color="auto" w:fill="auto"/>
            <w:noWrap/>
            <w:tcMar>
              <w:left w:w="0" w:type="dxa"/>
              <w:right w:w="0" w:type="dxa"/>
            </w:tcMar>
            <w:vAlign w:val="center"/>
          </w:tcPr>
          <w:p w14:paraId="2FC54C4E" w14:textId="77777777" w:rsidR="006013A5" w:rsidRPr="00614914" w:rsidRDefault="006013A5" w:rsidP="00D53598">
            <w:pPr>
              <w:rPr>
                <w:rFonts w:ascii="Calibri" w:hAnsi="Calibri"/>
                <w:sz w:val="18"/>
                <w:szCs w:val="18"/>
              </w:rPr>
            </w:pPr>
            <w:r w:rsidRPr="00614914">
              <w:rPr>
                <w:rFonts w:ascii="Calibri" w:hAnsi="Calibri"/>
                <w:sz w:val="18"/>
                <w:szCs w:val="18"/>
              </w:rPr>
              <w:t>(UNDP) Regional Technical Adviser</w:t>
            </w:r>
          </w:p>
        </w:tc>
      </w:tr>
      <w:tr w:rsidR="006013A5" w:rsidRPr="00614914" w14:paraId="37CDA2EB" w14:textId="77777777" w:rsidTr="009B5678">
        <w:trPr>
          <w:trHeight w:val="64"/>
        </w:trPr>
        <w:tc>
          <w:tcPr>
            <w:tcW w:w="1144" w:type="dxa"/>
            <w:shd w:val="clear" w:color="auto" w:fill="auto"/>
            <w:noWrap/>
            <w:tcMar>
              <w:left w:w="0" w:type="dxa"/>
              <w:right w:w="0" w:type="dxa"/>
            </w:tcMar>
            <w:vAlign w:val="center"/>
          </w:tcPr>
          <w:p w14:paraId="788F744E" w14:textId="77777777" w:rsidR="006013A5" w:rsidRPr="00614914" w:rsidRDefault="006013A5" w:rsidP="00D53598">
            <w:pPr>
              <w:rPr>
                <w:rFonts w:ascii="Calibri" w:hAnsi="Calibri"/>
                <w:sz w:val="18"/>
                <w:szCs w:val="18"/>
              </w:rPr>
            </w:pPr>
            <w:r w:rsidRPr="00614914">
              <w:rPr>
                <w:rFonts w:ascii="Calibri" w:hAnsi="Calibri"/>
                <w:sz w:val="18"/>
                <w:szCs w:val="18"/>
              </w:rPr>
              <w:t>SR</w:t>
            </w:r>
          </w:p>
        </w:tc>
        <w:tc>
          <w:tcPr>
            <w:tcW w:w="8134" w:type="dxa"/>
            <w:shd w:val="clear" w:color="auto" w:fill="auto"/>
            <w:noWrap/>
            <w:tcMar>
              <w:left w:w="0" w:type="dxa"/>
              <w:right w:w="0" w:type="dxa"/>
            </w:tcMar>
            <w:vAlign w:val="center"/>
          </w:tcPr>
          <w:p w14:paraId="326DC28E" w14:textId="77777777" w:rsidR="006013A5" w:rsidRPr="00614914" w:rsidRDefault="006013A5" w:rsidP="00D53598">
            <w:pPr>
              <w:rPr>
                <w:rFonts w:ascii="Calibri" w:hAnsi="Calibri"/>
                <w:sz w:val="18"/>
                <w:szCs w:val="18"/>
              </w:rPr>
            </w:pPr>
            <w:r w:rsidRPr="00614914">
              <w:rPr>
                <w:rFonts w:ascii="Calibri" w:hAnsi="Calibri"/>
                <w:sz w:val="18"/>
                <w:szCs w:val="18"/>
              </w:rPr>
              <w:t>State Reserve</w:t>
            </w:r>
          </w:p>
        </w:tc>
      </w:tr>
      <w:tr w:rsidR="00CA27C2" w:rsidRPr="00614914" w14:paraId="2120D0D1" w14:textId="77777777" w:rsidTr="009B5678">
        <w:trPr>
          <w:trHeight w:val="170"/>
        </w:trPr>
        <w:tc>
          <w:tcPr>
            <w:tcW w:w="1144" w:type="dxa"/>
            <w:shd w:val="clear" w:color="auto" w:fill="auto"/>
            <w:noWrap/>
            <w:tcMar>
              <w:left w:w="0" w:type="dxa"/>
              <w:right w:w="0" w:type="dxa"/>
            </w:tcMar>
            <w:vAlign w:val="center"/>
          </w:tcPr>
          <w:p w14:paraId="4CE186F3" w14:textId="02F7A73E" w:rsidR="00CA27C2" w:rsidRPr="00614914" w:rsidRDefault="00CA27C2" w:rsidP="00D53598">
            <w:pPr>
              <w:rPr>
                <w:rFonts w:ascii="Calibri" w:hAnsi="Calibri"/>
                <w:sz w:val="18"/>
                <w:szCs w:val="18"/>
              </w:rPr>
            </w:pPr>
            <w:r w:rsidRPr="00614914">
              <w:rPr>
                <w:rFonts w:ascii="Calibri" w:hAnsi="Calibri"/>
                <w:sz w:val="18"/>
                <w:szCs w:val="18"/>
              </w:rPr>
              <w:t>SRF</w:t>
            </w:r>
          </w:p>
        </w:tc>
        <w:tc>
          <w:tcPr>
            <w:tcW w:w="8134" w:type="dxa"/>
            <w:shd w:val="clear" w:color="auto" w:fill="auto"/>
            <w:noWrap/>
            <w:tcMar>
              <w:left w:w="0" w:type="dxa"/>
              <w:right w:w="0" w:type="dxa"/>
            </w:tcMar>
            <w:vAlign w:val="center"/>
          </w:tcPr>
          <w:p w14:paraId="0302E53C" w14:textId="71D79A4F" w:rsidR="00CA27C2" w:rsidRPr="00614914" w:rsidRDefault="00CA27C2" w:rsidP="00D53598">
            <w:pPr>
              <w:rPr>
                <w:rFonts w:ascii="Calibri" w:hAnsi="Calibri"/>
                <w:sz w:val="18"/>
                <w:szCs w:val="18"/>
              </w:rPr>
            </w:pPr>
            <w:r w:rsidRPr="00614914">
              <w:rPr>
                <w:rFonts w:ascii="Calibri" w:hAnsi="Calibri"/>
                <w:sz w:val="18"/>
                <w:szCs w:val="18"/>
              </w:rPr>
              <w:t>Strategic Results Framework</w:t>
            </w:r>
          </w:p>
        </w:tc>
      </w:tr>
      <w:tr w:rsidR="006013A5" w:rsidRPr="00614914" w14:paraId="5CEBD556" w14:textId="77777777" w:rsidTr="009B5678">
        <w:trPr>
          <w:trHeight w:val="170"/>
        </w:trPr>
        <w:tc>
          <w:tcPr>
            <w:tcW w:w="1144" w:type="dxa"/>
            <w:shd w:val="clear" w:color="auto" w:fill="auto"/>
            <w:noWrap/>
            <w:tcMar>
              <w:left w:w="0" w:type="dxa"/>
              <w:right w:w="0" w:type="dxa"/>
            </w:tcMar>
            <w:vAlign w:val="center"/>
          </w:tcPr>
          <w:p w14:paraId="5BAD2E96" w14:textId="77777777" w:rsidR="006013A5" w:rsidRPr="00614914" w:rsidRDefault="006013A5" w:rsidP="00D53598">
            <w:pPr>
              <w:rPr>
                <w:rFonts w:ascii="Calibri" w:hAnsi="Calibri"/>
                <w:sz w:val="18"/>
                <w:szCs w:val="18"/>
              </w:rPr>
            </w:pPr>
            <w:r w:rsidRPr="00614914">
              <w:rPr>
                <w:rFonts w:ascii="Calibri" w:hAnsi="Calibri"/>
                <w:sz w:val="18"/>
                <w:szCs w:val="18"/>
              </w:rPr>
              <w:t>TCB</w:t>
            </w:r>
          </w:p>
        </w:tc>
        <w:tc>
          <w:tcPr>
            <w:tcW w:w="8134" w:type="dxa"/>
            <w:shd w:val="clear" w:color="auto" w:fill="auto"/>
            <w:noWrap/>
            <w:tcMar>
              <w:left w:w="0" w:type="dxa"/>
              <w:right w:w="0" w:type="dxa"/>
            </w:tcMar>
            <w:vAlign w:val="center"/>
          </w:tcPr>
          <w:p w14:paraId="1DE10790" w14:textId="77777777" w:rsidR="006013A5" w:rsidRPr="00614914" w:rsidRDefault="006013A5" w:rsidP="00D53598">
            <w:pPr>
              <w:rPr>
                <w:rFonts w:ascii="Calibri" w:hAnsi="Calibri"/>
                <w:sz w:val="18"/>
                <w:szCs w:val="18"/>
              </w:rPr>
            </w:pPr>
            <w:r w:rsidRPr="00614914">
              <w:rPr>
                <w:rFonts w:ascii="Calibri" w:hAnsi="Calibri"/>
                <w:sz w:val="18"/>
                <w:szCs w:val="18"/>
              </w:rPr>
              <w:t>Technical Coordination Group</w:t>
            </w:r>
          </w:p>
        </w:tc>
      </w:tr>
      <w:tr w:rsidR="006013A5" w:rsidRPr="00614914" w14:paraId="0816D071" w14:textId="77777777" w:rsidTr="009B5678">
        <w:trPr>
          <w:trHeight w:val="170"/>
        </w:trPr>
        <w:tc>
          <w:tcPr>
            <w:tcW w:w="1144" w:type="dxa"/>
            <w:shd w:val="clear" w:color="auto" w:fill="auto"/>
            <w:noWrap/>
            <w:tcMar>
              <w:left w:w="0" w:type="dxa"/>
              <w:right w:w="0" w:type="dxa"/>
            </w:tcMar>
            <w:vAlign w:val="center"/>
          </w:tcPr>
          <w:p w14:paraId="5E641CA8" w14:textId="77777777" w:rsidR="006013A5" w:rsidRPr="00614914" w:rsidRDefault="006013A5" w:rsidP="00D53598">
            <w:pPr>
              <w:contextualSpacing/>
              <w:rPr>
                <w:rFonts w:ascii="Calibri" w:hAnsi="Calibri"/>
                <w:sz w:val="18"/>
                <w:szCs w:val="18"/>
              </w:rPr>
            </w:pPr>
            <w:r w:rsidRPr="00614914">
              <w:rPr>
                <w:rFonts w:ascii="Calibri" w:hAnsi="Calibri"/>
                <w:sz w:val="18"/>
                <w:szCs w:val="18"/>
              </w:rPr>
              <w:t xml:space="preserve">TE </w:t>
            </w:r>
          </w:p>
        </w:tc>
        <w:tc>
          <w:tcPr>
            <w:tcW w:w="8134" w:type="dxa"/>
            <w:shd w:val="clear" w:color="auto" w:fill="auto"/>
            <w:noWrap/>
            <w:tcMar>
              <w:left w:w="0" w:type="dxa"/>
              <w:right w:w="0" w:type="dxa"/>
            </w:tcMar>
            <w:vAlign w:val="center"/>
          </w:tcPr>
          <w:p w14:paraId="41AC3FC2" w14:textId="77777777" w:rsidR="006013A5" w:rsidRPr="00614914" w:rsidRDefault="006013A5" w:rsidP="00D53598">
            <w:pPr>
              <w:contextualSpacing/>
              <w:rPr>
                <w:rFonts w:ascii="Calibri" w:hAnsi="Calibri"/>
                <w:sz w:val="18"/>
                <w:szCs w:val="18"/>
              </w:rPr>
            </w:pPr>
            <w:r w:rsidRPr="00614914">
              <w:rPr>
                <w:rFonts w:ascii="Calibri" w:hAnsi="Calibri"/>
                <w:sz w:val="18"/>
                <w:szCs w:val="18"/>
              </w:rPr>
              <w:t xml:space="preserve">Terminal Evaluation </w:t>
            </w:r>
          </w:p>
        </w:tc>
      </w:tr>
      <w:tr w:rsidR="006013A5" w:rsidRPr="00614914" w14:paraId="2DD2433A" w14:textId="77777777" w:rsidTr="009B5678">
        <w:trPr>
          <w:trHeight w:val="170"/>
        </w:trPr>
        <w:tc>
          <w:tcPr>
            <w:tcW w:w="1144" w:type="dxa"/>
            <w:shd w:val="clear" w:color="auto" w:fill="auto"/>
            <w:noWrap/>
            <w:tcMar>
              <w:left w:w="0" w:type="dxa"/>
              <w:right w:w="0" w:type="dxa"/>
            </w:tcMar>
            <w:vAlign w:val="center"/>
          </w:tcPr>
          <w:p w14:paraId="6E474628" w14:textId="53EC011F" w:rsidR="006013A5" w:rsidRPr="00614914" w:rsidRDefault="006013A5" w:rsidP="00D53598">
            <w:pPr>
              <w:contextualSpacing/>
              <w:rPr>
                <w:rFonts w:ascii="Calibri" w:hAnsi="Calibri"/>
                <w:sz w:val="18"/>
                <w:szCs w:val="18"/>
              </w:rPr>
            </w:pPr>
            <w:r w:rsidRPr="00614914">
              <w:rPr>
                <w:rFonts w:ascii="Calibri" w:hAnsi="Calibri"/>
                <w:sz w:val="18"/>
                <w:szCs w:val="18"/>
              </w:rPr>
              <w:t xml:space="preserve">ToR </w:t>
            </w:r>
          </w:p>
        </w:tc>
        <w:tc>
          <w:tcPr>
            <w:tcW w:w="8134" w:type="dxa"/>
            <w:shd w:val="clear" w:color="auto" w:fill="auto"/>
            <w:noWrap/>
            <w:tcMar>
              <w:left w:w="0" w:type="dxa"/>
              <w:right w:w="0" w:type="dxa"/>
            </w:tcMar>
            <w:vAlign w:val="center"/>
          </w:tcPr>
          <w:p w14:paraId="3F5B54D5" w14:textId="77777777" w:rsidR="006013A5" w:rsidRPr="00614914" w:rsidRDefault="006013A5" w:rsidP="00D53598">
            <w:pPr>
              <w:contextualSpacing/>
              <w:rPr>
                <w:rFonts w:ascii="Calibri" w:hAnsi="Calibri"/>
                <w:sz w:val="18"/>
                <w:szCs w:val="18"/>
              </w:rPr>
            </w:pPr>
            <w:r w:rsidRPr="00614914">
              <w:rPr>
                <w:rFonts w:ascii="Calibri" w:hAnsi="Calibri"/>
                <w:sz w:val="18"/>
                <w:szCs w:val="18"/>
              </w:rPr>
              <w:t xml:space="preserve">Terms of Reference </w:t>
            </w:r>
          </w:p>
        </w:tc>
      </w:tr>
      <w:tr w:rsidR="006013A5" w:rsidRPr="00614914" w14:paraId="75CB598B" w14:textId="77777777" w:rsidTr="009B5678">
        <w:trPr>
          <w:trHeight w:val="170"/>
        </w:trPr>
        <w:tc>
          <w:tcPr>
            <w:tcW w:w="1144" w:type="dxa"/>
            <w:shd w:val="clear" w:color="auto" w:fill="auto"/>
            <w:noWrap/>
            <w:tcMar>
              <w:left w:w="0" w:type="dxa"/>
              <w:right w:w="0" w:type="dxa"/>
            </w:tcMar>
            <w:vAlign w:val="center"/>
          </w:tcPr>
          <w:p w14:paraId="7669C55C" w14:textId="77777777" w:rsidR="006013A5" w:rsidRPr="00614914" w:rsidRDefault="006013A5" w:rsidP="00D53598">
            <w:pPr>
              <w:rPr>
                <w:rFonts w:ascii="Calibri" w:hAnsi="Calibri"/>
                <w:sz w:val="18"/>
                <w:szCs w:val="18"/>
              </w:rPr>
            </w:pPr>
            <w:r w:rsidRPr="00614914">
              <w:rPr>
                <w:rFonts w:ascii="Calibri" w:hAnsi="Calibri"/>
                <w:sz w:val="18"/>
                <w:szCs w:val="18"/>
              </w:rPr>
              <w:t>UNDAF</w:t>
            </w:r>
          </w:p>
        </w:tc>
        <w:tc>
          <w:tcPr>
            <w:tcW w:w="8134" w:type="dxa"/>
            <w:shd w:val="clear" w:color="auto" w:fill="auto"/>
            <w:noWrap/>
            <w:tcMar>
              <w:left w:w="0" w:type="dxa"/>
              <w:right w:w="0" w:type="dxa"/>
            </w:tcMar>
            <w:vAlign w:val="center"/>
          </w:tcPr>
          <w:p w14:paraId="52C54A97" w14:textId="77777777" w:rsidR="006013A5" w:rsidRPr="00614914" w:rsidRDefault="006013A5" w:rsidP="00D53598">
            <w:pPr>
              <w:rPr>
                <w:rFonts w:ascii="Calibri" w:hAnsi="Calibri"/>
                <w:sz w:val="18"/>
                <w:szCs w:val="18"/>
              </w:rPr>
            </w:pPr>
            <w:r w:rsidRPr="00614914">
              <w:rPr>
                <w:rFonts w:ascii="Calibri" w:hAnsi="Calibri"/>
                <w:sz w:val="18"/>
                <w:szCs w:val="18"/>
              </w:rPr>
              <w:t>United Nations Development Assistance Framework</w:t>
            </w:r>
          </w:p>
        </w:tc>
      </w:tr>
      <w:tr w:rsidR="006013A5" w:rsidRPr="00614914" w14:paraId="37C1F290" w14:textId="77777777" w:rsidTr="009B5678">
        <w:trPr>
          <w:trHeight w:val="170"/>
        </w:trPr>
        <w:tc>
          <w:tcPr>
            <w:tcW w:w="1144" w:type="dxa"/>
            <w:shd w:val="clear" w:color="auto" w:fill="auto"/>
            <w:noWrap/>
            <w:tcMar>
              <w:left w:w="0" w:type="dxa"/>
              <w:right w:w="0" w:type="dxa"/>
            </w:tcMar>
            <w:vAlign w:val="center"/>
          </w:tcPr>
          <w:p w14:paraId="15372FC5" w14:textId="77777777" w:rsidR="006013A5" w:rsidRPr="00614914" w:rsidRDefault="006013A5" w:rsidP="00D53598">
            <w:pPr>
              <w:rPr>
                <w:rFonts w:ascii="Calibri" w:hAnsi="Calibri"/>
                <w:sz w:val="18"/>
                <w:szCs w:val="18"/>
              </w:rPr>
            </w:pPr>
            <w:r w:rsidRPr="00614914">
              <w:rPr>
                <w:rFonts w:ascii="Calibri" w:hAnsi="Calibri"/>
                <w:sz w:val="18"/>
                <w:szCs w:val="18"/>
              </w:rPr>
              <w:t>UNDP</w:t>
            </w:r>
          </w:p>
        </w:tc>
        <w:tc>
          <w:tcPr>
            <w:tcW w:w="8134" w:type="dxa"/>
            <w:shd w:val="clear" w:color="auto" w:fill="auto"/>
            <w:noWrap/>
            <w:tcMar>
              <w:left w:w="0" w:type="dxa"/>
              <w:right w:w="0" w:type="dxa"/>
            </w:tcMar>
            <w:vAlign w:val="center"/>
          </w:tcPr>
          <w:p w14:paraId="01305F3A" w14:textId="77777777" w:rsidR="006013A5" w:rsidRPr="00614914" w:rsidRDefault="006013A5" w:rsidP="00D53598">
            <w:pPr>
              <w:rPr>
                <w:rFonts w:ascii="Calibri" w:hAnsi="Calibri"/>
                <w:sz w:val="18"/>
                <w:szCs w:val="18"/>
              </w:rPr>
            </w:pPr>
            <w:r w:rsidRPr="00614914">
              <w:rPr>
                <w:rFonts w:ascii="Calibri" w:hAnsi="Calibri"/>
                <w:sz w:val="18"/>
                <w:szCs w:val="18"/>
              </w:rPr>
              <w:t>United Nations Development Programme</w:t>
            </w:r>
          </w:p>
        </w:tc>
      </w:tr>
      <w:tr w:rsidR="006013A5" w:rsidRPr="00614914" w14:paraId="28AB7315" w14:textId="77777777" w:rsidTr="009B5678">
        <w:trPr>
          <w:trHeight w:val="64"/>
        </w:trPr>
        <w:tc>
          <w:tcPr>
            <w:tcW w:w="1144" w:type="dxa"/>
            <w:shd w:val="clear" w:color="auto" w:fill="auto"/>
            <w:noWrap/>
            <w:tcMar>
              <w:left w:w="0" w:type="dxa"/>
              <w:right w:w="0" w:type="dxa"/>
            </w:tcMar>
            <w:vAlign w:val="center"/>
          </w:tcPr>
          <w:p w14:paraId="37BCA082" w14:textId="77777777" w:rsidR="006013A5" w:rsidRPr="00614914" w:rsidRDefault="006013A5" w:rsidP="00D53598">
            <w:pPr>
              <w:rPr>
                <w:rFonts w:ascii="Calibri" w:hAnsi="Calibri"/>
                <w:sz w:val="18"/>
                <w:szCs w:val="18"/>
              </w:rPr>
            </w:pPr>
            <w:r w:rsidRPr="00614914">
              <w:rPr>
                <w:rFonts w:ascii="Calibri" w:hAnsi="Calibri"/>
                <w:sz w:val="18"/>
                <w:szCs w:val="18"/>
              </w:rPr>
              <w:t>UNDP CO</w:t>
            </w:r>
          </w:p>
        </w:tc>
        <w:tc>
          <w:tcPr>
            <w:tcW w:w="8134" w:type="dxa"/>
            <w:shd w:val="clear" w:color="auto" w:fill="auto"/>
            <w:noWrap/>
            <w:tcMar>
              <w:left w:w="0" w:type="dxa"/>
              <w:right w:w="0" w:type="dxa"/>
            </w:tcMar>
            <w:vAlign w:val="center"/>
          </w:tcPr>
          <w:p w14:paraId="5A667BE2" w14:textId="4774BC56" w:rsidR="006013A5" w:rsidRPr="00614914" w:rsidRDefault="009A54CE" w:rsidP="00D53598">
            <w:pPr>
              <w:rPr>
                <w:rFonts w:ascii="Calibri" w:hAnsi="Calibri"/>
                <w:sz w:val="18"/>
                <w:szCs w:val="18"/>
              </w:rPr>
            </w:pPr>
            <w:r w:rsidRPr="00614914">
              <w:rPr>
                <w:rFonts w:ascii="Calibri" w:hAnsi="Calibri"/>
                <w:sz w:val="18"/>
                <w:szCs w:val="18"/>
              </w:rPr>
              <w:t xml:space="preserve">UNDP </w:t>
            </w:r>
            <w:r w:rsidR="006013A5" w:rsidRPr="00614914">
              <w:rPr>
                <w:rFonts w:ascii="Calibri" w:hAnsi="Calibri"/>
                <w:sz w:val="18"/>
                <w:szCs w:val="18"/>
              </w:rPr>
              <w:t>Country Office</w:t>
            </w:r>
          </w:p>
        </w:tc>
      </w:tr>
      <w:tr w:rsidR="006013A5" w:rsidRPr="00614914" w14:paraId="44E04728" w14:textId="77777777" w:rsidTr="009B5678">
        <w:trPr>
          <w:trHeight w:val="170"/>
        </w:trPr>
        <w:tc>
          <w:tcPr>
            <w:tcW w:w="1144" w:type="dxa"/>
            <w:shd w:val="clear" w:color="auto" w:fill="auto"/>
            <w:noWrap/>
            <w:tcMar>
              <w:left w:w="0" w:type="dxa"/>
              <w:right w:w="0" w:type="dxa"/>
            </w:tcMar>
            <w:vAlign w:val="center"/>
          </w:tcPr>
          <w:p w14:paraId="546AA845" w14:textId="77777777" w:rsidR="006013A5" w:rsidRPr="00614914" w:rsidRDefault="006013A5" w:rsidP="00D53598">
            <w:pPr>
              <w:contextualSpacing/>
              <w:rPr>
                <w:rFonts w:ascii="Calibri" w:hAnsi="Calibri"/>
                <w:sz w:val="18"/>
                <w:szCs w:val="18"/>
              </w:rPr>
            </w:pPr>
            <w:r w:rsidRPr="00614914">
              <w:rPr>
                <w:rFonts w:ascii="Calibri" w:hAnsi="Calibri"/>
                <w:sz w:val="18"/>
                <w:szCs w:val="18"/>
              </w:rPr>
              <w:t xml:space="preserve">UNDP-GEF RTC </w:t>
            </w:r>
          </w:p>
        </w:tc>
        <w:tc>
          <w:tcPr>
            <w:tcW w:w="8134" w:type="dxa"/>
            <w:shd w:val="clear" w:color="auto" w:fill="auto"/>
            <w:noWrap/>
            <w:tcMar>
              <w:left w:w="0" w:type="dxa"/>
              <w:right w:w="0" w:type="dxa"/>
            </w:tcMar>
            <w:vAlign w:val="center"/>
          </w:tcPr>
          <w:p w14:paraId="1AC64F63" w14:textId="77777777" w:rsidR="006013A5" w:rsidRPr="00614914" w:rsidRDefault="006013A5" w:rsidP="00D53598">
            <w:pPr>
              <w:contextualSpacing/>
              <w:rPr>
                <w:rFonts w:ascii="Calibri" w:hAnsi="Calibri"/>
                <w:sz w:val="18"/>
                <w:szCs w:val="18"/>
              </w:rPr>
            </w:pPr>
            <w:r w:rsidRPr="00614914">
              <w:rPr>
                <w:rFonts w:ascii="Calibri" w:hAnsi="Calibri"/>
                <w:sz w:val="18"/>
                <w:szCs w:val="18"/>
              </w:rPr>
              <w:t xml:space="preserve">UNDP-GEF Regional Technical Centre (based in Istanbul) </w:t>
            </w:r>
          </w:p>
        </w:tc>
      </w:tr>
      <w:tr w:rsidR="006013A5" w:rsidRPr="00614914" w14:paraId="4A21155E" w14:textId="77777777" w:rsidTr="009B5678">
        <w:trPr>
          <w:trHeight w:val="170"/>
        </w:trPr>
        <w:tc>
          <w:tcPr>
            <w:tcW w:w="1144" w:type="dxa"/>
            <w:shd w:val="clear" w:color="auto" w:fill="auto"/>
            <w:noWrap/>
            <w:tcMar>
              <w:left w:w="0" w:type="dxa"/>
              <w:right w:w="0" w:type="dxa"/>
            </w:tcMar>
            <w:vAlign w:val="center"/>
          </w:tcPr>
          <w:p w14:paraId="262F6BB8" w14:textId="77777777" w:rsidR="006013A5" w:rsidRPr="00614914" w:rsidRDefault="006013A5" w:rsidP="00D53598">
            <w:pPr>
              <w:contextualSpacing/>
              <w:rPr>
                <w:rFonts w:ascii="Calibri" w:hAnsi="Calibri"/>
                <w:sz w:val="18"/>
                <w:szCs w:val="18"/>
              </w:rPr>
            </w:pPr>
            <w:r w:rsidRPr="00614914">
              <w:rPr>
                <w:rFonts w:ascii="Calibri" w:hAnsi="Calibri"/>
                <w:sz w:val="18"/>
                <w:szCs w:val="18"/>
              </w:rPr>
              <w:t xml:space="preserve">USD </w:t>
            </w:r>
          </w:p>
        </w:tc>
        <w:tc>
          <w:tcPr>
            <w:tcW w:w="8134" w:type="dxa"/>
            <w:shd w:val="clear" w:color="auto" w:fill="auto"/>
            <w:noWrap/>
            <w:tcMar>
              <w:left w:w="0" w:type="dxa"/>
              <w:right w:w="0" w:type="dxa"/>
            </w:tcMar>
            <w:vAlign w:val="center"/>
          </w:tcPr>
          <w:p w14:paraId="0444453E" w14:textId="0D6038DC" w:rsidR="006013A5" w:rsidRPr="00614914" w:rsidRDefault="006013A5" w:rsidP="00D53598">
            <w:pPr>
              <w:contextualSpacing/>
              <w:rPr>
                <w:rFonts w:ascii="Calibri" w:hAnsi="Calibri"/>
                <w:sz w:val="18"/>
                <w:szCs w:val="18"/>
              </w:rPr>
            </w:pPr>
            <w:r w:rsidRPr="00614914">
              <w:rPr>
                <w:rFonts w:ascii="Calibri" w:hAnsi="Calibri"/>
                <w:sz w:val="18"/>
                <w:szCs w:val="18"/>
              </w:rPr>
              <w:t xml:space="preserve">United States dollar </w:t>
            </w:r>
          </w:p>
        </w:tc>
      </w:tr>
      <w:tr w:rsidR="006013A5" w:rsidRPr="00614914" w14:paraId="11E127FD" w14:textId="77777777" w:rsidTr="009B5678">
        <w:trPr>
          <w:trHeight w:val="170"/>
        </w:trPr>
        <w:tc>
          <w:tcPr>
            <w:tcW w:w="1144" w:type="dxa"/>
            <w:shd w:val="clear" w:color="auto" w:fill="auto"/>
            <w:noWrap/>
            <w:tcMar>
              <w:left w:w="0" w:type="dxa"/>
              <w:right w:w="0" w:type="dxa"/>
            </w:tcMar>
            <w:vAlign w:val="center"/>
          </w:tcPr>
          <w:p w14:paraId="723D99AD" w14:textId="77777777" w:rsidR="006013A5" w:rsidRPr="00614914" w:rsidRDefault="006013A5" w:rsidP="00D53598">
            <w:pPr>
              <w:rPr>
                <w:rFonts w:ascii="Calibri" w:hAnsi="Calibri"/>
                <w:sz w:val="18"/>
                <w:szCs w:val="18"/>
              </w:rPr>
            </w:pPr>
            <w:r w:rsidRPr="00614914">
              <w:rPr>
                <w:rFonts w:ascii="Calibri" w:hAnsi="Calibri"/>
                <w:sz w:val="18"/>
                <w:szCs w:val="18"/>
              </w:rPr>
              <w:t>USDoI</w:t>
            </w:r>
          </w:p>
        </w:tc>
        <w:tc>
          <w:tcPr>
            <w:tcW w:w="8134" w:type="dxa"/>
            <w:shd w:val="clear" w:color="auto" w:fill="auto"/>
            <w:noWrap/>
            <w:tcMar>
              <w:left w:w="0" w:type="dxa"/>
              <w:right w:w="0" w:type="dxa"/>
            </w:tcMar>
            <w:vAlign w:val="center"/>
          </w:tcPr>
          <w:p w14:paraId="403D7C95" w14:textId="77777777" w:rsidR="006013A5" w:rsidRPr="00614914" w:rsidRDefault="006013A5" w:rsidP="00D53598">
            <w:pPr>
              <w:rPr>
                <w:rFonts w:ascii="Calibri" w:hAnsi="Calibri"/>
                <w:sz w:val="18"/>
                <w:szCs w:val="18"/>
              </w:rPr>
            </w:pPr>
            <w:r w:rsidRPr="00614914">
              <w:rPr>
                <w:rFonts w:ascii="Calibri" w:hAnsi="Calibri"/>
                <w:sz w:val="18"/>
                <w:szCs w:val="18"/>
              </w:rPr>
              <w:t>United States Department of Interior</w:t>
            </w:r>
          </w:p>
        </w:tc>
      </w:tr>
      <w:tr w:rsidR="006013A5" w:rsidRPr="00614914" w14:paraId="74B9ECC7" w14:textId="77777777" w:rsidTr="009B5678">
        <w:trPr>
          <w:trHeight w:val="170"/>
        </w:trPr>
        <w:tc>
          <w:tcPr>
            <w:tcW w:w="1144" w:type="dxa"/>
            <w:shd w:val="clear" w:color="auto" w:fill="auto"/>
            <w:noWrap/>
            <w:tcMar>
              <w:left w:w="0" w:type="dxa"/>
              <w:right w:w="0" w:type="dxa"/>
            </w:tcMar>
            <w:vAlign w:val="center"/>
          </w:tcPr>
          <w:p w14:paraId="05C7CFCF" w14:textId="77777777" w:rsidR="006013A5" w:rsidRPr="00614914" w:rsidRDefault="006013A5" w:rsidP="00D53598">
            <w:pPr>
              <w:rPr>
                <w:rFonts w:ascii="Calibri" w:hAnsi="Calibri"/>
                <w:sz w:val="18"/>
                <w:szCs w:val="18"/>
              </w:rPr>
            </w:pPr>
            <w:r w:rsidRPr="00614914">
              <w:rPr>
                <w:rFonts w:ascii="Calibri" w:hAnsi="Calibri"/>
                <w:sz w:val="18"/>
                <w:szCs w:val="18"/>
              </w:rPr>
              <w:t>WWF</w:t>
            </w:r>
          </w:p>
        </w:tc>
        <w:tc>
          <w:tcPr>
            <w:tcW w:w="8134" w:type="dxa"/>
            <w:shd w:val="clear" w:color="auto" w:fill="auto"/>
            <w:noWrap/>
            <w:tcMar>
              <w:left w:w="0" w:type="dxa"/>
              <w:right w:w="0" w:type="dxa"/>
            </w:tcMar>
            <w:vAlign w:val="center"/>
          </w:tcPr>
          <w:p w14:paraId="5D7BE2D5" w14:textId="77777777" w:rsidR="006013A5" w:rsidRPr="00614914" w:rsidRDefault="006013A5" w:rsidP="00D53598">
            <w:pPr>
              <w:rPr>
                <w:rFonts w:ascii="Calibri" w:hAnsi="Calibri"/>
                <w:sz w:val="18"/>
                <w:szCs w:val="18"/>
              </w:rPr>
            </w:pPr>
            <w:r w:rsidRPr="00614914">
              <w:rPr>
                <w:rFonts w:ascii="Calibri" w:hAnsi="Calibri"/>
                <w:sz w:val="18"/>
                <w:szCs w:val="18"/>
              </w:rPr>
              <w:t>Worldwide Fund for Nature</w:t>
            </w:r>
          </w:p>
        </w:tc>
      </w:tr>
    </w:tbl>
    <w:p w14:paraId="43C4EBA7" w14:textId="77777777" w:rsidR="00273472" w:rsidRPr="00E22EBA" w:rsidRDefault="00273472" w:rsidP="008E41E1">
      <w:pPr>
        <w:spacing w:after="40"/>
        <w:rPr>
          <w:rFonts w:asciiTheme="minorHAnsi" w:hAnsiTheme="minorHAnsi"/>
          <w:b/>
          <w:sz w:val="28"/>
          <w:lang w:val="en-US"/>
        </w:rPr>
        <w:sectPr w:rsidR="00273472" w:rsidRPr="00E22EBA" w:rsidSect="001B651D">
          <w:footerReference w:type="default" r:id="rId17"/>
          <w:footnotePr>
            <w:numRestart w:val="eachPage"/>
          </w:footnotePr>
          <w:pgSz w:w="11906" w:h="16838" w:code="1"/>
          <w:pgMar w:top="1440" w:right="1440" w:bottom="1440" w:left="1440" w:header="288" w:footer="288" w:gutter="0"/>
          <w:pgNumType w:fmt="lowerRoman"/>
          <w:cols w:space="708"/>
          <w:docGrid w:linePitch="299"/>
        </w:sectPr>
      </w:pPr>
    </w:p>
    <w:p w14:paraId="5FEA6F0E" w14:textId="77777777" w:rsidR="00332D0C" w:rsidRPr="00E22EBA" w:rsidRDefault="000F2AF6" w:rsidP="004C4D1C">
      <w:pPr>
        <w:pStyle w:val="Heading1"/>
        <w:numPr>
          <w:ilvl w:val="0"/>
          <w:numId w:val="5"/>
        </w:numPr>
        <w:spacing w:after="240" w:line="240" w:lineRule="auto"/>
        <w:ind w:left="567" w:hanging="567"/>
        <w:jc w:val="left"/>
        <w:rPr>
          <w:rFonts w:asciiTheme="minorHAnsi" w:hAnsiTheme="minorHAnsi" w:cs="Calibri"/>
          <w:b/>
          <w:sz w:val="32"/>
        </w:rPr>
      </w:pPr>
      <w:bookmarkStart w:id="7" w:name="_Toc414745305"/>
      <w:r w:rsidRPr="00E22EBA">
        <w:rPr>
          <w:rFonts w:asciiTheme="minorHAnsi" w:hAnsiTheme="minorHAnsi" w:cs="Calibri"/>
          <w:b/>
          <w:sz w:val="32"/>
        </w:rPr>
        <w:lastRenderedPageBreak/>
        <w:t>Introduction</w:t>
      </w:r>
      <w:bookmarkEnd w:id="7"/>
    </w:p>
    <w:p w14:paraId="3FB366D2" w14:textId="05FDC3C9" w:rsidR="00332D0C" w:rsidRPr="00E22EBA" w:rsidRDefault="00F43D20" w:rsidP="00A025C5">
      <w:pPr>
        <w:pStyle w:val="Heading2"/>
        <w:numPr>
          <w:ilvl w:val="1"/>
          <w:numId w:val="1"/>
        </w:numPr>
        <w:spacing w:after="120" w:line="240" w:lineRule="auto"/>
        <w:ind w:left="567" w:hanging="567"/>
        <w:rPr>
          <w:rFonts w:asciiTheme="minorHAnsi" w:hAnsiTheme="minorHAnsi" w:cs="Calibri"/>
          <w:b/>
          <w:caps w:val="0"/>
          <w:sz w:val="28"/>
        </w:rPr>
      </w:pPr>
      <w:bookmarkStart w:id="8" w:name="_Toc414745306"/>
      <w:bookmarkStart w:id="9" w:name="_Toc172550454"/>
      <w:r w:rsidRPr="00E22EBA">
        <w:rPr>
          <w:rFonts w:asciiTheme="minorHAnsi" w:hAnsiTheme="minorHAnsi" w:cs="Calibri"/>
          <w:b/>
          <w:caps w:val="0"/>
          <w:sz w:val="28"/>
        </w:rPr>
        <w:t xml:space="preserve">Purpose of </w:t>
      </w:r>
      <w:r w:rsidR="00FC78A8">
        <w:rPr>
          <w:rFonts w:asciiTheme="minorHAnsi" w:hAnsiTheme="minorHAnsi" w:cs="Calibri"/>
          <w:b/>
          <w:caps w:val="0"/>
          <w:sz w:val="28"/>
        </w:rPr>
        <w:t xml:space="preserve">Terminal </w:t>
      </w:r>
      <w:r w:rsidRPr="00E22EBA">
        <w:rPr>
          <w:rFonts w:asciiTheme="minorHAnsi" w:hAnsiTheme="minorHAnsi" w:cs="Calibri"/>
          <w:b/>
          <w:caps w:val="0"/>
          <w:sz w:val="28"/>
        </w:rPr>
        <w:t>Evaluation</w:t>
      </w:r>
      <w:bookmarkEnd w:id="8"/>
    </w:p>
    <w:p w14:paraId="7E93A376" w14:textId="0F3BA455" w:rsidR="004B61D7" w:rsidRPr="004B61D7" w:rsidRDefault="004B61D7" w:rsidP="00454581">
      <w:pPr>
        <w:spacing w:after="120"/>
        <w:jc w:val="both"/>
        <w:rPr>
          <w:rFonts w:asciiTheme="minorHAnsi" w:hAnsiTheme="minorHAnsi" w:cs="Calibri"/>
          <w:sz w:val="24"/>
          <w:szCs w:val="24"/>
          <w:lang w:val="en-US"/>
        </w:rPr>
      </w:pPr>
      <w:r w:rsidRPr="004B61D7">
        <w:rPr>
          <w:rFonts w:asciiTheme="minorHAnsi" w:hAnsiTheme="minorHAnsi" w:cs="Calibri"/>
          <w:sz w:val="24"/>
          <w:szCs w:val="24"/>
          <w:lang w:val="en-US"/>
        </w:rPr>
        <w:t xml:space="preserve">Terminal evaluation </w:t>
      </w:r>
      <w:r w:rsidR="00961852">
        <w:rPr>
          <w:rFonts w:asciiTheme="minorHAnsi" w:hAnsiTheme="minorHAnsi" w:cs="Calibri"/>
          <w:sz w:val="24"/>
          <w:szCs w:val="24"/>
          <w:lang w:val="en-US"/>
        </w:rPr>
        <w:t xml:space="preserve">(TE) </w:t>
      </w:r>
      <w:r w:rsidRPr="004B61D7">
        <w:rPr>
          <w:rFonts w:asciiTheme="minorHAnsi" w:hAnsiTheme="minorHAnsi" w:cs="Calibri"/>
          <w:sz w:val="24"/>
          <w:szCs w:val="24"/>
          <w:lang w:val="en-US"/>
        </w:rPr>
        <w:t>is an integral part of the UNDP/GEF project cycle</w:t>
      </w:r>
      <w:r w:rsidR="00961852" w:rsidRPr="00961852">
        <w:rPr>
          <w:rFonts w:asciiTheme="minorHAnsi" w:hAnsiTheme="minorHAnsi"/>
          <w:sz w:val="24"/>
          <w:szCs w:val="24"/>
          <w:vertAlign w:val="superscript"/>
        </w:rPr>
        <w:footnoteReference w:id="8"/>
      </w:r>
      <w:r w:rsidRPr="00961852">
        <w:rPr>
          <w:rFonts w:asciiTheme="minorHAnsi" w:hAnsiTheme="minorHAnsi" w:cs="Calibri"/>
          <w:sz w:val="24"/>
          <w:szCs w:val="24"/>
          <w:lang w:val="en-US"/>
        </w:rPr>
        <w:t>.</w:t>
      </w:r>
      <w:r w:rsidRPr="004B61D7">
        <w:rPr>
          <w:rFonts w:asciiTheme="minorHAnsi" w:hAnsiTheme="minorHAnsi" w:cs="Calibri"/>
          <w:sz w:val="24"/>
          <w:szCs w:val="24"/>
          <w:lang w:val="en-US"/>
        </w:rPr>
        <w:t xml:space="preserve"> Its purpose is to provide a comprehensive and systematic account of the performance of the completed project by assessing its design, process of implementation, achievements (outputs, outcomes, impacts and their sustainability) against project objectives endorsed by the GEF (including any agreed changes in the objectives during project implementation) and any other results. Performance </w:t>
      </w:r>
      <w:r w:rsidR="00045372">
        <w:rPr>
          <w:rFonts w:asciiTheme="minorHAnsi" w:hAnsiTheme="minorHAnsi" w:cs="Calibri"/>
          <w:sz w:val="24"/>
          <w:szCs w:val="24"/>
          <w:lang w:val="en-US"/>
        </w:rPr>
        <w:t>is</w:t>
      </w:r>
      <w:r w:rsidRPr="004B61D7">
        <w:rPr>
          <w:rFonts w:asciiTheme="minorHAnsi" w:hAnsiTheme="minorHAnsi" w:cs="Calibri"/>
          <w:sz w:val="24"/>
          <w:szCs w:val="24"/>
          <w:lang w:val="en-US"/>
        </w:rPr>
        <w:t xml:space="preserve"> measured by means of t</w:t>
      </w:r>
      <w:r w:rsidR="00595706">
        <w:rPr>
          <w:rFonts w:asciiTheme="minorHAnsi" w:hAnsiTheme="minorHAnsi" w:cs="Calibri"/>
          <w:sz w:val="24"/>
          <w:szCs w:val="24"/>
          <w:lang w:val="en-US"/>
        </w:rPr>
        <w:t>he indicators in the project’s Strategic Results F</w:t>
      </w:r>
      <w:r w:rsidRPr="004B61D7">
        <w:rPr>
          <w:rFonts w:asciiTheme="minorHAnsi" w:hAnsiTheme="minorHAnsi" w:cs="Calibri"/>
          <w:sz w:val="24"/>
          <w:szCs w:val="24"/>
          <w:lang w:val="en-US"/>
        </w:rPr>
        <w:t xml:space="preserve">ramework </w:t>
      </w:r>
      <w:r w:rsidR="00045372">
        <w:rPr>
          <w:rFonts w:asciiTheme="minorHAnsi" w:hAnsiTheme="minorHAnsi" w:cs="Calibri"/>
          <w:sz w:val="24"/>
          <w:szCs w:val="24"/>
          <w:lang w:val="en-US"/>
        </w:rPr>
        <w:t xml:space="preserve">(SRF) </w:t>
      </w:r>
      <w:r w:rsidRPr="004B61D7">
        <w:rPr>
          <w:rFonts w:asciiTheme="minorHAnsi" w:hAnsiTheme="minorHAnsi" w:cs="Calibri"/>
          <w:sz w:val="24"/>
          <w:szCs w:val="24"/>
          <w:lang w:val="en-US"/>
        </w:rPr>
        <w:t>and relevant GEF tracking tools.</w:t>
      </w:r>
    </w:p>
    <w:p w14:paraId="00F2EF71" w14:textId="756B96A5" w:rsidR="004B61D7" w:rsidRPr="004B61D7" w:rsidRDefault="004B61D7" w:rsidP="00953838">
      <w:pPr>
        <w:spacing w:after="60"/>
        <w:jc w:val="both"/>
        <w:rPr>
          <w:rFonts w:ascii="Calibri" w:hAnsi="Calibri" w:cs="Calibri"/>
          <w:sz w:val="24"/>
          <w:szCs w:val="24"/>
          <w:lang w:val="en-US"/>
        </w:rPr>
      </w:pPr>
      <w:r w:rsidRPr="004B61D7">
        <w:rPr>
          <w:rFonts w:ascii="Calibri" w:hAnsi="Calibri" w:cs="Calibri"/>
          <w:sz w:val="24"/>
          <w:szCs w:val="24"/>
          <w:lang w:val="en-US"/>
        </w:rPr>
        <w:t>Terminal evaluation ha</w:t>
      </w:r>
      <w:r>
        <w:rPr>
          <w:rFonts w:ascii="Calibri" w:hAnsi="Calibri" w:cs="Calibri"/>
          <w:sz w:val="24"/>
          <w:szCs w:val="24"/>
          <w:lang w:val="en-US"/>
        </w:rPr>
        <w:t>s</w:t>
      </w:r>
      <w:r w:rsidRPr="004B61D7">
        <w:rPr>
          <w:rFonts w:ascii="Calibri" w:hAnsi="Calibri" w:cs="Calibri"/>
          <w:sz w:val="24"/>
          <w:szCs w:val="24"/>
          <w:lang w:val="en-US"/>
        </w:rPr>
        <w:t xml:space="preserve"> four complementary purposes:</w:t>
      </w:r>
    </w:p>
    <w:p w14:paraId="02D8620D" w14:textId="77777777" w:rsidR="004B61D7" w:rsidRPr="004B61D7" w:rsidRDefault="004B61D7" w:rsidP="0067558E">
      <w:pPr>
        <w:pStyle w:val="BodyText"/>
        <w:numPr>
          <w:ilvl w:val="0"/>
          <w:numId w:val="12"/>
        </w:numPr>
        <w:spacing w:after="60" w:line="240" w:lineRule="auto"/>
        <w:ind w:left="567" w:hanging="425"/>
        <w:rPr>
          <w:rFonts w:ascii="Calibri" w:hAnsi="Calibri" w:cs="Calibri"/>
          <w:szCs w:val="24"/>
        </w:rPr>
      </w:pPr>
      <w:r w:rsidRPr="004B61D7">
        <w:rPr>
          <w:rFonts w:ascii="Calibri" w:hAnsi="Calibri" w:cs="Calibri"/>
          <w:szCs w:val="24"/>
        </w:rPr>
        <w:t>To promote accountability and transparency, and to assess and disclose levels of project accomplishments.</w:t>
      </w:r>
    </w:p>
    <w:p w14:paraId="42362F57" w14:textId="77777777" w:rsidR="004B61D7" w:rsidRPr="004B61D7" w:rsidRDefault="004B61D7" w:rsidP="0067558E">
      <w:pPr>
        <w:pStyle w:val="BodyText"/>
        <w:numPr>
          <w:ilvl w:val="0"/>
          <w:numId w:val="12"/>
        </w:numPr>
        <w:spacing w:after="60" w:line="240" w:lineRule="auto"/>
        <w:ind w:left="567" w:hanging="425"/>
        <w:rPr>
          <w:rFonts w:ascii="Calibri" w:hAnsi="Calibri" w:cs="Calibri"/>
          <w:szCs w:val="24"/>
        </w:rPr>
      </w:pPr>
      <w:r w:rsidRPr="004B61D7">
        <w:rPr>
          <w:rFonts w:ascii="Calibri" w:hAnsi="Calibri" w:cs="Calibri"/>
          <w:szCs w:val="24"/>
        </w:rPr>
        <w:t>To capture and synthesize lessons that may help improve the selection, design and implementation of future GEF activities, as well as to suggest recommendations of replication of project successes.</w:t>
      </w:r>
    </w:p>
    <w:p w14:paraId="33C2FECC" w14:textId="77777777" w:rsidR="004B61D7" w:rsidRPr="004B61D7" w:rsidRDefault="004B61D7" w:rsidP="0067558E">
      <w:pPr>
        <w:pStyle w:val="BodyText"/>
        <w:numPr>
          <w:ilvl w:val="0"/>
          <w:numId w:val="12"/>
        </w:numPr>
        <w:spacing w:after="60" w:line="240" w:lineRule="auto"/>
        <w:ind w:left="567" w:hanging="425"/>
        <w:rPr>
          <w:rFonts w:ascii="Calibri" w:hAnsi="Calibri" w:cs="Calibri"/>
          <w:szCs w:val="24"/>
        </w:rPr>
      </w:pPr>
      <w:r w:rsidRPr="004B61D7">
        <w:rPr>
          <w:rFonts w:ascii="Calibri" w:hAnsi="Calibri" w:cs="Calibri"/>
          <w:szCs w:val="24"/>
        </w:rPr>
        <w:t xml:space="preserve">To provide feedback on issues that are recurrent across the portfolio and need attention, and on improvements regarding previously identified issues. </w:t>
      </w:r>
    </w:p>
    <w:p w14:paraId="5AB5AFB3" w14:textId="77777777" w:rsidR="004B61D7" w:rsidRPr="004B61D7" w:rsidRDefault="004B61D7" w:rsidP="0067558E">
      <w:pPr>
        <w:pStyle w:val="BodyText"/>
        <w:numPr>
          <w:ilvl w:val="0"/>
          <w:numId w:val="12"/>
        </w:numPr>
        <w:spacing w:after="60" w:line="240" w:lineRule="auto"/>
        <w:ind w:left="567" w:hanging="425"/>
        <w:rPr>
          <w:rFonts w:ascii="Calibri" w:hAnsi="Calibri" w:cs="Calibri"/>
          <w:szCs w:val="24"/>
        </w:rPr>
      </w:pPr>
      <w:r w:rsidRPr="004B61D7">
        <w:rPr>
          <w:rFonts w:ascii="Calibri" w:hAnsi="Calibri" w:cs="Calibri"/>
          <w:szCs w:val="24"/>
        </w:rPr>
        <w:t>To contribute to the GEF Evaluation Office databases for aggregation, analysis and reporting on effectiveness of GEF operations in achieving global environmental benefits and on the quality of monitoring and evaluation across the GEF system.</w:t>
      </w:r>
    </w:p>
    <w:p w14:paraId="1BC902F6" w14:textId="77777777" w:rsidR="00332D0C" w:rsidRPr="00E22EBA" w:rsidRDefault="00924831" w:rsidP="00A025C5">
      <w:pPr>
        <w:pStyle w:val="Heading2"/>
        <w:numPr>
          <w:ilvl w:val="1"/>
          <w:numId w:val="1"/>
        </w:numPr>
        <w:spacing w:before="240" w:after="120" w:line="240" w:lineRule="auto"/>
        <w:ind w:left="567" w:hanging="567"/>
        <w:rPr>
          <w:rFonts w:asciiTheme="minorHAnsi" w:hAnsiTheme="minorHAnsi" w:cs="Calibri"/>
          <w:b/>
          <w:caps w:val="0"/>
          <w:sz w:val="28"/>
        </w:rPr>
      </w:pPr>
      <w:bookmarkStart w:id="10" w:name="_Toc414745307"/>
      <w:r w:rsidRPr="00E22EBA">
        <w:rPr>
          <w:rFonts w:asciiTheme="minorHAnsi" w:hAnsiTheme="minorHAnsi" w:cs="Calibri"/>
          <w:b/>
          <w:caps w:val="0"/>
          <w:sz w:val="28"/>
        </w:rPr>
        <w:t xml:space="preserve">Evaluation </w:t>
      </w:r>
      <w:r w:rsidR="00332D0C" w:rsidRPr="00E22EBA">
        <w:rPr>
          <w:rFonts w:asciiTheme="minorHAnsi" w:hAnsiTheme="minorHAnsi" w:cs="Calibri"/>
          <w:b/>
          <w:caps w:val="0"/>
          <w:sz w:val="28"/>
        </w:rPr>
        <w:t>Scope and Methodology</w:t>
      </w:r>
      <w:bookmarkEnd w:id="10"/>
    </w:p>
    <w:p w14:paraId="09834A3F" w14:textId="0434F1C8" w:rsidR="007C6A15" w:rsidRPr="00AB234E" w:rsidRDefault="00961852" w:rsidP="00AB234E">
      <w:pPr>
        <w:spacing w:after="120"/>
        <w:jc w:val="both"/>
        <w:rPr>
          <w:rFonts w:ascii="Calibri" w:hAnsi="Calibri" w:cs="Calibri"/>
          <w:sz w:val="24"/>
          <w:szCs w:val="24"/>
          <w:lang w:val="en-US"/>
        </w:rPr>
      </w:pPr>
      <w:r w:rsidRPr="00AB234E">
        <w:rPr>
          <w:rFonts w:ascii="Calibri" w:hAnsi="Calibri" w:cs="Calibri"/>
          <w:sz w:val="24"/>
          <w:szCs w:val="24"/>
          <w:lang w:val="en-US"/>
        </w:rPr>
        <w:t>TE</w:t>
      </w:r>
      <w:r w:rsidR="007C6A15" w:rsidRPr="00AB234E">
        <w:rPr>
          <w:rFonts w:ascii="Calibri" w:hAnsi="Calibri" w:cs="Calibri"/>
          <w:sz w:val="24"/>
          <w:szCs w:val="24"/>
          <w:lang w:val="en-US"/>
        </w:rPr>
        <w:t xml:space="preserve"> </w:t>
      </w:r>
      <w:r w:rsidRPr="00AB234E">
        <w:rPr>
          <w:rFonts w:ascii="Calibri" w:hAnsi="Calibri" w:cs="Calibri"/>
          <w:sz w:val="24"/>
          <w:szCs w:val="24"/>
          <w:lang w:val="en-US"/>
        </w:rPr>
        <w:t>is</w:t>
      </w:r>
      <w:r w:rsidR="007C6A15" w:rsidRPr="00AB234E">
        <w:rPr>
          <w:rFonts w:ascii="Calibri" w:hAnsi="Calibri" w:cs="Calibri"/>
          <w:sz w:val="24"/>
          <w:szCs w:val="24"/>
          <w:lang w:val="en-US"/>
        </w:rPr>
        <w:t xml:space="preserve"> an evid</w:t>
      </w:r>
      <w:r w:rsidRPr="00AB234E">
        <w:rPr>
          <w:rFonts w:ascii="Calibri" w:hAnsi="Calibri" w:cs="Calibri"/>
          <w:sz w:val="24"/>
          <w:szCs w:val="24"/>
          <w:lang w:val="en-US"/>
        </w:rPr>
        <w:t xml:space="preserve">ence-based </w:t>
      </w:r>
      <w:r w:rsidRPr="00595706">
        <w:rPr>
          <w:rFonts w:ascii="Calibri" w:hAnsi="Calibri" w:cs="Calibri"/>
          <w:sz w:val="24"/>
          <w:szCs w:val="24"/>
          <w:lang w:val="en-US"/>
        </w:rPr>
        <w:t xml:space="preserve">assessment </w:t>
      </w:r>
      <w:r w:rsidR="00595706" w:rsidRPr="00595706">
        <w:rPr>
          <w:rFonts w:ascii="Calibri" w:hAnsi="Calibri" w:cs="Arial"/>
          <w:sz w:val="24"/>
          <w:szCs w:val="24"/>
        </w:rPr>
        <w:t xml:space="preserve">of the project concept and design, its implementation and its outputs, outcomes and impacts as documented in the Annual Progress Reviews (APRs), Project Implementation Reports (PIRs) and the </w:t>
      </w:r>
      <w:r w:rsidR="00595706">
        <w:rPr>
          <w:rFonts w:ascii="Calibri" w:hAnsi="Calibri" w:cs="Arial"/>
          <w:sz w:val="24"/>
          <w:szCs w:val="24"/>
        </w:rPr>
        <w:t>SRF</w:t>
      </w:r>
      <w:r w:rsidR="001B16E7">
        <w:rPr>
          <w:rFonts w:ascii="Calibri" w:hAnsi="Calibri" w:cs="Arial"/>
          <w:sz w:val="24"/>
          <w:szCs w:val="24"/>
        </w:rPr>
        <w:t xml:space="preserve"> and associated tracking tools that provide</w:t>
      </w:r>
      <w:r w:rsidR="00595706" w:rsidRPr="00595706">
        <w:rPr>
          <w:rFonts w:ascii="Calibri" w:hAnsi="Calibri" w:cs="Arial"/>
          <w:sz w:val="24"/>
          <w:szCs w:val="24"/>
        </w:rPr>
        <w:t xml:space="preserve"> indicators and targets for measuring success in implementation.</w:t>
      </w:r>
      <w:r w:rsidR="001B16E7">
        <w:rPr>
          <w:rFonts w:ascii="Calibri" w:hAnsi="Calibri" w:cs="Arial"/>
          <w:sz w:val="24"/>
          <w:szCs w:val="24"/>
        </w:rPr>
        <w:t xml:space="preserve"> It</w:t>
      </w:r>
      <w:r w:rsidRPr="00595706">
        <w:rPr>
          <w:rFonts w:ascii="Calibri" w:hAnsi="Calibri" w:cs="Calibri"/>
          <w:sz w:val="24"/>
          <w:szCs w:val="24"/>
          <w:lang w:val="en-US"/>
        </w:rPr>
        <w:t xml:space="preserve"> relies</w:t>
      </w:r>
      <w:r w:rsidR="007C6A15" w:rsidRPr="00595706">
        <w:rPr>
          <w:rFonts w:ascii="Calibri" w:hAnsi="Calibri" w:cs="Calibri"/>
          <w:sz w:val="24"/>
          <w:szCs w:val="24"/>
          <w:lang w:val="en-US"/>
        </w:rPr>
        <w:t xml:space="preserve"> </w:t>
      </w:r>
      <w:r w:rsidR="009A4974" w:rsidRPr="00595706">
        <w:rPr>
          <w:rFonts w:ascii="Calibri" w:hAnsi="Calibri" w:cs="Calibri"/>
          <w:sz w:val="24"/>
          <w:szCs w:val="24"/>
          <w:lang w:val="en-US"/>
        </w:rPr>
        <w:t xml:space="preserve">primarily on: </w:t>
      </w:r>
      <w:r w:rsidR="003845C9">
        <w:rPr>
          <w:rFonts w:ascii="Calibri" w:hAnsi="Calibri" w:cs="Calibri"/>
          <w:sz w:val="24"/>
          <w:szCs w:val="24"/>
          <w:lang w:val="en-US"/>
        </w:rPr>
        <w:t>interviews with</w:t>
      </w:r>
      <w:r w:rsidR="007C6A15" w:rsidRPr="00595706">
        <w:rPr>
          <w:rFonts w:ascii="Calibri" w:hAnsi="Calibri" w:cs="Calibri"/>
          <w:sz w:val="24"/>
          <w:szCs w:val="24"/>
          <w:lang w:val="en-US"/>
        </w:rPr>
        <w:t xml:space="preserve"> </w:t>
      </w:r>
      <w:r w:rsidR="003845C9">
        <w:rPr>
          <w:rFonts w:ascii="Calibri" w:hAnsi="Calibri" w:cs="Calibri"/>
          <w:sz w:val="24"/>
          <w:szCs w:val="24"/>
          <w:lang w:val="en-US"/>
        </w:rPr>
        <w:t>stakeholders</w:t>
      </w:r>
      <w:r w:rsidR="007C6A15" w:rsidRPr="00595706">
        <w:rPr>
          <w:rFonts w:ascii="Calibri" w:hAnsi="Calibri" w:cs="Calibri"/>
          <w:sz w:val="24"/>
          <w:szCs w:val="24"/>
          <w:lang w:val="en-US"/>
        </w:rPr>
        <w:t xml:space="preserve"> who have been involve</w:t>
      </w:r>
      <w:r w:rsidR="009A4974" w:rsidRPr="00595706">
        <w:rPr>
          <w:rFonts w:ascii="Calibri" w:hAnsi="Calibri" w:cs="Calibri"/>
          <w:sz w:val="24"/>
          <w:szCs w:val="24"/>
          <w:lang w:val="en-US"/>
        </w:rPr>
        <w:t>d</w:t>
      </w:r>
      <w:r w:rsidR="009A4974" w:rsidRPr="00AB234E">
        <w:rPr>
          <w:rFonts w:ascii="Calibri" w:hAnsi="Calibri" w:cs="Calibri"/>
          <w:sz w:val="24"/>
          <w:szCs w:val="24"/>
          <w:lang w:val="en-US"/>
        </w:rPr>
        <w:t xml:space="preserve"> in the design, implementation</w:t>
      </w:r>
      <w:r w:rsidR="007C6A15" w:rsidRPr="00AB234E">
        <w:rPr>
          <w:rFonts w:ascii="Calibri" w:hAnsi="Calibri" w:cs="Calibri"/>
          <w:sz w:val="24"/>
          <w:szCs w:val="24"/>
          <w:lang w:val="en-US"/>
        </w:rPr>
        <w:t xml:space="preserve"> and </w:t>
      </w:r>
      <w:r w:rsidRPr="00AB234E">
        <w:rPr>
          <w:rFonts w:ascii="Calibri" w:hAnsi="Calibri" w:cs="Calibri"/>
          <w:sz w:val="24"/>
          <w:szCs w:val="24"/>
          <w:lang w:val="en-US"/>
        </w:rPr>
        <w:t>oversight</w:t>
      </w:r>
      <w:r w:rsidR="007C6A15" w:rsidRPr="00AB234E">
        <w:rPr>
          <w:rFonts w:ascii="Calibri" w:hAnsi="Calibri" w:cs="Calibri"/>
          <w:sz w:val="24"/>
          <w:szCs w:val="24"/>
          <w:lang w:val="en-US"/>
        </w:rPr>
        <w:t xml:space="preserve"> of the project</w:t>
      </w:r>
      <w:r w:rsidR="009A4974" w:rsidRPr="00AB234E">
        <w:rPr>
          <w:rFonts w:ascii="Calibri" w:hAnsi="Calibri" w:cs="Calibri"/>
          <w:sz w:val="24"/>
          <w:szCs w:val="24"/>
          <w:lang w:val="en-US"/>
        </w:rPr>
        <w:t>;</w:t>
      </w:r>
      <w:r w:rsidR="007C6A15" w:rsidRPr="00AB234E">
        <w:rPr>
          <w:rFonts w:ascii="Calibri" w:hAnsi="Calibri" w:cs="Calibri"/>
          <w:sz w:val="24"/>
          <w:szCs w:val="24"/>
          <w:lang w:val="en-US"/>
        </w:rPr>
        <w:t xml:space="preserve"> review of</w:t>
      </w:r>
      <w:r w:rsidR="000847F1" w:rsidRPr="00AB234E">
        <w:rPr>
          <w:rFonts w:ascii="Calibri" w:hAnsi="Calibri" w:cs="Calibri"/>
          <w:sz w:val="24"/>
          <w:szCs w:val="24"/>
          <w:lang w:val="en-US"/>
        </w:rPr>
        <w:t xml:space="preserve"> </w:t>
      </w:r>
      <w:r w:rsidR="001B16E7">
        <w:rPr>
          <w:rFonts w:ascii="Calibri" w:hAnsi="Calibri" w:cs="Calibri"/>
          <w:sz w:val="24"/>
          <w:szCs w:val="24"/>
          <w:lang w:val="en-US"/>
        </w:rPr>
        <w:t xml:space="preserve">relevant </w:t>
      </w:r>
      <w:r w:rsidR="000847F1" w:rsidRPr="00AB234E">
        <w:rPr>
          <w:rFonts w:ascii="Calibri" w:hAnsi="Calibri" w:cs="Calibri"/>
          <w:sz w:val="24"/>
          <w:szCs w:val="24"/>
          <w:lang w:val="en-US"/>
        </w:rPr>
        <w:t>documents</w:t>
      </w:r>
      <w:r w:rsidR="009A4974" w:rsidRPr="00AB234E">
        <w:rPr>
          <w:rFonts w:ascii="Calibri" w:hAnsi="Calibri" w:cs="Calibri"/>
          <w:sz w:val="24"/>
          <w:szCs w:val="24"/>
          <w:lang w:val="en-US"/>
        </w:rPr>
        <w:t>;</w:t>
      </w:r>
      <w:r w:rsidR="000847F1" w:rsidRPr="00AB234E">
        <w:rPr>
          <w:rFonts w:ascii="Calibri" w:hAnsi="Calibri" w:cs="Calibri"/>
          <w:sz w:val="24"/>
          <w:szCs w:val="24"/>
          <w:lang w:val="en-US"/>
        </w:rPr>
        <w:t xml:space="preserve"> </w:t>
      </w:r>
      <w:r w:rsidR="007C6A15" w:rsidRPr="00AB234E">
        <w:rPr>
          <w:rFonts w:ascii="Calibri" w:hAnsi="Calibri" w:cs="Calibri"/>
          <w:sz w:val="24"/>
          <w:szCs w:val="24"/>
          <w:lang w:val="en-US"/>
        </w:rPr>
        <w:t xml:space="preserve">and </w:t>
      </w:r>
      <w:r w:rsidR="009A4974" w:rsidRPr="00AB234E">
        <w:rPr>
          <w:rFonts w:ascii="Calibri" w:hAnsi="Calibri" w:cs="Calibri"/>
          <w:sz w:val="24"/>
          <w:szCs w:val="24"/>
          <w:lang w:val="en-US"/>
        </w:rPr>
        <w:t xml:space="preserve">observations </w:t>
      </w:r>
      <w:r w:rsidR="007C6A15" w:rsidRPr="00AB234E">
        <w:rPr>
          <w:rFonts w:ascii="Calibri" w:hAnsi="Calibri" w:cs="Calibri"/>
          <w:sz w:val="24"/>
          <w:szCs w:val="24"/>
          <w:lang w:val="en-US"/>
        </w:rPr>
        <w:t>made during visits</w:t>
      </w:r>
      <w:r w:rsidR="009A4974" w:rsidRPr="00AB234E">
        <w:rPr>
          <w:rFonts w:ascii="Calibri" w:hAnsi="Calibri" w:cs="Calibri"/>
          <w:sz w:val="24"/>
          <w:szCs w:val="24"/>
          <w:lang w:val="en-US"/>
        </w:rPr>
        <w:t xml:space="preserve"> to project demonstration sites</w:t>
      </w:r>
      <w:r w:rsidR="005C01E8" w:rsidRPr="00AB234E">
        <w:rPr>
          <w:rFonts w:ascii="Calibri" w:hAnsi="Calibri" w:cs="Calibri"/>
          <w:sz w:val="24"/>
          <w:szCs w:val="24"/>
          <w:lang w:val="en-US"/>
        </w:rPr>
        <w:t>.</w:t>
      </w:r>
    </w:p>
    <w:p w14:paraId="2156F4F4" w14:textId="0775235C" w:rsidR="00AB234E" w:rsidRPr="00AB234E" w:rsidRDefault="00C54BC8" w:rsidP="00AB234E">
      <w:pPr>
        <w:spacing w:after="120"/>
        <w:jc w:val="both"/>
        <w:rPr>
          <w:rFonts w:ascii="Calibri" w:hAnsi="Calibri" w:cs="Calibri"/>
          <w:sz w:val="24"/>
          <w:szCs w:val="24"/>
        </w:rPr>
      </w:pPr>
      <w:r w:rsidRPr="00AB234E">
        <w:rPr>
          <w:rFonts w:ascii="Calibri" w:hAnsi="Calibri" w:cs="Calibri"/>
          <w:sz w:val="24"/>
          <w:szCs w:val="24"/>
          <w:lang w:val="en-US"/>
        </w:rPr>
        <w:t>The</w:t>
      </w:r>
      <w:r w:rsidR="00075CEC" w:rsidRPr="00AB234E">
        <w:rPr>
          <w:rFonts w:ascii="Calibri" w:hAnsi="Calibri" w:cs="Calibri"/>
          <w:sz w:val="24"/>
          <w:szCs w:val="24"/>
          <w:lang w:val="en-US"/>
        </w:rPr>
        <w:t xml:space="preserve"> overall approach and method</w:t>
      </w:r>
      <w:r w:rsidRPr="00AB234E">
        <w:rPr>
          <w:rFonts w:ascii="Calibri" w:hAnsi="Calibri" w:cs="Calibri"/>
          <w:sz w:val="24"/>
          <w:szCs w:val="24"/>
          <w:lang w:val="en-US"/>
        </w:rPr>
        <w:t>ology of the evaluation follow</w:t>
      </w:r>
      <w:r w:rsidR="00AB234E">
        <w:rPr>
          <w:rFonts w:ascii="Calibri" w:hAnsi="Calibri" w:cs="Calibri"/>
          <w:sz w:val="24"/>
          <w:szCs w:val="24"/>
          <w:lang w:val="en-US"/>
        </w:rPr>
        <w:t>s</w:t>
      </w:r>
      <w:r w:rsidRPr="00AB234E">
        <w:rPr>
          <w:rFonts w:ascii="Calibri" w:hAnsi="Calibri" w:cs="Calibri"/>
          <w:sz w:val="24"/>
          <w:szCs w:val="24"/>
          <w:lang w:val="en-US"/>
        </w:rPr>
        <w:t xml:space="preserve"> the </w:t>
      </w:r>
      <w:r w:rsidR="00AB234E" w:rsidRPr="00AB234E">
        <w:rPr>
          <w:rFonts w:ascii="Calibri" w:hAnsi="Calibri" w:cs="Calibri"/>
          <w:sz w:val="24"/>
          <w:szCs w:val="24"/>
        </w:rPr>
        <w:t xml:space="preserve">relevant sections of the Terms of Reference (ToR) for this TE </w:t>
      </w:r>
      <w:r w:rsidR="00AB234E" w:rsidRPr="00AB234E">
        <w:rPr>
          <w:rFonts w:ascii="Calibri" w:hAnsi="Calibri"/>
          <w:sz w:val="24"/>
          <w:szCs w:val="24"/>
        </w:rPr>
        <w:t>(</w:t>
      </w:r>
      <w:r w:rsidR="00AB234E" w:rsidRPr="00AB234E">
        <w:rPr>
          <w:rFonts w:ascii="Calibri" w:hAnsi="Calibri" w:cs="Calibri"/>
          <w:b/>
          <w:bCs/>
          <w:sz w:val="24"/>
          <w:szCs w:val="24"/>
        </w:rPr>
        <w:t xml:space="preserve">Annex 1), </w:t>
      </w:r>
      <w:r w:rsidR="00AB234E" w:rsidRPr="00AB234E">
        <w:rPr>
          <w:rFonts w:ascii="Calibri" w:hAnsi="Calibri" w:cs="Calibri"/>
          <w:sz w:val="24"/>
          <w:szCs w:val="24"/>
        </w:rPr>
        <w:t xml:space="preserve">which are based on the </w:t>
      </w:r>
      <w:r w:rsidR="00075CEC" w:rsidRPr="00AB234E">
        <w:rPr>
          <w:rFonts w:ascii="Calibri" w:hAnsi="Calibri" w:cs="Calibri"/>
          <w:i/>
          <w:sz w:val="24"/>
          <w:szCs w:val="24"/>
          <w:lang w:val="en-US"/>
        </w:rPr>
        <w:t>UNDP Guidance for Con</w:t>
      </w:r>
      <w:r w:rsidR="003B359D" w:rsidRPr="00AB234E">
        <w:rPr>
          <w:rFonts w:ascii="Calibri" w:hAnsi="Calibri" w:cs="Calibri"/>
          <w:i/>
          <w:sz w:val="24"/>
          <w:szCs w:val="24"/>
          <w:lang w:val="en-US"/>
        </w:rPr>
        <w:t>ducting Terminal Evaluation</w:t>
      </w:r>
      <w:r w:rsidR="00AB234E">
        <w:rPr>
          <w:rFonts w:ascii="Calibri" w:hAnsi="Calibri" w:cs="Calibri"/>
          <w:i/>
          <w:sz w:val="24"/>
          <w:szCs w:val="24"/>
          <w:lang w:val="en-US"/>
        </w:rPr>
        <w:t>s . . .</w:t>
      </w:r>
      <w:bookmarkStart w:id="11" w:name="_Ref405473773"/>
      <w:r w:rsidR="005C2149" w:rsidRPr="00AB234E">
        <w:rPr>
          <w:rStyle w:val="FootnoteReference"/>
          <w:rFonts w:ascii="Calibri" w:hAnsi="Calibri" w:cs="Calibri"/>
          <w:sz w:val="24"/>
          <w:szCs w:val="24"/>
          <w:lang w:val="en-US"/>
        </w:rPr>
        <w:footnoteReference w:id="9"/>
      </w:r>
      <w:bookmarkEnd w:id="11"/>
      <w:r w:rsidR="00AB234E">
        <w:rPr>
          <w:rFonts w:ascii="Calibri" w:hAnsi="Calibri" w:cs="Calibri"/>
          <w:i/>
          <w:sz w:val="24"/>
          <w:szCs w:val="24"/>
          <w:lang w:val="en-US"/>
        </w:rPr>
        <w:t xml:space="preserve"> </w:t>
      </w:r>
    </w:p>
    <w:p w14:paraId="59207957" w14:textId="7E0D1904" w:rsidR="001D0D41" w:rsidRPr="00E22EBA" w:rsidRDefault="00953838" w:rsidP="00953838">
      <w:pPr>
        <w:spacing w:after="60"/>
        <w:jc w:val="both"/>
        <w:rPr>
          <w:rFonts w:ascii="Calibri" w:hAnsi="Calibri" w:cs="Calibri"/>
          <w:sz w:val="24"/>
          <w:szCs w:val="24"/>
          <w:lang w:val="en-US"/>
        </w:rPr>
      </w:pPr>
      <w:r w:rsidRPr="00953838">
        <w:rPr>
          <w:rFonts w:ascii="Calibri" w:hAnsi="Calibri" w:cs="Calibri"/>
          <w:sz w:val="24"/>
          <w:szCs w:val="24"/>
          <w:lang w:val="en-US"/>
        </w:rPr>
        <w:t xml:space="preserve">The evaluation was conducted in </w:t>
      </w:r>
      <w:r w:rsidR="00101C86">
        <w:rPr>
          <w:rFonts w:ascii="Calibri" w:hAnsi="Calibri" w:cs="Calibri"/>
          <w:sz w:val="24"/>
          <w:szCs w:val="24"/>
          <w:lang w:val="en-US"/>
        </w:rPr>
        <w:t>line</w:t>
      </w:r>
      <w:r w:rsidRPr="00953838">
        <w:rPr>
          <w:rFonts w:ascii="Calibri" w:hAnsi="Calibri" w:cs="Calibri"/>
          <w:sz w:val="24"/>
          <w:szCs w:val="24"/>
          <w:lang w:val="en-US"/>
        </w:rPr>
        <w:t xml:space="preserve"> with the UN Ethical Guidelines for Evaluators</w:t>
      </w:r>
      <w:r w:rsidR="007937CC" w:rsidRPr="007937CC">
        <w:rPr>
          <w:rFonts w:ascii="Calibri" w:hAnsi="Calibri" w:cs="Calibri"/>
          <w:sz w:val="24"/>
          <w:szCs w:val="24"/>
          <w:lang w:val="en-US"/>
        </w:rPr>
        <w:t xml:space="preserve"> </w:t>
      </w:r>
      <w:r w:rsidR="007937CC">
        <w:rPr>
          <w:rFonts w:ascii="Calibri" w:hAnsi="Calibri" w:cs="Calibri"/>
          <w:sz w:val="24"/>
          <w:szCs w:val="24"/>
          <w:lang w:val="en-US"/>
        </w:rPr>
        <w:t>by o</w:t>
      </w:r>
      <w:r w:rsidR="007937CC" w:rsidRPr="00E22EBA">
        <w:rPr>
          <w:rFonts w:ascii="Calibri" w:hAnsi="Calibri" w:cs="Calibri"/>
          <w:sz w:val="24"/>
          <w:szCs w:val="24"/>
          <w:lang w:val="en-US"/>
        </w:rPr>
        <w:t>ne international and one national consultant</w:t>
      </w:r>
      <w:r w:rsidRPr="00953838">
        <w:rPr>
          <w:rFonts w:ascii="Calibri" w:hAnsi="Calibri" w:cs="Calibri"/>
          <w:sz w:val="24"/>
          <w:szCs w:val="24"/>
          <w:lang w:val="en-US"/>
        </w:rPr>
        <w:t xml:space="preserve">, </w:t>
      </w:r>
      <w:r w:rsidR="007937CC">
        <w:rPr>
          <w:rFonts w:ascii="Calibri" w:hAnsi="Calibri" w:cs="Calibri"/>
          <w:sz w:val="24"/>
          <w:szCs w:val="24"/>
          <w:lang w:val="en-US"/>
        </w:rPr>
        <w:t>both of whom have</w:t>
      </w:r>
      <w:r w:rsidRPr="00953838">
        <w:rPr>
          <w:rFonts w:ascii="Calibri" w:hAnsi="Calibri" w:cs="Calibri"/>
          <w:sz w:val="24"/>
          <w:szCs w:val="24"/>
          <w:lang w:val="en-US"/>
        </w:rPr>
        <w:t xml:space="preserve"> signed the Evaluation Consu</w:t>
      </w:r>
      <w:r w:rsidR="007937CC">
        <w:rPr>
          <w:rFonts w:ascii="Calibri" w:hAnsi="Calibri" w:cs="Calibri"/>
          <w:sz w:val="24"/>
          <w:szCs w:val="24"/>
          <w:lang w:val="en-US"/>
        </w:rPr>
        <w:t>ltant Code of Conduct Agreement</w:t>
      </w:r>
      <w:r w:rsidRPr="00953838">
        <w:rPr>
          <w:rFonts w:ascii="Calibri" w:hAnsi="Calibri" w:cs="Calibri"/>
          <w:sz w:val="24"/>
          <w:szCs w:val="24"/>
          <w:lang w:val="en-US"/>
        </w:rPr>
        <w:t xml:space="preserve"> </w:t>
      </w:r>
      <w:r w:rsidR="00DF2A90">
        <w:rPr>
          <w:rFonts w:ascii="Calibri" w:hAnsi="Calibri" w:cs="Calibri"/>
          <w:sz w:val="24"/>
          <w:szCs w:val="24"/>
          <w:lang w:val="en-US"/>
        </w:rPr>
        <w:t xml:space="preserve">Form </w:t>
      </w:r>
      <w:r w:rsidRPr="00953838">
        <w:rPr>
          <w:rFonts w:ascii="Calibri" w:hAnsi="Calibri" w:cs="Calibri"/>
          <w:sz w:val="24"/>
          <w:szCs w:val="24"/>
          <w:lang w:val="en-US"/>
        </w:rPr>
        <w:t>(</w:t>
      </w:r>
      <w:r w:rsidRPr="007937CC">
        <w:rPr>
          <w:rFonts w:ascii="Calibri" w:hAnsi="Calibri" w:cs="Calibri"/>
          <w:b/>
          <w:sz w:val="24"/>
          <w:szCs w:val="24"/>
          <w:lang w:val="en-US"/>
        </w:rPr>
        <w:t xml:space="preserve">Annex </w:t>
      </w:r>
      <w:r w:rsidR="007937CC" w:rsidRPr="007937CC">
        <w:rPr>
          <w:rFonts w:ascii="Calibri" w:hAnsi="Calibri" w:cs="Calibri"/>
          <w:b/>
          <w:sz w:val="24"/>
          <w:szCs w:val="24"/>
          <w:lang w:val="en-US"/>
        </w:rPr>
        <w:t>2</w:t>
      </w:r>
      <w:r w:rsidR="007937CC">
        <w:rPr>
          <w:rFonts w:ascii="Calibri" w:hAnsi="Calibri" w:cs="Calibri"/>
          <w:sz w:val="24"/>
          <w:szCs w:val="24"/>
          <w:lang w:val="en-US"/>
        </w:rPr>
        <w:t xml:space="preserve">). </w:t>
      </w:r>
      <w:r w:rsidR="00DF2A90">
        <w:rPr>
          <w:rFonts w:ascii="Calibri" w:hAnsi="Calibri" w:cs="Calibri"/>
          <w:sz w:val="24"/>
          <w:szCs w:val="24"/>
          <w:lang w:val="en-US"/>
        </w:rPr>
        <w:t>T</w:t>
      </w:r>
      <w:r w:rsidR="007937CC">
        <w:rPr>
          <w:rFonts w:ascii="Calibri" w:hAnsi="Calibri" w:cs="Calibri"/>
          <w:sz w:val="24"/>
          <w:szCs w:val="24"/>
          <w:lang w:val="en-US"/>
        </w:rPr>
        <w:t xml:space="preserve">his is designed to </w:t>
      </w:r>
      <w:r w:rsidR="00101C86">
        <w:rPr>
          <w:rFonts w:ascii="Calibri" w:hAnsi="Calibri" w:cs="Calibri"/>
          <w:sz w:val="24"/>
          <w:szCs w:val="24"/>
          <w:lang w:val="en-US"/>
        </w:rPr>
        <w:t>protect</w:t>
      </w:r>
      <w:r w:rsidRPr="00953838">
        <w:rPr>
          <w:rFonts w:ascii="Calibri" w:hAnsi="Calibri" w:cs="Calibri"/>
          <w:sz w:val="24"/>
          <w:szCs w:val="24"/>
          <w:lang w:val="en-US"/>
        </w:rPr>
        <w:t xml:space="preserve"> the anonymity and confidentiality of individuals interviewed and</w:t>
      </w:r>
      <w:r w:rsidR="00101C86">
        <w:rPr>
          <w:rFonts w:ascii="Calibri" w:hAnsi="Calibri" w:cs="Calibri"/>
          <w:sz w:val="24"/>
          <w:szCs w:val="24"/>
          <w:lang w:val="en-US"/>
        </w:rPr>
        <w:t xml:space="preserve"> </w:t>
      </w:r>
      <w:r w:rsidR="001B16E7">
        <w:rPr>
          <w:rFonts w:ascii="Calibri" w:hAnsi="Calibri" w:cs="Calibri"/>
          <w:sz w:val="24"/>
          <w:szCs w:val="24"/>
          <w:lang w:val="en-US"/>
        </w:rPr>
        <w:t>assures</w:t>
      </w:r>
      <w:r w:rsidR="00101C86">
        <w:rPr>
          <w:rFonts w:ascii="Calibri" w:hAnsi="Calibri" w:cs="Calibri"/>
          <w:sz w:val="24"/>
          <w:szCs w:val="24"/>
          <w:lang w:val="en-US"/>
        </w:rPr>
        <w:t xml:space="preserve"> independent, fair and evidence-based reporting. T</w:t>
      </w:r>
      <w:r w:rsidR="009A17DA" w:rsidRPr="00E22EBA">
        <w:rPr>
          <w:rFonts w:ascii="Calibri" w:hAnsi="Calibri" w:cs="Calibri"/>
          <w:sz w:val="24"/>
          <w:szCs w:val="24"/>
          <w:lang w:val="en-US"/>
        </w:rPr>
        <w:t>he evaluation</w:t>
      </w:r>
      <w:r w:rsidR="00101C86">
        <w:rPr>
          <w:rFonts w:ascii="Calibri" w:hAnsi="Calibri" w:cs="Calibri"/>
          <w:sz w:val="24"/>
          <w:szCs w:val="24"/>
          <w:lang w:val="en-US"/>
        </w:rPr>
        <w:t xml:space="preserve"> </w:t>
      </w:r>
      <w:r w:rsidR="001D0D41" w:rsidRPr="00E22EBA">
        <w:rPr>
          <w:rFonts w:ascii="Calibri" w:hAnsi="Calibri" w:cs="Calibri"/>
          <w:sz w:val="24"/>
          <w:szCs w:val="24"/>
          <w:lang w:val="en-US"/>
        </w:rPr>
        <w:t>included the following activities:</w:t>
      </w:r>
    </w:p>
    <w:p w14:paraId="4DDBF032" w14:textId="2598FA30" w:rsidR="001D0D41" w:rsidRPr="006E4353" w:rsidRDefault="006E4353" w:rsidP="006D67DF">
      <w:pPr>
        <w:pStyle w:val="BodyText"/>
        <w:numPr>
          <w:ilvl w:val="0"/>
          <w:numId w:val="4"/>
        </w:numPr>
        <w:spacing w:after="80" w:line="240" w:lineRule="auto"/>
        <w:ind w:left="567" w:hanging="425"/>
        <w:rPr>
          <w:rFonts w:ascii="Calibri" w:hAnsi="Calibri" w:cs="Calibri"/>
          <w:szCs w:val="24"/>
        </w:rPr>
      </w:pPr>
      <w:r>
        <w:rPr>
          <w:rFonts w:ascii="Calibri" w:hAnsi="Calibri" w:cs="Calibri"/>
          <w:szCs w:val="24"/>
        </w:rPr>
        <w:t>A TE</w:t>
      </w:r>
      <w:r w:rsidR="001D0D41" w:rsidRPr="006E4353">
        <w:rPr>
          <w:rFonts w:ascii="Calibri" w:hAnsi="Calibri" w:cs="Calibri"/>
          <w:szCs w:val="24"/>
        </w:rPr>
        <w:t xml:space="preserve"> mission was carried out from </w:t>
      </w:r>
      <w:r w:rsidR="009A17DA">
        <w:rPr>
          <w:rFonts w:ascii="Calibri" w:hAnsi="Calibri" w:cs="Calibri"/>
          <w:szCs w:val="24"/>
        </w:rPr>
        <w:t>18 to 30 October 2018</w:t>
      </w:r>
      <w:r w:rsidR="001D0D41" w:rsidRPr="006E4353">
        <w:rPr>
          <w:rFonts w:ascii="Calibri" w:hAnsi="Calibri" w:cs="Calibri"/>
          <w:szCs w:val="24"/>
        </w:rPr>
        <w:t>;</w:t>
      </w:r>
      <w:r w:rsidR="009A17DA">
        <w:rPr>
          <w:rFonts w:ascii="Calibri" w:hAnsi="Calibri" w:cs="Calibri"/>
          <w:szCs w:val="24"/>
        </w:rPr>
        <w:t xml:space="preserve"> for which t</w:t>
      </w:r>
      <w:r w:rsidR="001D0D41" w:rsidRPr="006E4353">
        <w:rPr>
          <w:rFonts w:ascii="Calibri" w:hAnsi="Calibri" w:cs="Calibri"/>
          <w:szCs w:val="24"/>
        </w:rPr>
        <w:t>he itinerary</w:t>
      </w:r>
      <w:r w:rsidR="009A17DA">
        <w:rPr>
          <w:rFonts w:ascii="Calibri" w:hAnsi="Calibri" w:cs="Calibri"/>
          <w:szCs w:val="24"/>
        </w:rPr>
        <w:t xml:space="preserve">, schedule of meetings and stakeholders met are </w:t>
      </w:r>
      <w:r w:rsidR="001D0D41" w:rsidRPr="006E4353">
        <w:rPr>
          <w:rFonts w:ascii="Calibri" w:hAnsi="Calibri" w:cs="Calibri"/>
          <w:szCs w:val="24"/>
        </w:rPr>
        <w:t xml:space="preserve">compiled in </w:t>
      </w:r>
      <w:r w:rsidR="001D0D41" w:rsidRPr="006E4353">
        <w:rPr>
          <w:rFonts w:ascii="Calibri" w:hAnsi="Calibri" w:cs="Calibri"/>
          <w:b/>
          <w:szCs w:val="24"/>
        </w:rPr>
        <w:t xml:space="preserve">Annex </w:t>
      </w:r>
      <w:r w:rsidR="007937CC">
        <w:rPr>
          <w:rFonts w:ascii="Calibri" w:hAnsi="Calibri" w:cs="Calibri"/>
          <w:b/>
          <w:szCs w:val="24"/>
        </w:rPr>
        <w:t>3</w:t>
      </w:r>
      <w:r w:rsidR="0052695F" w:rsidRPr="006E4353">
        <w:rPr>
          <w:rFonts w:ascii="Calibri" w:hAnsi="Calibri" w:cs="Calibri"/>
          <w:szCs w:val="24"/>
        </w:rPr>
        <w:t>.</w:t>
      </w:r>
    </w:p>
    <w:p w14:paraId="0A7CC7BA" w14:textId="6331C6AF" w:rsidR="001D0D41" w:rsidRPr="00F2052E" w:rsidRDefault="009A17DA" w:rsidP="006D67DF">
      <w:pPr>
        <w:pStyle w:val="BodyText"/>
        <w:numPr>
          <w:ilvl w:val="0"/>
          <w:numId w:val="4"/>
        </w:numPr>
        <w:overflowPunct/>
        <w:spacing w:after="80" w:line="240" w:lineRule="auto"/>
        <w:ind w:left="567" w:hanging="425"/>
        <w:textAlignment w:val="auto"/>
        <w:rPr>
          <w:rFonts w:ascii="Calibri" w:hAnsi="Calibri" w:cs="Calibri"/>
          <w:szCs w:val="24"/>
        </w:rPr>
      </w:pPr>
      <w:r>
        <w:rPr>
          <w:rFonts w:ascii="Calibri" w:hAnsi="Calibri" w:cs="Calibri"/>
          <w:szCs w:val="24"/>
        </w:rPr>
        <w:lastRenderedPageBreak/>
        <w:t xml:space="preserve">The evaluators spent a full day in Tbilisi (18 October) meeting with the </w:t>
      </w:r>
      <w:r w:rsidR="00C45C44">
        <w:rPr>
          <w:rFonts w:ascii="Calibri" w:hAnsi="Calibri" w:cs="Calibri"/>
          <w:szCs w:val="24"/>
        </w:rPr>
        <w:t xml:space="preserve">Implementing Partner, </w:t>
      </w:r>
      <w:r w:rsidR="00C45C44" w:rsidRPr="00F2052E">
        <w:rPr>
          <w:rFonts w:ascii="Calibri" w:hAnsi="Calibri" w:cs="Calibri"/>
          <w:szCs w:val="24"/>
        </w:rPr>
        <w:t xml:space="preserve">Agency for Protected Areas (APA), and other key partners before proceeding to the Achara </w:t>
      </w:r>
      <w:r w:rsidR="00C45C44" w:rsidRPr="00F2052E">
        <w:rPr>
          <w:rFonts w:ascii="Calibri" w:hAnsi="Calibri" w:cs="Arial"/>
          <w:szCs w:val="24"/>
        </w:rPr>
        <w:t xml:space="preserve">Autonomous Republic of Georgia to meet with </w:t>
      </w:r>
      <w:r w:rsidR="0095195E" w:rsidRPr="00F2052E">
        <w:rPr>
          <w:rFonts w:ascii="Calibri" w:hAnsi="Calibri" w:cs="Arial"/>
          <w:szCs w:val="24"/>
        </w:rPr>
        <w:t>a wide range of stakeholders and visit the three project sites, Kintrishi, Mtirala and Machakhela national parks (</w:t>
      </w:r>
      <w:r w:rsidR="0095195E" w:rsidRPr="00F2052E">
        <w:rPr>
          <w:rFonts w:ascii="Calibri" w:hAnsi="Calibri" w:cs="Arial"/>
          <w:b/>
          <w:szCs w:val="24"/>
        </w:rPr>
        <w:t>Figure 1</w:t>
      </w:r>
      <w:r w:rsidR="0095195E" w:rsidRPr="00F2052E">
        <w:rPr>
          <w:rFonts w:ascii="Calibri" w:hAnsi="Calibri" w:cs="Arial"/>
          <w:szCs w:val="24"/>
        </w:rPr>
        <w:t>).</w:t>
      </w:r>
      <w:r w:rsidR="0095195E" w:rsidRPr="00F2052E">
        <w:rPr>
          <w:rFonts w:ascii="Calibri" w:hAnsi="Calibri" w:cs="Calibri"/>
          <w:szCs w:val="24"/>
        </w:rPr>
        <w:t xml:space="preserve"> </w:t>
      </w:r>
      <w:r w:rsidR="0052695F" w:rsidRPr="00F2052E">
        <w:rPr>
          <w:rFonts w:ascii="Calibri" w:hAnsi="Calibri" w:cs="Calibri"/>
          <w:szCs w:val="24"/>
        </w:rPr>
        <w:t xml:space="preserve">A </w:t>
      </w:r>
      <w:r w:rsidR="001D0D41" w:rsidRPr="00F2052E">
        <w:rPr>
          <w:rFonts w:ascii="Calibri" w:hAnsi="Calibri" w:cs="Calibri"/>
          <w:szCs w:val="24"/>
        </w:rPr>
        <w:t xml:space="preserve">summary of the field visits is presented in </w:t>
      </w:r>
      <w:r w:rsidR="0052695F" w:rsidRPr="00F2052E">
        <w:rPr>
          <w:rFonts w:ascii="Calibri" w:hAnsi="Calibri" w:cs="Calibri"/>
          <w:b/>
          <w:szCs w:val="24"/>
        </w:rPr>
        <w:t xml:space="preserve">Annex </w:t>
      </w:r>
      <w:r w:rsidR="007937CC" w:rsidRPr="00F2052E">
        <w:rPr>
          <w:rFonts w:ascii="Calibri" w:hAnsi="Calibri" w:cs="Calibri"/>
          <w:b/>
          <w:szCs w:val="24"/>
        </w:rPr>
        <w:t>4</w:t>
      </w:r>
      <w:r w:rsidR="004700C6" w:rsidRPr="00F2052E">
        <w:rPr>
          <w:rFonts w:ascii="Calibri" w:hAnsi="Calibri" w:cs="Calibri"/>
          <w:szCs w:val="24"/>
        </w:rPr>
        <w:t>.</w:t>
      </w:r>
    </w:p>
    <w:p w14:paraId="460951A3" w14:textId="50CAFA04" w:rsidR="0095195E" w:rsidRPr="006E4353" w:rsidRDefault="0095195E" w:rsidP="006D67DF">
      <w:pPr>
        <w:pStyle w:val="BodyText"/>
        <w:numPr>
          <w:ilvl w:val="0"/>
          <w:numId w:val="4"/>
        </w:numPr>
        <w:overflowPunct/>
        <w:spacing w:line="240" w:lineRule="auto"/>
        <w:ind w:left="567" w:hanging="425"/>
        <w:textAlignment w:val="auto"/>
        <w:rPr>
          <w:rFonts w:ascii="Calibri" w:hAnsi="Calibri" w:cs="Calibri"/>
          <w:szCs w:val="24"/>
        </w:rPr>
      </w:pPr>
      <w:r>
        <w:rPr>
          <w:rFonts w:ascii="Calibri" w:hAnsi="Calibri" w:cs="Calibri"/>
          <w:szCs w:val="24"/>
        </w:rPr>
        <w:t xml:space="preserve">The week (21-27 October) in Achara concluded with stakeholders </w:t>
      </w:r>
      <w:r w:rsidR="004700C6">
        <w:rPr>
          <w:rFonts w:ascii="Calibri" w:hAnsi="Calibri" w:cs="Calibri"/>
          <w:szCs w:val="24"/>
        </w:rPr>
        <w:t xml:space="preserve">being </w:t>
      </w:r>
      <w:r>
        <w:rPr>
          <w:rFonts w:ascii="Calibri" w:hAnsi="Calibri" w:cs="Calibri"/>
          <w:szCs w:val="24"/>
        </w:rPr>
        <w:t>debrief</w:t>
      </w:r>
      <w:r w:rsidR="004700C6">
        <w:rPr>
          <w:rFonts w:ascii="Calibri" w:hAnsi="Calibri" w:cs="Calibri"/>
          <w:szCs w:val="24"/>
        </w:rPr>
        <w:t xml:space="preserve">ed by the evaluators </w:t>
      </w:r>
      <w:r>
        <w:rPr>
          <w:rFonts w:ascii="Calibri" w:hAnsi="Calibri" w:cs="Calibri"/>
          <w:szCs w:val="24"/>
        </w:rPr>
        <w:t>on</w:t>
      </w:r>
      <w:r w:rsidRPr="006E4353">
        <w:rPr>
          <w:rFonts w:ascii="Calibri" w:hAnsi="Calibri" w:cs="Calibri"/>
          <w:szCs w:val="24"/>
        </w:rPr>
        <w:t xml:space="preserve"> the </w:t>
      </w:r>
      <w:r>
        <w:rPr>
          <w:rFonts w:ascii="Calibri" w:hAnsi="Calibri" w:cs="Calibri"/>
          <w:szCs w:val="24"/>
        </w:rPr>
        <w:t xml:space="preserve">initial </w:t>
      </w:r>
      <w:r w:rsidRPr="006E4353">
        <w:rPr>
          <w:rFonts w:ascii="Calibri" w:hAnsi="Calibri" w:cs="Calibri"/>
          <w:szCs w:val="24"/>
        </w:rPr>
        <w:t xml:space="preserve">TE findings </w:t>
      </w:r>
      <w:r w:rsidR="004700C6">
        <w:rPr>
          <w:rFonts w:ascii="Calibri" w:hAnsi="Calibri" w:cs="Calibri"/>
          <w:szCs w:val="24"/>
        </w:rPr>
        <w:t>(26 October)</w:t>
      </w:r>
      <w:r w:rsidRPr="006E4353">
        <w:rPr>
          <w:rFonts w:ascii="Calibri" w:hAnsi="Calibri" w:cs="Calibri"/>
          <w:szCs w:val="24"/>
        </w:rPr>
        <w:t>.</w:t>
      </w:r>
      <w:r w:rsidR="004700C6">
        <w:rPr>
          <w:rFonts w:ascii="Calibri" w:hAnsi="Calibri" w:cs="Calibri"/>
          <w:szCs w:val="24"/>
        </w:rPr>
        <w:t xml:space="preserve"> Further debriefings were held with UNDP Country Office (CO) and APA after returning to Tbilisi on 28 October.</w:t>
      </w:r>
    </w:p>
    <w:p w14:paraId="6FD8E1A1" w14:textId="45B3274C" w:rsidR="00F2052E" w:rsidRPr="00B73351" w:rsidRDefault="001D0D41" w:rsidP="006D67DF">
      <w:pPr>
        <w:pStyle w:val="BodyText"/>
        <w:numPr>
          <w:ilvl w:val="0"/>
          <w:numId w:val="4"/>
        </w:numPr>
        <w:overflowPunct/>
        <w:spacing w:line="240" w:lineRule="auto"/>
        <w:ind w:left="567" w:hanging="425"/>
        <w:textAlignment w:val="auto"/>
        <w:rPr>
          <w:rFonts w:ascii="Calibri" w:hAnsi="Calibri" w:cs="Arial"/>
          <w:sz w:val="22"/>
          <w:szCs w:val="22"/>
        </w:rPr>
      </w:pPr>
      <w:r w:rsidRPr="006E4353">
        <w:rPr>
          <w:rFonts w:ascii="Calibri" w:hAnsi="Calibri" w:cs="Calibri"/>
          <w:szCs w:val="24"/>
        </w:rPr>
        <w:t xml:space="preserve">The </w:t>
      </w:r>
      <w:r w:rsidR="002105F0" w:rsidRPr="006E4353">
        <w:rPr>
          <w:rFonts w:ascii="Calibri" w:hAnsi="Calibri" w:cs="Calibri"/>
          <w:szCs w:val="24"/>
        </w:rPr>
        <w:t>evaluator</w:t>
      </w:r>
      <w:r w:rsidR="004700C6">
        <w:rPr>
          <w:rFonts w:ascii="Calibri" w:hAnsi="Calibri" w:cs="Calibri"/>
          <w:szCs w:val="24"/>
        </w:rPr>
        <w:t>s</w:t>
      </w:r>
      <w:r w:rsidRPr="006E4353">
        <w:rPr>
          <w:rFonts w:ascii="Calibri" w:hAnsi="Calibri" w:cs="Calibri"/>
          <w:szCs w:val="24"/>
        </w:rPr>
        <w:t xml:space="preserve"> completed a desk review of relevant sources of information, such as the project document, project progress </w:t>
      </w:r>
      <w:r w:rsidR="004700C6">
        <w:rPr>
          <w:rFonts w:ascii="Calibri" w:hAnsi="Calibri" w:cs="Calibri"/>
          <w:szCs w:val="24"/>
        </w:rPr>
        <w:t xml:space="preserve">and Mid-Term Review (MTR) </w:t>
      </w:r>
      <w:r w:rsidRPr="006E4353">
        <w:rPr>
          <w:rFonts w:ascii="Calibri" w:hAnsi="Calibri" w:cs="Calibri"/>
          <w:szCs w:val="24"/>
        </w:rPr>
        <w:t xml:space="preserve">reports, </w:t>
      </w:r>
      <w:r w:rsidR="00B227D0" w:rsidRPr="006E4353">
        <w:rPr>
          <w:rFonts w:ascii="Calibri" w:hAnsi="Calibri" w:cs="Calibri"/>
          <w:szCs w:val="24"/>
        </w:rPr>
        <w:t>financial</w:t>
      </w:r>
      <w:r w:rsidR="004700C6">
        <w:rPr>
          <w:rFonts w:ascii="Calibri" w:hAnsi="Calibri" w:cs="Calibri"/>
          <w:szCs w:val="24"/>
        </w:rPr>
        <w:t xml:space="preserve"> reports</w:t>
      </w:r>
      <w:r w:rsidRPr="006E4353">
        <w:rPr>
          <w:rFonts w:ascii="Calibri" w:hAnsi="Calibri" w:cs="Calibri"/>
          <w:szCs w:val="24"/>
        </w:rPr>
        <w:t xml:space="preserve"> and key project deliverables</w:t>
      </w:r>
      <w:r w:rsidR="004700C6">
        <w:rPr>
          <w:rFonts w:ascii="Calibri" w:hAnsi="Calibri" w:cs="Calibri"/>
          <w:szCs w:val="24"/>
        </w:rPr>
        <w:t xml:space="preserve">, as listed in </w:t>
      </w:r>
      <w:r w:rsidR="00342748" w:rsidRPr="006E4353">
        <w:rPr>
          <w:rFonts w:ascii="Calibri" w:hAnsi="Calibri" w:cs="Calibri"/>
          <w:b/>
          <w:szCs w:val="24"/>
        </w:rPr>
        <w:t xml:space="preserve">Annex </w:t>
      </w:r>
      <w:r w:rsidR="007937CC">
        <w:rPr>
          <w:rFonts w:ascii="Calibri" w:hAnsi="Calibri" w:cs="Calibri"/>
          <w:b/>
          <w:szCs w:val="24"/>
        </w:rPr>
        <w:t>5</w:t>
      </w:r>
      <w:r w:rsidR="004700C6">
        <w:rPr>
          <w:rFonts w:ascii="Calibri" w:hAnsi="Calibri" w:cs="Calibri"/>
          <w:szCs w:val="24"/>
        </w:rPr>
        <w:t>.</w:t>
      </w:r>
      <w:r w:rsidR="00F2052E" w:rsidRPr="00B73351">
        <w:rPr>
          <w:rFonts w:ascii="Calibri" w:hAnsi="Calibri" w:cs="Arial"/>
          <w:sz w:val="22"/>
          <w:szCs w:val="22"/>
        </w:rPr>
        <w:t xml:space="preserve"> </w:t>
      </w:r>
    </w:p>
    <w:p w14:paraId="3D5798E6" w14:textId="3BBB3B8C" w:rsidR="009D76D7" w:rsidRDefault="009D76D7" w:rsidP="00171325">
      <w:pPr>
        <w:spacing w:after="120"/>
        <w:jc w:val="both"/>
        <w:rPr>
          <w:rFonts w:asciiTheme="minorHAnsi" w:hAnsiTheme="minorHAnsi" w:cs="Arial"/>
          <w:sz w:val="24"/>
          <w:szCs w:val="24"/>
          <w:lang w:val="en-US"/>
        </w:rPr>
      </w:pPr>
      <w:r>
        <w:rPr>
          <w:rFonts w:asciiTheme="minorHAnsi" w:hAnsiTheme="minorHAnsi" w:cs="Arial"/>
          <w:sz w:val="24"/>
          <w:szCs w:val="24"/>
          <w:lang w:val="en-US"/>
        </w:rPr>
        <w:t xml:space="preserve">The </w:t>
      </w:r>
      <w:r w:rsidR="001B16E7">
        <w:rPr>
          <w:rFonts w:asciiTheme="minorHAnsi" w:hAnsiTheme="minorHAnsi" w:cs="Arial"/>
          <w:sz w:val="24"/>
          <w:szCs w:val="24"/>
          <w:lang w:val="en-US"/>
        </w:rPr>
        <w:t>S</w:t>
      </w:r>
      <w:r>
        <w:rPr>
          <w:rFonts w:asciiTheme="minorHAnsi" w:hAnsiTheme="minorHAnsi" w:cs="Arial"/>
          <w:sz w:val="24"/>
          <w:szCs w:val="24"/>
          <w:lang w:val="en-US"/>
        </w:rPr>
        <w:t xml:space="preserve">RF </w:t>
      </w:r>
      <w:r w:rsidR="002F754C" w:rsidRPr="00E22EBA">
        <w:rPr>
          <w:rFonts w:asciiTheme="minorHAnsi" w:hAnsiTheme="minorHAnsi" w:cs="Arial"/>
          <w:sz w:val="24"/>
          <w:szCs w:val="24"/>
          <w:lang w:val="en-US"/>
        </w:rPr>
        <w:t>was</w:t>
      </w:r>
      <w:r w:rsidR="00C11EFA" w:rsidRPr="00E22EBA">
        <w:rPr>
          <w:rFonts w:asciiTheme="minorHAnsi" w:hAnsiTheme="minorHAnsi" w:cs="Arial"/>
          <w:sz w:val="24"/>
          <w:szCs w:val="24"/>
          <w:lang w:val="en-US"/>
        </w:rPr>
        <w:t xml:space="preserve"> </w:t>
      </w:r>
      <w:r w:rsidR="00190987">
        <w:rPr>
          <w:rFonts w:asciiTheme="minorHAnsi" w:hAnsiTheme="minorHAnsi" w:cs="Arial"/>
          <w:sz w:val="24"/>
          <w:szCs w:val="24"/>
          <w:lang w:val="en-US"/>
        </w:rPr>
        <w:t>reviewed</w:t>
      </w:r>
      <w:r w:rsidR="002F754C" w:rsidRPr="00E22EBA">
        <w:rPr>
          <w:rFonts w:asciiTheme="minorHAnsi" w:hAnsiTheme="minorHAnsi" w:cs="Arial"/>
          <w:sz w:val="24"/>
          <w:szCs w:val="24"/>
          <w:lang w:val="en-US"/>
        </w:rPr>
        <w:t xml:space="preserve"> </w:t>
      </w:r>
      <w:r w:rsidR="00DF5D3E">
        <w:rPr>
          <w:rFonts w:asciiTheme="minorHAnsi" w:hAnsiTheme="minorHAnsi" w:cs="Arial"/>
          <w:sz w:val="24"/>
          <w:szCs w:val="24"/>
          <w:lang w:val="en-US"/>
        </w:rPr>
        <w:t>to</w:t>
      </w:r>
      <w:r w:rsidR="002F754C" w:rsidRPr="00E22EBA">
        <w:rPr>
          <w:rFonts w:asciiTheme="minorHAnsi" w:hAnsiTheme="minorHAnsi" w:cs="Arial"/>
          <w:sz w:val="24"/>
          <w:szCs w:val="24"/>
          <w:lang w:val="en-US"/>
        </w:rPr>
        <w:t xml:space="preserve"> assess</w:t>
      </w:r>
      <w:r w:rsidR="00DF5D3E">
        <w:rPr>
          <w:rFonts w:asciiTheme="minorHAnsi" w:hAnsiTheme="minorHAnsi" w:cs="Arial"/>
          <w:sz w:val="24"/>
          <w:szCs w:val="24"/>
          <w:lang w:val="en-US"/>
        </w:rPr>
        <w:t xml:space="preserve"> the</w:t>
      </w:r>
      <w:r w:rsidR="002F754C" w:rsidRPr="00E22EBA">
        <w:rPr>
          <w:rFonts w:asciiTheme="minorHAnsi" w:hAnsiTheme="minorHAnsi" w:cs="Arial"/>
          <w:sz w:val="24"/>
          <w:szCs w:val="24"/>
          <w:lang w:val="en-US"/>
        </w:rPr>
        <w:t xml:space="preserve"> </w:t>
      </w:r>
      <w:r w:rsidR="00C11EFA" w:rsidRPr="00E22EBA">
        <w:rPr>
          <w:rFonts w:asciiTheme="minorHAnsi" w:hAnsiTheme="minorHAnsi" w:cs="Arial"/>
          <w:sz w:val="24"/>
          <w:szCs w:val="24"/>
          <w:lang w:val="en-US"/>
        </w:rPr>
        <w:t xml:space="preserve">attainment of </w:t>
      </w:r>
      <w:r w:rsidR="00DF5D3E">
        <w:rPr>
          <w:rFonts w:asciiTheme="minorHAnsi" w:hAnsiTheme="minorHAnsi" w:cs="Arial"/>
          <w:sz w:val="24"/>
          <w:szCs w:val="24"/>
          <w:lang w:val="en-US"/>
        </w:rPr>
        <w:t xml:space="preserve">the </w:t>
      </w:r>
      <w:r w:rsidR="00C11EFA" w:rsidRPr="00E22EBA">
        <w:rPr>
          <w:rFonts w:asciiTheme="minorHAnsi" w:hAnsiTheme="minorHAnsi" w:cs="Arial"/>
          <w:sz w:val="24"/>
          <w:szCs w:val="24"/>
          <w:lang w:val="en-US"/>
        </w:rPr>
        <w:t>project</w:t>
      </w:r>
      <w:r w:rsidR="00DF5D3E">
        <w:rPr>
          <w:rFonts w:asciiTheme="minorHAnsi" w:hAnsiTheme="minorHAnsi" w:cs="Arial"/>
          <w:sz w:val="24"/>
          <w:szCs w:val="24"/>
          <w:lang w:val="en-US"/>
        </w:rPr>
        <w:t>’s</w:t>
      </w:r>
      <w:r w:rsidR="00C11EFA" w:rsidRPr="00E22EBA">
        <w:rPr>
          <w:rFonts w:asciiTheme="minorHAnsi" w:hAnsiTheme="minorHAnsi" w:cs="Arial"/>
          <w:sz w:val="24"/>
          <w:szCs w:val="24"/>
          <w:lang w:val="en-US"/>
        </w:rPr>
        <w:t xml:space="preserve"> objective and outcomes</w:t>
      </w:r>
      <w:r w:rsidR="00DF5D3E">
        <w:rPr>
          <w:rFonts w:asciiTheme="minorHAnsi" w:hAnsiTheme="minorHAnsi" w:cs="Arial"/>
          <w:sz w:val="24"/>
          <w:szCs w:val="24"/>
          <w:lang w:val="en-US"/>
        </w:rPr>
        <w:t>, having been first self-assessed by the Project Manager and Chief Technical Advisor  (</w:t>
      </w:r>
      <w:r w:rsidR="00C11EFA" w:rsidRPr="00E22EBA">
        <w:rPr>
          <w:rFonts w:asciiTheme="minorHAnsi" w:hAnsiTheme="minorHAnsi" w:cs="Arial"/>
          <w:b/>
          <w:sz w:val="24"/>
          <w:szCs w:val="24"/>
          <w:lang w:val="en-US"/>
        </w:rPr>
        <w:t xml:space="preserve">Annex </w:t>
      </w:r>
      <w:r w:rsidR="007937CC">
        <w:rPr>
          <w:rFonts w:asciiTheme="minorHAnsi" w:hAnsiTheme="minorHAnsi" w:cs="Arial"/>
          <w:b/>
          <w:sz w:val="24"/>
          <w:szCs w:val="24"/>
          <w:lang w:val="en-US"/>
        </w:rPr>
        <w:t>6</w:t>
      </w:r>
      <w:r w:rsidR="00C11EFA" w:rsidRPr="00E22EBA">
        <w:rPr>
          <w:rFonts w:asciiTheme="minorHAnsi" w:hAnsiTheme="minorHAnsi" w:cs="Arial"/>
          <w:sz w:val="24"/>
          <w:szCs w:val="24"/>
          <w:lang w:val="en-US"/>
        </w:rPr>
        <w:t>)</w:t>
      </w:r>
      <w:r w:rsidR="002F754C" w:rsidRPr="00E22EBA">
        <w:rPr>
          <w:rFonts w:asciiTheme="minorHAnsi" w:hAnsiTheme="minorHAnsi" w:cs="Arial"/>
          <w:sz w:val="24"/>
          <w:szCs w:val="24"/>
          <w:lang w:val="en-US"/>
        </w:rPr>
        <w:t xml:space="preserve">. </w:t>
      </w:r>
      <w:r w:rsidR="00DF5D3E">
        <w:rPr>
          <w:rFonts w:asciiTheme="minorHAnsi" w:hAnsiTheme="minorHAnsi" w:cs="Arial"/>
          <w:sz w:val="24"/>
          <w:szCs w:val="24"/>
          <w:lang w:val="en-US"/>
        </w:rPr>
        <w:t xml:space="preserve">Similarly, project outputs were self-assessed by </w:t>
      </w:r>
      <w:r w:rsidR="00777BBC">
        <w:rPr>
          <w:rFonts w:asciiTheme="minorHAnsi" w:hAnsiTheme="minorHAnsi" w:cs="Arial"/>
          <w:sz w:val="24"/>
          <w:szCs w:val="24"/>
          <w:lang w:val="en-US"/>
        </w:rPr>
        <w:t>the Project Management Unit (</w:t>
      </w:r>
      <w:r w:rsidR="00DF5D3E">
        <w:rPr>
          <w:rFonts w:asciiTheme="minorHAnsi" w:hAnsiTheme="minorHAnsi" w:cs="Arial"/>
          <w:sz w:val="24"/>
          <w:szCs w:val="24"/>
          <w:lang w:val="en-US"/>
        </w:rPr>
        <w:t>PMU</w:t>
      </w:r>
      <w:r w:rsidR="00777BBC">
        <w:rPr>
          <w:rFonts w:asciiTheme="minorHAnsi" w:hAnsiTheme="minorHAnsi" w:cs="Arial"/>
          <w:sz w:val="24"/>
          <w:szCs w:val="24"/>
          <w:lang w:val="en-US"/>
        </w:rPr>
        <w:t>)</w:t>
      </w:r>
      <w:r>
        <w:rPr>
          <w:rFonts w:asciiTheme="minorHAnsi" w:hAnsiTheme="minorHAnsi" w:cs="Arial"/>
          <w:sz w:val="24"/>
          <w:szCs w:val="24"/>
          <w:lang w:val="en-US"/>
        </w:rPr>
        <w:t xml:space="preserve"> and reviewed by the evaluators (</w:t>
      </w:r>
      <w:r>
        <w:rPr>
          <w:rFonts w:asciiTheme="minorHAnsi" w:hAnsiTheme="minorHAnsi" w:cs="Arial"/>
          <w:b/>
          <w:sz w:val="24"/>
          <w:szCs w:val="24"/>
          <w:lang w:val="en-US"/>
        </w:rPr>
        <w:t xml:space="preserve">Annex </w:t>
      </w:r>
      <w:r w:rsidR="007937CC">
        <w:rPr>
          <w:rFonts w:asciiTheme="minorHAnsi" w:hAnsiTheme="minorHAnsi" w:cs="Arial"/>
          <w:b/>
          <w:sz w:val="24"/>
          <w:szCs w:val="24"/>
          <w:lang w:val="en-US"/>
        </w:rPr>
        <w:t>7</w:t>
      </w:r>
      <w:r>
        <w:rPr>
          <w:rFonts w:asciiTheme="minorHAnsi" w:hAnsiTheme="minorHAnsi" w:cs="Arial"/>
          <w:sz w:val="24"/>
          <w:szCs w:val="24"/>
          <w:lang w:val="en-US"/>
        </w:rPr>
        <w:t xml:space="preserve">). </w:t>
      </w:r>
      <w:r w:rsidR="00DF5D3E">
        <w:rPr>
          <w:rFonts w:asciiTheme="minorHAnsi" w:hAnsiTheme="minorHAnsi" w:cs="Arial"/>
          <w:sz w:val="24"/>
          <w:szCs w:val="24"/>
          <w:lang w:val="en-US"/>
        </w:rPr>
        <w:t>Th</w:t>
      </w:r>
      <w:r w:rsidR="00190987">
        <w:rPr>
          <w:rFonts w:asciiTheme="minorHAnsi" w:hAnsiTheme="minorHAnsi" w:cs="Arial"/>
          <w:sz w:val="24"/>
          <w:szCs w:val="24"/>
          <w:lang w:val="en-US"/>
        </w:rPr>
        <w:t>e latter</w:t>
      </w:r>
      <w:r w:rsidR="00DF5D3E">
        <w:rPr>
          <w:rFonts w:asciiTheme="minorHAnsi" w:hAnsiTheme="minorHAnsi" w:cs="Arial"/>
          <w:sz w:val="24"/>
          <w:szCs w:val="24"/>
          <w:lang w:val="en-US"/>
        </w:rPr>
        <w:t xml:space="preserve"> provided </w:t>
      </w:r>
      <w:r>
        <w:rPr>
          <w:rFonts w:asciiTheme="minorHAnsi" w:hAnsiTheme="minorHAnsi" w:cs="Arial"/>
          <w:sz w:val="24"/>
          <w:szCs w:val="24"/>
          <w:lang w:val="en-US"/>
        </w:rPr>
        <w:t xml:space="preserve">valuable </w:t>
      </w:r>
      <w:r w:rsidR="00DF5D3E">
        <w:rPr>
          <w:rFonts w:asciiTheme="minorHAnsi" w:hAnsiTheme="minorHAnsi" w:cs="Arial"/>
          <w:sz w:val="24"/>
          <w:szCs w:val="24"/>
          <w:lang w:val="en-US"/>
        </w:rPr>
        <w:t>additional</w:t>
      </w:r>
      <w:r>
        <w:rPr>
          <w:rFonts w:asciiTheme="minorHAnsi" w:hAnsiTheme="minorHAnsi" w:cs="Arial"/>
          <w:sz w:val="24"/>
          <w:szCs w:val="24"/>
          <w:lang w:val="en-US"/>
        </w:rPr>
        <w:t xml:space="preserve"> details that better informed the assessment of project outcomes. </w:t>
      </w:r>
    </w:p>
    <w:p w14:paraId="1AF3E7E3" w14:textId="51AE4974" w:rsidR="007C6A15" w:rsidRDefault="009D76D7" w:rsidP="00171325">
      <w:pPr>
        <w:spacing w:after="120"/>
        <w:jc w:val="both"/>
        <w:rPr>
          <w:rFonts w:ascii="Calibri" w:hAnsi="Calibri" w:cs="Calibri"/>
          <w:sz w:val="24"/>
          <w:szCs w:val="24"/>
          <w:lang w:val="en-US"/>
        </w:rPr>
      </w:pPr>
      <w:r w:rsidRPr="005718A5">
        <w:rPr>
          <w:rFonts w:ascii="Calibri" w:hAnsi="Calibri" w:cs="Calibri"/>
          <w:sz w:val="24"/>
          <w:szCs w:val="24"/>
          <w:lang w:val="en-US"/>
        </w:rPr>
        <w:t xml:space="preserve">As a data collection and analysis tool, an evaluation matrix was adapted from the preliminary set of questions included in the ToR (see </w:t>
      </w:r>
      <w:r w:rsidRPr="005718A5">
        <w:rPr>
          <w:rFonts w:ascii="Calibri" w:hAnsi="Calibri" w:cs="Calibri"/>
          <w:b/>
          <w:sz w:val="24"/>
          <w:szCs w:val="24"/>
          <w:lang w:val="en-US"/>
        </w:rPr>
        <w:t xml:space="preserve">Annex </w:t>
      </w:r>
      <w:r w:rsidR="00352971" w:rsidRPr="005718A5">
        <w:rPr>
          <w:rFonts w:ascii="Calibri" w:hAnsi="Calibri" w:cs="Calibri"/>
          <w:b/>
          <w:sz w:val="24"/>
          <w:szCs w:val="24"/>
          <w:lang w:val="en-US"/>
        </w:rPr>
        <w:t>8</w:t>
      </w:r>
      <w:r w:rsidR="008E02EE" w:rsidRPr="005718A5">
        <w:rPr>
          <w:rFonts w:ascii="Calibri" w:hAnsi="Calibri" w:cs="Calibri"/>
          <w:sz w:val="24"/>
          <w:szCs w:val="24"/>
          <w:lang w:val="en-US"/>
        </w:rPr>
        <w:t xml:space="preserve">). </w:t>
      </w:r>
      <w:r w:rsidRPr="005718A5">
        <w:rPr>
          <w:rFonts w:ascii="Calibri" w:hAnsi="Calibri" w:cs="Calibri"/>
          <w:sz w:val="24"/>
          <w:szCs w:val="24"/>
          <w:lang w:val="en-US"/>
        </w:rPr>
        <w:t>Evidence gathered during the fact-finding phase of the evaluation was cross-checked between as many sources as practicable, in order to validate the findings.</w:t>
      </w:r>
    </w:p>
    <w:p w14:paraId="57ECFC05" w14:textId="2644BEE2" w:rsidR="00352971" w:rsidRPr="0092738C" w:rsidRDefault="00352971" w:rsidP="00352971">
      <w:pPr>
        <w:pStyle w:val="BodyText"/>
        <w:rPr>
          <w:rFonts w:ascii="Calibri" w:hAnsi="Calibri"/>
        </w:rPr>
      </w:pPr>
      <w:r w:rsidRPr="0092738C">
        <w:rPr>
          <w:rFonts w:ascii="Calibri" w:hAnsi="Calibri"/>
        </w:rPr>
        <w:t xml:space="preserve">The project objective and outcomes were rated </w:t>
      </w:r>
      <w:r w:rsidR="00AD6652" w:rsidRPr="0092738C">
        <w:rPr>
          <w:rFonts w:ascii="Calibri" w:hAnsi="Calibri"/>
        </w:rPr>
        <w:t xml:space="preserve">by means of </w:t>
      </w:r>
      <w:r w:rsidR="00AD6652">
        <w:rPr>
          <w:rFonts w:ascii="Calibri" w:hAnsi="Calibri"/>
        </w:rPr>
        <w:t xml:space="preserve">their respective </w:t>
      </w:r>
      <w:r w:rsidR="00AD6652" w:rsidRPr="0092738C">
        <w:rPr>
          <w:rFonts w:ascii="Calibri" w:hAnsi="Calibri"/>
        </w:rPr>
        <w:t xml:space="preserve">performance indicators using </w:t>
      </w:r>
      <w:r w:rsidR="00AD6652">
        <w:rPr>
          <w:rFonts w:ascii="Calibri" w:hAnsi="Calibri"/>
        </w:rPr>
        <w:t>a</w:t>
      </w:r>
      <w:r w:rsidR="00AD6652" w:rsidRPr="0092738C">
        <w:rPr>
          <w:rFonts w:ascii="Calibri" w:hAnsi="Calibri"/>
        </w:rPr>
        <w:t xml:space="preserve"> 6-point satisfaction scale</w:t>
      </w:r>
      <w:r w:rsidR="00AD6652">
        <w:rPr>
          <w:rFonts w:ascii="Calibri" w:hAnsi="Calibri"/>
        </w:rPr>
        <w:t>, while also taking into account delivery of the respective outputs</w:t>
      </w:r>
      <w:r w:rsidR="008E02EE">
        <w:rPr>
          <w:rFonts w:ascii="Calibri" w:hAnsi="Calibri"/>
        </w:rPr>
        <w:t>.</w:t>
      </w:r>
      <w:r w:rsidR="00AD6652" w:rsidRPr="0092738C">
        <w:rPr>
          <w:rFonts w:ascii="Calibri" w:hAnsi="Calibri"/>
        </w:rPr>
        <w:t xml:space="preserve"> </w:t>
      </w:r>
      <w:r w:rsidRPr="0092738C">
        <w:rPr>
          <w:rFonts w:ascii="Calibri" w:hAnsi="Calibri"/>
        </w:rPr>
        <w:t xml:space="preserve">Other aspects of performance, such as effectiveness, efficiency, relevance and sustainability, were </w:t>
      </w:r>
      <w:r w:rsidR="008E02EE">
        <w:rPr>
          <w:rFonts w:ascii="Calibri" w:hAnsi="Calibri"/>
        </w:rPr>
        <w:t xml:space="preserve">rated according to the scales </w:t>
      </w:r>
      <w:r w:rsidRPr="0092738C">
        <w:rPr>
          <w:rFonts w:ascii="Calibri" w:hAnsi="Calibri"/>
        </w:rPr>
        <w:t>shown in</w:t>
      </w:r>
      <w:r w:rsidRPr="0092738C">
        <w:rPr>
          <w:rFonts w:ascii="Calibri" w:hAnsi="Calibri"/>
          <w:b/>
          <w:bCs/>
        </w:rPr>
        <w:t xml:space="preserve"> Table 1.1</w:t>
      </w:r>
      <w:r w:rsidRPr="0092738C">
        <w:rPr>
          <w:rFonts w:ascii="Calibri" w:hAnsi="Calibri"/>
        </w:rPr>
        <w:t>.</w:t>
      </w:r>
    </w:p>
    <w:p w14:paraId="61645148" w14:textId="77777777" w:rsidR="00352971" w:rsidRPr="005109B3" w:rsidRDefault="00352971" w:rsidP="00352971">
      <w:pPr>
        <w:pStyle w:val="BodyText"/>
        <w:rPr>
          <w:rFonts w:ascii="Calibri" w:hAnsi="Calibri"/>
        </w:rPr>
      </w:pPr>
      <w:r w:rsidRPr="005109B3">
        <w:rPr>
          <w:rFonts w:ascii="Calibri" w:hAnsi="Calibri"/>
          <w:b/>
        </w:rPr>
        <w:t>Table 1.1</w:t>
      </w:r>
      <w:r w:rsidRPr="005109B3">
        <w:rPr>
          <w:rFonts w:ascii="Calibri" w:hAnsi="Calibri"/>
          <w:b/>
        </w:rPr>
        <w:tab/>
      </w:r>
      <w:r w:rsidRPr="005109B3">
        <w:rPr>
          <w:rFonts w:ascii="Calibri" w:hAnsi="Calibri"/>
        </w:rPr>
        <w:t>Ratings and their scales for different evaluation criteria</w:t>
      </w:r>
      <w:bookmarkStart w:id="12" w:name="_Ref327552509"/>
      <w:r w:rsidRPr="00075585">
        <w:rPr>
          <w:rStyle w:val="FootnoteReference"/>
          <w:rFonts w:ascii="Calibri" w:hAnsi="Calibri" w:cs="Calibri"/>
          <w:szCs w:val="24"/>
        </w:rPr>
        <w:footnoteReference w:id="10"/>
      </w:r>
      <w:bookmarkEnd w:id="12"/>
      <w:r w:rsidRPr="005109B3">
        <w:rPr>
          <w:rFonts w:ascii="Calibri" w:hAnsi="Calibri"/>
        </w:rPr>
        <w:t xml:space="preserve"> </w:t>
      </w:r>
    </w:p>
    <w:tbl>
      <w:tblPr>
        <w:tblW w:w="0" w:type="auto"/>
        <w:tblInd w:w="108"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A0" w:firstRow="1" w:lastRow="0" w:firstColumn="1" w:lastColumn="0" w:noHBand="0" w:noVBand="0"/>
      </w:tblPr>
      <w:tblGrid>
        <w:gridCol w:w="4324"/>
        <w:gridCol w:w="2848"/>
        <w:gridCol w:w="1860"/>
      </w:tblGrid>
      <w:tr w:rsidR="00352971" w:rsidRPr="001A1D99" w14:paraId="762237A3" w14:textId="77777777" w:rsidTr="00352971">
        <w:trPr>
          <w:trHeight w:val="426"/>
        </w:trPr>
        <w:tc>
          <w:tcPr>
            <w:tcW w:w="4349" w:type="dxa"/>
            <w:shd w:val="clear" w:color="auto" w:fill="CCCCCC"/>
            <w:tcMar>
              <w:top w:w="57" w:type="dxa"/>
              <w:left w:w="57" w:type="dxa"/>
              <w:bottom w:w="57" w:type="dxa"/>
              <w:right w:w="57" w:type="dxa"/>
            </w:tcMar>
          </w:tcPr>
          <w:p w14:paraId="608F284C" w14:textId="77777777" w:rsidR="00352971" w:rsidRPr="001A1D99" w:rsidRDefault="00352971" w:rsidP="00352971">
            <w:pPr>
              <w:jc w:val="center"/>
              <w:rPr>
                <w:rFonts w:ascii="Arial" w:hAnsi="Arial" w:cs="Arial"/>
                <w:b/>
                <w:color w:val="FFFFFF"/>
                <w:sz w:val="20"/>
              </w:rPr>
            </w:pPr>
            <w:r w:rsidRPr="001A1D99">
              <w:rPr>
                <w:rFonts w:ascii="Arial" w:hAnsi="Arial" w:cs="Arial"/>
                <w:b/>
                <w:sz w:val="20"/>
              </w:rPr>
              <w:t>Outcomes, Effectiveness, Efficiency, M&amp;E, I&amp;E Execution</w:t>
            </w:r>
          </w:p>
        </w:tc>
        <w:tc>
          <w:tcPr>
            <w:tcW w:w="2860" w:type="dxa"/>
            <w:shd w:val="clear" w:color="auto" w:fill="CCCCCC"/>
            <w:tcMar>
              <w:top w:w="57" w:type="dxa"/>
              <w:left w:w="57" w:type="dxa"/>
              <w:bottom w:w="57" w:type="dxa"/>
              <w:right w:w="57" w:type="dxa"/>
            </w:tcMar>
          </w:tcPr>
          <w:p w14:paraId="6F09D016" w14:textId="387F0329" w:rsidR="00352971" w:rsidRPr="001A1D99" w:rsidRDefault="00352971" w:rsidP="00352971">
            <w:pPr>
              <w:jc w:val="center"/>
              <w:rPr>
                <w:rFonts w:ascii="Arial" w:hAnsi="Arial" w:cs="Arial"/>
                <w:b/>
                <w:color w:val="FFFFFF"/>
                <w:sz w:val="20"/>
              </w:rPr>
            </w:pPr>
            <w:r w:rsidRPr="001A1D99">
              <w:rPr>
                <w:rFonts w:ascii="Arial" w:hAnsi="Arial" w:cs="Arial"/>
                <w:b/>
                <w:sz w:val="20"/>
              </w:rPr>
              <w:t>Sustainability</w:t>
            </w:r>
            <w:r w:rsidR="00F2052E" w:rsidRPr="00075585">
              <w:rPr>
                <w:rStyle w:val="FootnoteReference"/>
                <w:rFonts w:ascii="Calibri" w:hAnsi="Calibri" w:cs="Arial"/>
                <w:b/>
                <w:sz w:val="20"/>
              </w:rPr>
              <w:footnoteReference w:id="11"/>
            </w:r>
          </w:p>
        </w:tc>
        <w:tc>
          <w:tcPr>
            <w:tcW w:w="1867" w:type="dxa"/>
            <w:shd w:val="clear" w:color="auto" w:fill="CCCCCC"/>
            <w:tcMar>
              <w:top w:w="57" w:type="dxa"/>
              <w:left w:w="57" w:type="dxa"/>
              <w:bottom w:w="57" w:type="dxa"/>
              <w:right w:w="57" w:type="dxa"/>
            </w:tcMar>
          </w:tcPr>
          <w:p w14:paraId="6680CC15" w14:textId="77777777" w:rsidR="00352971" w:rsidRPr="001A1D99" w:rsidRDefault="00352971" w:rsidP="00352971">
            <w:pPr>
              <w:jc w:val="center"/>
              <w:rPr>
                <w:rFonts w:ascii="Arial" w:hAnsi="Arial" w:cs="Arial"/>
                <w:b/>
                <w:color w:val="FFFFFF"/>
                <w:sz w:val="20"/>
              </w:rPr>
            </w:pPr>
            <w:r w:rsidRPr="001A1D99">
              <w:rPr>
                <w:rFonts w:ascii="Arial" w:hAnsi="Arial" w:cs="Arial"/>
                <w:b/>
                <w:sz w:val="20"/>
              </w:rPr>
              <w:t>Relevance</w:t>
            </w:r>
          </w:p>
        </w:tc>
      </w:tr>
      <w:tr w:rsidR="00352971" w:rsidRPr="001A1D99" w14:paraId="02545319" w14:textId="77777777" w:rsidTr="00352971">
        <w:trPr>
          <w:trHeight w:val="1121"/>
        </w:trPr>
        <w:tc>
          <w:tcPr>
            <w:tcW w:w="4349" w:type="dxa"/>
            <w:vMerge w:val="restart"/>
            <w:shd w:val="clear" w:color="auto" w:fill="auto"/>
            <w:tcMar>
              <w:top w:w="28" w:type="dxa"/>
              <w:left w:w="28" w:type="dxa"/>
              <w:bottom w:w="28" w:type="dxa"/>
              <w:right w:w="28" w:type="dxa"/>
            </w:tcMar>
          </w:tcPr>
          <w:p w14:paraId="19BD6BA4" w14:textId="77777777" w:rsidR="00352971" w:rsidRPr="001A1D99" w:rsidRDefault="00352971" w:rsidP="00352971">
            <w:pPr>
              <w:tabs>
                <w:tab w:val="left" w:pos="251"/>
              </w:tabs>
              <w:ind w:left="251" w:hanging="220"/>
              <w:rPr>
                <w:rFonts w:ascii="Arial" w:hAnsi="Arial" w:cs="Arial"/>
                <w:sz w:val="20"/>
              </w:rPr>
            </w:pPr>
            <w:r w:rsidRPr="001A1D99">
              <w:rPr>
                <w:rFonts w:ascii="Arial" w:hAnsi="Arial" w:cs="Arial"/>
                <w:b/>
                <w:sz w:val="20"/>
              </w:rPr>
              <w:t>6.</w:t>
            </w:r>
            <w:r w:rsidRPr="001A1D99">
              <w:rPr>
                <w:rFonts w:ascii="Arial" w:hAnsi="Arial" w:cs="Arial"/>
                <w:b/>
                <w:sz w:val="20"/>
              </w:rPr>
              <w:tab/>
              <w:t>Highly Satisfactory (HS):</w:t>
            </w:r>
            <w:r w:rsidRPr="001A1D99">
              <w:rPr>
                <w:rFonts w:ascii="Arial" w:hAnsi="Arial" w:cs="Arial"/>
                <w:sz w:val="20"/>
              </w:rPr>
              <w:t xml:space="preserve"> no shortcomings</w:t>
            </w:r>
          </w:p>
          <w:p w14:paraId="12D73D23" w14:textId="77777777" w:rsidR="00352971" w:rsidRPr="001A1D99" w:rsidRDefault="00352971" w:rsidP="00352971">
            <w:pPr>
              <w:tabs>
                <w:tab w:val="left" w:pos="251"/>
              </w:tabs>
              <w:ind w:left="251" w:hanging="220"/>
              <w:rPr>
                <w:rFonts w:ascii="Arial" w:hAnsi="Arial" w:cs="Arial"/>
                <w:sz w:val="20"/>
              </w:rPr>
            </w:pPr>
            <w:r w:rsidRPr="001A1D99">
              <w:rPr>
                <w:rFonts w:ascii="Arial" w:hAnsi="Arial" w:cs="Arial"/>
                <w:b/>
                <w:sz w:val="20"/>
              </w:rPr>
              <w:t>5.</w:t>
            </w:r>
            <w:r w:rsidRPr="001A1D99">
              <w:rPr>
                <w:rFonts w:ascii="Arial" w:hAnsi="Arial" w:cs="Arial"/>
                <w:b/>
                <w:sz w:val="20"/>
              </w:rPr>
              <w:tab/>
              <w:t>Satisfactory (S):</w:t>
            </w:r>
            <w:r w:rsidRPr="001A1D99">
              <w:rPr>
                <w:rFonts w:ascii="Arial" w:hAnsi="Arial" w:cs="Arial"/>
                <w:sz w:val="20"/>
              </w:rPr>
              <w:t xml:space="preserve"> minor shortcomings</w:t>
            </w:r>
          </w:p>
          <w:p w14:paraId="665110EC" w14:textId="77777777" w:rsidR="00352971" w:rsidRPr="001A1D99" w:rsidRDefault="00352971" w:rsidP="00352971">
            <w:pPr>
              <w:tabs>
                <w:tab w:val="left" w:pos="251"/>
              </w:tabs>
              <w:ind w:left="251" w:hanging="220"/>
              <w:rPr>
                <w:rFonts w:ascii="Arial" w:hAnsi="Arial" w:cs="Arial"/>
                <w:sz w:val="20"/>
              </w:rPr>
            </w:pPr>
            <w:r w:rsidRPr="001A1D99">
              <w:rPr>
                <w:rFonts w:ascii="Arial" w:hAnsi="Arial" w:cs="Arial"/>
                <w:b/>
                <w:sz w:val="20"/>
              </w:rPr>
              <w:t>4</w:t>
            </w:r>
            <w:r w:rsidRPr="001A1D99">
              <w:rPr>
                <w:rFonts w:ascii="Arial" w:hAnsi="Arial" w:cs="Arial"/>
                <w:b/>
                <w:sz w:val="20"/>
              </w:rPr>
              <w:tab/>
              <w:t xml:space="preserve">Moderately Satisfactory (MS): </w:t>
            </w:r>
            <w:r w:rsidRPr="001A1D99">
              <w:rPr>
                <w:rFonts w:ascii="Arial" w:hAnsi="Arial" w:cs="Arial"/>
                <w:sz w:val="20"/>
              </w:rPr>
              <w:t>moderate shortcomings</w:t>
            </w:r>
          </w:p>
          <w:p w14:paraId="4F032A31" w14:textId="77777777" w:rsidR="00352971" w:rsidRPr="001A1D99" w:rsidRDefault="00352971" w:rsidP="00352971">
            <w:pPr>
              <w:tabs>
                <w:tab w:val="left" w:pos="273"/>
              </w:tabs>
              <w:ind w:left="251" w:hanging="220"/>
              <w:rPr>
                <w:rFonts w:ascii="Arial" w:hAnsi="Arial" w:cs="Arial"/>
                <w:sz w:val="20"/>
              </w:rPr>
            </w:pPr>
            <w:r w:rsidRPr="001A1D99">
              <w:rPr>
                <w:rFonts w:ascii="Arial" w:hAnsi="Arial" w:cs="Arial"/>
                <w:b/>
                <w:sz w:val="20"/>
              </w:rPr>
              <w:t>3.</w:t>
            </w:r>
            <w:r w:rsidRPr="001A1D99">
              <w:rPr>
                <w:rFonts w:ascii="Arial" w:hAnsi="Arial" w:cs="Arial"/>
                <w:sz w:val="20"/>
              </w:rPr>
              <w:tab/>
            </w:r>
            <w:r w:rsidRPr="001A1D99">
              <w:rPr>
                <w:rFonts w:ascii="Arial" w:hAnsi="Arial" w:cs="Arial"/>
                <w:b/>
                <w:sz w:val="20"/>
              </w:rPr>
              <w:t>Moderately Unsatisfactory (MU):</w:t>
            </w:r>
            <w:r w:rsidRPr="001A1D99">
              <w:rPr>
                <w:rFonts w:ascii="Arial" w:hAnsi="Arial" w:cs="Arial"/>
                <w:sz w:val="20"/>
              </w:rPr>
              <w:t xml:space="preserve"> significant shortcomings</w:t>
            </w:r>
          </w:p>
          <w:p w14:paraId="47766853" w14:textId="77777777" w:rsidR="00352971" w:rsidRPr="001A1D99" w:rsidRDefault="00352971" w:rsidP="00352971">
            <w:pPr>
              <w:tabs>
                <w:tab w:val="left" w:pos="273"/>
              </w:tabs>
              <w:ind w:left="251" w:hanging="220"/>
              <w:rPr>
                <w:rFonts w:ascii="Arial" w:hAnsi="Arial" w:cs="Arial"/>
                <w:sz w:val="20"/>
              </w:rPr>
            </w:pPr>
            <w:r w:rsidRPr="001A1D99">
              <w:rPr>
                <w:rFonts w:ascii="Arial" w:hAnsi="Arial" w:cs="Arial"/>
                <w:b/>
                <w:sz w:val="20"/>
              </w:rPr>
              <w:t>2.</w:t>
            </w:r>
            <w:r w:rsidRPr="001A1D99">
              <w:rPr>
                <w:rFonts w:ascii="Arial" w:hAnsi="Arial" w:cs="Arial"/>
                <w:sz w:val="20"/>
              </w:rPr>
              <w:tab/>
            </w:r>
            <w:r w:rsidRPr="001A1D99">
              <w:rPr>
                <w:rFonts w:ascii="Arial" w:hAnsi="Arial" w:cs="Arial"/>
                <w:b/>
                <w:sz w:val="20"/>
              </w:rPr>
              <w:t>Unsatisfactory (U):</w:t>
            </w:r>
            <w:r w:rsidRPr="001A1D99">
              <w:rPr>
                <w:rFonts w:ascii="Arial" w:hAnsi="Arial" w:cs="Arial"/>
                <w:sz w:val="20"/>
              </w:rPr>
              <w:t xml:space="preserve"> major shortcomings</w:t>
            </w:r>
          </w:p>
          <w:p w14:paraId="0FDFD891" w14:textId="77777777" w:rsidR="00352971" w:rsidRDefault="00352971" w:rsidP="00352971">
            <w:pPr>
              <w:tabs>
                <w:tab w:val="left" w:pos="255"/>
              </w:tabs>
              <w:ind w:left="251" w:hanging="220"/>
              <w:rPr>
                <w:rFonts w:ascii="Arial" w:hAnsi="Arial" w:cs="Arial"/>
                <w:sz w:val="20"/>
              </w:rPr>
            </w:pPr>
            <w:r w:rsidRPr="001A1D99">
              <w:rPr>
                <w:rFonts w:ascii="Arial" w:hAnsi="Arial" w:cs="Arial"/>
                <w:b/>
                <w:sz w:val="20"/>
              </w:rPr>
              <w:t>1.</w:t>
            </w:r>
            <w:r w:rsidRPr="001A1D99">
              <w:rPr>
                <w:rFonts w:ascii="Arial" w:hAnsi="Arial" w:cs="Arial"/>
                <w:b/>
                <w:sz w:val="20"/>
              </w:rPr>
              <w:tab/>
              <w:t>Highly Unsatisfactory (HU</w:t>
            </w:r>
            <w:r w:rsidRPr="001A1D99">
              <w:rPr>
                <w:rFonts w:ascii="Arial" w:hAnsi="Arial" w:cs="Arial"/>
                <w:sz w:val="20"/>
              </w:rPr>
              <w:t>): severe shortcomings</w:t>
            </w:r>
          </w:p>
          <w:p w14:paraId="248D1FC8" w14:textId="77777777" w:rsidR="00F2052E" w:rsidRPr="001A1D99" w:rsidRDefault="00F2052E" w:rsidP="00352971">
            <w:pPr>
              <w:tabs>
                <w:tab w:val="left" w:pos="255"/>
              </w:tabs>
              <w:ind w:left="251" w:hanging="220"/>
              <w:rPr>
                <w:rFonts w:ascii="Arial" w:hAnsi="Arial" w:cs="Arial"/>
                <w:sz w:val="20"/>
              </w:rPr>
            </w:pPr>
          </w:p>
        </w:tc>
        <w:tc>
          <w:tcPr>
            <w:tcW w:w="2860" w:type="dxa"/>
            <w:shd w:val="clear" w:color="auto" w:fill="auto"/>
            <w:tcMar>
              <w:top w:w="28" w:type="dxa"/>
              <w:left w:w="28" w:type="dxa"/>
              <w:bottom w:w="28" w:type="dxa"/>
              <w:right w:w="28" w:type="dxa"/>
            </w:tcMar>
          </w:tcPr>
          <w:p w14:paraId="5508F726" w14:textId="77777777" w:rsidR="00352971" w:rsidRPr="001A1D99" w:rsidRDefault="00352971" w:rsidP="00352971">
            <w:pPr>
              <w:tabs>
                <w:tab w:val="left" w:pos="190"/>
              </w:tabs>
              <w:ind w:left="190" w:hanging="190"/>
              <w:rPr>
                <w:rFonts w:ascii="Arial" w:hAnsi="Arial" w:cs="Arial"/>
                <w:sz w:val="20"/>
              </w:rPr>
            </w:pPr>
            <w:r w:rsidRPr="001A1D99">
              <w:rPr>
                <w:rFonts w:ascii="Arial" w:hAnsi="Arial" w:cs="Arial"/>
                <w:b/>
                <w:sz w:val="20"/>
              </w:rPr>
              <w:t>4.</w:t>
            </w:r>
            <w:r w:rsidRPr="001A1D99">
              <w:rPr>
                <w:rFonts w:ascii="Arial" w:hAnsi="Arial" w:cs="Arial"/>
                <w:b/>
                <w:sz w:val="20"/>
              </w:rPr>
              <w:tab/>
              <w:t>Likely (L)</w:t>
            </w:r>
            <w:r w:rsidRPr="001A1D99">
              <w:rPr>
                <w:rFonts w:ascii="Arial" w:hAnsi="Arial" w:cs="Arial"/>
                <w:sz w:val="20"/>
              </w:rPr>
              <w:t>: negligible risks to sustainability</w:t>
            </w:r>
          </w:p>
          <w:p w14:paraId="53FE4F2F" w14:textId="77777777" w:rsidR="00352971" w:rsidRPr="001A1D99" w:rsidRDefault="00352971" w:rsidP="00352971">
            <w:pPr>
              <w:tabs>
                <w:tab w:val="left" w:pos="190"/>
              </w:tabs>
              <w:ind w:left="190" w:hanging="190"/>
              <w:rPr>
                <w:rFonts w:ascii="Arial" w:hAnsi="Arial" w:cs="Arial"/>
                <w:sz w:val="20"/>
              </w:rPr>
            </w:pPr>
            <w:r w:rsidRPr="001A1D99">
              <w:rPr>
                <w:rFonts w:ascii="Arial" w:hAnsi="Arial" w:cs="Arial"/>
                <w:b/>
                <w:sz w:val="20"/>
              </w:rPr>
              <w:t>3.</w:t>
            </w:r>
            <w:r w:rsidRPr="001A1D99">
              <w:rPr>
                <w:rFonts w:ascii="Arial" w:hAnsi="Arial" w:cs="Arial"/>
                <w:b/>
                <w:sz w:val="20"/>
              </w:rPr>
              <w:tab/>
              <w:t>Moderately Likely (ML)</w:t>
            </w:r>
            <w:r w:rsidRPr="001A1D99">
              <w:rPr>
                <w:rFonts w:ascii="Arial" w:hAnsi="Arial" w:cs="Arial"/>
                <w:sz w:val="20"/>
              </w:rPr>
              <w:t>: moderate risks</w:t>
            </w:r>
          </w:p>
          <w:p w14:paraId="5E30AADE" w14:textId="77777777" w:rsidR="00352971" w:rsidRPr="001A1D99" w:rsidRDefault="00352971" w:rsidP="00352971">
            <w:pPr>
              <w:tabs>
                <w:tab w:val="left" w:pos="190"/>
              </w:tabs>
              <w:ind w:left="190" w:hanging="190"/>
              <w:rPr>
                <w:rFonts w:ascii="Arial" w:hAnsi="Arial" w:cs="Arial"/>
                <w:sz w:val="20"/>
              </w:rPr>
            </w:pPr>
            <w:r w:rsidRPr="001A1D99">
              <w:rPr>
                <w:rFonts w:ascii="Arial" w:hAnsi="Arial" w:cs="Arial"/>
                <w:b/>
                <w:sz w:val="20"/>
              </w:rPr>
              <w:t>2.</w:t>
            </w:r>
            <w:r w:rsidRPr="001A1D99">
              <w:rPr>
                <w:rFonts w:ascii="Arial" w:hAnsi="Arial" w:cs="Arial"/>
                <w:b/>
                <w:sz w:val="20"/>
              </w:rPr>
              <w:tab/>
              <w:t>Moderately Unlikely (MU)</w:t>
            </w:r>
            <w:r w:rsidRPr="001A1D99">
              <w:rPr>
                <w:rFonts w:ascii="Arial" w:hAnsi="Arial" w:cs="Arial"/>
                <w:sz w:val="20"/>
              </w:rPr>
              <w:t>:</w:t>
            </w:r>
            <w:r w:rsidRPr="001A1D99">
              <w:rPr>
                <w:rFonts w:ascii="Arial" w:hAnsi="Arial" w:cs="Arial"/>
                <w:b/>
                <w:sz w:val="20"/>
              </w:rPr>
              <w:t xml:space="preserve"> </w:t>
            </w:r>
            <w:r w:rsidRPr="001A1D99">
              <w:rPr>
                <w:rFonts w:ascii="Arial" w:hAnsi="Arial" w:cs="Arial"/>
                <w:sz w:val="20"/>
              </w:rPr>
              <w:t>significant risks</w:t>
            </w:r>
          </w:p>
          <w:p w14:paraId="0C17FCF7" w14:textId="77777777" w:rsidR="00352971" w:rsidRPr="001A1D99" w:rsidRDefault="00352971" w:rsidP="00352971">
            <w:pPr>
              <w:tabs>
                <w:tab w:val="left" w:pos="190"/>
              </w:tabs>
              <w:ind w:left="190" w:hanging="190"/>
              <w:rPr>
                <w:rFonts w:ascii="Arial" w:hAnsi="Arial" w:cs="Arial"/>
                <w:sz w:val="20"/>
              </w:rPr>
            </w:pPr>
            <w:r w:rsidRPr="001A1D99">
              <w:rPr>
                <w:rFonts w:ascii="Arial" w:hAnsi="Arial" w:cs="Arial"/>
                <w:b/>
                <w:sz w:val="20"/>
              </w:rPr>
              <w:t>1.</w:t>
            </w:r>
            <w:r w:rsidRPr="001A1D99">
              <w:rPr>
                <w:rFonts w:ascii="Arial" w:hAnsi="Arial" w:cs="Arial"/>
                <w:b/>
                <w:sz w:val="20"/>
              </w:rPr>
              <w:tab/>
              <w:t xml:space="preserve">Unlikely (U): </w:t>
            </w:r>
            <w:r w:rsidRPr="001A1D99">
              <w:rPr>
                <w:rFonts w:ascii="Arial" w:hAnsi="Arial" w:cs="Arial"/>
                <w:sz w:val="20"/>
              </w:rPr>
              <w:t>severe risks</w:t>
            </w:r>
          </w:p>
        </w:tc>
        <w:tc>
          <w:tcPr>
            <w:tcW w:w="1867" w:type="dxa"/>
            <w:shd w:val="clear" w:color="auto" w:fill="auto"/>
            <w:tcMar>
              <w:top w:w="28" w:type="dxa"/>
              <w:left w:w="28" w:type="dxa"/>
              <w:bottom w:w="28" w:type="dxa"/>
              <w:right w:w="28" w:type="dxa"/>
            </w:tcMar>
          </w:tcPr>
          <w:p w14:paraId="0F503BF1" w14:textId="77777777" w:rsidR="00352971" w:rsidRPr="001A1D99" w:rsidRDefault="00352971" w:rsidP="00352971">
            <w:pPr>
              <w:tabs>
                <w:tab w:val="left" w:pos="190"/>
              </w:tabs>
              <w:ind w:left="190" w:hanging="190"/>
              <w:rPr>
                <w:rFonts w:ascii="Arial" w:hAnsi="Arial" w:cs="Arial"/>
                <w:b/>
                <w:sz w:val="20"/>
              </w:rPr>
            </w:pPr>
            <w:r w:rsidRPr="001A1D99">
              <w:rPr>
                <w:rFonts w:ascii="Arial" w:hAnsi="Arial" w:cs="Arial"/>
                <w:b/>
                <w:sz w:val="20"/>
              </w:rPr>
              <w:t>2. Relevant (R)</w:t>
            </w:r>
          </w:p>
          <w:p w14:paraId="14184679" w14:textId="77777777" w:rsidR="00352971" w:rsidRPr="001A1D99" w:rsidRDefault="00352971" w:rsidP="00352971">
            <w:pPr>
              <w:tabs>
                <w:tab w:val="left" w:pos="190"/>
              </w:tabs>
              <w:ind w:left="190" w:hanging="190"/>
              <w:rPr>
                <w:rFonts w:ascii="Arial" w:hAnsi="Arial" w:cs="Arial"/>
                <w:b/>
                <w:sz w:val="20"/>
              </w:rPr>
            </w:pPr>
            <w:r w:rsidRPr="001A1D99">
              <w:rPr>
                <w:rFonts w:ascii="Arial" w:hAnsi="Arial" w:cs="Arial"/>
                <w:b/>
                <w:sz w:val="20"/>
              </w:rPr>
              <w:t>1.</w:t>
            </w:r>
            <w:r w:rsidRPr="001A1D99">
              <w:rPr>
                <w:rFonts w:ascii="Arial" w:hAnsi="Arial" w:cs="Arial"/>
                <w:b/>
                <w:sz w:val="20"/>
              </w:rPr>
              <w:tab/>
              <w:t>Not relevant (NR)</w:t>
            </w:r>
          </w:p>
        </w:tc>
      </w:tr>
      <w:tr w:rsidR="00352971" w:rsidRPr="001A1D99" w14:paraId="6866319B" w14:textId="77777777" w:rsidTr="00352971">
        <w:trPr>
          <w:trHeight w:val="251"/>
        </w:trPr>
        <w:tc>
          <w:tcPr>
            <w:tcW w:w="4349" w:type="dxa"/>
            <w:vMerge/>
            <w:shd w:val="clear" w:color="auto" w:fill="auto"/>
          </w:tcPr>
          <w:p w14:paraId="78048FF7" w14:textId="77777777" w:rsidR="00352971" w:rsidRPr="001A1D99" w:rsidRDefault="00352971" w:rsidP="00352971">
            <w:pPr>
              <w:rPr>
                <w:rFonts w:ascii="Arial" w:hAnsi="Arial" w:cs="Arial"/>
                <w:sz w:val="20"/>
              </w:rPr>
            </w:pPr>
          </w:p>
        </w:tc>
        <w:tc>
          <w:tcPr>
            <w:tcW w:w="2860" w:type="dxa"/>
            <w:shd w:val="clear" w:color="auto" w:fill="CCCCCC"/>
            <w:tcMar>
              <w:top w:w="57" w:type="dxa"/>
              <w:left w:w="57" w:type="dxa"/>
              <w:bottom w:w="57" w:type="dxa"/>
              <w:right w:w="57" w:type="dxa"/>
            </w:tcMar>
          </w:tcPr>
          <w:p w14:paraId="6213E52D" w14:textId="77777777" w:rsidR="00352971" w:rsidRPr="001A1D99" w:rsidRDefault="00352971" w:rsidP="00352971">
            <w:pPr>
              <w:tabs>
                <w:tab w:val="left" w:pos="190"/>
              </w:tabs>
              <w:ind w:left="190" w:hanging="190"/>
              <w:jc w:val="center"/>
              <w:rPr>
                <w:rFonts w:ascii="Arial" w:hAnsi="Arial" w:cs="Arial"/>
                <w:b/>
                <w:sz w:val="20"/>
              </w:rPr>
            </w:pPr>
            <w:r>
              <w:rPr>
                <w:rFonts w:ascii="Arial" w:hAnsi="Arial" w:cs="Arial"/>
                <w:b/>
                <w:sz w:val="20"/>
              </w:rPr>
              <w:t>Additional ratings if relevant</w:t>
            </w:r>
          </w:p>
        </w:tc>
        <w:tc>
          <w:tcPr>
            <w:tcW w:w="1867" w:type="dxa"/>
            <w:shd w:val="clear" w:color="auto" w:fill="CCCCCC"/>
            <w:tcMar>
              <w:top w:w="57" w:type="dxa"/>
              <w:left w:w="57" w:type="dxa"/>
              <w:bottom w:w="57" w:type="dxa"/>
              <w:right w:w="57" w:type="dxa"/>
            </w:tcMar>
          </w:tcPr>
          <w:p w14:paraId="304BD63A" w14:textId="77777777" w:rsidR="00352971" w:rsidRPr="001A1D99" w:rsidRDefault="00352971" w:rsidP="00352971">
            <w:pPr>
              <w:tabs>
                <w:tab w:val="left" w:pos="190"/>
              </w:tabs>
              <w:jc w:val="center"/>
              <w:rPr>
                <w:rFonts w:ascii="Arial" w:hAnsi="Arial" w:cs="Arial"/>
                <w:b/>
                <w:sz w:val="20"/>
              </w:rPr>
            </w:pPr>
            <w:r w:rsidRPr="001A1D99">
              <w:rPr>
                <w:rFonts w:ascii="Arial" w:hAnsi="Arial" w:cs="Arial"/>
                <w:b/>
                <w:sz w:val="20"/>
              </w:rPr>
              <w:t>Impact</w:t>
            </w:r>
          </w:p>
        </w:tc>
      </w:tr>
      <w:tr w:rsidR="00352971" w:rsidRPr="001A1D99" w14:paraId="1048FC70" w14:textId="77777777" w:rsidTr="00352971">
        <w:trPr>
          <w:trHeight w:val="674"/>
        </w:trPr>
        <w:tc>
          <w:tcPr>
            <w:tcW w:w="4349" w:type="dxa"/>
            <w:vMerge/>
            <w:shd w:val="clear" w:color="auto" w:fill="auto"/>
            <w:tcMar>
              <w:top w:w="28" w:type="dxa"/>
              <w:left w:w="28" w:type="dxa"/>
              <w:bottom w:w="28" w:type="dxa"/>
              <w:right w:w="28" w:type="dxa"/>
            </w:tcMar>
          </w:tcPr>
          <w:p w14:paraId="3389EC8A" w14:textId="77777777" w:rsidR="00352971" w:rsidRPr="001A1D99" w:rsidRDefault="00352971" w:rsidP="00352971">
            <w:pPr>
              <w:rPr>
                <w:rFonts w:ascii="Arial" w:hAnsi="Arial" w:cs="Arial"/>
                <w:sz w:val="20"/>
              </w:rPr>
            </w:pPr>
          </w:p>
        </w:tc>
        <w:tc>
          <w:tcPr>
            <w:tcW w:w="2860" w:type="dxa"/>
            <w:shd w:val="clear" w:color="auto" w:fill="auto"/>
            <w:tcMar>
              <w:top w:w="28" w:type="dxa"/>
              <w:left w:w="28" w:type="dxa"/>
              <w:bottom w:w="28" w:type="dxa"/>
              <w:right w:w="28" w:type="dxa"/>
            </w:tcMar>
          </w:tcPr>
          <w:p w14:paraId="4D442CD2" w14:textId="77777777" w:rsidR="00352971" w:rsidRPr="001A1D99" w:rsidRDefault="00352971" w:rsidP="00352971">
            <w:pPr>
              <w:rPr>
                <w:rFonts w:ascii="Arial" w:hAnsi="Arial" w:cs="Arial"/>
                <w:b/>
                <w:sz w:val="20"/>
              </w:rPr>
            </w:pPr>
            <w:r w:rsidRPr="001A1D99">
              <w:rPr>
                <w:rFonts w:ascii="Arial" w:hAnsi="Arial" w:cs="Arial"/>
                <w:b/>
                <w:sz w:val="20"/>
              </w:rPr>
              <w:t xml:space="preserve">Not Applicable (N/A) </w:t>
            </w:r>
          </w:p>
          <w:p w14:paraId="4B784117" w14:textId="77777777" w:rsidR="00352971" w:rsidRPr="001A1D99" w:rsidRDefault="00352971" w:rsidP="00352971">
            <w:pPr>
              <w:tabs>
                <w:tab w:val="left" w:pos="190"/>
              </w:tabs>
              <w:ind w:left="190" w:hanging="190"/>
              <w:rPr>
                <w:rFonts w:ascii="Arial" w:hAnsi="Arial" w:cs="Arial"/>
                <w:sz w:val="20"/>
              </w:rPr>
            </w:pPr>
            <w:r w:rsidRPr="001A1D99">
              <w:rPr>
                <w:rFonts w:ascii="Arial" w:hAnsi="Arial" w:cs="Arial"/>
                <w:b/>
                <w:sz w:val="20"/>
              </w:rPr>
              <w:t>Unable to Assess (U/A)</w:t>
            </w:r>
          </w:p>
        </w:tc>
        <w:tc>
          <w:tcPr>
            <w:tcW w:w="1867" w:type="dxa"/>
            <w:shd w:val="clear" w:color="auto" w:fill="auto"/>
            <w:tcMar>
              <w:top w:w="28" w:type="dxa"/>
              <w:left w:w="28" w:type="dxa"/>
              <w:bottom w:w="28" w:type="dxa"/>
              <w:right w:w="28" w:type="dxa"/>
            </w:tcMar>
          </w:tcPr>
          <w:p w14:paraId="5F65F029" w14:textId="77777777" w:rsidR="00352971" w:rsidRPr="001A1D99" w:rsidRDefault="00352971" w:rsidP="00352971">
            <w:pPr>
              <w:tabs>
                <w:tab w:val="left" w:pos="190"/>
              </w:tabs>
              <w:ind w:left="190" w:hanging="190"/>
              <w:rPr>
                <w:rFonts w:ascii="Arial" w:hAnsi="Arial" w:cs="Arial"/>
                <w:b/>
                <w:sz w:val="20"/>
              </w:rPr>
            </w:pPr>
            <w:r w:rsidRPr="001A1D99">
              <w:rPr>
                <w:rFonts w:ascii="Arial" w:hAnsi="Arial" w:cs="Arial"/>
                <w:b/>
                <w:sz w:val="20"/>
              </w:rPr>
              <w:t>3. Significant (S)</w:t>
            </w:r>
          </w:p>
          <w:p w14:paraId="64BB48CF" w14:textId="77777777" w:rsidR="00352971" w:rsidRPr="001A1D99" w:rsidRDefault="00352971" w:rsidP="00352971">
            <w:pPr>
              <w:tabs>
                <w:tab w:val="left" w:pos="190"/>
              </w:tabs>
              <w:ind w:left="190" w:hanging="190"/>
              <w:rPr>
                <w:rFonts w:ascii="Arial" w:hAnsi="Arial" w:cs="Arial"/>
                <w:b/>
                <w:sz w:val="20"/>
              </w:rPr>
            </w:pPr>
            <w:r w:rsidRPr="001A1D99">
              <w:rPr>
                <w:rFonts w:ascii="Arial" w:hAnsi="Arial" w:cs="Arial"/>
                <w:b/>
                <w:sz w:val="20"/>
              </w:rPr>
              <w:t>2. Minimal (M)</w:t>
            </w:r>
          </w:p>
          <w:p w14:paraId="7FE506F6" w14:textId="77777777" w:rsidR="00352971" w:rsidRPr="001A1D99" w:rsidRDefault="00352971" w:rsidP="00352971">
            <w:pPr>
              <w:tabs>
                <w:tab w:val="left" w:pos="190"/>
              </w:tabs>
              <w:ind w:left="190" w:hanging="190"/>
              <w:rPr>
                <w:rFonts w:ascii="Arial" w:hAnsi="Arial" w:cs="Arial"/>
                <w:sz w:val="20"/>
              </w:rPr>
            </w:pPr>
            <w:r w:rsidRPr="001A1D99">
              <w:rPr>
                <w:rFonts w:ascii="Arial" w:hAnsi="Arial" w:cs="Arial"/>
                <w:b/>
                <w:sz w:val="20"/>
              </w:rPr>
              <w:t>1. Negligible (N)</w:t>
            </w:r>
          </w:p>
        </w:tc>
      </w:tr>
    </w:tbl>
    <w:p w14:paraId="64650790" w14:textId="5AD86E59" w:rsidR="00B06EC3" w:rsidRPr="0092738C" w:rsidRDefault="00B06EC3" w:rsidP="00092B43">
      <w:pPr>
        <w:pStyle w:val="BodyText2"/>
        <w:spacing w:before="120" w:line="264" w:lineRule="auto"/>
        <w:rPr>
          <w:rFonts w:ascii="Calibri" w:hAnsi="Calibri" w:cs="Arial"/>
          <w:bCs/>
          <w:szCs w:val="24"/>
        </w:rPr>
      </w:pPr>
      <w:r w:rsidRPr="0092738C">
        <w:rPr>
          <w:rFonts w:ascii="Calibri" w:hAnsi="Calibri" w:cs="Arial"/>
          <w:bCs/>
          <w:szCs w:val="24"/>
        </w:rPr>
        <w:t xml:space="preserve">UNDP CO was provided with a draft report in </w:t>
      </w:r>
      <w:r>
        <w:rPr>
          <w:rFonts w:ascii="Calibri" w:hAnsi="Calibri" w:cs="Arial"/>
          <w:bCs/>
          <w:szCs w:val="24"/>
        </w:rPr>
        <w:t>mid-</w:t>
      </w:r>
      <w:r w:rsidR="003845C9">
        <w:rPr>
          <w:rFonts w:ascii="Calibri" w:hAnsi="Calibri" w:cs="Arial"/>
          <w:bCs/>
          <w:szCs w:val="24"/>
        </w:rPr>
        <w:t>January</w:t>
      </w:r>
      <w:r>
        <w:rPr>
          <w:rFonts w:ascii="Calibri" w:hAnsi="Calibri" w:cs="Arial"/>
          <w:bCs/>
          <w:szCs w:val="24"/>
        </w:rPr>
        <w:t xml:space="preserve"> 201</w:t>
      </w:r>
      <w:r w:rsidR="003845C9">
        <w:rPr>
          <w:rFonts w:ascii="Calibri" w:hAnsi="Calibri" w:cs="Arial"/>
          <w:bCs/>
          <w:szCs w:val="24"/>
        </w:rPr>
        <w:t>9</w:t>
      </w:r>
      <w:r w:rsidRPr="0092738C">
        <w:rPr>
          <w:rFonts w:ascii="Calibri" w:hAnsi="Calibri" w:cs="Arial"/>
          <w:bCs/>
          <w:szCs w:val="24"/>
        </w:rPr>
        <w:t xml:space="preserve"> to share with the Implementing Agency and UNDP Regional Office</w:t>
      </w:r>
      <w:r w:rsidRPr="00E60FB2">
        <w:rPr>
          <w:rFonts w:ascii="Calibri" w:hAnsi="Calibri" w:cs="Arial"/>
          <w:bCs/>
          <w:szCs w:val="24"/>
        </w:rPr>
        <w:t>. The report was subsequently finalised after receiving feedback</w:t>
      </w:r>
      <w:r w:rsidR="00E60FB2" w:rsidRPr="00E60FB2">
        <w:rPr>
          <w:rFonts w:ascii="Calibri" w:hAnsi="Calibri" w:cs="Arial"/>
          <w:bCs/>
          <w:szCs w:val="24"/>
        </w:rPr>
        <w:t xml:space="preserve"> in late February</w:t>
      </w:r>
      <w:r w:rsidRPr="00E60FB2">
        <w:rPr>
          <w:rFonts w:ascii="Calibri" w:hAnsi="Calibri" w:cs="Arial"/>
          <w:bCs/>
          <w:szCs w:val="24"/>
        </w:rPr>
        <w:t xml:space="preserve">, for which the audit trail can be found in </w:t>
      </w:r>
      <w:r w:rsidRPr="00E60FB2">
        <w:rPr>
          <w:rFonts w:ascii="Calibri" w:hAnsi="Calibri" w:cs="Arial"/>
          <w:b/>
          <w:bCs/>
          <w:szCs w:val="24"/>
        </w:rPr>
        <w:t>Annex 9</w:t>
      </w:r>
      <w:r w:rsidRPr="00E60FB2">
        <w:rPr>
          <w:rFonts w:ascii="Calibri" w:hAnsi="Calibri" w:cs="Arial"/>
          <w:bCs/>
          <w:szCs w:val="24"/>
        </w:rPr>
        <w:t>.</w:t>
      </w:r>
    </w:p>
    <w:p w14:paraId="1A13BC58" w14:textId="77777777" w:rsidR="00332D0C" w:rsidRPr="00E22EBA" w:rsidRDefault="005C2149" w:rsidP="00722D10">
      <w:pPr>
        <w:pStyle w:val="Heading2"/>
        <w:numPr>
          <w:ilvl w:val="1"/>
          <w:numId w:val="1"/>
        </w:numPr>
        <w:spacing w:before="240" w:after="120" w:line="240" w:lineRule="auto"/>
        <w:ind w:left="567" w:hanging="567"/>
        <w:rPr>
          <w:rFonts w:asciiTheme="minorHAnsi" w:hAnsiTheme="minorHAnsi" w:cs="Calibri"/>
          <w:b/>
          <w:caps w:val="0"/>
          <w:sz w:val="28"/>
        </w:rPr>
      </w:pPr>
      <w:bookmarkStart w:id="13" w:name="_Toc414745308"/>
      <w:r w:rsidRPr="00E22EBA">
        <w:rPr>
          <w:rFonts w:asciiTheme="minorHAnsi" w:hAnsiTheme="minorHAnsi" w:cs="Calibri"/>
          <w:b/>
          <w:caps w:val="0"/>
          <w:sz w:val="28"/>
        </w:rPr>
        <w:lastRenderedPageBreak/>
        <w:t>Structure of the Evaluation Re</w:t>
      </w:r>
      <w:r w:rsidR="00627B00" w:rsidRPr="00E22EBA">
        <w:rPr>
          <w:rFonts w:asciiTheme="minorHAnsi" w:hAnsiTheme="minorHAnsi" w:cs="Calibri"/>
          <w:b/>
          <w:caps w:val="0"/>
          <w:sz w:val="28"/>
        </w:rPr>
        <w:t>port</w:t>
      </w:r>
      <w:bookmarkEnd w:id="13"/>
    </w:p>
    <w:p w14:paraId="0688958C" w14:textId="6E36EEA8" w:rsidR="00E67A49" w:rsidRPr="00E22EBA" w:rsidRDefault="005C4060" w:rsidP="00FC3096">
      <w:pPr>
        <w:pStyle w:val="BodyText"/>
        <w:rPr>
          <w:rFonts w:asciiTheme="minorHAnsi" w:hAnsiTheme="minorHAnsi" w:cs="Calibri"/>
        </w:rPr>
      </w:pPr>
      <w:r>
        <w:rPr>
          <w:rFonts w:asciiTheme="minorHAnsi" w:hAnsiTheme="minorHAnsi" w:cs="Calibri"/>
        </w:rPr>
        <w:t>The structure of this</w:t>
      </w:r>
      <w:r w:rsidR="00E67A49" w:rsidRPr="00E22EBA">
        <w:rPr>
          <w:rFonts w:asciiTheme="minorHAnsi" w:hAnsiTheme="minorHAnsi" w:cs="Calibri"/>
        </w:rPr>
        <w:t xml:space="preserve"> report </w:t>
      </w:r>
      <w:r>
        <w:rPr>
          <w:rFonts w:asciiTheme="minorHAnsi" w:hAnsiTheme="minorHAnsi" w:cs="Calibri"/>
        </w:rPr>
        <w:t xml:space="preserve">follows </w:t>
      </w:r>
      <w:r w:rsidRPr="00AB234E">
        <w:rPr>
          <w:rFonts w:ascii="Calibri" w:hAnsi="Calibri" w:cs="Calibri"/>
          <w:szCs w:val="24"/>
        </w:rPr>
        <w:t>the T</w:t>
      </w:r>
      <w:r w:rsidR="008D1005">
        <w:rPr>
          <w:rFonts w:ascii="Calibri" w:hAnsi="Calibri" w:cs="Calibri"/>
          <w:szCs w:val="24"/>
        </w:rPr>
        <w:t>oR</w:t>
      </w:r>
      <w:r w:rsidRPr="00AB234E">
        <w:rPr>
          <w:rFonts w:ascii="Calibri" w:hAnsi="Calibri" w:cs="Calibri"/>
          <w:szCs w:val="24"/>
        </w:rPr>
        <w:t xml:space="preserve"> for this TE </w:t>
      </w:r>
      <w:r w:rsidRPr="00AB234E">
        <w:rPr>
          <w:rFonts w:ascii="Calibri" w:hAnsi="Calibri"/>
          <w:szCs w:val="24"/>
        </w:rPr>
        <w:t>(</w:t>
      </w:r>
      <w:r w:rsidRPr="00AB234E">
        <w:rPr>
          <w:rFonts w:ascii="Calibri" w:hAnsi="Calibri" w:cs="Calibri"/>
          <w:b/>
          <w:bCs/>
          <w:szCs w:val="24"/>
        </w:rPr>
        <w:t xml:space="preserve">Annex 1), </w:t>
      </w:r>
      <w:r w:rsidRPr="00AB234E">
        <w:rPr>
          <w:rFonts w:ascii="Calibri" w:hAnsi="Calibri" w:cs="Calibri"/>
          <w:szCs w:val="24"/>
        </w:rPr>
        <w:t xml:space="preserve">which </w:t>
      </w:r>
      <w:r w:rsidR="008D1005">
        <w:rPr>
          <w:rFonts w:ascii="Calibri" w:hAnsi="Calibri" w:cs="Calibri"/>
          <w:szCs w:val="24"/>
        </w:rPr>
        <w:t xml:space="preserve">reflects </w:t>
      </w:r>
      <w:r w:rsidRPr="00AB234E">
        <w:rPr>
          <w:rFonts w:ascii="Calibri" w:hAnsi="Calibri" w:cs="Calibri"/>
          <w:szCs w:val="24"/>
        </w:rPr>
        <w:t xml:space="preserve">the </w:t>
      </w:r>
      <w:r w:rsidRPr="00AB234E">
        <w:rPr>
          <w:rFonts w:ascii="Calibri" w:hAnsi="Calibri" w:cs="Calibri"/>
          <w:i/>
          <w:szCs w:val="24"/>
        </w:rPr>
        <w:t>UNDP Guidance for Conducting Terminal Evaluation</w:t>
      </w:r>
      <w:r>
        <w:rPr>
          <w:rFonts w:ascii="Calibri" w:hAnsi="Calibri" w:cs="Calibri"/>
          <w:i/>
          <w:szCs w:val="24"/>
        </w:rPr>
        <w:t xml:space="preserve">s . . </w:t>
      </w:r>
      <w:r w:rsidR="008D1005">
        <w:rPr>
          <w:rFonts w:ascii="Calibri" w:hAnsi="Calibri" w:cs="Calibri"/>
          <w:i/>
          <w:szCs w:val="24"/>
        </w:rPr>
        <w:t>.</w:t>
      </w:r>
      <w:r w:rsidR="008D1005" w:rsidRPr="008D1005">
        <w:rPr>
          <w:rFonts w:ascii="Calibri" w:hAnsi="Calibri" w:cs="Calibri"/>
          <w:i/>
          <w:iCs/>
          <w:szCs w:val="24"/>
          <w:vertAlign w:val="superscript"/>
        </w:rPr>
        <w:fldChar w:fldCharType="begin"/>
      </w:r>
      <w:r w:rsidR="008D1005" w:rsidRPr="008D1005">
        <w:rPr>
          <w:rFonts w:ascii="Calibri" w:hAnsi="Calibri" w:cs="Calibri"/>
          <w:i/>
          <w:iCs/>
          <w:szCs w:val="24"/>
          <w:vertAlign w:val="superscript"/>
        </w:rPr>
        <w:instrText xml:space="preserve"> NOTEREF _Ref405473773 \h </w:instrText>
      </w:r>
      <w:r w:rsidR="008D1005" w:rsidRPr="008D1005">
        <w:rPr>
          <w:rFonts w:ascii="Calibri" w:hAnsi="Calibri" w:cs="Calibri"/>
          <w:i/>
          <w:iCs/>
          <w:szCs w:val="24"/>
          <w:vertAlign w:val="superscript"/>
        </w:rPr>
      </w:r>
      <w:r w:rsidR="008D1005" w:rsidRPr="008D1005">
        <w:rPr>
          <w:rFonts w:ascii="Calibri" w:hAnsi="Calibri" w:cs="Calibri"/>
          <w:i/>
          <w:iCs/>
          <w:szCs w:val="24"/>
          <w:vertAlign w:val="superscript"/>
        </w:rPr>
        <w:fldChar w:fldCharType="separate"/>
      </w:r>
      <w:r w:rsidR="001E2C7B">
        <w:rPr>
          <w:rFonts w:ascii="Calibri" w:hAnsi="Calibri" w:cs="Calibri"/>
          <w:i/>
          <w:iCs/>
          <w:szCs w:val="24"/>
          <w:vertAlign w:val="superscript"/>
        </w:rPr>
        <w:t>9</w:t>
      </w:r>
      <w:r w:rsidR="008D1005" w:rsidRPr="008D1005">
        <w:rPr>
          <w:rFonts w:ascii="Calibri" w:hAnsi="Calibri" w:cs="Calibri"/>
          <w:i/>
          <w:iCs/>
          <w:szCs w:val="24"/>
          <w:vertAlign w:val="superscript"/>
        </w:rPr>
        <w:fldChar w:fldCharType="end"/>
      </w:r>
      <w:r w:rsidR="008D1005">
        <w:rPr>
          <w:rFonts w:ascii="Calibri" w:hAnsi="Calibri" w:cs="Calibri"/>
          <w:i/>
          <w:szCs w:val="24"/>
        </w:rPr>
        <w:t xml:space="preserve">. </w:t>
      </w:r>
      <w:r w:rsidR="008D1005">
        <w:rPr>
          <w:rFonts w:asciiTheme="minorHAnsi" w:hAnsiTheme="minorHAnsi" w:cs="Calibri"/>
        </w:rPr>
        <w:t>T</w:t>
      </w:r>
      <w:r>
        <w:rPr>
          <w:rFonts w:asciiTheme="minorHAnsi" w:hAnsiTheme="minorHAnsi" w:cs="Calibri"/>
        </w:rPr>
        <w:t>he</w:t>
      </w:r>
      <w:r w:rsidR="008D1005">
        <w:rPr>
          <w:rFonts w:asciiTheme="minorHAnsi" w:hAnsiTheme="minorHAnsi" w:cs="Calibri"/>
        </w:rPr>
        <w:t xml:space="preserve"> project is described and its</w:t>
      </w:r>
      <w:r w:rsidR="00E67A49" w:rsidRPr="00E22EBA">
        <w:rPr>
          <w:rFonts w:asciiTheme="minorHAnsi" w:hAnsiTheme="minorHAnsi" w:cs="Calibri"/>
        </w:rPr>
        <w:t xml:space="preserve"> duration, main stakeholders, and immediate and development objectives</w:t>
      </w:r>
      <w:r w:rsidR="008D1005">
        <w:rPr>
          <w:rFonts w:asciiTheme="minorHAnsi" w:hAnsiTheme="minorHAnsi" w:cs="Calibri"/>
        </w:rPr>
        <w:t xml:space="preserve"> are outlined</w:t>
      </w:r>
      <w:r w:rsidR="000400C8">
        <w:rPr>
          <w:rFonts w:asciiTheme="minorHAnsi" w:hAnsiTheme="minorHAnsi" w:cs="Calibri"/>
        </w:rPr>
        <w:t xml:space="preserve"> in </w:t>
      </w:r>
      <w:r w:rsidR="000400C8" w:rsidRPr="000400C8">
        <w:rPr>
          <w:rFonts w:asciiTheme="minorHAnsi" w:hAnsiTheme="minorHAnsi" w:cs="Calibri"/>
          <w:b/>
        </w:rPr>
        <w:t>Section 2</w:t>
      </w:r>
      <w:r w:rsidR="00E67A49" w:rsidRPr="00E22EBA">
        <w:rPr>
          <w:rFonts w:asciiTheme="minorHAnsi" w:hAnsiTheme="minorHAnsi" w:cs="Calibri"/>
        </w:rPr>
        <w:t xml:space="preserve">. The </w:t>
      </w:r>
      <w:r w:rsidR="008D1005">
        <w:rPr>
          <w:rFonts w:asciiTheme="minorHAnsi" w:hAnsiTheme="minorHAnsi" w:cs="Calibri"/>
        </w:rPr>
        <w:t xml:space="preserve">evaluation </w:t>
      </w:r>
      <w:r w:rsidR="00E67A49" w:rsidRPr="00E22EBA">
        <w:rPr>
          <w:rFonts w:asciiTheme="minorHAnsi" w:hAnsiTheme="minorHAnsi" w:cs="Calibri"/>
        </w:rPr>
        <w:t xml:space="preserve">findings </w:t>
      </w:r>
      <w:r w:rsidR="000400C8">
        <w:rPr>
          <w:rFonts w:asciiTheme="minorHAnsi" w:hAnsiTheme="minorHAnsi" w:cs="Calibri"/>
        </w:rPr>
        <w:t xml:space="preserve">in </w:t>
      </w:r>
      <w:r w:rsidR="000400C8" w:rsidRPr="000400C8">
        <w:rPr>
          <w:rFonts w:asciiTheme="minorHAnsi" w:hAnsiTheme="minorHAnsi" w:cs="Calibri"/>
          <w:b/>
        </w:rPr>
        <w:t>Section 3</w:t>
      </w:r>
      <w:r w:rsidR="000400C8">
        <w:rPr>
          <w:rFonts w:asciiTheme="minorHAnsi" w:hAnsiTheme="minorHAnsi" w:cs="Calibri"/>
        </w:rPr>
        <w:t xml:space="preserve"> </w:t>
      </w:r>
      <w:r w:rsidR="00E67A49" w:rsidRPr="00E22EBA">
        <w:rPr>
          <w:rFonts w:asciiTheme="minorHAnsi" w:hAnsiTheme="minorHAnsi" w:cs="Calibri"/>
        </w:rPr>
        <w:t xml:space="preserve">are broken down into </w:t>
      </w:r>
      <w:r w:rsidR="00FC3096">
        <w:rPr>
          <w:rFonts w:asciiTheme="minorHAnsi" w:hAnsiTheme="minorHAnsi" w:cs="Calibri"/>
        </w:rPr>
        <w:t>three sub-sections</w:t>
      </w:r>
      <w:r w:rsidR="00E67A49" w:rsidRPr="00E22EBA">
        <w:rPr>
          <w:rFonts w:asciiTheme="minorHAnsi" w:hAnsiTheme="minorHAnsi" w:cs="Calibri"/>
        </w:rPr>
        <w:t>:</w:t>
      </w:r>
      <w:r w:rsidR="00FC3096" w:rsidRPr="00E22EBA">
        <w:rPr>
          <w:rFonts w:asciiTheme="minorHAnsi" w:hAnsiTheme="minorHAnsi" w:cs="Calibri"/>
        </w:rPr>
        <w:t xml:space="preserve"> </w:t>
      </w:r>
      <w:r w:rsidR="00E67A49" w:rsidRPr="00E22EBA">
        <w:rPr>
          <w:rFonts w:asciiTheme="minorHAnsi" w:hAnsiTheme="minorHAnsi" w:cs="Calibri"/>
        </w:rPr>
        <w:t xml:space="preserve">Project </w:t>
      </w:r>
      <w:r w:rsidR="00FC3096">
        <w:rPr>
          <w:rFonts w:asciiTheme="minorHAnsi" w:hAnsiTheme="minorHAnsi" w:cs="Calibri"/>
        </w:rPr>
        <w:t>Design/</w:t>
      </w:r>
      <w:r w:rsidR="00E67A49" w:rsidRPr="00E22EBA">
        <w:rPr>
          <w:rFonts w:asciiTheme="minorHAnsi" w:hAnsiTheme="minorHAnsi" w:cs="Calibri"/>
        </w:rPr>
        <w:t>Formulation</w:t>
      </w:r>
      <w:r w:rsidR="00FC3096">
        <w:rPr>
          <w:rFonts w:asciiTheme="minorHAnsi" w:hAnsiTheme="minorHAnsi" w:cs="Calibri"/>
        </w:rPr>
        <w:t xml:space="preserve">, </w:t>
      </w:r>
      <w:r w:rsidR="00E67A49" w:rsidRPr="00E22EBA">
        <w:rPr>
          <w:rFonts w:asciiTheme="minorHAnsi" w:hAnsiTheme="minorHAnsi" w:cs="Calibri"/>
        </w:rPr>
        <w:t>Project Implementation</w:t>
      </w:r>
      <w:r w:rsidR="00FC3096">
        <w:rPr>
          <w:rFonts w:asciiTheme="minorHAnsi" w:hAnsiTheme="minorHAnsi" w:cs="Calibri"/>
        </w:rPr>
        <w:t xml:space="preserve"> and </w:t>
      </w:r>
      <w:r w:rsidR="00E67A49" w:rsidRPr="00E22EBA">
        <w:rPr>
          <w:rFonts w:asciiTheme="minorHAnsi" w:hAnsiTheme="minorHAnsi" w:cs="Calibri"/>
        </w:rPr>
        <w:t>Project Results</w:t>
      </w:r>
      <w:r w:rsidR="00FC3096">
        <w:rPr>
          <w:rFonts w:asciiTheme="minorHAnsi" w:hAnsiTheme="minorHAnsi" w:cs="Calibri"/>
        </w:rPr>
        <w:t>.</w:t>
      </w:r>
    </w:p>
    <w:p w14:paraId="789B155B" w14:textId="08EF79EC" w:rsidR="00E67A49" w:rsidRPr="00E22EBA" w:rsidRDefault="00FC3096" w:rsidP="00E67A49">
      <w:pPr>
        <w:pStyle w:val="BodyText"/>
        <w:rPr>
          <w:rFonts w:asciiTheme="minorHAnsi" w:hAnsiTheme="minorHAnsi" w:cs="Calibri"/>
        </w:rPr>
      </w:pPr>
      <w:r>
        <w:rPr>
          <w:rFonts w:asciiTheme="minorHAnsi" w:hAnsiTheme="minorHAnsi" w:cs="Calibri"/>
        </w:rPr>
        <w:t>P</w:t>
      </w:r>
      <w:r w:rsidR="00F058F1" w:rsidRPr="00E22EBA">
        <w:rPr>
          <w:rFonts w:asciiTheme="minorHAnsi" w:hAnsiTheme="minorHAnsi" w:cs="Calibri"/>
          <w:b/>
        </w:rPr>
        <w:t>roject formulation</w:t>
      </w:r>
      <w:r w:rsidR="00F058F1" w:rsidRPr="00E22EBA">
        <w:rPr>
          <w:rFonts w:asciiTheme="minorHAnsi" w:hAnsiTheme="minorHAnsi" w:cs="Calibri"/>
        </w:rPr>
        <w:t xml:space="preserve"> </w:t>
      </w:r>
      <w:r>
        <w:rPr>
          <w:rFonts w:asciiTheme="minorHAnsi" w:hAnsiTheme="minorHAnsi" w:cs="Calibri"/>
        </w:rPr>
        <w:t>is</w:t>
      </w:r>
      <w:r w:rsidR="00F058F1" w:rsidRPr="00E22EBA">
        <w:rPr>
          <w:rFonts w:asciiTheme="minorHAnsi" w:hAnsiTheme="minorHAnsi" w:cs="Calibri"/>
        </w:rPr>
        <w:t xml:space="preserve"> evaluat</w:t>
      </w:r>
      <w:r>
        <w:rPr>
          <w:rFonts w:asciiTheme="minorHAnsi" w:hAnsiTheme="minorHAnsi" w:cs="Calibri"/>
        </w:rPr>
        <w:t>ed with respect to</w:t>
      </w:r>
      <w:r w:rsidR="000400C8">
        <w:rPr>
          <w:rFonts w:asciiTheme="minorHAnsi" w:hAnsiTheme="minorHAnsi" w:cs="Calibri"/>
        </w:rPr>
        <w:t>:</w:t>
      </w:r>
      <w:r>
        <w:rPr>
          <w:rFonts w:asciiTheme="minorHAnsi" w:hAnsiTheme="minorHAnsi" w:cs="Calibri"/>
        </w:rPr>
        <w:t xml:space="preserve"> </w:t>
      </w:r>
      <w:r w:rsidR="00A737AE">
        <w:rPr>
          <w:rFonts w:asciiTheme="minorHAnsi" w:hAnsiTheme="minorHAnsi" w:cs="Calibri"/>
        </w:rPr>
        <w:t>cl</w:t>
      </w:r>
      <w:r w:rsidR="00F058F1" w:rsidRPr="00E22EBA">
        <w:rPr>
          <w:rFonts w:asciiTheme="minorHAnsi" w:hAnsiTheme="minorHAnsi" w:cs="Calibri"/>
        </w:rPr>
        <w:t>ar</w:t>
      </w:r>
      <w:r w:rsidR="00A737AE">
        <w:rPr>
          <w:rFonts w:asciiTheme="minorHAnsi" w:hAnsiTheme="minorHAnsi" w:cs="Calibri"/>
        </w:rPr>
        <w:t>ity</w:t>
      </w:r>
      <w:r w:rsidR="00F058F1" w:rsidRPr="00E22EBA">
        <w:rPr>
          <w:rFonts w:asciiTheme="minorHAnsi" w:hAnsiTheme="minorHAnsi" w:cs="Calibri"/>
        </w:rPr>
        <w:t xml:space="preserve"> and </w:t>
      </w:r>
      <w:r w:rsidR="00A737AE" w:rsidRPr="00E22EBA">
        <w:rPr>
          <w:rFonts w:asciiTheme="minorHAnsi" w:hAnsiTheme="minorHAnsi" w:cs="Calibri"/>
        </w:rPr>
        <w:t>practicabi</w:t>
      </w:r>
      <w:r w:rsidR="00A737AE">
        <w:rPr>
          <w:rFonts w:asciiTheme="minorHAnsi" w:hAnsiTheme="minorHAnsi" w:cs="Calibri"/>
        </w:rPr>
        <w:t>lity of</w:t>
      </w:r>
      <w:r w:rsidR="00F058F1" w:rsidRPr="00E22EBA">
        <w:rPr>
          <w:rFonts w:asciiTheme="minorHAnsi" w:hAnsiTheme="minorHAnsi" w:cs="Calibri"/>
        </w:rPr>
        <w:t xml:space="preserve"> the project’s objective and components</w:t>
      </w:r>
      <w:r w:rsidR="000400C8">
        <w:rPr>
          <w:rFonts w:asciiTheme="minorHAnsi" w:hAnsiTheme="minorHAnsi" w:cs="Calibri"/>
        </w:rPr>
        <w:t>;</w:t>
      </w:r>
      <w:r w:rsidR="00F058F1" w:rsidRPr="00E22EBA">
        <w:rPr>
          <w:rFonts w:asciiTheme="minorHAnsi" w:hAnsiTheme="minorHAnsi" w:cs="Calibri"/>
        </w:rPr>
        <w:t xml:space="preserve"> </w:t>
      </w:r>
      <w:r w:rsidR="000400C8">
        <w:rPr>
          <w:rFonts w:asciiTheme="minorHAnsi" w:hAnsiTheme="minorHAnsi" w:cs="Calibri"/>
        </w:rPr>
        <w:t>extent to which</w:t>
      </w:r>
      <w:r w:rsidR="00F058F1" w:rsidRPr="00E22EBA">
        <w:rPr>
          <w:rFonts w:asciiTheme="minorHAnsi" w:hAnsiTheme="minorHAnsi" w:cs="Calibri"/>
        </w:rPr>
        <w:t xml:space="preserve"> project outcomes were designed according to SMART criteria</w:t>
      </w:r>
      <w:bookmarkStart w:id="14" w:name="_Ref406765673"/>
      <w:r w:rsidR="000436E6">
        <w:rPr>
          <w:rStyle w:val="FootnoteReference"/>
          <w:rFonts w:asciiTheme="minorHAnsi" w:hAnsiTheme="minorHAnsi" w:cs="Calibri"/>
        </w:rPr>
        <w:footnoteReference w:id="12"/>
      </w:r>
      <w:bookmarkEnd w:id="14"/>
      <w:r w:rsidR="000400C8">
        <w:rPr>
          <w:rFonts w:asciiTheme="minorHAnsi" w:hAnsiTheme="minorHAnsi" w:cs="Calibri"/>
        </w:rPr>
        <w:t>;</w:t>
      </w:r>
      <w:r w:rsidR="000436E6">
        <w:rPr>
          <w:rFonts w:asciiTheme="minorHAnsi" w:hAnsiTheme="minorHAnsi" w:cs="Calibri"/>
        </w:rPr>
        <w:t xml:space="preserve"> </w:t>
      </w:r>
      <w:r w:rsidR="00723DB5" w:rsidRPr="00E22EBA">
        <w:rPr>
          <w:rFonts w:asciiTheme="minorHAnsi" w:hAnsiTheme="minorHAnsi" w:cs="Calibri"/>
        </w:rPr>
        <w:t xml:space="preserve">whether or not </w:t>
      </w:r>
      <w:r w:rsidR="00F058F1" w:rsidRPr="00E22EBA">
        <w:rPr>
          <w:rFonts w:asciiTheme="minorHAnsi" w:hAnsiTheme="minorHAnsi" w:cs="Calibri"/>
        </w:rPr>
        <w:t xml:space="preserve">capacities of executing agencies were sufficiently </w:t>
      </w:r>
      <w:r w:rsidR="000436E6">
        <w:rPr>
          <w:rFonts w:asciiTheme="minorHAnsi" w:hAnsiTheme="minorHAnsi" w:cs="Calibri"/>
        </w:rPr>
        <w:t>taken into account</w:t>
      </w:r>
      <w:r w:rsidR="000400C8">
        <w:rPr>
          <w:rFonts w:asciiTheme="minorHAnsi" w:hAnsiTheme="minorHAnsi" w:cs="Calibri"/>
        </w:rPr>
        <w:t>;</w:t>
      </w:r>
      <w:r w:rsidR="00F058F1" w:rsidRPr="00E22EBA">
        <w:rPr>
          <w:rFonts w:asciiTheme="minorHAnsi" w:hAnsiTheme="minorHAnsi" w:cs="Calibri"/>
        </w:rPr>
        <w:t xml:space="preserve"> partnership arrangements </w:t>
      </w:r>
      <w:r w:rsidR="0000635E">
        <w:rPr>
          <w:rFonts w:asciiTheme="minorHAnsi" w:hAnsiTheme="minorHAnsi" w:cs="Calibri"/>
        </w:rPr>
        <w:t xml:space="preserve">and the extent to which they were </w:t>
      </w:r>
      <w:r w:rsidR="00F058F1" w:rsidRPr="00E22EBA">
        <w:rPr>
          <w:rFonts w:asciiTheme="minorHAnsi" w:hAnsiTheme="minorHAnsi" w:cs="Calibri"/>
        </w:rPr>
        <w:t>negotiated prior to project approval</w:t>
      </w:r>
      <w:r w:rsidR="00CA27C2">
        <w:rPr>
          <w:rFonts w:asciiTheme="minorHAnsi" w:hAnsiTheme="minorHAnsi" w:cs="Calibri"/>
        </w:rPr>
        <w:t xml:space="preserve">; and the </w:t>
      </w:r>
      <w:r w:rsidR="00F058F1" w:rsidRPr="00E22EBA">
        <w:rPr>
          <w:rFonts w:asciiTheme="minorHAnsi" w:hAnsiTheme="minorHAnsi" w:cs="Calibri"/>
        </w:rPr>
        <w:t xml:space="preserve">assumptions and risks taken into account </w:t>
      </w:r>
      <w:r w:rsidR="00A737AE">
        <w:rPr>
          <w:rFonts w:asciiTheme="minorHAnsi" w:hAnsiTheme="minorHAnsi" w:cs="Calibri"/>
        </w:rPr>
        <w:t>during project design</w:t>
      </w:r>
      <w:r w:rsidR="00F058F1" w:rsidRPr="00E22EBA">
        <w:rPr>
          <w:rFonts w:asciiTheme="minorHAnsi" w:hAnsiTheme="minorHAnsi" w:cs="Calibri"/>
        </w:rPr>
        <w:t>.</w:t>
      </w:r>
    </w:p>
    <w:p w14:paraId="708F29BC" w14:textId="704195DF" w:rsidR="00215247" w:rsidRPr="00E22EBA" w:rsidRDefault="00CA27C2" w:rsidP="00E67A49">
      <w:pPr>
        <w:pStyle w:val="BodyText"/>
        <w:rPr>
          <w:rFonts w:asciiTheme="minorHAnsi" w:hAnsiTheme="minorHAnsi" w:cs="Calibri"/>
        </w:rPr>
      </w:pPr>
      <w:r>
        <w:rPr>
          <w:rFonts w:asciiTheme="minorHAnsi" w:hAnsiTheme="minorHAnsi" w:cs="Calibri"/>
          <w:b/>
        </w:rPr>
        <w:t>P</w:t>
      </w:r>
      <w:r w:rsidR="002E52B2" w:rsidRPr="00E22EBA">
        <w:rPr>
          <w:rFonts w:asciiTheme="minorHAnsi" w:hAnsiTheme="minorHAnsi" w:cs="Calibri"/>
          <w:b/>
        </w:rPr>
        <w:t>roject implementation</w:t>
      </w:r>
      <w:r w:rsidR="002E52B2" w:rsidRPr="00E22EBA">
        <w:rPr>
          <w:rFonts w:asciiTheme="minorHAnsi" w:hAnsiTheme="minorHAnsi" w:cs="Calibri"/>
        </w:rPr>
        <w:t xml:space="preserve"> </w:t>
      </w:r>
      <w:r>
        <w:rPr>
          <w:rFonts w:asciiTheme="minorHAnsi" w:hAnsiTheme="minorHAnsi" w:cs="Calibri"/>
        </w:rPr>
        <w:t>is examin</w:t>
      </w:r>
      <w:r w:rsidR="00045372">
        <w:rPr>
          <w:rFonts w:asciiTheme="minorHAnsi" w:hAnsiTheme="minorHAnsi" w:cs="Calibri"/>
        </w:rPr>
        <w:t xml:space="preserve">ed with respect to </w:t>
      </w:r>
      <w:r w:rsidR="008F1616">
        <w:rPr>
          <w:rFonts w:asciiTheme="minorHAnsi" w:hAnsiTheme="minorHAnsi" w:cs="Calibri"/>
        </w:rPr>
        <w:t>adaptive management, a</w:t>
      </w:r>
      <w:r w:rsidR="00A2573C">
        <w:rPr>
          <w:rFonts w:asciiTheme="minorHAnsi" w:hAnsiTheme="minorHAnsi" w:cs="Calibri"/>
        </w:rPr>
        <w:t>n important</w:t>
      </w:r>
      <w:r w:rsidR="008F1616">
        <w:rPr>
          <w:rFonts w:asciiTheme="minorHAnsi" w:hAnsiTheme="minorHAnsi" w:cs="Calibri"/>
        </w:rPr>
        <w:t xml:space="preserve"> indicator of the </w:t>
      </w:r>
      <w:r w:rsidR="00A2573C">
        <w:rPr>
          <w:rFonts w:asciiTheme="minorHAnsi" w:hAnsiTheme="minorHAnsi" w:cs="Calibri"/>
        </w:rPr>
        <w:t xml:space="preserve">abilities of the </w:t>
      </w:r>
      <w:r w:rsidR="008F1616">
        <w:rPr>
          <w:rFonts w:asciiTheme="minorHAnsi" w:hAnsiTheme="minorHAnsi" w:cs="Calibri"/>
        </w:rPr>
        <w:t xml:space="preserve">implementing agency and partners </w:t>
      </w:r>
      <w:r w:rsidR="00A2573C">
        <w:rPr>
          <w:rFonts w:asciiTheme="minorHAnsi" w:hAnsiTheme="minorHAnsi" w:cs="Calibri"/>
        </w:rPr>
        <w:t xml:space="preserve">to </w:t>
      </w:r>
      <w:r w:rsidR="00A737AE">
        <w:rPr>
          <w:rFonts w:asciiTheme="minorHAnsi" w:hAnsiTheme="minorHAnsi" w:cs="Calibri"/>
        </w:rPr>
        <w:t xml:space="preserve">proactively </w:t>
      </w:r>
      <w:r w:rsidR="00A2573C">
        <w:rPr>
          <w:rFonts w:asciiTheme="minorHAnsi" w:hAnsiTheme="minorHAnsi" w:cs="Calibri"/>
        </w:rPr>
        <w:t>modify the project’s design in response to</w:t>
      </w:r>
      <w:r w:rsidR="0000635E">
        <w:rPr>
          <w:rFonts w:asciiTheme="minorHAnsi" w:hAnsiTheme="minorHAnsi" w:cs="Calibri"/>
        </w:rPr>
        <w:t xml:space="preserve"> using the </w:t>
      </w:r>
      <w:r w:rsidR="005323C3">
        <w:rPr>
          <w:rFonts w:asciiTheme="minorHAnsi" w:hAnsiTheme="minorHAnsi" w:cs="Calibri"/>
        </w:rPr>
        <w:t>SRF</w:t>
      </w:r>
      <w:r w:rsidR="00215247" w:rsidRPr="00E22EBA">
        <w:rPr>
          <w:rFonts w:asciiTheme="minorHAnsi" w:hAnsiTheme="minorHAnsi" w:cs="Calibri"/>
        </w:rPr>
        <w:t xml:space="preserve"> as an M&amp;E tool</w:t>
      </w:r>
      <w:r w:rsidR="0000635E">
        <w:rPr>
          <w:rFonts w:asciiTheme="minorHAnsi" w:hAnsiTheme="minorHAnsi" w:cs="Calibri"/>
        </w:rPr>
        <w:t>.</w:t>
      </w:r>
      <w:r w:rsidR="00215247" w:rsidRPr="00E22EBA">
        <w:rPr>
          <w:rFonts w:asciiTheme="minorHAnsi" w:hAnsiTheme="minorHAnsi" w:cs="Calibri"/>
        </w:rPr>
        <w:t xml:space="preserve"> </w:t>
      </w:r>
      <w:r w:rsidR="005323C3">
        <w:rPr>
          <w:rFonts w:asciiTheme="minorHAnsi" w:hAnsiTheme="minorHAnsi" w:cs="Calibri"/>
        </w:rPr>
        <w:t>T</w:t>
      </w:r>
      <w:r w:rsidR="00215247" w:rsidRPr="00E22EBA">
        <w:rPr>
          <w:rFonts w:asciiTheme="minorHAnsi" w:hAnsiTheme="minorHAnsi" w:cs="Calibri"/>
        </w:rPr>
        <w:t xml:space="preserve">he effectiveness of partnerships and degree of involvement of stakeholders are </w:t>
      </w:r>
      <w:r w:rsidR="005323C3">
        <w:rPr>
          <w:rFonts w:asciiTheme="minorHAnsi" w:hAnsiTheme="minorHAnsi" w:cs="Calibri"/>
        </w:rPr>
        <w:t xml:space="preserve">also </w:t>
      </w:r>
      <w:r w:rsidR="00BB7494">
        <w:rPr>
          <w:rFonts w:asciiTheme="minorHAnsi" w:hAnsiTheme="minorHAnsi" w:cs="Calibri"/>
        </w:rPr>
        <w:t xml:space="preserve">evaluated. </w:t>
      </w:r>
      <w:r w:rsidR="00215247" w:rsidRPr="00E22EBA">
        <w:rPr>
          <w:rFonts w:asciiTheme="minorHAnsi" w:hAnsiTheme="minorHAnsi" w:cs="Calibri"/>
        </w:rPr>
        <w:t>Project finance is assessed</w:t>
      </w:r>
      <w:r w:rsidR="00142E9A">
        <w:rPr>
          <w:rFonts w:asciiTheme="minorHAnsi" w:hAnsiTheme="minorHAnsi" w:cs="Calibri"/>
        </w:rPr>
        <w:t xml:space="preserve"> in terms of timely disbursement of </w:t>
      </w:r>
      <w:r w:rsidR="00BB7494">
        <w:rPr>
          <w:rFonts w:asciiTheme="minorHAnsi" w:hAnsiTheme="minorHAnsi" w:cs="Calibri"/>
        </w:rPr>
        <w:t>GEF and other grants; and the</w:t>
      </w:r>
      <w:r w:rsidR="00215247" w:rsidRPr="00E22EBA">
        <w:rPr>
          <w:rFonts w:asciiTheme="minorHAnsi" w:hAnsiTheme="minorHAnsi" w:cs="Calibri"/>
        </w:rPr>
        <w:t xml:space="preserve"> degree of </w:t>
      </w:r>
      <w:r w:rsidR="00926C3A" w:rsidRPr="00E22EBA">
        <w:rPr>
          <w:rFonts w:asciiTheme="minorHAnsi" w:hAnsiTheme="minorHAnsi" w:cs="Calibri"/>
        </w:rPr>
        <w:t xml:space="preserve">committed </w:t>
      </w:r>
      <w:r w:rsidR="00215247" w:rsidRPr="00E22EBA">
        <w:rPr>
          <w:rFonts w:asciiTheme="minorHAnsi" w:hAnsiTheme="minorHAnsi" w:cs="Calibri"/>
        </w:rPr>
        <w:t>co-financing that materialized</w:t>
      </w:r>
      <w:r w:rsidR="00926C3A">
        <w:rPr>
          <w:rFonts w:asciiTheme="minorHAnsi" w:hAnsiTheme="minorHAnsi" w:cs="Calibri"/>
        </w:rPr>
        <w:t>,</w:t>
      </w:r>
      <w:r w:rsidR="00215247" w:rsidRPr="00E22EBA">
        <w:rPr>
          <w:rFonts w:asciiTheme="minorHAnsi" w:hAnsiTheme="minorHAnsi" w:cs="Calibri"/>
        </w:rPr>
        <w:t xml:space="preserve"> </w:t>
      </w:r>
      <w:r w:rsidR="00926C3A">
        <w:rPr>
          <w:rFonts w:asciiTheme="minorHAnsi" w:hAnsiTheme="minorHAnsi" w:cs="Calibri"/>
        </w:rPr>
        <w:t>as well as</w:t>
      </w:r>
      <w:r w:rsidR="00215247" w:rsidRPr="00E22EBA">
        <w:rPr>
          <w:rFonts w:asciiTheme="minorHAnsi" w:hAnsiTheme="minorHAnsi" w:cs="Calibri"/>
        </w:rPr>
        <w:t xml:space="preserve"> </w:t>
      </w:r>
      <w:r w:rsidR="00BB7494">
        <w:rPr>
          <w:rFonts w:asciiTheme="minorHAnsi" w:hAnsiTheme="minorHAnsi" w:cs="Calibri"/>
        </w:rPr>
        <w:t>any</w:t>
      </w:r>
      <w:r w:rsidR="00215247" w:rsidRPr="00E22EBA">
        <w:rPr>
          <w:rFonts w:asciiTheme="minorHAnsi" w:hAnsiTheme="minorHAnsi" w:cs="Calibri"/>
        </w:rPr>
        <w:t xml:space="preserve"> additional financing </w:t>
      </w:r>
      <w:r w:rsidR="00BB7494" w:rsidRPr="00E22EBA">
        <w:rPr>
          <w:rFonts w:asciiTheme="minorHAnsi" w:hAnsiTheme="minorHAnsi" w:cs="Calibri"/>
        </w:rPr>
        <w:t xml:space="preserve">leveraged </w:t>
      </w:r>
      <w:r w:rsidR="00215247" w:rsidRPr="00E22EBA">
        <w:rPr>
          <w:rFonts w:asciiTheme="minorHAnsi" w:hAnsiTheme="minorHAnsi" w:cs="Calibri"/>
        </w:rPr>
        <w:t>during implementation</w:t>
      </w:r>
      <w:r w:rsidR="00BB7494">
        <w:rPr>
          <w:rFonts w:asciiTheme="minorHAnsi" w:hAnsiTheme="minorHAnsi" w:cs="Calibri"/>
        </w:rPr>
        <w:t>. C</w:t>
      </w:r>
      <w:r w:rsidR="00215247" w:rsidRPr="00E22EBA">
        <w:rPr>
          <w:rFonts w:asciiTheme="minorHAnsi" w:hAnsiTheme="minorHAnsi" w:cs="Calibri"/>
        </w:rPr>
        <w:t xml:space="preserve">ost-effectiveness </w:t>
      </w:r>
      <w:r w:rsidR="003D0A9E" w:rsidRPr="00E22EBA">
        <w:rPr>
          <w:rFonts w:asciiTheme="minorHAnsi" w:hAnsiTheme="minorHAnsi" w:cs="Calibri"/>
        </w:rPr>
        <w:t xml:space="preserve">is evaluated by </w:t>
      </w:r>
      <w:r w:rsidR="00121411" w:rsidRPr="00E22EBA">
        <w:rPr>
          <w:rFonts w:asciiTheme="minorHAnsi" w:hAnsiTheme="minorHAnsi" w:cs="Calibri"/>
        </w:rPr>
        <w:t>analyzing</w:t>
      </w:r>
      <w:r w:rsidR="00215247" w:rsidRPr="00E22EBA">
        <w:rPr>
          <w:rFonts w:asciiTheme="minorHAnsi" w:hAnsiTheme="minorHAnsi" w:cs="Calibri"/>
        </w:rPr>
        <w:t xml:space="preserve"> how planned activities met or exceeded expected outcomes </w:t>
      </w:r>
      <w:r w:rsidR="00BB7494">
        <w:rPr>
          <w:rFonts w:asciiTheme="minorHAnsi" w:hAnsiTheme="minorHAnsi" w:cs="Calibri"/>
        </w:rPr>
        <w:t>within</w:t>
      </w:r>
      <w:r w:rsidR="00215247" w:rsidRPr="00E22EBA">
        <w:rPr>
          <w:rFonts w:asciiTheme="minorHAnsi" w:hAnsiTheme="minorHAnsi" w:cs="Calibri"/>
        </w:rPr>
        <w:t xml:space="preserve"> the designed timeframe, and whether an appropriate level of due diligence was maintained in managing project funds.</w:t>
      </w:r>
    </w:p>
    <w:p w14:paraId="3B580F21" w14:textId="446C25A8" w:rsidR="00730746" w:rsidRPr="00E22EBA" w:rsidRDefault="00215247" w:rsidP="00864982">
      <w:pPr>
        <w:pStyle w:val="BodyText"/>
        <w:rPr>
          <w:rFonts w:asciiTheme="minorHAnsi" w:hAnsiTheme="minorHAnsi" w:cs="Calibri"/>
        </w:rPr>
      </w:pPr>
      <w:r w:rsidRPr="00E22EBA">
        <w:rPr>
          <w:rFonts w:asciiTheme="minorHAnsi" w:hAnsiTheme="minorHAnsi" w:cs="Calibri"/>
        </w:rPr>
        <w:t xml:space="preserve">The quality of execution by both the implementing agency and the </w:t>
      </w:r>
      <w:r w:rsidR="005D40A6" w:rsidRPr="00E22EBA">
        <w:rPr>
          <w:rFonts w:asciiTheme="minorHAnsi" w:hAnsiTheme="minorHAnsi" w:cs="Calibri"/>
        </w:rPr>
        <w:t>lead implementing partner (executing agency)</w:t>
      </w:r>
      <w:r w:rsidRPr="00E22EBA">
        <w:rPr>
          <w:rFonts w:asciiTheme="minorHAnsi" w:hAnsiTheme="minorHAnsi" w:cs="Calibri"/>
        </w:rPr>
        <w:t xml:space="preserve"> is also evaluated and rated</w:t>
      </w:r>
      <w:r w:rsidR="00BB7494">
        <w:rPr>
          <w:rFonts w:asciiTheme="minorHAnsi" w:hAnsiTheme="minorHAnsi" w:cs="Calibri"/>
        </w:rPr>
        <w:t xml:space="preserve">, taking into account the sufficiency of </w:t>
      </w:r>
      <w:r w:rsidRPr="00E22EBA">
        <w:rPr>
          <w:rFonts w:asciiTheme="minorHAnsi" w:hAnsiTheme="minorHAnsi" w:cs="Calibri"/>
        </w:rPr>
        <w:t>focus on results, level of support provided, quality of ri</w:t>
      </w:r>
      <w:r w:rsidR="0015400E" w:rsidRPr="00E22EBA">
        <w:rPr>
          <w:rFonts w:asciiTheme="minorHAnsi" w:hAnsiTheme="minorHAnsi" w:cs="Calibri"/>
        </w:rPr>
        <w:t>sk management</w:t>
      </w:r>
      <w:r w:rsidRPr="00E22EBA">
        <w:rPr>
          <w:rFonts w:asciiTheme="minorHAnsi" w:hAnsiTheme="minorHAnsi" w:cs="Calibri"/>
        </w:rPr>
        <w:t xml:space="preserve"> and </w:t>
      </w:r>
      <w:r w:rsidR="006F0295" w:rsidRPr="00E22EBA">
        <w:rPr>
          <w:rFonts w:asciiTheme="minorHAnsi" w:hAnsiTheme="minorHAnsi" w:cs="Calibri"/>
        </w:rPr>
        <w:t xml:space="preserve">the </w:t>
      </w:r>
      <w:r w:rsidR="00121411" w:rsidRPr="00E22EBA">
        <w:rPr>
          <w:rFonts w:asciiTheme="minorHAnsi" w:hAnsiTheme="minorHAnsi" w:cs="Calibri"/>
        </w:rPr>
        <w:t>candor</w:t>
      </w:r>
      <w:r w:rsidR="006F0295" w:rsidRPr="00E22EBA">
        <w:rPr>
          <w:rFonts w:asciiTheme="minorHAnsi" w:hAnsiTheme="minorHAnsi" w:cs="Calibri"/>
        </w:rPr>
        <w:t xml:space="preserve"> and realism re</w:t>
      </w:r>
      <w:r w:rsidR="00BB7494">
        <w:rPr>
          <w:rFonts w:asciiTheme="minorHAnsi" w:hAnsiTheme="minorHAnsi" w:cs="Calibri"/>
        </w:rPr>
        <w:t>flected</w:t>
      </w:r>
      <w:r w:rsidR="006F0295" w:rsidRPr="00E22EBA">
        <w:rPr>
          <w:rFonts w:asciiTheme="minorHAnsi" w:hAnsiTheme="minorHAnsi" w:cs="Calibri"/>
        </w:rPr>
        <w:t xml:space="preserve"> in the annual reports.</w:t>
      </w:r>
      <w:r w:rsidR="00864982">
        <w:rPr>
          <w:rFonts w:asciiTheme="minorHAnsi" w:hAnsiTheme="minorHAnsi" w:cs="Calibri"/>
        </w:rPr>
        <w:t xml:space="preserve"> The M&amp;E system is </w:t>
      </w:r>
      <w:r w:rsidR="00730746" w:rsidRPr="00E22EBA">
        <w:rPr>
          <w:rFonts w:asciiTheme="minorHAnsi" w:hAnsiTheme="minorHAnsi" w:cs="Calibri"/>
        </w:rPr>
        <w:t>evaluat</w:t>
      </w:r>
      <w:r w:rsidR="00864982">
        <w:rPr>
          <w:rFonts w:asciiTheme="minorHAnsi" w:hAnsiTheme="minorHAnsi" w:cs="Calibri"/>
        </w:rPr>
        <w:t>ed and rated with respect to its appropriateness and delivery (</w:t>
      </w:r>
      <w:r w:rsidR="00437469" w:rsidRPr="00E22EBA">
        <w:rPr>
          <w:rFonts w:asciiTheme="minorHAnsi" w:hAnsiTheme="minorHAnsi" w:cs="Calibri"/>
        </w:rPr>
        <w:t xml:space="preserve">e.g., compliance with progress and financial reporting requirements, adaptive measures taken in line with M&amp;E findings, and management response to the </w:t>
      </w:r>
      <w:r w:rsidR="00864982">
        <w:rPr>
          <w:rFonts w:asciiTheme="minorHAnsi" w:hAnsiTheme="minorHAnsi" w:cs="Calibri"/>
        </w:rPr>
        <w:t>MTR recommendations)</w:t>
      </w:r>
      <w:r w:rsidR="00437469" w:rsidRPr="00E22EBA">
        <w:rPr>
          <w:rFonts w:asciiTheme="minorHAnsi" w:hAnsiTheme="minorHAnsi" w:cs="Calibri"/>
        </w:rPr>
        <w:t>.</w:t>
      </w:r>
    </w:p>
    <w:p w14:paraId="3C494AE4" w14:textId="3F29EC52" w:rsidR="00437469" w:rsidRPr="00E22EBA" w:rsidRDefault="00437469" w:rsidP="00E67A49">
      <w:pPr>
        <w:pStyle w:val="BodyText"/>
        <w:rPr>
          <w:rFonts w:asciiTheme="minorHAnsi" w:hAnsiTheme="minorHAnsi" w:cs="Calibri"/>
        </w:rPr>
      </w:pPr>
      <w:r w:rsidRPr="00E22EBA">
        <w:rPr>
          <w:rFonts w:asciiTheme="minorHAnsi" w:hAnsiTheme="minorHAnsi" w:cs="Calibri"/>
        </w:rPr>
        <w:t xml:space="preserve">In GEF terms, </w:t>
      </w:r>
      <w:r w:rsidRPr="00E22EBA">
        <w:rPr>
          <w:rFonts w:asciiTheme="minorHAnsi" w:hAnsiTheme="minorHAnsi" w:cs="Calibri"/>
          <w:b/>
        </w:rPr>
        <w:t>project results</w:t>
      </w:r>
      <w:r w:rsidRPr="00E22EBA">
        <w:rPr>
          <w:rFonts w:asciiTheme="minorHAnsi" w:hAnsiTheme="minorHAnsi" w:cs="Calibri"/>
        </w:rPr>
        <w:t xml:space="preserve"> include direct project outputs, short- to medium-term outcomes, and </w:t>
      </w:r>
      <w:r w:rsidR="00864982" w:rsidRPr="00E22EBA">
        <w:rPr>
          <w:rFonts w:asciiTheme="minorHAnsi" w:hAnsiTheme="minorHAnsi" w:cs="Calibri"/>
        </w:rPr>
        <w:t>longer-term</w:t>
      </w:r>
      <w:r w:rsidRPr="00E22EBA">
        <w:rPr>
          <w:rFonts w:asciiTheme="minorHAnsi" w:hAnsiTheme="minorHAnsi" w:cs="Calibri"/>
        </w:rPr>
        <w:t xml:space="preserve"> impact, including global environmental benefits, replicati</w:t>
      </w:r>
      <w:r w:rsidR="00864982">
        <w:rPr>
          <w:rFonts w:asciiTheme="minorHAnsi" w:hAnsiTheme="minorHAnsi" w:cs="Calibri"/>
        </w:rPr>
        <w:t xml:space="preserve">on efforts, and local effects. </w:t>
      </w:r>
      <w:r w:rsidRPr="00E22EBA">
        <w:rPr>
          <w:rFonts w:asciiTheme="minorHAnsi" w:hAnsiTheme="minorHAnsi" w:cs="Calibri"/>
        </w:rPr>
        <w:t xml:space="preserve">The main focus is at </w:t>
      </w:r>
      <w:r w:rsidR="00864982">
        <w:rPr>
          <w:rFonts w:asciiTheme="minorHAnsi" w:hAnsiTheme="minorHAnsi" w:cs="Calibri"/>
        </w:rPr>
        <w:t>the outcome level as most UNDP-</w:t>
      </w:r>
      <w:r w:rsidRPr="00E22EBA">
        <w:rPr>
          <w:rFonts w:asciiTheme="minorHAnsi" w:hAnsiTheme="minorHAnsi" w:cs="Calibri"/>
        </w:rPr>
        <w:t>supp</w:t>
      </w:r>
      <w:r w:rsidR="00864982">
        <w:rPr>
          <w:rFonts w:asciiTheme="minorHAnsi" w:hAnsiTheme="minorHAnsi" w:cs="Calibri"/>
        </w:rPr>
        <w:t>orted GEF-</w:t>
      </w:r>
      <w:r w:rsidRPr="00E22EBA">
        <w:rPr>
          <w:rFonts w:asciiTheme="minorHAnsi" w:hAnsiTheme="minorHAnsi" w:cs="Calibri"/>
        </w:rPr>
        <w:t>financed projects are expected to achieve anticipated outcomes by project clos</w:t>
      </w:r>
      <w:r w:rsidR="00864982">
        <w:rPr>
          <w:rFonts w:asciiTheme="minorHAnsi" w:hAnsiTheme="minorHAnsi" w:cs="Calibri"/>
        </w:rPr>
        <w:t>ure</w:t>
      </w:r>
      <w:r w:rsidRPr="00E22EBA">
        <w:rPr>
          <w:rFonts w:asciiTheme="minorHAnsi" w:hAnsiTheme="minorHAnsi" w:cs="Calibri"/>
        </w:rPr>
        <w:t xml:space="preserve">, </w:t>
      </w:r>
      <w:r w:rsidR="00864982">
        <w:rPr>
          <w:rFonts w:asciiTheme="minorHAnsi" w:hAnsiTheme="minorHAnsi" w:cs="Calibri"/>
        </w:rPr>
        <w:t>while</w:t>
      </w:r>
      <w:r w:rsidRPr="00E22EBA">
        <w:rPr>
          <w:rFonts w:asciiTheme="minorHAnsi" w:hAnsiTheme="minorHAnsi" w:cs="Calibri"/>
        </w:rPr>
        <w:t xml:space="preserve"> recognizing that global environmental benefit</w:t>
      </w:r>
      <w:r w:rsidR="00972ACC">
        <w:rPr>
          <w:rFonts w:asciiTheme="minorHAnsi" w:hAnsiTheme="minorHAnsi" w:cs="Calibri"/>
        </w:rPr>
        <w:t>s</w:t>
      </w:r>
      <w:r w:rsidRPr="00E22EBA">
        <w:rPr>
          <w:rFonts w:asciiTheme="minorHAnsi" w:hAnsiTheme="minorHAnsi" w:cs="Calibri"/>
        </w:rPr>
        <w:t xml:space="preserve"> are difficult to discern </w:t>
      </w:r>
      <w:r w:rsidR="00972ACC">
        <w:rPr>
          <w:rFonts w:asciiTheme="minorHAnsi" w:hAnsiTheme="minorHAnsi" w:cs="Calibri"/>
        </w:rPr>
        <w:t xml:space="preserve">within the life of a project </w:t>
      </w:r>
      <w:r w:rsidRPr="00E22EBA">
        <w:rPr>
          <w:rFonts w:asciiTheme="minorHAnsi" w:hAnsiTheme="minorHAnsi" w:cs="Calibri"/>
        </w:rPr>
        <w:t>and measuring outputs is insufficient to capture project effectiveness.</w:t>
      </w:r>
    </w:p>
    <w:p w14:paraId="6693B911" w14:textId="77777777" w:rsidR="00A737AE" w:rsidRDefault="00437469" w:rsidP="00A737AE">
      <w:pPr>
        <w:pStyle w:val="BodyText"/>
        <w:rPr>
          <w:rFonts w:asciiTheme="minorHAnsi" w:hAnsiTheme="minorHAnsi" w:cs="Calibri"/>
        </w:rPr>
      </w:pPr>
      <w:r w:rsidRPr="00E22EBA">
        <w:rPr>
          <w:rFonts w:asciiTheme="minorHAnsi" w:hAnsiTheme="minorHAnsi" w:cs="Calibri"/>
        </w:rPr>
        <w:t>Project outcomes are evaluated and rated according to</w:t>
      </w:r>
      <w:r w:rsidR="003B4795">
        <w:rPr>
          <w:rFonts w:asciiTheme="minorHAnsi" w:hAnsiTheme="minorHAnsi" w:cs="Calibri"/>
        </w:rPr>
        <w:t>:</w:t>
      </w:r>
      <w:r w:rsidR="00972ACC">
        <w:rPr>
          <w:rFonts w:asciiTheme="minorHAnsi" w:hAnsiTheme="minorHAnsi" w:cs="Calibri"/>
        </w:rPr>
        <w:t xml:space="preserve"> </w:t>
      </w:r>
      <w:r w:rsidRPr="003B4795">
        <w:rPr>
          <w:rFonts w:asciiTheme="minorHAnsi" w:hAnsiTheme="minorHAnsi" w:cs="Calibri"/>
          <w:i/>
        </w:rPr>
        <w:t>relevance</w:t>
      </w:r>
      <w:r w:rsidR="00972ACC">
        <w:rPr>
          <w:rFonts w:asciiTheme="minorHAnsi" w:hAnsiTheme="minorHAnsi" w:cs="Calibri"/>
        </w:rPr>
        <w:t xml:space="preserve"> (i.e. alignment with local and national priorities, GEF Operational Program etc.)</w:t>
      </w:r>
      <w:r w:rsidR="003B4795">
        <w:rPr>
          <w:rFonts w:asciiTheme="minorHAnsi" w:hAnsiTheme="minorHAnsi" w:cs="Calibri"/>
        </w:rPr>
        <w:t>;</w:t>
      </w:r>
      <w:r w:rsidR="00972ACC">
        <w:rPr>
          <w:rFonts w:asciiTheme="minorHAnsi" w:hAnsiTheme="minorHAnsi" w:cs="Calibri"/>
        </w:rPr>
        <w:t xml:space="preserve"> </w:t>
      </w:r>
      <w:r w:rsidR="00D17124" w:rsidRPr="003B4795">
        <w:rPr>
          <w:rFonts w:asciiTheme="minorHAnsi" w:hAnsiTheme="minorHAnsi" w:cs="Calibri"/>
          <w:i/>
        </w:rPr>
        <w:t>effectiveness</w:t>
      </w:r>
      <w:r w:rsidR="003B4795">
        <w:rPr>
          <w:rFonts w:asciiTheme="minorHAnsi" w:hAnsiTheme="minorHAnsi" w:cs="Calibri"/>
        </w:rPr>
        <w:t xml:space="preserve"> in (likelihood of) </w:t>
      </w:r>
      <w:r w:rsidR="00972ACC">
        <w:rPr>
          <w:rFonts w:asciiTheme="minorHAnsi" w:hAnsiTheme="minorHAnsi" w:cs="Calibri"/>
        </w:rPr>
        <w:t>achievement of objective</w:t>
      </w:r>
      <w:r w:rsidR="003B4795">
        <w:rPr>
          <w:rFonts w:asciiTheme="minorHAnsi" w:hAnsiTheme="minorHAnsi" w:cs="Calibri"/>
        </w:rPr>
        <w:t>;</w:t>
      </w:r>
      <w:r w:rsidR="00972ACC">
        <w:rPr>
          <w:rFonts w:asciiTheme="minorHAnsi" w:hAnsiTheme="minorHAnsi" w:cs="Calibri"/>
        </w:rPr>
        <w:t xml:space="preserve"> </w:t>
      </w:r>
      <w:r w:rsidR="00D17124" w:rsidRPr="00E22EBA">
        <w:rPr>
          <w:rFonts w:asciiTheme="minorHAnsi" w:hAnsiTheme="minorHAnsi" w:cs="Calibri"/>
        </w:rPr>
        <w:t xml:space="preserve">and </w:t>
      </w:r>
      <w:r w:rsidR="00D17124" w:rsidRPr="003B4795">
        <w:rPr>
          <w:rFonts w:asciiTheme="minorHAnsi" w:hAnsiTheme="minorHAnsi" w:cs="Calibri"/>
          <w:i/>
        </w:rPr>
        <w:t>efficiency</w:t>
      </w:r>
      <w:r w:rsidR="003B4795" w:rsidRPr="003B4795">
        <w:rPr>
          <w:rFonts w:asciiTheme="minorHAnsi" w:hAnsiTheme="minorHAnsi" w:cs="Calibri"/>
          <w:i/>
        </w:rPr>
        <w:t xml:space="preserve"> </w:t>
      </w:r>
      <w:r w:rsidR="003B4795">
        <w:rPr>
          <w:rFonts w:asciiTheme="minorHAnsi" w:hAnsiTheme="minorHAnsi" w:cs="Calibri"/>
        </w:rPr>
        <w:t>in terms of cost-effective delivery of resources.</w:t>
      </w:r>
      <w:r w:rsidR="003B4795" w:rsidRPr="00E22EBA">
        <w:rPr>
          <w:rFonts w:asciiTheme="minorHAnsi" w:hAnsiTheme="minorHAnsi" w:cs="Calibri"/>
        </w:rPr>
        <w:t xml:space="preserve"> </w:t>
      </w:r>
      <w:r w:rsidR="003B4795">
        <w:rPr>
          <w:rFonts w:asciiTheme="minorHAnsi" w:hAnsiTheme="minorHAnsi" w:cs="Calibri"/>
        </w:rPr>
        <w:t>C</w:t>
      </w:r>
      <w:r w:rsidR="00DC18CC" w:rsidRPr="00E22EBA">
        <w:rPr>
          <w:rFonts w:asciiTheme="minorHAnsi" w:hAnsiTheme="minorHAnsi" w:cs="Calibri"/>
        </w:rPr>
        <w:t>ountry ownership, mainstreaming</w:t>
      </w:r>
      <w:r w:rsidR="00EA5DEA">
        <w:rPr>
          <w:rFonts w:asciiTheme="minorHAnsi" w:hAnsiTheme="minorHAnsi" w:cs="Calibri"/>
        </w:rPr>
        <w:t xml:space="preserve"> (with other UNDP </w:t>
      </w:r>
      <w:r w:rsidR="00796C97">
        <w:rPr>
          <w:rFonts w:asciiTheme="minorHAnsi" w:hAnsiTheme="minorHAnsi" w:cs="Calibri"/>
        </w:rPr>
        <w:t>priorities)</w:t>
      </w:r>
      <w:r w:rsidR="00DC18CC" w:rsidRPr="003B4795">
        <w:rPr>
          <w:rFonts w:asciiTheme="minorHAnsi" w:hAnsiTheme="minorHAnsi" w:cs="Calibri"/>
        </w:rPr>
        <w:t>, sustainability</w:t>
      </w:r>
      <w:r w:rsidR="00DC18CC" w:rsidRPr="00E22EBA">
        <w:rPr>
          <w:rFonts w:asciiTheme="minorHAnsi" w:hAnsiTheme="minorHAnsi" w:cs="Calibri"/>
        </w:rPr>
        <w:t xml:space="preserve"> (also rated), catalytic role, and impact</w:t>
      </w:r>
      <w:r w:rsidR="003B4795">
        <w:rPr>
          <w:rFonts w:asciiTheme="minorHAnsi" w:hAnsiTheme="minorHAnsi" w:cs="Calibri"/>
        </w:rPr>
        <w:t xml:space="preserve"> are also evaluated</w:t>
      </w:r>
      <w:r w:rsidR="00DC18CC" w:rsidRPr="00E22EBA">
        <w:rPr>
          <w:rFonts w:asciiTheme="minorHAnsi" w:hAnsiTheme="minorHAnsi" w:cs="Calibri"/>
        </w:rPr>
        <w:t>.</w:t>
      </w:r>
      <w:r w:rsidR="00454581">
        <w:rPr>
          <w:rFonts w:asciiTheme="minorHAnsi" w:hAnsiTheme="minorHAnsi" w:cs="Calibri"/>
        </w:rPr>
        <w:t xml:space="preserve"> </w:t>
      </w:r>
      <w:r w:rsidR="00454581" w:rsidRPr="00454581">
        <w:rPr>
          <w:rFonts w:asciiTheme="minorHAnsi" w:hAnsiTheme="minorHAnsi" w:cs="Calibri"/>
          <w:b/>
        </w:rPr>
        <w:t>Impact</w:t>
      </w:r>
      <w:r w:rsidR="00454581">
        <w:rPr>
          <w:rFonts w:asciiTheme="minorHAnsi" w:hAnsiTheme="minorHAnsi" w:cs="Calibri"/>
        </w:rPr>
        <w:t xml:space="preserve"> is assessed </w:t>
      </w:r>
      <w:r w:rsidR="00DC18CC" w:rsidRPr="00E22EBA">
        <w:rPr>
          <w:rFonts w:asciiTheme="minorHAnsi" w:hAnsiTheme="minorHAnsi" w:cs="Calibri"/>
        </w:rPr>
        <w:t>In terms o</w:t>
      </w:r>
      <w:r w:rsidR="00454581">
        <w:rPr>
          <w:rFonts w:asciiTheme="minorHAnsi" w:hAnsiTheme="minorHAnsi" w:cs="Calibri"/>
        </w:rPr>
        <w:t>f</w:t>
      </w:r>
      <w:r w:rsidR="00DC18CC" w:rsidRPr="00E22EBA">
        <w:rPr>
          <w:rFonts w:asciiTheme="minorHAnsi" w:hAnsiTheme="minorHAnsi" w:cs="Calibri"/>
        </w:rPr>
        <w:t xml:space="preserve"> </w:t>
      </w:r>
      <w:r w:rsidR="004441BD" w:rsidRPr="00E22EBA">
        <w:rPr>
          <w:rFonts w:asciiTheme="minorHAnsi" w:hAnsiTheme="minorHAnsi" w:cs="Calibri"/>
          <w:szCs w:val="24"/>
        </w:rPr>
        <w:t>verifiable improvements in ecological status</w:t>
      </w:r>
      <w:r w:rsidR="00454581">
        <w:rPr>
          <w:rFonts w:asciiTheme="minorHAnsi" w:hAnsiTheme="minorHAnsi" w:cs="Calibri"/>
          <w:szCs w:val="24"/>
        </w:rPr>
        <w:t xml:space="preserve"> and</w:t>
      </w:r>
      <w:r w:rsidR="004441BD" w:rsidRPr="00E22EBA">
        <w:rPr>
          <w:rFonts w:asciiTheme="minorHAnsi" w:hAnsiTheme="minorHAnsi" w:cs="Calibri"/>
          <w:szCs w:val="24"/>
        </w:rPr>
        <w:t xml:space="preserve"> in stress on ecological systems</w:t>
      </w:r>
      <w:r w:rsidR="00454581">
        <w:rPr>
          <w:rFonts w:asciiTheme="minorHAnsi" w:hAnsiTheme="minorHAnsi" w:cs="Calibri"/>
          <w:szCs w:val="24"/>
        </w:rPr>
        <w:t>.</w:t>
      </w:r>
      <w:r w:rsidR="00DC18CC" w:rsidRPr="00E22EBA">
        <w:rPr>
          <w:rFonts w:asciiTheme="minorHAnsi" w:hAnsiTheme="minorHAnsi" w:cs="Calibri"/>
        </w:rPr>
        <w:t xml:space="preserve"> </w:t>
      </w:r>
    </w:p>
    <w:p w14:paraId="39D97E09" w14:textId="14B0F5DC" w:rsidR="005109B3" w:rsidRPr="0092738C" w:rsidRDefault="005109B3" w:rsidP="00A737AE">
      <w:pPr>
        <w:pStyle w:val="BodyText"/>
        <w:spacing w:after="0"/>
        <w:rPr>
          <w:rFonts w:ascii="Calibri" w:hAnsi="Calibri" w:cs="Calibri"/>
          <w:szCs w:val="24"/>
        </w:rPr>
      </w:pPr>
      <w:r w:rsidRPr="0092738C">
        <w:rPr>
          <w:rFonts w:ascii="Calibri" w:hAnsi="Calibri" w:cs="Calibri"/>
          <w:b/>
          <w:szCs w:val="24"/>
        </w:rPr>
        <w:t>Conclusions</w:t>
      </w:r>
      <w:r w:rsidRPr="0092738C">
        <w:rPr>
          <w:rFonts w:ascii="Calibri" w:hAnsi="Calibri" w:cs="Calibri"/>
          <w:szCs w:val="24"/>
        </w:rPr>
        <w:t xml:space="preserve"> are present</w:t>
      </w:r>
      <w:r w:rsidR="00A737AE">
        <w:rPr>
          <w:rFonts w:ascii="Calibri" w:hAnsi="Calibri" w:cs="Calibri"/>
          <w:szCs w:val="24"/>
        </w:rPr>
        <w:t>ed</w:t>
      </w:r>
      <w:r w:rsidRPr="0092738C">
        <w:rPr>
          <w:rFonts w:ascii="Calibri" w:hAnsi="Calibri" w:cs="Calibri"/>
          <w:szCs w:val="24"/>
        </w:rPr>
        <w:t xml:space="preserve"> in </w:t>
      </w:r>
      <w:r w:rsidRPr="0092738C">
        <w:rPr>
          <w:rFonts w:ascii="Calibri" w:hAnsi="Calibri" w:cs="Calibri"/>
          <w:b/>
          <w:szCs w:val="24"/>
        </w:rPr>
        <w:t>Section 4</w:t>
      </w:r>
      <w:r w:rsidRPr="0092738C">
        <w:rPr>
          <w:rFonts w:ascii="Calibri" w:hAnsi="Calibri" w:cs="Calibri"/>
          <w:szCs w:val="24"/>
        </w:rPr>
        <w:t xml:space="preserve">, together with </w:t>
      </w:r>
      <w:r w:rsidRPr="0092738C">
        <w:rPr>
          <w:rFonts w:ascii="Calibri" w:hAnsi="Calibri" w:cs="Calibri"/>
          <w:b/>
          <w:szCs w:val="24"/>
        </w:rPr>
        <w:t>recommendations</w:t>
      </w:r>
      <w:r w:rsidRPr="0092738C">
        <w:rPr>
          <w:rFonts w:ascii="Calibri" w:hAnsi="Calibri" w:cs="Calibri"/>
          <w:szCs w:val="24"/>
        </w:rPr>
        <w:t xml:space="preserve"> for reinforcing and following up on initial project benefits. The report concludes with a </w:t>
      </w:r>
      <w:r w:rsidR="00C613AC">
        <w:rPr>
          <w:rFonts w:ascii="Calibri" w:hAnsi="Calibri" w:cs="Calibri"/>
          <w:szCs w:val="24"/>
        </w:rPr>
        <w:t>review</w:t>
      </w:r>
      <w:r w:rsidRPr="0092738C">
        <w:rPr>
          <w:rFonts w:ascii="Calibri" w:hAnsi="Calibri" w:cs="Calibri"/>
          <w:szCs w:val="24"/>
        </w:rPr>
        <w:t xml:space="preserve"> of </w:t>
      </w:r>
      <w:r w:rsidRPr="0092738C">
        <w:rPr>
          <w:rFonts w:ascii="Calibri" w:hAnsi="Calibri" w:cs="Calibri"/>
          <w:b/>
          <w:szCs w:val="24"/>
        </w:rPr>
        <w:t>good practices and</w:t>
      </w:r>
      <w:r w:rsidRPr="0092738C">
        <w:rPr>
          <w:rFonts w:ascii="Calibri" w:hAnsi="Calibri" w:cs="Calibri"/>
          <w:szCs w:val="24"/>
        </w:rPr>
        <w:t xml:space="preserve"> </w:t>
      </w:r>
      <w:r w:rsidRPr="0092738C">
        <w:rPr>
          <w:rFonts w:ascii="Calibri" w:hAnsi="Calibri" w:cs="Calibri"/>
          <w:b/>
          <w:szCs w:val="24"/>
        </w:rPr>
        <w:t>lessons learned</w:t>
      </w:r>
      <w:r w:rsidRPr="0092738C">
        <w:rPr>
          <w:rFonts w:ascii="Calibri" w:hAnsi="Calibri" w:cs="Calibri"/>
          <w:szCs w:val="24"/>
        </w:rPr>
        <w:t xml:space="preserve"> for consideration in other GEF and UNDP interventions.</w:t>
      </w:r>
    </w:p>
    <w:p w14:paraId="73CC5E2A" w14:textId="0788C3C9" w:rsidR="00B14C56" w:rsidRPr="00E22EBA" w:rsidRDefault="009C2820" w:rsidP="00722D10">
      <w:pPr>
        <w:pStyle w:val="Heading1"/>
        <w:numPr>
          <w:ilvl w:val="0"/>
          <w:numId w:val="6"/>
        </w:numPr>
        <w:spacing w:before="240" w:after="120" w:line="240" w:lineRule="auto"/>
        <w:ind w:left="567" w:hanging="567"/>
        <w:jc w:val="left"/>
        <w:rPr>
          <w:rFonts w:asciiTheme="minorHAnsi" w:hAnsiTheme="minorHAnsi" w:cs="Calibri"/>
          <w:b/>
          <w:sz w:val="32"/>
        </w:rPr>
      </w:pPr>
      <w:bookmarkStart w:id="15" w:name="_Toc414745309"/>
      <w:bookmarkEnd w:id="9"/>
      <w:r w:rsidRPr="00E22EBA">
        <w:rPr>
          <w:rFonts w:asciiTheme="minorHAnsi" w:hAnsiTheme="minorHAnsi" w:cs="Calibri"/>
          <w:b/>
          <w:sz w:val="32"/>
        </w:rPr>
        <w:lastRenderedPageBreak/>
        <w:t>Project Description</w:t>
      </w:r>
      <w:bookmarkEnd w:id="15"/>
    </w:p>
    <w:p w14:paraId="0245560B" w14:textId="77777777" w:rsidR="00976018" w:rsidRPr="00E22EBA" w:rsidRDefault="00976018" w:rsidP="00722D10">
      <w:pPr>
        <w:pStyle w:val="Heading2"/>
        <w:numPr>
          <w:ilvl w:val="1"/>
          <w:numId w:val="7"/>
        </w:numPr>
        <w:spacing w:before="240" w:after="120" w:line="240" w:lineRule="auto"/>
        <w:ind w:left="567" w:hanging="567"/>
        <w:rPr>
          <w:rFonts w:asciiTheme="minorHAnsi" w:hAnsiTheme="minorHAnsi" w:cs="Calibri"/>
          <w:b/>
          <w:caps w:val="0"/>
          <w:sz w:val="28"/>
        </w:rPr>
      </w:pPr>
      <w:bookmarkStart w:id="16" w:name="_Toc414745310"/>
      <w:bookmarkStart w:id="17" w:name="_Toc371245426"/>
      <w:r w:rsidRPr="00E22EBA">
        <w:rPr>
          <w:rFonts w:asciiTheme="minorHAnsi" w:hAnsiTheme="minorHAnsi" w:cs="Calibri"/>
          <w:b/>
          <w:caps w:val="0"/>
          <w:sz w:val="28"/>
        </w:rPr>
        <w:t>Project Start and Duration</w:t>
      </w:r>
      <w:bookmarkEnd w:id="16"/>
    </w:p>
    <w:p w14:paraId="3902887D" w14:textId="77777777" w:rsidR="00965AB2" w:rsidRPr="00E22EBA" w:rsidRDefault="00965AB2" w:rsidP="00965AB2">
      <w:pPr>
        <w:pStyle w:val="BodyText"/>
        <w:tabs>
          <w:tab w:val="left" w:pos="360"/>
        </w:tabs>
        <w:spacing w:line="240" w:lineRule="auto"/>
        <w:rPr>
          <w:rFonts w:ascii="Calibri" w:hAnsi="Calibri" w:cs="Calibri"/>
        </w:rPr>
      </w:pPr>
      <w:r w:rsidRPr="00E22EBA">
        <w:rPr>
          <w:rFonts w:ascii="Calibri" w:hAnsi="Calibri" w:cs="Calibri"/>
        </w:rPr>
        <w:t>Key project dates are listed below:</w:t>
      </w:r>
    </w:p>
    <w:tbl>
      <w:tblPr>
        <w:tblW w:w="0" w:type="auto"/>
        <w:tblInd w:w="108" w:type="dxa"/>
        <w:tblLook w:val="04A0" w:firstRow="1" w:lastRow="0" w:firstColumn="1" w:lastColumn="0" w:noHBand="0" w:noVBand="1"/>
      </w:tblPr>
      <w:tblGrid>
        <w:gridCol w:w="4536"/>
        <w:gridCol w:w="284"/>
        <w:gridCol w:w="3766"/>
        <w:gridCol w:w="284"/>
      </w:tblGrid>
      <w:tr w:rsidR="00007A82" w:rsidRPr="00722D10" w14:paraId="6E1F88B4" w14:textId="77777777" w:rsidTr="00C540BD">
        <w:tc>
          <w:tcPr>
            <w:tcW w:w="4820" w:type="dxa"/>
            <w:gridSpan w:val="2"/>
            <w:shd w:val="clear" w:color="auto" w:fill="auto"/>
          </w:tcPr>
          <w:p w14:paraId="313AE87F" w14:textId="77777777" w:rsidR="00007A82" w:rsidRPr="00722D10" w:rsidRDefault="001248A4" w:rsidP="006F0E40">
            <w:pPr>
              <w:pStyle w:val="BodyText"/>
              <w:tabs>
                <w:tab w:val="left" w:pos="360"/>
              </w:tabs>
              <w:spacing w:after="40" w:line="240" w:lineRule="auto"/>
              <w:jc w:val="left"/>
              <w:rPr>
                <w:rFonts w:ascii="Calibri" w:hAnsi="Calibri" w:cs="Calibri"/>
                <w:b/>
                <w:sz w:val="22"/>
                <w:szCs w:val="22"/>
              </w:rPr>
            </w:pPr>
            <w:r w:rsidRPr="00722D10">
              <w:rPr>
                <w:rFonts w:ascii="Calibri" w:hAnsi="Calibri" w:cs="Calibri"/>
                <w:b/>
                <w:sz w:val="22"/>
                <w:szCs w:val="22"/>
              </w:rPr>
              <w:t>PIF</w:t>
            </w:r>
            <w:r w:rsidR="00A214D3" w:rsidRPr="00722D10">
              <w:rPr>
                <w:rFonts w:ascii="Calibri" w:hAnsi="Calibri" w:cs="Calibri"/>
                <w:b/>
                <w:sz w:val="22"/>
                <w:szCs w:val="22"/>
              </w:rPr>
              <w:t xml:space="preserve"> a</w:t>
            </w:r>
            <w:r w:rsidR="008C6561" w:rsidRPr="00722D10">
              <w:rPr>
                <w:rFonts w:ascii="Calibri" w:hAnsi="Calibri" w:cs="Calibri"/>
                <w:b/>
                <w:sz w:val="22"/>
                <w:szCs w:val="22"/>
              </w:rPr>
              <w:t>pproval</w:t>
            </w:r>
            <w:r w:rsidR="00F55720" w:rsidRPr="00722D10">
              <w:rPr>
                <w:rFonts w:ascii="Calibri" w:hAnsi="Calibri" w:cs="Calibri"/>
                <w:b/>
                <w:sz w:val="22"/>
                <w:szCs w:val="22"/>
              </w:rPr>
              <w:t>:</w:t>
            </w:r>
          </w:p>
        </w:tc>
        <w:tc>
          <w:tcPr>
            <w:tcW w:w="4050" w:type="dxa"/>
            <w:gridSpan w:val="2"/>
            <w:shd w:val="clear" w:color="auto" w:fill="auto"/>
          </w:tcPr>
          <w:p w14:paraId="3BF62CC0" w14:textId="6F6FC87D" w:rsidR="00007A82" w:rsidRPr="00722D10" w:rsidRDefault="006F4496" w:rsidP="00C540BD">
            <w:pPr>
              <w:pStyle w:val="BodyText"/>
              <w:tabs>
                <w:tab w:val="left" w:pos="176"/>
              </w:tabs>
              <w:spacing w:after="40" w:line="240" w:lineRule="auto"/>
              <w:ind w:left="-108"/>
              <w:jc w:val="left"/>
              <w:rPr>
                <w:rFonts w:ascii="Calibri" w:hAnsi="Calibri" w:cs="Calibri"/>
                <w:sz w:val="22"/>
                <w:szCs w:val="22"/>
              </w:rPr>
            </w:pPr>
            <w:r w:rsidRPr="00722D10">
              <w:rPr>
                <w:rFonts w:asciiTheme="minorHAnsi" w:hAnsiTheme="minorHAnsi"/>
                <w:sz w:val="22"/>
                <w:szCs w:val="22"/>
              </w:rPr>
              <w:t>07 June 2012</w:t>
            </w:r>
            <w:r w:rsidRPr="00722D10">
              <w:rPr>
                <w:rStyle w:val="FootnoteReference"/>
                <w:rFonts w:asciiTheme="minorHAnsi" w:hAnsiTheme="minorHAnsi"/>
                <w:sz w:val="22"/>
                <w:szCs w:val="22"/>
              </w:rPr>
              <w:footnoteReference w:id="13"/>
            </w:r>
          </w:p>
        </w:tc>
      </w:tr>
      <w:tr w:rsidR="00007A82" w:rsidRPr="00722D10" w14:paraId="40B50A32" w14:textId="77777777" w:rsidTr="00C540BD">
        <w:tc>
          <w:tcPr>
            <w:tcW w:w="4820" w:type="dxa"/>
            <w:gridSpan w:val="2"/>
            <w:shd w:val="clear" w:color="auto" w:fill="auto"/>
          </w:tcPr>
          <w:p w14:paraId="4ACC621E" w14:textId="77777777" w:rsidR="00007A82" w:rsidRPr="00722D10" w:rsidRDefault="00581CDD" w:rsidP="006F0E40">
            <w:pPr>
              <w:pStyle w:val="BodyText"/>
              <w:tabs>
                <w:tab w:val="left" w:pos="360"/>
              </w:tabs>
              <w:spacing w:after="40" w:line="240" w:lineRule="auto"/>
              <w:jc w:val="left"/>
              <w:rPr>
                <w:rFonts w:ascii="Calibri" w:hAnsi="Calibri" w:cs="Calibri"/>
                <w:b/>
                <w:sz w:val="22"/>
                <w:szCs w:val="22"/>
              </w:rPr>
            </w:pPr>
            <w:r w:rsidRPr="00722D10">
              <w:rPr>
                <w:rFonts w:ascii="Calibri" w:hAnsi="Calibri" w:cs="Calibri"/>
                <w:b/>
                <w:sz w:val="22"/>
                <w:szCs w:val="22"/>
              </w:rPr>
              <w:t xml:space="preserve">PPG </w:t>
            </w:r>
            <w:r w:rsidR="00A214D3" w:rsidRPr="00722D10">
              <w:rPr>
                <w:rFonts w:ascii="Calibri" w:hAnsi="Calibri" w:cs="Calibri"/>
                <w:b/>
                <w:sz w:val="22"/>
                <w:szCs w:val="22"/>
              </w:rPr>
              <w:t>approval</w:t>
            </w:r>
            <w:r w:rsidR="008C6561" w:rsidRPr="00722D10">
              <w:rPr>
                <w:rFonts w:ascii="Calibri" w:hAnsi="Calibri" w:cs="Calibri"/>
                <w:b/>
                <w:sz w:val="22"/>
                <w:szCs w:val="22"/>
              </w:rPr>
              <w:t>:</w:t>
            </w:r>
          </w:p>
        </w:tc>
        <w:tc>
          <w:tcPr>
            <w:tcW w:w="4050" w:type="dxa"/>
            <w:gridSpan w:val="2"/>
            <w:shd w:val="clear" w:color="auto" w:fill="auto"/>
          </w:tcPr>
          <w:p w14:paraId="1DDCF523" w14:textId="35365774" w:rsidR="00007A82" w:rsidRPr="00722D10" w:rsidRDefault="006912EA" w:rsidP="00C540BD">
            <w:pPr>
              <w:pStyle w:val="BodyText"/>
              <w:tabs>
                <w:tab w:val="left" w:pos="176"/>
              </w:tabs>
              <w:spacing w:after="40" w:line="240" w:lineRule="auto"/>
              <w:ind w:left="-108"/>
              <w:jc w:val="left"/>
              <w:rPr>
                <w:rFonts w:ascii="Calibri" w:hAnsi="Calibri" w:cs="Calibri"/>
                <w:sz w:val="22"/>
                <w:szCs w:val="22"/>
              </w:rPr>
            </w:pPr>
            <w:r w:rsidRPr="00722D10">
              <w:rPr>
                <w:rFonts w:ascii="Calibri" w:hAnsi="Calibri" w:cs="Calibri"/>
                <w:sz w:val="22"/>
                <w:szCs w:val="22"/>
              </w:rPr>
              <w:t>2</w:t>
            </w:r>
            <w:r w:rsidR="00F455E8" w:rsidRPr="00722D10">
              <w:rPr>
                <w:rFonts w:ascii="Calibri" w:hAnsi="Calibri" w:cs="Calibri"/>
                <w:sz w:val="22"/>
                <w:szCs w:val="22"/>
              </w:rPr>
              <w:t>0 April</w:t>
            </w:r>
            <w:r w:rsidRPr="00722D10">
              <w:rPr>
                <w:rFonts w:ascii="Calibri" w:hAnsi="Calibri" w:cs="Calibri"/>
                <w:sz w:val="22"/>
                <w:szCs w:val="22"/>
              </w:rPr>
              <w:t xml:space="preserve"> 20</w:t>
            </w:r>
            <w:r w:rsidR="00F455E8" w:rsidRPr="00722D10">
              <w:rPr>
                <w:rFonts w:ascii="Calibri" w:hAnsi="Calibri" w:cs="Calibri"/>
                <w:sz w:val="22"/>
                <w:szCs w:val="22"/>
              </w:rPr>
              <w:t>12</w:t>
            </w:r>
          </w:p>
        </w:tc>
      </w:tr>
      <w:tr w:rsidR="00007A82" w:rsidRPr="00722D10" w14:paraId="299B71CF" w14:textId="77777777" w:rsidTr="00C540BD">
        <w:tc>
          <w:tcPr>
            <w:tcW w:w="4820" w:type="dxa"/>
            <w:gridSpan w:val="2"/>
            <w:shd w:val="clear" w:color="auto" w:fill="auto"/>
          </w:tcPr>
          <w:p w14:paraId="7C54E8C4" w14:textId="71E7FDEA" w:rsidR="00007A82" w:rsidRPr="00722D10" w:rsidRDefault="00927485" w:rsidP="00927485">
            <w:pPr>
              <w:pStyle w:val="BodyText"/>
              <w:tabs>
                <w:tab w:val="left" w:pos="360"/>
              </w:tabs>
              <w:spacing w:after="40" w:line="240" w:lineRule="auto"/>
              <w:jc w:val="left"/>
              <w:rPr>
                <w:rFonts w:ascii="Calibri" w:hAnsi="Calibri" w:cs="Calibri"/>
                <w:b/>
                <w:sz w:val="22"/>
                <w:szCs w:val="22"/>
              </w:rPr>
            </w:pPr>
            <w:r w:rsidRPr="00722D10">
              <w:rPr>
                <w:rFonts w:ascii="Calibri" w:hAnsi="Calibri" w:cs="Calibri"/>
                <w:b/>
                <w:sz w:val="22"/>
                <w:szCs w:val="22"/>
              </w:rPr>
              <w:t>GEF CEO Endorsement</w:t>
            </w:r>
            <w:r w:rsidR="008C6561" w:rsidRPr="00722D10">
              <w:rPr>
                <w:rFonts w:ascii="Calibri" w:hAnsi="Calibri" w:cs="Calibri"/>
                <w:b/>
                <w:sz w:val="22"/>
                <w:szCs w:val="22"/>
              </w:rPr>
              <w:t>:</w:t>
            </w:r>
          </w:p>
        </w:tc>
        <w:tc>
          <w:tcPr>
            <w:tcW w:w="4050" w:type="dxa"/>
            <w:gridSpan w:val="2"/>
            <w:shd w:val="clear" w:color="auto" w:fill="auto"/>
          </w:tcPr>
          <w:p w14:paraId="6072A7C7" w14:textId="07565E27" w:rsidR="008C6561" w:rsidRPr="00722D10" w:rsidRDefault="00927485" w:rsidP="00C540BD">
            <w:pPr>
              <w:pStyle w:val="BodyText"/>
              <w:tabs>
                <w:tab w:val="left" w:pos="176"/>
              </w:tabs>
              <w:spacing w:after="40" w:line="240" w:lineRule="auto"/>
              <w:ind w:left="-108" w:right="115"/>
              <w:jc w:val="left"/>
              <w:rPr>
                <w:rFonts w:ascii="Calibri" w:hAnsi="Calibri" w:cs="Calibri"/>
                <w:sz w:val="22"/>
                <w:szCs w:val="22"/>
              </w:rPr>
            </w:pPr>
            <w:r w:rsidRPr="00722D10">
              <w:rPr>
                <w:rFonts w:ascii="Calibri" w:hAnsi="Calibri" w:cs="Calibri"/>
                <w:sz w:val="22"/>
                <w:szCs w:val="22"/>
              </w:rPr>
              <w:t>13 November 2013</w:t>
            </w:r>
          </w:p>
        </w:tc>
      </w:tr>
      <w:tr w:rsidR="00A214D3" w:rsidRPr="00722D10" w14:paraId="784F6D17" w14:textId="77777777" w:rsidTr="00C540BD">
        <w:tc>
          <w:tcPr>
            <w:tcW w:w="4820" w:type="dxa"/>
            <w:gridSpan w:val="2"/>
            <w:shd w:val="clear" w:color="auto" w:fill="auto"/>
          </w:tcPr>
          <w:p w14:paraId="75209ED1" w14:textId="59FC6FA1" w:rsidR="00A214D3" w:rsidRPr="00722D10" w:rsidRDefault="00927485" w:rsidP="00927485">
            <w:pPr>
              <w:pStyle w:val="BodyText"/>
              <w:tabs>
                <w:tab w:val="left" w:pos="360"/>
              </w:tabs>
              <w:spacing w:after="40" w:line="240" w:lineRule="auto"/>
              <w:jc w:val="left"/>
              <w:rPr>
                <w:rFonts w:ascii="Calibri" w:hAnsi="Calibri" w:cs="Calibri"/>
                <w:b/>
                <w:sz w:val="22"/>
                <w:szCs w:val="22"/>
              </w:rPr>
            </w:pPr>
            <w:r w:rsidRPr="00722D10">
              <w:rPr>
                <w:rFonts w:ascii="Calibri" w:hAnsi="Calibri" w:cs="Calibri"/>
                <w:b/>
                <w:sz w:val="22"/>
                <w:szCs w:val="22"/>
              </w:rPr>
              <w:t>UNDP Project Document signed</w:t>
            </w:r>
            <w:r w:rsidR="00A214D3" w:rsidRPr="00722D10">
              <w:rPr>
                <w:rFonts w:ascii="Calibri" w:hAnsi="Calibri" w:cs="Calibri"/>
                <w:b/>
                <w:sz w:val="22"/>
                <w:szCs w:val="22"/>
              </w:rPr>
              <w:t>:</w:t>
            </w:r>
          </w:p>
        </w:tc>
        <w:tc>
          <w:tcPr>
            <w:tcW w:w="4050" w:type="dxa"/>
            <w:gridSpan w:val="2"/>
            <w:shd w:val="clear" w:color="auto" w:fill="auto"/>
          </w:tcPr>
          <w:p w14:paraId="7F79A22C" w14:textId="4A811473" w:rsidR="00A214D3" w:rsidRPr="00722D10" w:rsidRDefault="00927485" w:rsidP="00C540BD">
            <w:pPr>
              <w:pStyle w:val="BodyText"/>
              <w:tabs>
                <w:tab w:val="left" w:pos="176"/>
              </w:tabs>
              <w:spacing w:after="40" w:line="240" w:lineRule="auto"/>
              <w:ind w:left="-108" w:right="115"/>
              <w:jc w:val="left"/>
              <w:rPr>
                <w:rFonts w:ascii="Calibri" w:hAnsi="Calibri" w:cs="Calibri"/>
                <w:sz w:val="22"/>
                <w:szCs w:val="22"/>
              </w:rPr>
            </w:pPr>
            <w:r w:rsidRPr="00722D10">
              <w:rPr>
                <w:rFonts w:ascii="Calibri" w:hAnsi="Calibri" w:cs="Calibri"/>
                <w:sz w:val="22"/>
                <w:szCs w:val="22"/>
              </w:rPr>
              <w:t>09 June 2014</w:t>
            </w:r>
          </w:p>
        </w:tc>
      </w:tr>
      <w:tr w:rsidR="00927485" w:rsidRPr="00722D10" w14:paraId="6C6B6DD6" w14:textId="77777777" w:rsidTr="00C540BD">
        <w:tc>
          <w:tcPr>
            <w:tcW w:w="4820" w:type="dxa"/>
            <w:gridSpan w:val="2"/>
            <w:shd w:val="clear" w:color="auto" w:fill="auto"/>
          </w:tcPr>
          <w:p w14:paraId="3D91084C" w14:textId="6C9A66A9" w:rsidR="00927485" w:rsidRPr="00722D10" w:rsidRDefault="00927485" w:rsidP="00927485">
            <w:pPr>
              <w:pStyle w:val="BodyText"/>
              <w:tabs>
                <w:tab w:val="left" w:pos="360"/>
              </w:tabs>
              <w:spacing w:after="40" w:line="240" w:lineRule="auto"/>
              <w:jc w:val="left"/>
              <w:rPr>
                <w:rFonts w:ascii="Calibri" w:hAnsi="Calibri" w:cs="Calibri"/>
                <w:b/>
                <w:sz w:val="22"/>
                <w:szCs w:val="22"/>
              </w:rPr>
            </w:pPr>
            <w:r w:rsidRPr="00722D10">
              <w:rPr>
                <w:rFonts w:ascii="Calibri" w:hAnsi="Calibri" w:cs="Calibri"/>
                <w:b/>
                <w:sz w:val="22"/>
                <w:szCs w:val="22"/>
              </w:rPr>
              <w:t>National Project Manager appointed</w:t>
            </w:r>
          </w:p>
        </w:tc>
        <w:tc>
          <w:tcPr>
            <w:tcW w:w="4050" w:type="dxa"/>
            <w:gridSpan w:val="2"/>
            <w:shd w:val="clear" w:color="auto" w:fill="auto"/>
          </w:tcPr>
          <w:p w14:paraId="7FF81C87" w14:textId="7A615382" w:rsidR="00927485" w:rsidRPr="00722D10" w:rsidRDefault="00927485" w:rsidP="00C540BD">
            <w:pPr>
              <w:pStyle w:val="BodyText"/>
              <w:tabs>
                <w:tab w:val="left" w:pos="176"/>
              </w:tabs>
              <w:spacing w:after="40" w:line="240" w:lineRule="auto"/>
              <w:ind w:left="-108" w:right="115"/>
              <w:jc w:val="left"/>
              <w:rPr>
                <w:rFonts w:ascii="Calibri" w:hAnsi="Calibri" w:cs="Calibri"/>
                <w:sz w:val="22"/>
                <w:szCs w:val="22"/>
              </w:rPr>
            </w:pPr>
            <w:r w:rsidRPr="00722D10">
              <w:rPr>
                <w:rFonts w:ascii="Calibri" w:hAnsi="Calibri" w:cs="Calibri"/>
                <w:sz w:val="22"/>
                <w:szCs w:val="22"/>
              </w:rPr>
              <w:t>01 October 2014</w:t>
            </w:r>
          </w:p>
        </w:tc>
      </w:tr>
      <w:tr w:rsidR="00C540BD" w:rsidRPr="00722D10" w14:paraId="2D097C1F" w14:textId="77777777" w:rsidTr="00C540BD">
        <w:tc>
          <w:tcPr>
            <w:tcW w:w="4820" w:type="dxa"/>
            <w:gridSpan w:val="2"/>
            <w:shd w:val="clear" w:color="auto" w:fill="auto"/>
          </w:tcPr>
          <w:p w14:paraId="38A37833" w14:textId="5FEB888D" w:rsidR="00C540BD" w:rsidRPr="00722D10" w:rsidRDefault="00C540BD" w:rsidP="00E13082">
            <w:pPr>
              <w:pStyle w:val="BodyText"/>
              <w:tabs>
                <w:tab w:val="left" w:pos="360"/>
              </w:tabs>
              <w:spacing w:after="40" w:line="240" w:lineRule="auto"/>
              <w:jc w:val="left"/>
              <w:rPr>
                <w:rFonts w:ascii="Calibri" w:hAnsi="Calibri" w:cs="Calibri"/>
                <w:b/>
                <w:sz w:val="22"/>
                <w:szCs w:val="22"/>
              </w:rPr>
            </w:pPr>
            <w:r w:rsidRPr="00722D10">
              <w:rPr>
                <w:rFonts w:ascii="Calibri" w:hAnsi="Calibri" w:cs="Calibri"/>
                <w:b/>
                <w:sz w:val="22"/>
                <w:szCs w:val="22"/>
              </w:rPr>
              <w:t>Administrative/Finance Assistant appointed</w:t>
            </w:r>
          </w:p>
        </w:tc>
        <w:tc>
          <w:tcPr>
            <w:tcW w:w="4050" w:type="dxa"/>
            <w:gridSpan w:val="2"/>
            <w:shd w:val="clear" w:color="auto" w:fill="auto"/>
          </w:tcPr>
          <w:p w14:paraId="72471BFC" w14:textId="77777777" w:rsidR="00C540BD" w:rsidRPr="00722D10" w:rsidRDefault="00C540BD" w:rsidP="00C540BD">
            <w:pPr>
              <w:pStyle w:val="BodyText"/>
              <w:tabs>
                <w:tab w:val="left" w:pos="176"/>
              </w:tabs>
              <w:spacing w:after="40" w:line="240" w:lineRule="auto"/>
              <w:ind w:left="-108" w:right="115"/>
              <w:jc w:val="left"/>
              <w:rPr>
                <w:rFonts w:ascii="Calibri" w:hAnsi="Calibri" w:cs="Calibri"/>
                <w:sz w:val="22"/>
                <w:szCs w:val="22"/>
              </w:rPr>
            </w:pPr>
            <w:r w:rsidRPr="00722D10">
              <w:rPr>
                <w:rFonts w:ascii="Calibri" w:hAnsi="Calibri" w:cs="Calibri"/>
                <w:sz w:val="22"/>
                <w:szCs w:val="22"/>
              </w:rPr>
              <w:t>10 November 2014</w:t>
            </w:r>
          </w:p>
        </w:tc>
      </w:tr>
      <w:tr w:rsidR="00007A82" w:rsidRPr="00722D10" w14:paraId="2C83F283" w14:textId="77777777" w:rsidTr="00C540BD">
        <w:tc>
          <w:tcPr>
            <w:tcW w:w="4820" w:type="dxa"/>
            <w:gridSpan w:val="2"/>
            <w:shd w:val="clear" w:color="auto" w:fill="auto"/>
          </w:tcPr>
          <w:p w14:paraId="1A18F5FB" w14:textId="21362C21" w:rsidR="00007A82" w:rsidRPr="00722D10" w:rsidRDefault="009D5D83" w:rsidP="00927485">
            <w:pPr>
              <w:pStyle w:val="BodyText"/>
              <w:tabs>
                <w:tab w:val="left" w:pos="360"/>
              </w:tabs>
              <w:spacing w:after="40" w:line="240" w:lineRule="auto"/>
              <w:jc w:val="left"/>
              <w:rPr>
                <w:rFonts w:ascii="Calibri" w:hAnsi="Calibri" w:cs="Calibri"/>
                <w:b/>
                <w:sz w:val="22"/>
                <w:szCs w:val="22"/>
              </w:rPr>
            </w:pPr>
            <w:r w:rsidRPr="00722D10">
              <w:rPr>
                <w:rFonts w:ascii="Calibri" w:hAnsi="Calibri" w:cs="Calibri"/>
                <w:b/>
                <w:sz w:val="22"/>
                <w:szCs w:val="22"/>
              </w:rPr>
              <w:t xml:space="preserve">Project </w:t>
            </w:r>
            <w:r w:rsidR="00A214D3" w:rsidRPr="00722D10">
              <w:rPr>
                <w:rFonts w:ascii="Calibri" w:hAnsi="Calibri" w:cs="Calibri"/>
                <w:b/>
                <w:sz w:val="22"/>
                <w:szCs w:val="22"/>
              </w:rPr>
              <w:t>i</w:t>
            </w:r>
            <w:r w:rsidR="00F55720" w:rsidRPr="00722D10">
              <w:rPr>
                <w:rFonts w:ascii="Calibri" w:hAnsi="Calibri" w:cs="Calibri"/>
                <w:b/>
                <w:sz w:val="22"/>
                <w:szCs w:val="22"/>
              </w:rPr>
              <w:t>nception</w:t>
            </w:r>
            <w:r w:rsidRPr="00722D10">
              <w:rPr>
                <w:rFonts w:ascii="Calibri" w:hAnsi="Calibri" w:cs="Calibri"/>
                <w:b/>
                <w:sz w:val="22"/>
                <w:szCs w:val="22"/>
              </w:rPr>
              <w:t xml:space="preserve"> </w:t>
            </w:r>
            <w:r w:rsidR="00927485" w:rsidRPr="00722D10">
              <w:rPr>
                <w:rFonts w:ascii="Calibri" w:hAnsi="Calibri" w:cs="Calibri"/>
                <w:b/>
                <w:sz w:val="22"/>
                <w:szCs w:val="22"/>
              </w:rPr>
              <w:t>Workshop</w:t>
            </w:r>
            <w:r w:rsidR="00F55720" w:rsidRPr="00722D10">
              <w:rPr>
                <w:rFonts w:ascii="Calibri" w:hAnsi="Calibri" w:cs="Calibri"/>
                <w:b/>
                <w:sz w:val="22"/>
                <w:szCs w:val="22"/>
              </w:rPr>
              <w:t>:</w:t>
            </w:r>
          </w:p>
        </w:tc>
        <w:tc>
          <w:tcPr>
            <w:tcW w:w="4050" w:type="dxa"/>
            <w:gridSpan w:val="2"/>
            <w:shd w:val="clear" w:color="auto" w:fill="auto"/>
          </w:tcPr>
          <w:p w14:paraId="4AA163F1" w14:textId="16040F90" w:rsidR="00007A82" w:rsidRPr="00722D10" w:rsidRDefault="00927485" w:rsidP="00C540BD">
            <w:pPr>
              <w:pStyle w:val="BodyText"/>
              <w:tabs>
                <w:tab w:val="left" w:pos="176"/>
              </w:tabs>
              <w:spacing w:after="40" w:line="240" w:lineRule="auto"/>
              <w:ind w:left="-108" w:right="115"/>
              <w:jc w:val="left"/>
              <w:rPr>
                <w:rFonts w:ascii="Calibri" w:hAnsi="Calibri" w:cs="Calibri"/>
                <w:sz w:val="22"/>
                <w:szCs w:val="22"/>
              </w:rPr>
            </w:pPr>
            <w:r w:rsidRPr="00722D10">
              <w:rPr>
                <w:rFonts w:ascii="Calibri" w:hAnsi="Calibri" w:cs="Calibri"/>
                <w:sz w:val="22"/>
                <w:szCs w:val="22"/>
              </w:rPr>
              <w:t>12 December 2014</w:t>
            </w:r>
          </w:p>
        </w:tc>
      </w:tr>
      <w:tr w:rsidR="00F55720" w:rsidRPr="00722D10" w14:paraId="28D03EB5" w14:textId="77777777" w:rsidTr="00C540BD">
        <w:tc>
          <w:tcPr>
            <w:tcW w:w="4820" w:type="dxa"/>
            <w:gridSpan w:val="2"/>
            <w:shd w:val="clear" w:color="auto" w:fill="auto"/>
          </w:tcPr>
          <w:p w14:paraId="5CFB5CE3" w14:textId="77777777" w:rsidR="00F55720" w:rsidRPr="00722D10" w:rsidRDefault="00F55720" w:rsidP="006F0E40">
            <w:pPr>
              <w:pStyle w:val="BodyText"/>
              <w:tabs>
                <w:tab w:val="left" w:pos="360"/>
              </w:tabs>
              <w:spacing w:after="40" w:line="240" w:lineRule="auto"/>
              <w:jc w:val="left"/>
              <w:rPr>
                <w:rFonts w:ascii="Calibri" w:hAnsi="Calibri" w:cs="Calibri"/>
                <w:b/>
                <w:sz w:val="22"/>
                <w:szCs w:val="22"/>
              </w:rPr>
            </w:pPr>
            <w:r w:rsidRPr="00722D10">
              <w:rPr>
                <w:rFonts w:ascii="Calibri" w:hAnsi="Calibri" w:cs="Calibri"/>
                <w:b/>
                <w:sz w:val="22"/>
                <w:szCs w:val="22"/>
              </w:rPr>
              <w:t>Mid</w:t>
            </w:r>
            <w:r w:rsidR="00A214D3" w:rsidRPr="00722D10">
              <w:rPr>
                <w:rFonts w:ascii="Calibri" w:hAnsi="Calibri" w:cs="Calibri"/>
                <w:b/>
                <w:sz w:val="22"/>
                <w:szCs w:val="22"/>
              </w:rPr>
              <w:t>term</w:t>
            </w:r>
            <w:r w:rsidRPr="00722D10">
              <w:rPr>
                <w:rFonts w:ascii="Calibri" w:hAnsi="Calibri" w:cs="Calibri"/>
                <w:b/>
                <w:sz w:val="22"/>
                <w:szCs w:val="22"/>
              </w:rPr>
              <w:t xml:space="preserve"> </w:t>
            </w:r>
            <w:r w:rsidR="00A214D3" w:rsidRPr="00722D10">
              <w:rPr>
                <w:rFonts w:ascii="Calibri" w:hAnsi="Calibri" w:cs="Calibri"/>
                <w:b/>
                <w:sz w:val="22"/>
                <w:szCs w:val="22"/>
              </w:rPr>
              <w:t>r</w:t>
            </w:r>
            <w:r w:rsidRPr="00722D10">
              <w:rPr>
                <w:rFonts w:ascii="Calibri" w:hAnsi="Calibri" w:cs="Calibri"/>
                <w:b/>
                <w:sz w:val="22"/>
                <w:szCs w:val="22"/>
              </w:rPr>
              <w:t>eview:</w:t>
            </w:r>
          </w:p>
        </w:tc>
        <w:tc>
          <w:tcPr>
            <w:tcW w:w="4050" w:type="dxa"/>
            <w:gridSpan w:val="2"/>
            <w:shd w:val="clear" w:color="auto" w:fill="auto"/>
          </w:tcPr>
          <w:p w14:paraId="32274D61" w14:textId="247A8AF6" w:rsidR="00F55720" w:rsidRPr="00722D10" w:rsidRDefault="00595706" w:rsidP="00C540BD">
            <w:pPr>
              <w:pStyle w:val="BodyText"/>
              <w:tabs>
                <w:tab w:val="left" w:pos="176"/>
              </w:tabs>
              <w:spacing w:after="40" w:line="240" w:lineRule="auto"/>
              <w:ind w:left="-108" w:right="115"/>
              <w:jc w:val="left"/>
              <w:rPr>
                <w:rFonts w:ascii="Calibri" w:hAnsi="Calibri" w:cs="Calibri"/>
                <w:sz w:val="22"/>
                <w:szCs w:val="22"/>
              </w:rPr>
            </w:pPr>
            <w:r w:rsidRPr="00722D10">
              <w:rPr>
                <w:rFonts w:ascii="Calibri" w:hAnsi="Calibri" w:cs="Calibri"/>
                <w:sz w:val="22"/>
                <w:szCs w:val="22"/>
              </w:rPr>
              <w:t xml:space="preserve">June </w:t>
            </w:r>
            <w:r w:rsidR="00CD23CB" w:rsidRPr="00722D10">
              <w:rPr>
                <w:rFonts w:ascii="Calibri" w:hAnsi="Calibri" w:cs="Calibri"/>
                <w:sz w:val="22"/>
                <w:szCs w:val="22"/>
              </w:rPr>
              <w:t xml:space="preserve">– October </w:t>
            </w:r>
            <w:r w:rsidR="009D5D83" w:rsidRPr="00722D10">
              <w:rPr>
                <w:rFonts w:ascii="Calibri" w:hAnsi="Calibri" w:cs="Calibri"/>
                <w:sz w:val="22"/>
                <w:szCs w:val="22"/>
              </w:rPr>
              <w:t>201</w:t>
            </w:r>
            <w:r w:rsidRPr="00722D10">
              <w:rPr>
                <w:rFonts w:ascii="Calibri" w:hAnsi="Calibri" w:cs="Calibri"/>
                <w:sz w:val="22"/>
                <w:szCs w:val="22"/>
              </w:rPr>
              <w:t>6</w:t>
            </w:r>
          </w:p>
        </w:tc>
      </w:tr>
      <w:tr w:rsidR="00007A82" w:rsidRPr="00722D10" w14:paraId="31CFD882" w14:textId="77777777" w:rsidTr="00C540BD">
        <w:trPr>
          <w:gridAfter w:val="1"/>
          <w:wAfter w:w="284" w:type="dxa"/>
          <w:trHeight w:val="342"/>
        </w:trPr>
        <w:tc>
          <w:tcPr>
            <w:tcW w:w="4536" w:type="dxa"/>
            <w:shd w:val="clear" w:color="auto" w:fill="auto"/>
          </w:tcPr>
          <w:p w14:paraId="58026FA2" w14:textId="77777777" w:rsidR="00007A82" w:rsidRPr="00722D10" w:rsidRDefault="00007A82" w:rsidP="006F0E40">
            <w:pPr>
              <w:pStyle w:val="BodyText"/>
              <w:tabs>
                <w:tab w:val="left" w:pos="360"/>
              </w:tabs>
              <w:spacing w:after="40" w:line="240" w:lineRule="auto"/>
              <w:jc w:val="left"/>
              <w:rPr>
                <w:rFonts w:ascii="Calibri" w:hAnsi="Calibri" w:cs="Calibri"/>
                <w:b/>
                <w:sz w:val="22"/>
                <w:szCs w:val="22"/>
              </w:rPr>
            </w:pPr>
            <w:r w:rsidRPr="00722D10">
              <w:rPr>
                <w:rFonts w:ascii="Calibri" w:hAnsi="Calibri" w:cs="Calibri"/>
                <w:b/>
                <w:sz w:val="22"/>
                <w:szCs w:val="22"/>
              </w:rPr>
              <w:t>Project completion (</w:t>
            </w:r>
            <w:r w:rsidR="005278F7" w:rsidRPr="00722D10">
              <w:rPr>
                <w:rFonts w:ascii="Calibri" w:hAnsi="Calibri" w:cs="Calibri"/>
                <w:b/>
                <w:sz w:val="22"/>
                <w:szCs w:val="22"/>
              </w:rPr>
              <w:t>original</w:t>
            </w:r>
            <w:r w:rsidRPr="00722D10">
              <w:rPr>
                <w:rFonts w:ascii="Calibri" w:hAnsi="Calibri" w:cs="Calibri"/>
                <w:b/>
                <w:sz w:val="22"/>
                <w:szCs w:val="22"/>
              </w:rPr>
              <w:t>)</w:t>
            </w:r>
          </w:p>
        </w:tc>
        <w:tc>
          <w:tcPr>
            <w:tcW w:w="4050" w:type="dxa"/>
            <w:gridSpan w:val="2"/>
            <w:shd w:val="clear" w:color="auto" w:fill="auto"/>
          </w:tcPr>
          <w:p w14:paraId="7081776F" w14:textId="23143EA7" w:rsidR="00007A82" w:rsidRPr="00722D10" w:rsidRDefault="00595706" w:rsidP="00092B43">
            <w:pPr>
              <w:pStyle w:val="BodyText"/>
              <w:tabs>
                <w:tab w:val="left" w:pos="176"/>
              </w:tabs>
              <w:spacing w:after="40" w:line="240" w:lineRule="auto"/>
              <w:ind w:left="176"/>
              <w:jc w:val="left"/>
              <w:rPr>
                <w:rFonts w:ascii="Calibri" w:hAnsi="Calibri" w:cs="Calibri"/>
                <w:sz w:val="22"/>
                <w:szCs w:val="22"/>
              </w:rPr>
            </w:pPr>
            <w:r w:rsidRPr="00722D10">
              <w:rPr>
                <w:rFonts w:ascii="Calibri" w:hAnsi="Calibri" w:cs="Calibri"/>
                <w:sz w:val="22"/>
                <w:szCs w:val="22"/>
              </w:rPr>
              <w:t>09 June 2018</w:t>
            </w:r>
          </w:p>
        </w:tc>
      </w:tr>
      <w:tr w:rsidR="00007A82" w:rsidRPr="00722D10" w14:paraId="419A09A7" w14:textId="77777777" w:rsidTr="00C540BD">
        <w:tc>
          <w:tcPr>
            <w:tcW w:w="4820" w:type="dxa"/>
            <w:gridSpan w:val="2"/>
            <w:shd w:val="clear" w:color="auto" w:fill="auto"/>
          </w:tcPr>
          <w:p w14:paraId="0DB1BE62" w14:textId="77777777" w:rsidR="00007A82" w:rsidRPr="00722D10" w:rsidRDefault="00007A82" w:rsidP="006F0E40">
            <w:pPr>
              <w:pStyle w:val="BodyText"/>
              <w:tabs>
                <w:tab w:val="left" w:pos="360"/>
              </w:tabs>
              <w:spacing w:after="40" w:line="240" w:lineRule="auto"/>
              <w:jc w:val="left"/>
              <w:rPr>
                <w:rFonts w:ascii="Calibri" w:hAnsi="Calibri" w:cs="Calibri"/>
                <w:b/>
                <w:sz w:val="22"/>
                <w:szCs w:val="22"/>
              </w:rPr>
            </w:pPr>
            <w:r w:rsidRPr="00722D10">
              <w:rPr>
                <w:rFonts w:ascii="Calibri" w:hAnsi="Calibri" w:cs="Calibri"/>
                <w:b/>
                <w:sz w:val="22"/>
                <w:szCs w:val="22"/>
              </w:rPr>
              <w:t>Project completion (actual)</w:t>
            </w:r>
          </w:p>
        </w:tc>
        <w:tc>
          <w:tcPr>
            <w:tcW w:w="4050" w:type="dxa"/>
            <w:gridSpan w:val="2"/>
            <w:shd w:val="clear" w:color="auto" w:fill="auto"/>
          </w:tcPr>
          <w:p w14:paraId="76E17031" w14:textId="0B8DD0FC" w:rsidR="00007A82" w:rsidRPr="00722D10" w:rsidRDefault="001C6CB3" w:rsidP="00C540BD">
            <w:pPr>
              <w:pStyle w:val="BodyText"/>
              <w:tabs>
                <w:tab w:val="left" w:pos="-108"/>
              </w:tabs>
              <w:spacing w:after="40" w:line="240" w:lineRule="auto"/>
              <w:ind w:left="-108" w:right="115"/>
              <w:jc w:val="left"/>
              <w:rPr>
                <w:rFonts w:ascii="Calibri" w:hAnsi="Calibri" w:cs="Calibri"/>
                <w:sz w:val="22"/>
                <w:szCs w:val="22"/>
              </w:rPr>
            </w:pPr>
            <w:r w:rsidRPr="00722D10">
              <w:rPr>
                <w:rFonts w:ascii="Calibri" w:hAnsi="Calibri" w:cs="Calibri"/>
                <w:sz w:val="22"/>
                <w:szCs w:val="22"/>
              </w:rPr>
              <w:t xml:space="preserve">31 </w:t>
            </w:r>
            <w:r w:rsidR="00595706" w:rsidRPr="00722D10">
              <w:rPr>
                <w:rFonts w:ascii="Calibri" w:hAnsi="Calibri" w:cs="Calibri"/>
                <w:sz w:val="22"/>
                <w:szCs w:val="22"/>
              </w:rPr>
              <w:t>December 2018</w:t>
            </w:r>
          </w:p>
        </w:tc>
      </w:tr>
      <w:tr w:rsidR="00007A82" w:rsidRPr="00722D10" w14:paraId="501879F8" w14:textId="77777777" w:rsidTr="00C540BD">
        <w:tc>
          <w:tcPr>
            <w:tcW w:w="4820" w:type="dxa"/>
            <w:gridSpan w:val="2"/>
            <w:shd w:val="clear" w:color="auto" w:fill="auto"/>
          </w:tcPr>
          <w:p w14:paraId="4D711D44" w14:textId="77777777" w:rsidR="00007A82" w:rsidRPr="00722D10" w:rsidRDefault="00007A82" w:rsidP="003B5476">
            <w:pPr>
              <w:pStyle w:val="BodyText"/>
              <w:tabs>
                <w:tab w:val="left" w:pos="360"/>
              </w:tabs>
              <w:spacing w:after="80" w:line="240" w:lineRule="auto"/>
              <w:jc w:val="left"/>
              <w:rPr>
                <w:rFonts w:ascii="Calibri" w:hAnsi="Calibri" w:cs="Calibri"/>
                <w:b/>
                <w:sz w:val="22"/>
                <w:szCs w:val="22"/>
              </w:rPr>
            </w:pPr>
            <w:r w:rsidRPr="00722D10">
              <w:rPr>
                <w:rFonts w:ascii="Calibri" w:hAnsi="Calibri" w:cs="Calibri"/>
                <w:b/>
                <w:sz w:val="22"/>
                <w:szCs w:val="22"/>
              </w:rPr>
              <w:t xml:space="preserve">Terminal evaluation </w:t>
            </w:r>
          </w:p>
        </w:tc>
        <w:tc>
          <w:tcPr>
            <w:tcW w:w="4050" w:type="dxa"/>
            <w:gridSpan w:val="2"/>
            <w:shd w:val="clear" w:color="auto" w:fill="auto"/>
          </w:tcPr>
          <w:p w14:paraId="077C8C21" w14:textId="7FBF2438" w:rsidR="00007A82" w:rsidRPr="00722D10" w:rsidRDefault="00595706" w:rsidP="00C613AC">
            <w:pPr>
              <w:pStyle w:val="BodyText"/>
              <w:tabs>
                <w:tab w:val="left" w:pos="-108"/>
              </w:tabs>
              <w:spacing w:after="80" w:line="240" w:lineRule="auto"/>
              <w:ind w:left="-108" w:right="115"/>
              <w:jc w:val="left"/>
              <w:rPr>
                <w:rFonts w:ascii="Calibri" w:hAnsi="Calibri" w:cs="Calibri"/>
                <w:sz w:val="22"/>
                <w:szCs w:val="22"/>
              </w:rPr>
            </w:pPr>
            <w:r w:rsidRPr="00722D10">
              <w:rPr>
                <w:rFonts w:ascii="Calibri" w:hAnsi="Calibri" w:cs="Calibri"/>
                <w:sz w:val="22"/>
                <w:szCs w:val="22"/>
              </w:rPr>
              <w:t xml:space="preserve">October – </w:t>
            </w:r>
            <w:r w:rsidR="00C613AC">
              <w:rPr>
                <w:rFonts w:ascii="Calibri" w:hAnsi="Calibri" w:cs="Calibri"/>
                <w:sz w:val="22"/>
                <w:szCs w:val="22"/>
              </w:rPr>
              <w:t>January</w:t>
            </w:r>
            <w:r w:rsidRPr="00722D10">
              <w:rPr>
                <w:rFonts w:ascii="Calibri" w:hAnsi="Calibri" w:cs="Calibri"/>
                <w:sz w:val="22"/>
                <w:szCs w:val="22"/>
              </w:rPr>
              <w:t xml:space="preserve"> 201</w:t>
            </w:r>
            <w:r w:rsidR="00C613AC">
              <w:rPr>
                <w:rFonts w:ascii="Calibri" w:hAnsi="Calibri" w:cs="Calibri"/>
                <w:sz w:val="22"/>
                <w:szCs w:val="22"/>
              </w:rPr>
              <w:t>9</w:t>
            </w:r>
          </w:p>
        </w:tc>
      </w:tr>
    </w:tbl>
    <w:p w14:paraId="4D8D5AA4" w14:textId="379D8D97" w:rsidR="00E13082" w:rsidRPr="00E13082" w:rsidRDefault="00E13082" w:rsidP="00722D10">
      <w:pPr>
        <w:pStyle w:val="BodyText"/>
        <w:spacing w:before="120"/>
        <w:rPr>
          <w:rFonts w:ascii="Calibri" w:hAnsi="Calibri"/>
        </w:rPr>
      </w:pPr>
      <w:r>
        <w:rPr>
          <w:rFonts w:ascii="Calibri" w:hAnsi="Calibri"/>
        </w:rPr>
        <w:t>The UNDP-supported, GEF-</w:t>
      </w:r>
      <w:r w:rsidRPr="00E13082">
        <w:rPr>
          <w:rFonts w:ascii="Calibri" w:hAnsi="Calibri"/>
        </w:rPr>
        <w:t>financed project entitled: “</w:t>
      </w:r>
      <w:r w:rsidRPr="00E13082">
        <w:rPr>
          <w:rFonts w:ascii="Calibri" w:hAnsi="Calibri"/>
          <w:i/>
        </w:rPr>
        <w:t>Expansion and Improved Management Effectiveness of the Achara Region’s Protected Areas</w:t>
      </w:r>
      <w:r>
        <w:rPr>
          <w:rFonts w:ascii="Calibri" w:hAnsi="Calibri"/>
        </w:rPr>
        <w:t>,” h</w:t>
      </w:r>
      <w:r w:rsidRPr="00E13082">
        <w:rPr>
          <w:rFonts w:ascii="Calibri" w:hAnsi="Calibri"/>
        </w:rPr>
        <w:t>ereafter referred to as the project, it was approved on 7 June 2012, drawing USD 1,283,636 from the biodiversity focal area under the GEF-5 STAR allocation over a period of four years and a further USD 40,000 from UNDP TRAC. The Project Document was signed two years later, on 9 June 2014, and the Inception Workshop held in December of that year. Planned closure was 9 June 2018 but, following the recommendations of the M</w:t>
      </w:r>
      <w:r>
        <w:rPr>
          <w:rFonts w:ascii="Calibri" w:hAnsi="Calibri"/>
        </w:rPr>
        <w:t>TR</w:t>
      </w:r>
      <w:r w:rsidRPr="00E13082">
        <w:rPr>
          <w:rFonts w:ascii="Calibri" w:hAnsi="Calibri"/>
        </w:rPr>
        <w:t xml:space="preserve"> </w:t>
      </w:r>
      <w:r>
        <w:rPr>
          <w:rFonts w:ascii="Calibri" w:hAnsi="Calibri"/>
        </w:rPr>
        <w:t xml:space="preserve">ending </w:t>
      </w:r>
      <w:r w:rsidRPr="00E13082">
        <w:rPr>
          <w:rFonts w:ascii="Calibri" w:hAnsi="Calibri"/>
        </w:rPr>
        <w:t>in October 2016, the project was extended by 6 months and 21 days to 31 December 2018.</w:t>
      </w:r>
    </w:p>
    <w:p w14:paraId="42DB2E07" w14:textId="0DBF690F" w:rsidR="00E13082" w:rsidRPr="00E13082" w:rsidRDefault="00E13082" w:rsidP="00E13082">
      <w:pPr>
        <w:pStyle w:val="BodyText"/>
        <w:rPr>
          <w:rFonts w:ascii="Calibri" w:hAnsi="Calibri"/>
        </w:rPr>
      </w:pPr>
      <w:r w:rsidRPr="00E13082">
        <w:rPr>
          <w:rFonts w:ascii="Calibri" w:hAnsi="Calibri"/>
        </w:rPr>
        <w:t xml:space="preserve">The project </w:t>
      </w:r>
      <w:r w:rsidR="00035848">
        <w:rPr>
          <w:rFonts w:ascii="Calibri" w:hAnsi="Calibri"/>
        </w:rPr>
        <w:t>was</w:t>
      </w:r>
      <w:r w:rsidRPr="00E13082">
        <w:rPr>
          <w:rFonts w:ascii="Calibri" w:hAnsi="Calibri"/>
        </w:rPr>
        <w:t xml:space="preserve"> designed to enhance the management effectiveness, biogeographical coverage and connectivity of protected areas </w:t>
      </w:r>
      <w:r w:rsidR="00035848">
        <w:rPr>
          <w:rFonts w:ascii="Calibri" w:hAnsi="Calibri"/>
        </w:rPr>
        <w:t>in</w:t>
      </w:r>
      <w:r w:rsidRPr="00E13082">
        <w:rPr>
          <w:rFonts w:ascii="Calibri" w:hAnsi="Calibri"/>
        </w:rPr>
        <w:t xml:space="preserve"> the Autonomous Republic of </w:t>
      </w:r>
      <w:r w:rsidR="00035848" w:rsidRPr="00E13082">
        <w:rPr>
          <w:rFonts w:ascii="Calibri" w:hAnsi="Calibri"/>
        </w:rPr>
        <w:t>Achara</w:t>
      </w:r>
      <w:r w:rsidR="00035848">
        <w:rPr>
          <w:rFonts w:ascii="Calibri" w:hAnsi="Calibri"/>
        </w:rPr>
        <w:t xml:space="preserve"> (ARA),</w:t>
      </w:r>
      <w:r w:rsidR="00035848" w:rsidRPr="00E13082">
        <w:rPr>
          <w:rFonts w:ascii="Calibri" w:hAnsi="Calibri"/>
        </w:rPr>
        <w:t xml:space="preserve"> </w:t>
      </w:r>
      <w:r w:rsidRPr="00E13082">
        <w:rPr>
          <w:rFonts w:ascii="Calibri" w:hAnsi="Calibri"/>
        </w:rPr>
        <w:t xml:space="preserve">Georgia, thereby enhancing the conservation of the globally unique Colchic Forests (temperate rainforest). The area is a refugium for humid Pliocene flora, having a high proportion of endemic fauna and narrow-ranged (locally endemic) flora. It is also a well-known bottle-neck for migratory birds. </w:t>
      </w:r>
    </w:p>
    <w:p w14:paraId="6D81A452" w14:textId="38C162E7" w:rsidR="00E13082" w:rsidRDefault="004D66B3" w:rsidP="00E13082">
      <w:pPr>
        <w:pStyle w:val="BodyText"/>
        <w:rPr>
          <w:rFonts w:ascii="Calibri" w:hAnsi="Calibri"/>
        </w:rPr>
      </w:pPr>
      <w:r>
        <w:rPr>
          <w:rFonts w:ascii="Calibri" w:hAnsi="Calibri"/>
        </w:rPr>
        <w:t>An overriding rationale of th</w:t>
      </w:r>
      <w:r w:rsidR="00E13082" w:rsidRPr="00E13082">
        <w:rPr>
          <w:rFonts w:ascii="Calibri" w:hAnsi="Calibri"/>
        </w:rPr>
        <w:t xml:space="preserve">e project has </w:t>
      </w:r>
      <w:r>
        <w:rPr>
          <w:rFonts w:ascii="Calibri" w:hAnsi="Calibri"/>
        </w:rPr>
        <w:t xml:space="preserve">been to </w:t>
      </w:r>
      <w:r w:rsidR="00E13082" w:rsidRPr="00E13082">
        <w:rPr>
          <w:rFonts w:ascii="Calibri" w:hAnsi="Calibri"/>
        </w:rPr>
        <w:t xml:space="preserve">support government in planning and managing the recently gazetted Machakhela National Park, which forms the last link in a chain of four protected areas established to conserve the region’s Colchic forests (i.e. Kintrishi, Mtirala and Machakhela in Georgia and Jamili in Turkey), as shown in </w:t>
      </w:r>
      <w:r w:rsidR="00E13082" w:rsidRPr="00E13082">
        <w:rPr>
          <w:rFonts w:ascii="Calibri" w:hAnsi="Calibri"/>
          <w:b/>
        </w:rPr>
        <w:t xml:space="preserve">Figure </w:t>
      </w:r>
      <w:r w:rsidR="00111DCE">
        <w:rPr>
          <w:rFonts w:ascii="Calibri" w:hAnsi="Calibri"/>
          <w:b/>
        </w:rPr>
        <w:t>2.1</w:t>
      </w:r>
      <w:r w:rsidR="00E13082" w:rsidRPr="00E13082">
        <w:rPr>
          <w:rFonts w:ascii="Calibri" w:hAnsi="Calibri"/>
        </w:rPr>
        <w:t>.</w:t>
      </w:r>
    </w:p>
    <w:p w14:paraId="4CC0E635" w14:textId="1B32A8EC" w:rsidR="00E65D04" w:rsidRDefault="00E65D04" w:rsidP="00E65D04">
      <w:pPr>
        <w:pStyle w:val="BodyText"/>
        <w:rPr>
          <w:rFonts w:asciiTheme="minorHAnsi" w:hAnsiTheme="minorHAnsi"/>
          <w:color w:val="000000"/>
          <w:szCs w:val="24"/>
        </w:rPr>
      </w:pPr>
      <w:r>
        <w:rPr>
          <w:rFonts w:ascii="Calibri" w:hAnsi="Calibri"/>
        </w:rPr>
        <w:t>As noted in the MTR, there has been increasing emphasis on protected areas in Georgia</w:t>
      </w:r>
      <w:r w:rsidR="00466EA6">
        <w:rPr>
          <w:rFonts w:ascii="Calibri" w:hAnsi="Calibri"/>
        </w:rPr>
        <w:t>,</w:t>
      </w:r>
      <w:r>
        <w:rPr>
          <w:rFonts w:ascii="Calibri" w:hAnsi="Calibri"/>
        </w:rPr>
        <w:t xml:space="preserve"> </w:t>
      </w:r>
      <w:r w:rsidR="00466EA6">
        <w:rPr>
          <w:rFonts w:ascii="Calibri" w:hAnsi="Calibri"/>
        </w:rPr>
        <w:t>following</w:t>
      </w:r>
      <w:r w:rsidR="00D3179E">
        <w:rPr>
          <w:rFonts w:ascii="Calibri" w:hAnsi="Calibri"/>
        </w:rPr>
        <w:t xml:space="preserve"> APA’s</w:t>
      </w:r>
      <w:r w:rsidR="00466EA6">
        <w:rPr>
          <w:rFonts w:ascii="Calibri" w:hAnsi="Calibri"/>
        </w:rPr>
        <w:t xml:space="preserve"> establishment in 2007 </w:t>
      </w:r>
      <w:r w:rsidR="00D3179E">
        <w:rPr>
          <w:rFonts w:ascii="Calibri" w:hAnsi="Calibri"/>
        </w:rPr>
        <w:t xml:space="preserve">and a </w:t>
      </w:r>
      <w:r>
        <w:rPr>
          <w:rFonts w:ascii="Calibri" w:hAnsi="Calibri"/>
        </w:rPr>
        <w:t>drive</w:t>
      </w:r>
      <w:r w:rsidR="00D3179E">
        <w:rPr>
          <w:rFonts w:ascii="Calibri" w:hAnsi="Calibri"/>
        </w:rPr>
        <w:t xml:space="preserve"> for</w:t>
      </w:r>
      <w:r>
        <w:rPr>
          <w:rFonts w:ascii="Calibri" w:hAnsi="Calibri"/>
        </w:rPr>
        <w:t xml:space="preserve"> nature</w:t>
      </w:r>
      <w:r w:rsidR="00D3179E">
        <w:rPr>
          <w:rFonts w:ascii="Calibri" w:hAnsi="Calibri"/>
        </w:rPr>
        <w:t xml:space="preserve"> and </w:t>
      </w:r>
      <w:r>
        <w:rPr>
          <w:rFonts w:ascii="Calibri" w:hAnsi="Calibri"/>
        </w:rPr>
        <w:t xml:space="preserve">adventure tourism. In the context of Achara Autonomous Republic, the relatively pristine forests in the upper valleys of Machakhela National Park </w:t>
      </w:r>
      <w:r w:rsidR="007660E6">
        <w:rPr>
          <w:rFonts w:ascii="Calibri" w:hAnsi="Calibri"/>
        </w:rPr>
        <w:t xml:space="preserve">on the border with Turkey </w:t>
      </w:r>
      <w:r>
        <w:rPr>
          <w:rFonts w:ascii="Calibri" w:hAnsi="Calibri"/>
        </w:rPr>
        <w:t xml:space="preserve">can be attributed to the military </w:t>
      </w:r>
      <w:r w:rsidR="007660E6">
        <w:rPr>
          <w:rFonts w:ascii="Calibri" w:hAnsi="Calibri"/>
        </w:rPr>
        <w:t>presence during</w:t>
      </w:r>
      <w:r>
        <w:rPr>
          <w:rFonts w:ascii="Calibri" w:hAnsi="Calibri"/>
        </w:rPr>
        <w:t xml:space="preserve"> Soviet Union</w:t>
      </w:r>
      <w:r w:rsidR="007660E6">
        <w:rPr>
          <w:rFonts w:ascii="Calibri" w:hAnsi="Calibri"/>
        </w:rPr>
        <w:t xml:space="preserve"> times</w:t>
      </w:r>
      <w:r>
        <w:rPr>
          <w:rFonts w:ascii="Calibri" w:hAnsi="Calibri"/>
        </w:rPr>
        <w:t xml:space="preserve">, as well as the steepness of the topography. </w:t>
      </w:r>
      <w:r w:rsidR="004C50C8">
        <w:rPr>
          <w:rFonts w:ascii="Calibri" w:hAnsi="Calibri"/>
        </w:rPr>
        <w:t>Currently</w:t>
      </w:r>
      <w:r>
        <w:rPr>
          <w:rFonts w:ascii="Calibri" w:hAnsi="Calibri"/>
        </w:rPr>
        <w:t>, the ecological integrity of these remaining Colchic forests is threatened by the proximity of Batumi, leading to significant exploitation of natural resources, especially timber, and the replacement of beech woodlands with alder. Such is the importance of Colchic forest</w:t>
      </w:r>
      <w:r w:rsidR="004C50C8">
        <w:rPr>
          <w:rFonts w:ascii="Calibri" w:hAnsi="Calibri"/>
        </w:rPr>
        <w:t>s</w:t>
      </w:r>
      <w:r>
        <w:rPr>
          <w:rFonts w:ascii="Calibri" w:hAnsi="Calibri"/>
        </w:rPr>
        <w:t xml:space="preserve"> and</w:t>
      </w:r>
      <w:r w:rsidR="004C50C8" w:rsidRPr="004C50C8">
        <w:rPr>
          <w:rFonts w:ascii="Calibri" w:hAnsi="Calibri"/>
        </w:rPr>
        <w:t xml:space="preserve"> </w:t>
      </w:r>
      <w:r w:rsidR="004C50C8">
        <w:rPr>
          <w:rFonts w:ascii="Calibri" w:hAnsi="Calibri"/>
        </w:rPr>
        <w:t>Colchic mires, nearby</w:t>
      </w:r>
      <w:r>
        <w:rPr>
          <w:rFonts w:ascii="Calibri" w:hAnsi="Calibri"/>
        </w:rPr>
        <w:t xml:space="preserve"> Mtirala, that they </w:t>
      </w:r>
      <w:r w:rsidR="004C50C8">
        <w:rPr>
          <w:rFonts w:ascii="Calibri" w:hAnsi="Calibri"/>
        </w:rPr>
        <w:t>are being</w:t>
      </w:r>
      <w:r>
        <w:rPr>
          <w:rFonts w:ascii="Calibri" w:hAnsi="Calibri"/>
        </w:rPr>
        <w:t xml:space="preserve"> nominated for World Heritage status. </w:t>
      </w:r>
    </w:p>
    <w:p w14:paraId="226BF595" w14:textId="77777777" w:rsidR="00F2052E" w:rsidRDefault="00F2052E" w:rsidP="00F2052E">
      <w:pPr>
        <w:pStyle w:val="BodyText2"/>
        <w:spacing w:after="120" w:line="264" w:lineRule="auto"/>
        <w:rPr>
          <w:rFonts w:ascii="Arial" w:hAnsi="Arial" w:cs="Arial"/>
          <w:sz w:val="21"/>
          <w:szCs w:val="21"/>
        </w:rPr>
      </w:pPr>
      <w:r>
        <w:rPr>
          <w:rFonts w:ascii="Arial" w:hAnsi="Arial" w:cs="Arial"/>
          <w:noProof/>
          <w:sz w:val="21"/>
          <w:szCs w:val="21"/>
        </w:rPr>
        <w:lastRenderedPageBreak/>
        <w:drawing>
          <wp:inline distT="0" distB="0" distL="0" distR="0" wp14:anchorId="3018CDA5" wp14:editId="42960237">
            <wp:extent cx="5759450" cy="40163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ia PAs TE map 2018-10-02 at 23.22.01.png"/>
                    <pic:cNvPicPr/>
                  </pic:nvPicPr>
                  <pic:blipFill>
                    <a:blip r:embed="rId18">
                      <a:extLst>
                        <a:ext uri="{28A0092B-C50C-407E-A947-70E740481C1C}">
                          <a14:useLocalDpi xmlns:a14="http://schemas.microsoft.com/office/drawing/2010/main" val="0"/>
                        </a:ext>
                      </a:extLst>
                    </a:blip>
                    <a:stretch>
                      <a:fillRect/>
                    </a:stretch>
                  </pic:blipFill>
                  <pic:spPr>
                    <a:xfrm>
                      <a:off x="0" y="0"/>
                      <a:ext cx="5759450" cy="4016375"/>
                    </a:xfrm>
                    <a:prstGeom prst="rect">
                      <a:avLst/>
                    </a:prstGeom>
                  </pic:spPr>
                </pic:pic>
              </a:graphicData>
            </a:graphic>
          </wp:inline>
        </w:drawing>
      </w:r>
    </w:p>
    <w:p w14:paraId="22B90C47" w14:textId="7F3099CC" w:rsidR="00F2052E" w:rsidRDefault="00111DCE" w:rsidP="007660E6">
      <w:pPr>
        <w:pStyle w:val="BodyText2"/>
        <w:tabs>
          <w:tab w:val="left" w:pos="1080"/>
        </w:tabs>
        <w:spacing w:after="120"/>
        <w:ind w:left="1134" w:hanging="1134"/>
        <w:rPr>
          <w:rFonts w:ascii="Calibri" w:hAnsi="Calibri" w:cs="Arial"/>
          <w:sz w:val="22"/>
          <w:szCs w:val="22"/>
        </w:rPr>
      </w:pPr>
      <w:r>
        <w:rPr>
          <w:rFonts w:ascii="Calibri" w:hAnsi="Calibri" w:cs="Arial"/>
          <w:b/>
          <w:sz w:val="22"/>
          <w:szCs w:val="22"/>
        </w:rPr>
        <w:t>Figure 2.1</w:t>
      </w:r>
      <w:r w:rsidR="00F2052E" w:rsidRPr="00B73351">
        <w:rPr>
          <w:rFonts w:ascii="Calibri" w:hAnsi="Calibri" w:cs="Arial"/>
          <w:b/>
          <w:sz w:val="22"/>
          <w:szCs w:val="22"/>
        </w:rPr>
        <w:tab/>
      </w:r>
      <w:r w:rsidR="00F2052E" w:rsidRPr="00B73351">
        <w:rPr>
          <w:rFonts w:ascii="Calibri" w:hAnsi="Calibri" w:cs="Arial"/>
          <w:sz w:val="22"/>
          <w:szCs w:val="22"/>
        </w:rPr>
        <w:t xml:space="preserve">The three project </w:t>
      </w:r>
      <w:r w:rsidR="00F2052E" w:rsidRPr="00DF7476">
        <w:rPr>
          <w:rFonts w:ascii="Calibri" w:hAnsi="Calibri" w:cs="Arial"/>
          <w:sz w:val="22"/>
          <w:szCs w:val="22"/>
        </w:rPr>
        <w:t>sites (</w:t>
      </w:r>
      <w:r w:rsidR="00DF7476" w:rsidRPr="00DF7476">
        <w:rPr>
          <w:rFonts w:ascii="Calibri" w:hAnsi="Calibri" w:cs="Arial"/>
          <w:sz w:val="22"/>
          <w:szCs w:val="22"/>
        </w:rPr>
        <w:t>Kintrishi, Mtirala and Machakhela national parks</w:t>
      </w:r>
      <w:r w:rsidR="00F2052E" w:rsidRPr="00DF7476">
        <w:rPr>
          <w:rFonts w:ascii="Calibri" w:hAnsi="Calibri" w:cs="Arial"/>
          <w:sz w:val="22"/>
          <w:szCs w:val="22"/>
        </w:rPr>
        <w:t>) in</w:t>
      </w:r>
      <w:r w:rsidR="00C613AC">
        <w:rPr>
          <w:rFonts w:ascii="Calibri" w:hAnsi="Calibri" w:cs="Arial"/>
          <w:sz w:val="22"/>
          <w:szCs w:val="22"/>
        </w:rPr>
        <w:t xml:space="preserve"> the</w:t>
      </w:r>
      <w:r w:rsidR="00F2052E" w:rsidRPr="00B73351">
        <w:rPr>
          <w:rFonts w:ascii="Calibri" w:hAnsi="Calibri" w:cs="Arial"/>
          <w:sz w:val="22"/>
          <w:szCs w:val="22"/>
        </w:rPr>
        <w:t xml:space="preserve"> Autonomous Republic of </w:t>
      </w:r>
      <w:r w:rsidR="00C613AC" w:rsidRPr="00B73351">
        <w:rPr>
          <w:rFonts w:ascii="Calibri" w:hAnsi="Calibri" w:cs="Arial"/>
          <w:sz w:val="22"/>
          <w:szCs w:val="22"/>
        </w:rPr>
        <w:t>Achara</w:t>
      </w:r>
      <w:r w:rsidR="00C613AC">
        <w:rPr>
          <w:rFonts w:ascii="Calibri" w:hAnsi="Calibri" w:cs="Arial"/>
          <w:sz w:val="22"/>
          <w:szCs w:val="22"/>
        </w:rPr>
        <w:t>,</w:t>
      </w:r>
      <w:r w:rsidR="00C613AC" w:rsidRPr="00B73351">
        <w:rPr>
          <w:rFonts w:ascii="Calibri" w:hAnsi="Calibri" w:cs="Arial"/>
          <w:sz w:val="22"/>
          <w:szCs w:val="22"/>
        </w:rPr>
        <w:t xml:space="preserve"> </w:t>
      </w:r>
      <w:r w:rsidR="00F2052E" w:rsidRPr="00B73351">
        <w:rPr>
          <w:rFonts w:ascii="Calibri" w:hAnsi="Calibri" w:cs="Arial"/>
          <w:sz w:val="22"/>
          <w:szCs w:val="22"/>
        </w:rPr>
        <w:t>Georgia</w:t>
      </w:r>
    </w:p>
    <w:p w14:paraId="7446F8EE" w14:textId="77777777" w:rsidR="00976018" w:rsidRPr="00E22EBA" w:rsidRDefault="00976018" w:rsidP="00722D10">
      <w:pPr>
        <w:pStyle w:val="Heading2"/>
        <w:numPr>
          <w:ilvl w:val="1"/>
          <w:numId w:val="7"/>
        </w:numPr>
        <w:spacing w:before="240" w:after="120" w:line="240" w:lineRule="auto"/>
        <w:ind w:left="567" w:hanging="567"/>
        <w:rPr>
          <w:rFonts w:asciiTheme="minorHAnsi" w:hAnsiTheme="minorHAnsi" w:cs="Calibri"/>
          <w:b/>
          <w:caps w:val="0"/>
          <w:sz w:val="28"/>
        </w:rPr>
      </w:pPr>
      <w:bookmarkStart w:id="18" w:name="_Toc414745311"/>
      <w:r w:rsidRPr="00E22EBA">
        <w:rPr>
          <w:rFonts w:asciiTheme="minorHAnsi" w:hAnsiTheme="minorHAnsi" w:cs="Calibri"/>
          <w:b/>
          <w:caps w:val="0"/>
          <w:sz w:val="28"/>
        </w:rPr>
        <w:t>Problems that the Project Sought to Address</w:t>
      </w:r>
      <w:bookmarkEnd w:id="18"/>
    </w:p>
    <w:p w14:paraId="61C8B45A" w14:textId="03E4B133" w:rsidR="00414D66" w:rsidRDefault="00843590" w:rsidP="006E4353">
      <w:pPr>
        <w:overflowPunct/>
        <w:spacing w:after="60" w:line="240" w:lineRule="atLeast"/>
        <w:jc w:val="both"/>
        <w:textAlignment w:val="auto"/>
        <w:rPr>
          <w:rFonts w:asciiTheme="minorHAnsi" w:hAnsiTheme="minorHAnsi"/>
          <w:sz w:val="24"/>
          <w:szCs w:val="22"/>
          <w:lang w:bidi="th-TH"/>
        </w:rPr>
      </w:pPr>
      <w:r w:rsidRPr="00843590">
        <w:rPr>
          <w:rFonts w:asciiTheme="minorHAnsi" w:hAnsiTheme="minorHAnsi"/>
          <w:sz w:val="24"/>
          <w:szCs w:val="24"/>
        </w:rPr>
        <w:t xml:space="preserve">Kintrishi and Tsiskara State Reserves </w:t>
      </w:r>
      <w:r>
        <w:rPr>
          <w:rFonts w:asciiTheme="minorHAnsi" w:hAnsiTheme="minorHAnsi"/>
          <w:sz w:val="24"/>
          <w:szCs w:val="24"/>
        </w:rPr>
        <w:t>were t</w:t>
      </w:r>
      <w:r w:rsidRPr="00843590">
        <w:rPr>
          <w:rFonts w:asciiTheme="minorHAnsi" w:hAnsiTheme="minorHAnsi"/>
          <w:sz w:val="24"/>
          <w:szCs w:val="24"/>
        </w:rPr>
        <w:t>he first protected areas</w:t>
      </w:r>
      <w:r w:rsidR="003567AE">
        <w:rPr>
          <w:rFonts w:asciiTheme="minorHAnsi" w:hAnsiTheme="minorHAnsi"/>
          <w:sz w:val="24"/>
          <w:szCs w:val="24"/>
        </w:rPr>
        <w:t xml:space="preserve"> (PAs)</w:t>
      </w:r>
      <w:r w:rsidRPr="00843590">
        <w:rPr>
          <w:rFonts w:asciiTheme="minorHAnsi" w:hAnsiTheme="minorHAnsi"/>
          <w:sz w:val="24"/>
          <w:szCs w:val="24"/>
        </w:rPr>
        <w:t xml:space="preserve"> </w:t>
      </w:r>
      <w:r>
        <w:rPr>
          <w:rFonts w:asciiTheme="minorHAnsi" w:hAnsiTheme="minorHAnsi"/>
          <w:sz w:val="24"/>
          <w:szCs w:val="24"/>
        </w:rPr>
        <w:t xml:space="preserve">to be created </w:t>
      </w:r>
      <w:r w:rsidR="00A17B8F">
        <w:rPr>
          <w:rFonts w:asciiTheme="minorHAnsi" w:hAnsiTheme="minorHAnsi"/>
          <w:sz w:val="24"/>
          <w:szCs w:val="24"/>
        </w:rPr>
        <w:t xml:space="preserve">in </w:t>
      </w:r>
      <w:r w:rsidRPr="00843590">
        <w:rPr>
          <w:rFonts w:asciiTheme="minorHAnsi" w:hAnsiTheme="minorHAnsi"/>
          <w:sz w:val="24"/>
          <w:szCs w:val="24"/>
        </w:rPr>
        <w:t xml:space="preserve">Achara during the Soviet era in 1969. </w:t>
      </w:r>
      <w:r w:rsidR="00294FA3">
        <w:rPr>
          <w:rFonts w:asciiTheme="minorHAnsi" w:hAnsiTheme="minorHAnsi"/>
          <w:sz w:val="24"/>
          <w:szCs w:val="24"/>
        </w:rPr>
        <w:t xml:space="preserve">The region </w:t>
      </w:r>
      <w:r w:rsidR="00294FA3">
        <w:rPr>
          <w:rFonts w:asciiTheme="minorHAnsi" w:hAnsiTheme="minorHAnsi"/>
          <w:sz w:val="24"/>
          <w:szCs w:val="22"/>
          <w:lang w:bidi="th-TH"/>
        </w:rPr>
        <w:t>has received little attention from national and international biodiversity conservation initiatives, with the exception of Kobuleti</w:t>
      </w:r>
      <w:r w:rsidR="00294FA3">
        <w:rPr>
          <w:rStyle w:val="FootnoteReference"/>
          <w:rFonts w:asciiTheme="minorHAnsi" w:hAnsiTheme="minorHAnsi"/>
          <w:sz w:val="24"/>
          <w:szCs w:val="22"/>
          <w:lang w:bidi="th-TH"/>
        </w:rPr>
        <w:footnoteReference w:id="14"/>
      </w:r>
      <w:r w:rsidR="00294FA3">
        <w:rPr>
          <w:rFonts w:asciiTheme="minorHAnsi" w:hAnsiTheme="minorHAnsi"/>
          <w:sz w:val="24"/>
          <w:szCs w:val="22"/>
          <w:lang w:bidi="th-TH"/>
        </w:rPr>
        <w:t xml:space="preserve">, since </w:t>
      </w:r>
      <w:r w:rsidRPr="00843590">
        <w:rPr>
          <w:rFonts w:asciiTheme="minorHAnsi" w:hAnsiTheme="minorHAnsi"/>
          <w:sz w:val="24"/>
          <w:szCs w:val="24"/>
        </w:rPr>
        <w:t xml:space="preserve">the Soviet Union collapse and </w:t>
      </w:r>
      <w:r>
        <w:rPr>
          <w:rFonts w:asciiTheme="minorHAnsi" w:hAnsiTheme="minorHAnsi"/>
          <w:sz w:val="24"/>
          <w:szCs w:val="24"/>
        </w:rPr>
        <w:t>initial</w:t>
      </w:r>
      <w:r w:rsidRPr="00843590">
        <w:rPr>
          <w:rFonts w:asciiTheme="minorHAnsi" w:hAnsiTheme="minorHAnsi"/>
          <w:sz w:val="24"/>
          <w:szCs w:val="24"/>
        </w:rPr>
        <w:t xml:space="preserve"> independence </w:t>
      </w:r>
      <w:r w:rsidR="00A17B8F">
        <w:rPr>
          <w:rFonts w:asciiTheme="minorHAnsi" w:hAnsiTheme="minorHAnsi"/>
          <w:sz w:val="24"/>
          <w:szCs w:val="24"/>
        </w:rPr>
        <w:t xml:space="preserve">of Georgia </w:t>
      </w:r>
      <w:r w:rsidR="00294FA3">
        <w:rPr>
          <w:rFonts w:asciiTheme="minorHAnsi" w:hAnsiTheme="minorHAnsi"/>
          <w:sz w:val="24"/>
          <w:szCs w:val="24"/>
        </w:rPr>
        <w:t>in 1991</w:t>
      </w:r>
      <w:r w:rsidR="004B6DEB">
        <w:rPr>
          <w:rFonts w:asciiTheme="minorHAnsi" w:hAnsiTheme="minorHAnsi"/>
          <w:sz w:val="24"/>
          <w:szCs w:val="24"/>
        </w:rPr>
        <w:t>:</w:t>
      </w:r>
      <w:r w:rsidR="00294FA3">
        <w:rPr>
          <w:rFonts w:asciiTheme="minorHAnsi" w:hAnsiTheme="minorHAnsi"/>
          <w:sz w:val="24"/>
          <w:szCs w:val="24"/>
        </w:rPr>
        <w:t xml:space="preserve"> a period </w:t>
      </w:r>
      <w:r w:rsidRPr="00843590">
        <w:rPr>
          <w:rFonts w:asciiTheme="minorHAnsi" w:hAnsiTheme="minorHAnsi"/>
          <w:sz w:val="24"/>
          <w:szCs w:val="24"/>
        </w:rPr>
        <w:t xml:space="preserve">marked by </w:t>
      </w:r>
      <w:r w:rsidR="00002372">
        <w:rPr>
          <w:rFonts w:asciiTheme="minorHAnsi" w:hAnsiTheme="minorHAnsi"/>
          <w:sz w:val="24"/>
          <w:szCs w:val="24"/>
        </w:rPr>
        <w:t xml:space="preserve">an </w:t>
      </w:r>
      <w:r w:rsidRPr="00843590">
        <w:rPr>
          <w:rFonts w:asciiTheme="minorHAnsi" w:hAnsiTheme="minorHAnsi"/>
          <w:sz w:val="24"/>
          <w:szCs w:val="24"/>
        </w:rPr>
        <w:t xml:space="preserve">economic </w:t>
      </w:r>
      <w:r w:rsidR="00002372">
        <w:rPr>
          <w:rFonts w:asciiTheme="minorHAnsi" w:hAnsiTheme="minorHAnsi"/>
          <w:sz w:val="24"/>
          <w:szCs w:val="24"/>
        </w:rPr>
        <w:t xml:space="preserve">crisis </w:t>
      </w:r>
      <w:r w:rsidRPr="00843590">
        <w:rPr>
          <w:rFonts w:asciiTheme="minorHAnsi" w:hAnsiTheme="minorHAnsi"/>
          <w:sz w:val="24"/>
          <w:szCs w:val="24"/>
        </w:rPr>
        <w:t xml:space="preserve">and </w:t>
      </w:r>
      <w:r w:rsidR="00002372">
        <w:rPr>
          <w:rFonts w:asciiTheme="minorHAnsi" w:hAnsiTheme="minorHAnsi"/>
          <w:sz w:val="24"/>
          <w:szCs w:val="24"/>
        </w:rPr>
        <w:t>geo</w:t>
      </w:r>
      <w:r w:rsidRPr="00843590">
        <w:rPr>
          <w:rFonts w:asciiTheme="minorHAnsi" w:hAnsiTheme="minorHAnsi"/>
          <w:sz w:val="24"/>
          <w:szCs w:val="24"/>
        </w:rPr>
        <w:t xml:space="preserve">political instability </w:t>
      </w:r>
      <w:r>
        <w:rPr>
          <w:rFonts w:asciiTheme="minorHAnsi" w:hAnsiTheme="minorHAnsi"/>
          <w:sz w:val="24"/>
          <w:szCs w:val="24"/>
        </w:rPr>
        <w:t>that</w:t>
      </w:r>
      <w:r w:rsidRPr="00843590">
        <w:rPr>
          <w:rFonts w:asciiTheme="minorHAnsi" w:hAnsiTheme="minorHAnsi"/>
          <w:sz w:val="24"/>
          <w:szCs w:val="24"/>
        </w:rPr>
        <w:t xml:space="preserve"> negatively impacted the financing and management of the PA</w:t>
      </w:r>
      <w:r w:rsidR="00002372">
        <w:rPr>
          <w:rFonts w:asciiTheme="minorHAnsi" w:hAnsiTheme="minorHAnsi"/>
          <w:sz w:val="24"/>
          <w:szCs w:val="24"/>
        </w:rPr>
        <w:t>s</w:t>
      </w:r>
      <w:r w:rsidRPr="00843590">
        <w:rPr>
          <w:rFonts w:asciiTheme="minorHAnsi" w:hAnsiTheme="minorHAnsi"/>
          <w:sz w:val="24"/>
          <w:szCs w:val="24"/>
        </w:rPr>
        <w:t xml:space="preserve"> system. </w:t>
      </w:r>
    </w:p>
    <w:p w14:paraId="76500B8B" w14:textId="57A57D92" w:rsidR="00DA2AB6" w:rsidRPr="00543A19" w:rsidRDefault="00DA2AB6" w:rsidP="006D67DF">
      <w:pPr>
        <w:overflowPunct/>
        <w:spacing w:after="60" w:line="240" w:lineRule="atLeast"/>
        <w:jc w:val="both"/>
        <w:textAlignment w:val="auto"/>
        <w:rPr>
          <w:rFonts w:asciiTheme="minorHAnsi" w:hAnsiTheme="minorHAnsi"/>
          <w:sz w:val="24"/>
          <w:szCs w:val="24"/>
        </w:rPr>
      </w:pPr>
      <w:r w:rsidRPr="00543A19">
        <w:rPr>
          <w:rFonts w:asciiTheme="minorHAnsi" w:hAnsiTheme="minorHAnsi"/>
          <w:sz w:val="24"/>
          <w:szCs w:val="24"/>
        </w:rPr>
        <w:t xml:space="preserve">The project document analyses the </w:t>
      </w:r>
      <w:r w:rsidR="00543A19">
        <w:rPr>
          <w:rFonts w:asciiTheme="minorHAnsi" w:hAnsiTheme="minorHAnsi"/>
          <w:sz w:val="24"/>
          <w:szCs w:val="24"/>
        </w:rPr>
        <w:t xml:space="preserve">increasing </w:t>
      </w:r>
      <w:r w:rsidR="009D614C">
        <w:rPr>
          <w:rFonts w:asciiTheme="minorHAnsi" w:hAnsiTheme="minorHAnsi"/>
          <w:sz w:val="24"/>
          <w:szCs w:val="24"/>
        </w:rPr>
        <w:t>pressures on</w:t>
      </w:r>
      <w:r w:rsidR="00543A19">
        <w:rPr>
          <w:rFonts w:asciiTheme="minorHAnsi" w:hAnsiTheme="minorHAnsi"/>
          <w:sz w:val="24"/>
          <w:szCs w:val="24"/>
        </w:rPr>
        <w:t xml:space="preserve"> Georgia’s PAs system</w:t>
      </w:r>
      <w:r w:rsidR="00002372">
        <w:rPr>
          <w:rFonts w:asciiTheme="minorHAnsi" w:hAnsiTheme="minorHAnsi"/>
          <w:sz w:val="24"/>
          <w:szCs w:val="24"/>
        </w:rPr>
        <w:t xml:space="preserve"> within this </w:t>
      </w:r>
      <w:r w:rsidR="006D67DF">
        <w:rPr>
          <w:rFonts w:asciiTheme="minorHAnsi" w:hAnsiTheme="minorHAnsi"/>
          <w:sz w:val="24"/>
          <w:szCs w:val="24"/>
        </w:rPr>
        <w:t xml:space="preserve">context </w:t>
      </w:r>
      <w:r w:rsidR="00543A19">
        <w:rPr>
          <w:rFonts w:asciiTheme="minorHAnsi" w:hAnsiTheme="minorHAnsi"/>
          <w:sz w:val="24"/>
          <w:szCs w:val="24"/>
        </w:rPr>
        <w:t>and identifies the</w:t>
      </w:r>
      <w:r w:rsidRPr="00543A19">
        <w:rPr>
          <w:rFonts w:asciiTheme="minorHAnsi" w:hAnsiTheme="minorHAnsi"/>
          <w:sz w:val="24"/>
          <w:szCs w:val="24"/>
        </w:rPr>
        <w:t xml:space="preserve"> overriding threats </w:t>
      </w:r>
      <w:r w:rsidR="00543A19">
        <w:rPr>
          <w:rFonts w:asciiTheme="minorHAnsi" w:hAnsiTheme="minorHAnsi"/>
          <w:sz w:val="24"/>
          <w:szCs w:val="24"/>
        </w:rPr>
        <w:t>to be</w:t>
      </w:r>
      <w:r w:rsidRPr="00543A19">
        <w:rPr>
          <w:rFonts w:asciiTheme="minorHAnsi" w:hAnsiTheme="minorHAnsi"/>
          <w:sz w:val="24"/>
          <w:szCs w:val="24"/>
        </w:rPr>
        <w:t xml:space="preserve">: </w:t>
      </w:r>
    </w:p>
    <w:p w14:paraId="77D7B859" w14:textId="49F0D62C" w:rsidR="00DA2AB6" w:rsidRPr="00543A19" w:rsidRDefault="006D67DF" w:rsidP="0067558E">
      <w:pPr>
        <w:pStyle w:val="BodyText"/>
        <w:numPr>
          <w:ilvl w:val="0"/>
          <w:numId w:val="13"/>
        </w:numPr>
        <w:spacing w:after="60" w:line="240" w:lineRule="auto"/>
        <w:ind w:left="567" w:hanging="425"/>
        <w:rPr>
          <w:rFonts w:ascii="Calibri" w:hAnsi="Calibri" w:cs="Calibri"/>
          <w:szCs w:val="24"/>
        </w:rPr>
      </w:pPr>
      <w:r>
        <w:rPr>
          <w:rFonts w:ascii="Calibri" w:hAnsi="Calibri" w:cs="Calibri"/>
          <w:szCs w:val="24"/>
        </w:rPr>
        <w:t>O</w:t>
      </w:r>
      <w:r w:rsidR="00DA2AB6" w:rsidRPr="00543A19">
        <w:rPr>
          <w:rFonts w:ascii="Calibri" w:hAnsi="Calibri" w:cs="Calibri"/>
          <w:szCs w:val="24"/>
        </w:rPr>
        <w:t>verexploitation of biological resources</w:t>
      </w:r>
      <w:r>
        <w:rPr>
          <w:rFonts w:ascii="Calibri" w:hAnsi="Calibri" w:cs="Calibri"/>
          <w:szCs w:val="24"/>
        </w:rPr>
        <w:t>.</w:t>
      </w:r>
      <w:r w:rsidR="00DA2AB6" w:rsidRPr="00543A19">
        <w:rPr>
          <w:rFonts w:ascii="Calibri" w:hAnsi="Calibri" w:cs="Calibri"/>
          <w:szCs w:val="24"/>
        </w:rPr>
        <w:t xml:space="preserve">  </w:t>
      </w:r>
    </w:p>
    <w:p w14:paraId="29C81B0E" w14:textId="375541CF" w:rsidR="00DA2AB6" w:rsidRPr="00543A19" w:rsidRDefault="006D67DF" w:rsidP="0067558E">
      <w:pPr>
        <w:pStyle w:val="BodyText"/>
        <w:numPr>
          <w:ilvl w:val="0"/>
          <w:numId w:val="13"/>
        </w:numPr>
        <w:spacing w:after="60" w:line="240" w:lineRule="auto"/>
        <w:ind w:left="567" w:hanging="425"/>
        <w:rPr>
          <w:rFonts w:ascii="Calibri" w:hAnsi="Calibri" w:cs="Calibri"/>
          <w:szCs w:val="24"/>
        </w:rPr>
      </w:pPr>
      <w:r>
        <w:rPr>
          <w:rFonts w:ascii="Calibri" w:hAnsi="Calibri" w:cs="Calibri"/>
          <w:szCs w:val="24"/>
        </w:rPr>
        <w:t>D</w:t>
      </w:r>
      <w:r w:rsidR="00DA2AB6" w:rsidRPr="00543A19">
        <w:rPr>
          <w:rFonts w:ascii="Calibri" w:hAnsi="Calibri" w:cs="Calibri"/>
          <w:szCs w:val="24"/>
        </w:rPr>
        <w:t>estruction and fragmentation of habitats, coupled with the disruption of hydrological functions</w:t>
      </w:r>
      <w:r>
        <w:rPr>
          <w:rFonts w:ascii="Calibri" w:hAnsi="Calibri" w:cs="Calibri"/>
          <w:szCs w:val="24"/>
        </w:rPr>
        <w:t>.</w:t>
      </w:r>
      <w:r w:rsidR="00DA2AB6" w:rsidRPr="00543A19">
        <w:rPr>
          <w:rFonts w:ascii="Calibri" w:hAnsi="Calibri" w:cs="Calibri"/>
          <w:szCs w:val="24"/>
        </w:rPr>
        <w:t xml:space="preserve">  </w:t>
      </w:r>
    </w:p>
    <w:p w14:paraId="7CC2B123" w14:textId="76E85424" w:rsidR="00DA2AB6" w:rsidRPr="00543A19" w:rsidRDefault="006D67DF" w:rsidP="0067558E">
      <w:pPr>
        <w:pStyle w:val="BodyText"/>
        <w:numPr>
          <w:ilvl w:val="0"/>
          <w:numId w:val="13"/>
        </w:numPr>
        <w:spacing w:after="60" w:line="240" w:lineRule="auto"/>
        <w:ind w:left="567" w:hanging="425"/>
        <w:rPr>
          <w:rFonts w:ascii="Calibri" w:hAnsi="Calibri" w:cs="Calibri"/>
          <w:szCs w:val="24"/>
        </w:rPr>
      </w:pPr>
      <w:r>
        <w:rPr>
          <w:rFonts w:ascii="Calibri" w:hAnsi="Calibri" w:cs="Calibri"/>
          <w:szCs w:val="24"/>
        </w:rPr>
        <w:t>T</w:t>
      </w:r>
      <w:r w:rsidR="00DA2AB6" w:rsidRPr="00543A19">
        <w:rPr>
          <w:rFonts w:ascii="Calibri" w:hAnsi="Calibri" w:cs="Calibri"/>
          <w:szCs w:val="24"/>
        </w:rPr>
        <w:t>hreats to biodiversity posed by climate change.  </w:t>
      </w:r>
    </w:p>
    <w:p w14:paraId="54128FBD" w14:textId="5475E166" w:rsidR="00DA2AB6" w:rsidRPr="00543A19" w:rsidRDefault="00DA2AB6" w:rsidP="006D67DF">
      <w:pPr>
        <w:overflowPunct/>
        <w:spacing w:before="120" w:after="120" w:line="240" w:lineRule="atLeast"/>
        <w:jc w:val="both"/>
        <w:textAlignment w:val="auto"/>
        <w:rPr>
          <w:rFonts w:asciiTheme="minorHAnsi" w:hAnsiTheme="minorHAnsi"/>
          <w:sz w:val="24"/>
          <w:szCs w:val="24"/>
        </w:rPr>
      </w:pPr>
      <w:r w:rsidRPr="00543A19">
        <w:rPr>
          <w:rFonts w:asciiTheme="minorHAnsi" w:hAnsiTheme="minorHAnsi"/>
          <w:sz w:val="24"/>
          <w:szCs w:val="24"/>
        </w:rPr>
        <w:t xml:space="preserve">Further to these threats and their drivers, the barriers to effective management of the </w:t>
      </w:r>
      <w:r w:rsidR="006D67DF">
        <w:rPr>
          <w:rFonts w:asciiTheme="minorHAnsi" w:hAnsiTheme="minorHAnsi"/>
          <w:sz w:val="24"/>
          <w:szCs w:val="24"/>
        </w:rPr>
        <w:t xml:space="preserve">PAs are </w:t>
      </w:r>
      <w:r w:rsidRPr="00543A19">
        <w:rPr>
          <w:rFonts w:asciiTheme="minorHAnsi" w:hAnsiTheme="minorHAnsi"/>
          <w:sz w:val="24"/>
          <w:szCs w:val="24"/>
        </w:rPr>
        <w:t>identified</w:t>
      </w:r>
      <w:r w:rsidR="006D67DF">
        <w:rPr>
          <w:rFonts w:asciiTheme="minorHAnsi" w:hAnsiTheme="minorHAnsi"/>
          <w:sz w:val="24"/>
          <w:szCs w:val="24"/>
        </w:rPr>
        <w:t xml:space="preserve"> as</w:t>
      </w:r>
      <w:r w:rsidRPr="00543A19">
        <w:rPr>
          <w:rFonts w:asciiTheme="minorHAnsi" w:hAnsiTheme="minorHAnsi"/>
          <w:sz w:val="24"/>
          <w:szCs w:val="24"/>
        </w:rPr>
        <w:t xml:space="preserve">: </w:t>
      </w:r>
    </w:p>
    <w:p w14:paraId="67212198" w14:textId="4F95DEC1" w:rsidR="00DA2AB6" w:rsidRPr="006D67DF" w:rsidRDefault="00DA2AB6" w:rsidP="0067558E">
      <w:pPr>
        <w:pStyle w:val="BodyText"/>
        <w:numPr>
          <w:ilvl w:val="0"/>
          <w:numId w:val="14"/>
        </w:numPr>
        <w:spacing w:after="60" w:line="240" w:lineRule="auto"/>
        <w:ind w:left="567" w:hanging="425"/>
        <w:rPr>
          <w:rFonts w:ascii="Calibri" w:hAnsi="Calibri" w:cs="Calibri"/>
          <w:szCs w:val="24"/>
        </w:rPr>
      </w:pPr>
      <w:r w:rsidRPr="006D67DF">
        <w:rPr>
          <w:rFonts w:ascii="Calibri" w:hAnsi="Calibri" w:cs="Calibri"/>
          <w:szCs w:val="24"/>
        </w:rPr>
        <w:t xml:space="preserve">Poor participation in the management of </w:t>
      </w:r>
      <w:r w:rsidR="006D67DF">
        <w:rPr>
          <w:rFonts w:ascii="Calibri" w:hAnsi="Calibri" w:cs="Calibri"/>
          <w:szCs w:val="24"/>
        </w:rPr>
        <w:t>PAs.</w:t>
      </w:r>
      <w:r w:rsidRPr="006D67DF">
        <w:rPr>
          <w:rFonts w:ascii="Calibri" w:hAnsi="Calibri" w:cs="Calibri"/>
          <w:szCs w:val="24"/>
        </w:rPr>
        <w:t xml:space="preserve">  </w:t>
      </w:r>
    </w:p>
    <w:p w14:paraId="7D12BF8C" w14:textId="03F58C4F" w:rsidR="00DA2AB6" w:rsidRPr="006D67DF" w:rsidRDefault="006D67DF" w:rsidP="0067558E">
      <w:pPr>
        <w:pStyle w:val="BodyText"/>
        <w:numPr>
          <w:ilvl w:val="0"/>
          <w:numId w:val="14"/>
        </w:numPr>
        <w:spacing w:after="60" w:line="240" w:lineRule="auto"/>
        <w:ind w:left="567" w:hanging="425"/>
        <w:rPr>
          <w:rFonts w:ascii="Calibri" w:hAnsi="Calibri" w:cs="Calibri"/>
          <w:szCs w:val="24"/>
        </w:rPr>
      </w:pPr>
      <w:r>
        <w:rPr>
          <w:rFonts w:ascii="Calibri" w:hAnsi="Calibri" w:cs="Calibri"/>
          <w:szCs w:val="24"/>
        </w:rPr>
        <w:t>F</w:t>
      </w:r>
      <w:r w:rsidR="00DA2AB6" w:rsidRPr="006D67DF">
        <w:rPr>
          <w:rFonts w:ascii="Calibri" w:hAnsi="Calibri" w:cs="Calibri"/>
          <w:szCs w:val="24"/>
        </w:rPr>
        <w:t xml:space="preserve">inancial sustainability of </w:t>
      </w:r>
      <w:r>
        <w:rPr>
          <w:rFonts w:ascii="Calibri" w:hAnsi="Calibri" w:cs="Calibri"/>
          <w:szCs w:val="24"/>
        </w:rPr>
        <w:t>PAs.</w:t>
      </w:r>
      <w:r w:rsidR="00DA2AB6" w:rsidRPr="006D67DF">
        <w:rPr>
          <w:rFonts w:ascii="Calibri" w:hAnsi="Calibri" w:cs="Calibri"/>
          <w:szCs w:val="24"/>
        </w:rPr>
        <w:t xml:space="preserve">  </w:t>
      </w:r>
    </w:p>
    <w:p w14:paraId="6C9DD9C6" w14:textId="77777777" w:rsidR="00DA2AB6" w:rsidRPr="006D67DF" w:rsidRDefault="00DA2AB6" w:rsidP="0067558E">
      <w:pPr>
        <w:pStyle w:val="BodyText"/>
        <w:numPr>
          <w:ilvl w:val="0"/>
          <w:numId w:val="14"/>
        </w:numPr>
        <w:spacing w:after="60" w:line="240" w:lineRule="auto"/>
        <w:ind w:left="567" w:hanging="425"/>
        <w:rPr>
          <w:rFonts w:ascii="Calibri" w:hAnsi="Calibri" w:cs="Calibri"/>
          <w:szCs w:val="24"/>
        </w:rPr>
      </w:pPr>
      <w:r w:rsidRPr="006D67DF">
        <w:rPr>
          <w:rFonts w:ascii="Calibri" w:hAnsi="Calibri" w:cs="Calibri"/>
          <w:szCs w:val="24"/>
        </w:rPr>
        <w:lastRenderedPageBreak/>
        <w:t>The application of management plans, including adaptive management.  </w:t>
      </w:r>
    </w:p>
    <w:p w14:paraId="7EB87045" w14:textId="554663E6" w:rsidR="00DA2AB6" w:rsidRPr="006D67DF" w:rsidRDefault="006D67DF" w:rsidP="0067558E">
      <w:pPr>
        <w:pStyle w:val="BodyText"/>
        <w:numPr>
          <w:ilvl w:val="0"/>
          <w:numId w:val="14"/>
        </w:numPr>
        <w:spacing w:after="60" w:line="240" w:lineRule="auto"/>
        <w:ind w:left="567" w:hanging="425"/>
        <w:rPr>
          <w:rFonts w:ascii="Calibri" w:hAnsi="Calibri" w:cs="Calibri"/>
          <w:szCs w:val="24"/>
        </w:rPr>
      </w:pPr>
      <w:r>
        <w:rPr>
          <w:rFonts w:ascii="Calibri" w:hAnsi="Calibri" w:cs="Calibri"/>
          <w:szCs w:val="24"/>
        </w:rPr>
        <w:t>B</w:t>
      </w:r>
      <w:r w:rsidR="00DA2AB6" w:rsidRPr="006D67DF">
        <w:rPr>
          <w:rFonts w:ascii="Calibri" w:hAnsi="Calibri" w:cs="Calibri"/>
          <w:szCs w:val="24"/>
        </w:rPr>
        <w:t xml:space="preserve">iogeographical deficiencies of the </w:t>
      </w:r>
      <w:r>
        <w:rPr>
          <w:rFonts w:ascii="Calibri" w:hAnsi="Calibri" w:cs="Calibri"/>
          <w:szCs w:val="24"/>
        </w:rPr>
        <w:t>PAs</w:t>
      </w:r>
      <w:r w:rsidR="00DA2AB6" w:rsidRPr="006D67DF">
        <w:rPr>
          <w:rFonts w:ascii="Calibri" w:hAnsi="Calibri" w:cs="Calibri"/>
          <w:szCs w:val="24"/>
        </w:rPr>
        <w:t xml:space="preserve"> system.  </w:t>
      </w:r>
    </w:p>
    <w:p w14:paraId="04B80447" w14:textId="6B62C4C7" w:rsidR="00DA2AB6" w:rsidRPr="00543A19" w:rsidRDefault="00DA2AB6" w:rsidP="006D67DF">
      <w:pPr>
        <w:overflowPunct/>
        <w:spacing w:before="120" w:after="120" w:line="240" w:lineRule="atLeast"/>
        <w:jc w:val="both"/>
        <w:textAlignment w:val="auto"/>
        <w:rPr>
          <w:rFonts w:asciiTheme="minorHAnsi" w:hAnsiTheme="minorHAnsi"/>
          <w:sz w:val="24"/>
          <w:szCs w:val="24"/>
        </w:rPr>
      </w:pPr>
      <w:r w:rsidRPr="00543A19">
        <w:rPr>
          <w:rFonts w:asciiTheme="minorHAnsi" w:hAnsiTheme="minorHAnsi"/>
          <w:sz w:val="24"/>
          <w:szCs w:val="24"/>
        </w:rPr>
        <w:t>One of the overriding rationales</w:t>
      </w:r>
      <w:r w:rsidR="006D67DF">
        <w:rPr>
          <w:rFonts w:asciiTheme="minorHAnsi" w:hAnsiTheme="minorHAnsi"/>
          <w:sz w:val="24"/>
          <w:szCs w:val="24"/>
        </w:rPr>
        <w:t>, promoted as an objective by</w:t>
      </w:r>
      <w:r w:rsidRPr="00543A19">
        <w:rPr>
          <w:rFonts w:asciiTheme="minorHAnsi" w:hAnsiTheme="minorHAnsi"/>
          <w:sz w:val="24"/>
          <w:szCs w:val="24"/>
        </w:rPr>
        <w:t xml:space="preserve"> APA</w:t>
      </w:r>
      <w:r w:rsidR="006D67DF">
        <w:rPr>
          <w:rFonts w:asciiTheme="minorHAnsi" w:hAnsiTheme="minorHAnsi"/>
          <w:sz w:val="24"/>
          <w:szCs w:val="24"/>
        </w:rPr>
        <w:t>,</w:t>
      </w:r>
      <w:r w:rsidRPr="00543A19">
        <w:rPr>
          <w:rFonts w:asciiTheme="minorHAnsi" w:hAnsiTheme="minorHAnsi"/>
          <w:sz w:val="24"/>
          <w:szCs w:val="24"/>
        </w:rPr>
        <w:t xml:space="preserve"> was to develop Machakhela NP</w:t>
      </w:r>
      <w:r w:rsidR="006D67DF">
        <w:rPr>
          <w:rFonts w:asciiTheme="minorHAnsi" w:hAnsiTheme="minorHAnsi"/>
          <w:sz w:val="24"/>
          <w:szCs w:val="24"/>
        </w:rPr>
        <w:t xml:space="preserve">, </w:t>
      </w:r>
      <w:r w:rsidRPr="00543A19">
        <w:rPr>
          <w:rFonts w:asciiTheme="minorHAnsi" w:hAnsiTheme="minorHAnsi"/>
          <w:sz w:val="24"/>
          <w:szCs w:val="24"/>
        </w:rPr>
        <w:t>gazetted in 2012</w:t>
      </w:r>
      <w:r w:rsidR="006D67DF">
        <w:rPr>
          <w:rFonts w:asciiTheme="minorHAnsi" w:hAnsiTheme="minorHAnsi"/>
          <w:sz w:val="24"/>
          <w:szCs w:val="24"/>
        </w:rPr>
        <w:t>, from</w:t>
      </w:r>
      <w:r w:rsidRPr="00543A19">
        <w:rPr>
          <w:rFonts w:asciiTheme="minorHAnsi" w:hAnsiTheme="minorHAnsi"/>
          <w:sz w:val="24"/>
          <w:szCs w:val="24"/>
        </w:rPr>
        <w:t xml:space="preserve"> a “paper park” into a functional, effectively managed </w:t>
      </w:r>
      <w:r w:rsidR="006D67DF">
        <w:rPr>
          <w:rFonts w:asciiTheme="minorHAnsi" w:hAnsiTheme="minorHAnsi"/>
          <w:sz w:val="24"/>
          <w:szCs w:val="24"/>
        </w:rPr>
        <w:t>PA.</w:t>
      </w:r>
      <w:r w:rsidRPr="00543A19">
        <w:rPr>
          <w:rFonts w:asciiTheme="minorHAnsi" w:hAnsiTheme="minorHAnsi"/>
          <w:sz w:val="24"/>
          <w:szCs w:val="24"/>
        </w:rPr>
        <w:t xml:space="preserve"> </w:t>
      </w:r>
    </w:p>
    <w:p w14:paraId="343046C7" w14:textId="77777777" w:rsidR="00976018" w:rsidRPr="00E22EBA" w:rsidRDefault="00976018" w:rsidP="00722D10">
      <w:pPr>
        <w:pStyle w:val="Heading2"/>
        <w:numPr>
          <w:ilvl w:val="1"/>
          <w:numId w:val="7"/>
        </w:numPr>
        <w:spacing w:before="240" w:after="120" w:line="240" w:lineRule="auto"/>
        <w:ind w:left="567" w:hanging="567"/>
        <w:rPr>
          <w:rFonts w:asciiTheme="minorHAnsi" w:hAnsiTheme="minorHAnsi" w:cs="Calibri"/>
          <w:b/>
          <w:caps w:val="0"/>
          <w:sz w:val="28"/>
        </w:rPr>
      </w:pPr>
      <w:bookmarkStart w:id="19" w:name="_Toc414745312"/>
      <w:r w:rsidRPr="00E22EBA">
        <w:rPr>
          <w:rFonts w:asciiTheme="minorHAnsi" w:hAnsiTheme="minorHAnsi" w:cs="Calibri"/>
          <w:b/>
          <w:caps w:val="0"/>
          <w:sz w:val="28"/>
        </w:rPr>
        <w:t>Immediate and Development Objectives of the Project</w:t>
      </w:r>
      <w:bookmarkEnd w:id="19"/>
    </w:p>
    <w:p w14:paraId="3B1818DC" w14:textId="57E6A2BD" w:rsidR="0073468C" w:rsidRPr="006F5A79" w:rsidRDefault="005748A6" w:rsidP="006F5A79">
      <w:pPr>
        <w:pStyle w:val="BodyText"/>
        <w:rPr>
          <w:rFonts w:ascii="Calibri" w:hAnsi="Calibri"/>
        </w:rPr>
      </w:pPr>
      <w:r w:rsidRPr="006F5A79">
        <w:rPr>
          <w:rFonts w:ascii="Calibri" w:hAnsi="Calibri"/>
        </w:rPr>
        <w:t xml:space="preserve">The project </w:t>
      </w:r>
      <w:r w:rsidRPr="006F5A79">
        <w:rPr>
          <w:rFonts w:ascii="Calibri" w:hAnsi="Calibri"/>
          <w:b/>
        </w:rPr>
        <w:t>goal</w:t>
      </w:r>
      <w:r w:rsidR="006878CA">
        <w:rPr>
          <w:rFonts w:ascii="Calibri" w:hAnsi="Calibri"/>
        </w:rPr>
        <w:t>, as defined in the ProDoc</w:t>
      </w:r>
      <w:r w:rsidRPr="006878CA">
        <w:rPr>
          <w:rFonts w:ascii="Calibri" w:hAnsi="Calibri"/>
        </w:rPr>
        <w:t xml:space="preserve"> </w:t>
      </w:r>
      <w:r w:rsidR="006878CA" w:rsidRPr="006878CA">
        <w:rPr>
          <w:rFonts w:ascii="Calibri" w:hAnsi="Calibri"/>
        </w:rPr>
        <w:t>is</w:t>
      </w:r>
      <w:r w:rsidR="006F5A79">
        <w:rPr>
          <w:rFonts w:ascii="Calibri" w:hAnsi="Calibri"/>
        </w:rPr>
        <w:t>:</w:t>
      </w:r>
      <w:r w:rsidR="006F5A79" w:rsidRPr="006F5A79">
        <w:rPr>
          <w:rFonts w:ascii="Calibri" w:hAnsi="Calibri"/>
        </w:rPr>
        <w:t xml:space="preserve"> “</w:t>
      </w:r>
      <w:r w:rsidR="006F5A79">
        <w:rPr>
          <w:rFonts w:ascii="Calibri" w:hAnsi="Calibri"/>
        </w:rPr>
        <w:t xml:space="preserve">to </w:t>
      </w:r>
      <w:r w:rsidR="006F5A79" w:rsidRPr="006F5A79">
        <w:rPr>
          <w:rFonts w:ascii="Calibri" w:hAnsi="Calibri"/>
        </w:rPr>
        <w:t>establish a regional PA estate that can effectively ensure the conservation and sustainabl</w:t>
      </w:r>
      <w:r w:rsidR="001F0AF2">
        <w:rPr>
          <w:rFonts w:ascii="Calibri" w:hAnsi="Calibri"/>
        </w:rPr>
        <w:t>[e]</w:t>
      </w:r>
      <w:r w:rsidR="006F5A79" w:rsidRPr="006F5A79">
        <w:rPr>
          <w:rFonts w:ascii="Calibri" w:hAnsi="Calibri"/>
        </w:rPr>
        <w:t xml:space="preserve"> use of the globally important Colchic Temperate Rain Forests of the Lesser Caucasus Mountain Range in South West Georgia</w:t>
      </w:r>
      <w:r w:rsidR="006F5A79">
        <w:rPr>
          <w:rFonts w:ascii="Calibri" w:hAnsi="Calibri"/>
        </w:rPr>
        <w:t>.”</w:t>
      </w:r>
    </w:p>
    <w:p w14:paraId="267E7E39" w14:textId="64D01ED2" w:rsidR="005748A6" w:rsidRPr="006F5A79" w:rsidRDefault="006F5A79" w:rsidP="005574FA">
      <w:pPr>
        <w:pStyle w:val="BodyText"/>
        <w:rPr>
          <w:rFonts w:ascii="Calibri" w:hAnsi="Calibri"/>
        </w:rPr>
      </w:pPr>
      <w:r w:rsidRPr="006F5A79">
        <w:rPr>
          <w:rFonts w:ascii="Calibri" w:hAnsi="Calibri"/>
        </w:rPr>
        <w:t>Its</w:t>
      </w:r>
      <w:r w:rsidR="005748A6" w:rsidRPr="006F5A79">
        <w:rPr>
          <w:rFonts w:ascii="Calibri" w:hAnsi="Calibri"/>
        </w:rPr>
        <w:t xml:space="preserve"> </w:t>
      </w:r>
      <w:r w:rsidR="005748A6" w:rsidRPr="006F5A79">
        <w:rPr>
          <w:rFonts w:ascii="Calibri" w:hAnsi="Calibri"/>
          <w:b/>
        </w:rPr>
        <w:t>objective</w:t>
      </w:r>
      <w:r w:rsidR="006878CA">
        <w:rPr>
          <w:rFonts w:ascii="Calibri" w:hAnsi="Calibri"/>
        </w:rPr>
        <w:t xml:space="preserve"> i</w:t>
      </w:r>
      <w:r w:rsidR="005748A6" w:rsidRPr="006F5A79">
        <w:rPr>
          <w:rFonts w:ascii="Calibri" w:hAnsi="Calibri"/>
        </w:rPr>
        <w:t>s</w:t>
      </w:r>
      <w:r>
        <w:rPr>
          <w:rFonts w:ascii="Calibri" w:hAnsi="Calibri"/>
        </w:rPr>
        <w:t xml:space="preserve">; </w:t>
      </w:r>
      <w:r w:rsidR="00F000D3">
        <w:rPr>
          <w:rFonts w:ascii="Calibri" w:hAnsi="Calibri"/>
        </w:rPr>
        <w:t>“t</w:t>
      </w:r>
      <w:r w:rsidRPr="006F5A79">
        <w:rPr>
          <w:rFonts w:ascii="Calibri" w:hAnsi="Calibri"/>
        </w:rPr>
        <w:t>o enhance the management effectiven</w:t>
      </w:r>
      <w:r w:rsidR="00C613AC">
        <w:rPr>
          <w:rFonts w:ascii="Calibri" w:hAnsi="Calibri"/>
        </w:rPr>
        <w:t>ess, biogeographical</w:t>
      </w:r>
      <w:r w:rsidR="004166E5">
        <w:rPr>
          <w:rFonts w:ascii="Calibri" w:hAnsi="Calibri"/>
        </w:rPr>
        <w:t>[</w:t>
      </w:r>
      <w:r w:rsidR="00C613AC" w:rsidRPr="004166E5">
        <w:rPr>
          <w:rFonts w:ascii="Calibri" w:hAnsi="Calibri"/>
          <w:strike/>
        </w:rPr>
        <w:t>ly</w:t>
      </w:r>
      <w:r w:rsidR="004166E5">
        <w:rPr>
          <w:rFonts w:ascii="Calibri" w:hAnsi="Calibri"/>
        </w:rPr>
        <w:t>]</w:t>
      </w:r>
      <w:r w:rsidR="00C613AC">
        <w:rPr>
          <w:rFonts w:ascii="Calibri" w:hAnsi="Calibri"/>
        </w:rPr>
        <w:t xml:space="preserve"> coverage</w:t>
      </w:r>
      <w:r w:rsidRPr="006F5A79">
        <w:rPr>
          <w:rFonts w:ascii="Calibri" w:hAnsi="Calibri"/>
        </w:rPr>
        <w:t>, and connectivity of Protected Areas to conserve forest ecosystems in the Achara Region</w:t>
      </w:r>
      <w:r w:rsidR="00F000D3">
        <w:rPr>
          <w:rFonts w:ascii="Calibri" w:hAnsi="Calibri"/>
        </w:rPr>
        <w:t>.”</w:t>
      </w:r>
      <w:r w:rsidR="005748A6" w:rsidRPr="006F5A79">
        <w:rPr>
          <w:rFonts w:ascii="Calibri" w:hAnsi="Calibri"/>
        </w:rPr>
        <w:t xml:space="preserve"> </w:t>
      </w:r>
    </w:p>
    <w:p w14:paraId="4ACD7792" w14:textId="34CDD889" w:rsidR="008B3F35" w:rsidRDefault="006878CA" w:rsidP="006878CA">
      <w:pPr>
        <w:pStyle w:val="BodyText"/>
        <w:rPr>
          <w:rFonts w:ascii="Calibri" w:hAnsi="Calibri"/>
        </w:rPr>
      </w:pPr>
      <w:r w:rsidRPr="006878CA">
        <w:rPr>
          <w:rFonts w:ascii="Calibri" w:hAnsi="Calibri"/>
        </w:rPr>
        <w:t xml:space="preserve">The project is aligned with </w:t>
      </w:r>
      <w:r w:rsidRPr="004C4D56">
        <w:rPr>
          <w:rFonts w:ascii="Calibri" w:hAnsi="Calibri"/>
        </w:rPr>
        <w:t xml:space="preserve">GEF </w:t>
      </w:r>
      <w:r w:rsidR="007C4E94" w:rsidRPr="004C4D56">
        <w:rPr>
          <w:rFonts w:ascii="Calibri" w:hAnsi="Calibri"/>
          <w:b/>
        </w:rPr>
        <w:t>Biodiversity Focal Area Strategic Objective 1</w:t>
      </w:r>
      <w:r w:rsidR="007C4E94">
        <w:rPr>
          <w:rFonts w:ascii="Calibri" w:hAnsi="Calibri"/>
        </w:rPr>
        <w:t xml:space="preserve"> to: </w:t>
      </w:r>
      <w:r w:rsidR="007C4E94">
        <w:rPr>
          <w:rFonts w:ascii="Calibri" w:hAnsi="Calibri"/>
          <w:i/>
        </w:rPr>
        <w:t>i</w:t>
      </w:r>
      <w:r w:rsidR="007C4E94" w:rsidRPr="007C4E94">
        <w:rPr>
          <w:rFonts w:ascii="Calibri" w:hAnsi="Calibri"/>
          <w:i/>
        </w:rPr>
        <w:t>mprove sustainability of PAs</w:t>
      </w:r>
      <w:r w:rsidR="008B3F35">
        <w:rPr>
          <w:rFonts w:ascii="Calibri" w:hAnsi="Calibri"/>
        </w:rPr>
        <w:t xml:space="preserve">, thereby contributing to the Convention on Biological Diversity (CBD) </w:t>
      </w:r>
      <w:r w:rsidR="008B3F35" w:rsidRPr="004C4D56">
        <w:rPr>
          <w:rFonts w:ascii="Calibri" w:hAnsi="Calibri"/>
          <w:b/>
        </w:rPr>
        <w:t>2011-2020 Strategic Plan</w:t>
      </w:r>
      <w:r w:rsidR="00E90D56" w:rsidRPr="00E90D56">
        <w:rPr>
          <w:rFonts w:ascii="Calibri" w:hAnsi="Calibri"/>
        </w:rPr>
        <w:t>,</w:t>
      </w:r>
      <w:r w:rsidR="008B3F35">
        <w:rPr>
          <w:rFonts w:ascii="Calibri" w:hAnsi="Calibri"/>
        </w:rPr>
        <w:t xml:space="preserve"> its </w:t>
      </w:r>
      <w:r w:rsidR="008B3F35" w:rsidRPr="004C4D56">
        <w:rPr>
          <w:rFonts w:ascii="Calibri" w:hAnsi="Calibri"/>
          <w:b/>
        </w:rPr>
        <w:t>Programme of Work on PAs</w:t>
      </w:r>
      <w:r w:rsidR="008B3F35">
        <w:rPr>
          <w:rFonts w:ascii="Calibri" w:hAnsi="Calibri"/>
        </w:rPr>
        <w:t xml:space="preserve"> (PoWPA)</w:t>
      </w:r>
      <w:r w:rsidR="00E90D56">
        <w:rPr>
          <w:rFonts w:ascii="Calibri" w:hAnsi="Calibri"/>
        </w:rPr>
        <w:t xml:space="preserve"> and its </w:t>
      </w:r>
      <w:r w:rsidR="00E90D56" w:rsidRPr="00E90D56">
        <w:rPr>
          <w:rFonts w:ascii="Calibri" w:hAnsi="Calibri"/>
          <w:b/>
        </w:rPr>
        <w:t>Aichi Targets</w:t>
      </w:r>
      <w:r w:rsidR="008B3F35">
        <w:rPr>
          <w:rFonts w:ascii="Calibri" w:hAnsi="Calibri"/>
        </w:rPr>
        <w:t xml:space="preserve">. </w:t>
      </w:r>
      <w:r w:rsidR="00E90D56">
        <w:rPr>
          <w:rFonts w:ascii="Calibri" w:hAnsi="Calibri"/>
        </w:rPr>
        <w:t>PoWPA</w:t>
      </w:r>
      <w:r w:rsidR="008B3F35">
        <w:rPr>
          <w:rFonts w:ascii="Calibri" w:hAnsi="Calibri"/>
        </w:rPr>
        <w:t xml:space="preserve"> includes</w:t>
      </w:r>
      <w:r w:rsidR="00A0767A">
        <w:rPr>
          <w:rFonts w:ascii="Calibri" w:hAnsi="Calibri"/>
        </w:rPr>
        <w:t>:</w:t>
      </w:r>
      <w:r w:rsidR="008B3F35">
        <w:rPr>
          <w:rFonts w:ascii="Calibri" w:hAnsi="Calibri"/>
        </w:rPr>
        <w:t xml:space="preserve"> </w:t>
      </w:r>
      <w:r w:rsidR="004C4D56">
        <w:rPr>
          <w:rFonts w:ascii="Calibri" w:hAnsi="Calibri"/>
        </w:rPr>
        <w:t>expanding</w:t>
      </w:r>
      <w:r w:rsidR="008B3F35" w:rsidRPr="004C4D56">
        <w:rPr>
          <w:rFonts w:ascii="Calibri" w:hAnsi="Calibri"/>
        </w:rPr>
        <w:t xml:space="preserve"> and strengthening PA systems at regional, national and </w:t>
      </w:r>
      <w:r w:rsidR="004C4D56" w:rsidRPr="004C4D56">
        <w:rPr>
          <w:rFonts w:ascii="Calibri" w:hAnsi="Calibri"/>
        </w:rPr>
        <w:t xml:space="preserve">international </w:t>
      </w:r>
      <w:r w:rsidR="004C4D56">
        <w:rPr>
          <w:rFonts w:ascii="Calibri" w:hAnsi="Calibri"/>
        </w:rPr>
        <w:t>(</w:t>
      </w:r>
      <w:r w:rsidR="008B3F35" w:rsidRPr="004C4D56">
        <w:rPr>
          <w:rFonts w:ascii="Calibri" w:hAnsi="Calibri"/>
        </w:rPr>
        <w:t>transboundary</w:t>
      </w:r>
      <w:r w:rsidR="00A0767A" w:rsidRPr="004C4D56">
        <w:rPr>
          <w:rFonts w:ascii="Calibri" w:hAnsi="Calibri"/>
        </w:rPr>
        <w:t xml:space="preserve">) levels; </w:t>
      </w:r>
      <w:r w:rsidR="008B3F35" w:rsidRPr="004C4D56">
        <w:rPr>
          <w:rFonts w:ascii="Calibri" w:hAnsi="Calibri"/>
        </w:rPr>
        <w:t>improving PA planning and management</w:t>
      </w:r>
      <w:r w:rsidR="00A0767A" w:rsidRPr="004C4D56">
        <w:rPr>
          <w:rFonts w:ascii="Calibri" w:hAnsi="Calibri"/>
        </w:rPr>
        <w:t xml:space="preserve"> in participatory ways that secure involvement </w:t>
      </w:r>
      <w:r w:rsidR="004C4D56">
        <w:rPr>
          <w:rFonts w:ascii="Calibri" w:hAnsi="Calibri"/>
        </w:rPr>
        <w:t>from</w:t>
      </w:r>
      <w:r w:rsidR="00A0767A" w:rsidRPr="004C4D56">
        <w:rPr>
          <w:rFonts w:ascii="Calibri" w:hAnsi="Calibri"/>
        </w:rPr>
        <w:t xml:space="preserve"> local communities and other stakeholders through</w:t>
      </w:r>
      <w:r w:rsidR="008B3F35" w:rsidRPr="004C4D56">
        <w:rPr>
          <w:rFonts w:ascii="Calibri" w:hAnsi="Calibri"/>
        </w:rPr>
        <w:t xml:space="preserve"> innovative types of PA governance</w:t>
      </w:r>
      <w:r w:rsidR="00A0767A" w:rsidRPr="004C4D56">
        <w:rPr>
          <w:rFonts w:ascii="Calibri" w:hAnsi="Calibri"/>
        </w:rPr>
        <w:t>; and promoting</w:t>
      </w:r>
      <w:r w:rsidR="008B3F35" w:rsidRPr="004C4D56">
        <w:rPr>
          <w:rFonts w:ascii="Calibri" w:hAnsi="Calibri"/>
        </w:rPr>
        <w:t xml:space="preserve"> equity and benefit sharing</w:t>
      </w:r>
      <w:r w:rsidR="004C4D56" w:rsidRPr="004C4D56">
        <w:rPr>
          <w:rFonts w:ascii="Calibri" w:hAnsi="Calibri"/>
        </w:rPr>
        <w:t xml:space="preserve"> among such </w:t>
      </w:r>
      <w:r w:rsidR="004C4D56">
        <w:rPr>
          <w:rFonts w:ascii="Calibri" w:hAnsi="Calibri"/>
        </w:rPr>
        <w:t>parties</w:t>
      </w:r>
      <w:r w:rsidR="008B3F35" w:rsidRPr="004C4D56">
        <w:rPr>
          <w:rFonts w:ascii="Calibri" w:hAnsi="Calibri"/>
        </w:rPr>
        <w:t>.</w:t>
      </w:r>
    </w:p>
    <w:p w14:paraId="5627E169" w14:textId="56E8F7F5" w:rsidR="00E90D56" w:rsidRPr="00020A26" w:rsidRDefault="00E90D56" w:rsidP="00020A26">
      <w:pPr>
        <w:pStyle w:val="NumberedParas"/>
        <w:numPr>
          <w:ilvl w:val="0"/>
          <w:numId w:val="0"/>
        </w:numPr>
        <w:spacing w:after="120" w:line="240" w:lineRule="atLeast"/>
        <w:rPr>
          <w:rFonts w:ascii="Calibri" w:hAnsi="Calibri"/>
          <w:szCs w:val="24"/>
          <w:lang w:eastAsia="zh-CN"/>
        </w:rPr>
      </w:pPr>
      <w:r w:rsidRPr="00020A26">
        <w:rPr>
          <w:rFonts w:ascii="Calibri" w:hAnsi="Calibri"/>
          <w:szCs w:val="24"/>
          <w:lang w:eastAsia="zh-CN"/>
        </w:rPr>
        <w:t xml:space="preserve">In particular, the project contributes to </w:t>
      </w:r>
      <w:r w:rsidRPr="00020A26">
        <w:rPr>
          <w:rFonts w:ascii="Calibri" w:hAnsi="Calibri"/>
          <w:b/>
          <w:szCs w:val="24"/>
          <w:lang w:eastAsia="zh-CN"/>
        </w:rPr>
        <w:t>CBD Strategic Goal C</w:t>
      </w:r>
      <w:r w:rsidRPr="00020A26">
        <w:rPr>
          <w:rFonts w:ascii="Calibri" w:hAnsi="Calibri"/>
          <w:szCs w:val="24"/>
          <w:lang w:eastAsia="zh-CN"/>
        </w:rPr>
        <w:t xml:space="preserve">: </w:t>
      </w:r>
      <w:r w:rsidR="00020A26">
        <w:rPr>
          <w:rFonts w:ascii="Calibri" w:hAnsi="Calibri"/>
          <w:i/>
          <w:szCs w:val="24"/>
          <w:lang w:eastAsia="zh-CN"/>
        </w:rPr>
        <w:t>t</w:t>
      </w:r>
      <w:r w:rsidRPr="00020A26">
        <w:rPr>
          <w:rFonts w:ascii="Calibri" w:hAnsi="Calibri"/>
          <w:i/>
          <w:szCs w:val="24"/>
          <w:lang w:eastAsia="zh-CN"/>
        </w:rPr>
        <w:t>o improve the status of biodiversity by safeguarding ecosystems, species and genetic diversity</w:t>
      </w:r>
      <w:r w:rsidR="00020A26">
        <w:rPr>
          <w:rFonts w:ascii="Calibri" w:hAnsi="Calibri"/>
          <w:szCs w:val="24"/>
          <w:lang w:eastAsia="zh-CN"/>
        </w:rPr>
        <w:t>,</w:t>
      </w:r>
      <w:r w:rsidRPr="00020A26">
        <w:rPr>
          <w:rFonts w:ascii="Calibri" w:hAnsi="Calibri"/>
          <w:szCs w:val="24"/>
          <w:lang w:eastAsia="zh-CN"/>
        </w:rPr>
        <w:t xml:space="preserve"> </w:t>
      </w:r>
      <w:r w:rsidR="00020A26" w:rsidRPr="00020A26">
        <w:rPr>
          <w:rFonts w:ascii="Calibri" w:hAnsi="Calibri"/>
          <w:b/>
          <w:szCs w:val="24"/>
          <w:lang w:eastAsia="zh-CN"/>
        </w:rPr>
        <w:t>specifically</w:t>
      </w:r>
      <w:r w:rsidRPr="00020A26">
        <w:rPr>
          <w:rFonts w:ascii="Calibri" w:hAnsi="Calibri"/>
          <w:b/>
          <w:szCs w:val="24"/>
          <w:lang w:eastAsia="zh-CN"/>
        </w:rPr>
        <w:t xml:space="preserve"> </w:t>
      </w:r>
      <w:r w:rsidR="00020A26" w:rsidRPr="00020A26">
        <w:rPr>
          <w:rFonts w:ascii="Calibri" w:hAnsi="Calibri"/>
          <w:b/>
          <w:szCs w:val="24"/>
          <w:lang w:eastAsia="zh-CN"/>
        </w:rPr>
        <w:t xml:space="preserve">Aichi </w:t>
      </w:r>
      <w:r w:rsidRPr="00020A26">
        <w:rPr>
          <w:rFonts w:ascii="Calibri" w:hAnsi="Calibri"/>
          <w:b/>
          <w:szCs w:val="24"/>
          <w:lang w:eastAsia="zh-CN"/>
        </w:rPr>
        <w:t>Target 11</w:t>
      </w:r>
      <w:r w:rsidRPr="00020A26">
        <w:rPr>
          <w:rFonts w:ascii="Calibri" w:hAnsi="Calibri"/>
          <w:szCs w:val="24"/>
          <w:lang w:eastAsia="zh-CN"/>
        </w:rPr>
        <w:t xml:space="preserve"> </w:t>
      </w:r>
      <w:r w:rsidR="00020A26">
        <w:rPr>
          <w:rFonts w:ascii="Calibri" w:hAnsi="Calibri"/>
          <w:szCs w:val="24"/>
          <w:lang w:eastAsia="zh-CN"/>
        </w:rPr>
        <w:t>with respect to increasing</w:t>
      </w:r>
      <w:r w:rsidRPr="00020A26">
        <w:rPr>
          <w:rFonts w:ascii="Calibri" w:hAnsi="Calibri"/>
          <w:szCs w:val="24"/>
          <w:lang w:eastAsia="zh-CN"/>
        </w:rPr>
        <w:t xml:space="preserve"> the coverage</w:t>
      </w:r>
      <w:r w:rsidR="00020A26">
        <w:rPr>
          <w:rFonts w:ascii="Calibri" w:hAnsi="Calibri"/>
          <w:szCs w:val="24"/>
          <w:lang w:eastAsia="zh-CN"/>
        </w:rPr>
        <w:t>,</w:t>
      </w:r>
      <w:r w:rsidRPr="00020A26">
        <w:rPr>
          <w:rFonts w:ascii="Calibri" w:hAnsi="Calibri"/>
          <w:szCs w:val="24"/>
          <w:lang w:eastAsia="zh-CN"/>
        </w:rPr>
        <w:t xml:space="preserve"> connectivity </w:t>
      </w:r>
      <w:r w:rsidR="00020A26">
        <w:rPr>
          <w:rFonts w:ascii="Calibri" w:hAnsi="Calibri"/>
          <w:szCs w:val="24"/>
          <w:lang w:eastAsia="zh-CN"/>
        </w:rPr>
        <w:t xml:space="preserve">and effective management </w:t>
      </w:r>
      <w:r w:rsidRPr="00020A26">
        <w:rPr>
          <w:rFonts w:ascii="Calibri" w:hAnsi="Calibri"/>
          <w:szCs w:val="24"/>
          <w:lang w:eastAsia="zh-CN"/>
        </w:rPr>
        <w:t xml:space="preserve">of the PA system in </w:t>
      </w:r>
      <w:r w:rsidR="00020A26">
        <w:rPr>
          <w:rFonts w:ascii="Calibri" w:hAnsi="Calibri"/>
          <w:szCs w:val="24"/>
          <w:lang w:eastAsia="zh-CN"/>
        </w:rPr>
        <w:t xml:space="preserve">a region (Achara) of </w:t>
      </w:r>
      <w:r w:rsidRPr="00020A26">
        <w:rPr>
          <w:rFonts w:ascii="Calibri" w:hAnsi="Calibri"/>
          <w:szCs w:val="24"/>
          <w:lang w:eastAsia="zh-CN"/>
        </w:rPr>
        <w:t xml:space="preserve">high biodiversity importance </w:t>
      </w:r>
      <w:r w:rsidR="00020A26">
        <w:rPr>
          <w:rFonts w:ascii="Calibri" w:hAnsi="Calibri"/>
          <w:szCs w:val="24"/>
          <w:lang w:eastAsia="zh-CN"/>
        </w:rPr>
        <w:t xml:space="preserve">(Colchic Forest) </w:t>
      </w:r>
      <w:r w:rsidRPr="00020A26">
        <w:rPr>
          <w:rFonts w:ascii="Calibri" w:hAnsi="Calibri"/>
          <w:szCs w:val="24"/>
          <w:lang w:eastAsia="zh-CN"/>
        </w:rPr>
        <w:t xml:space="preserve">and </w:t>
      </w:r>
      <w:r w:rsidR="00020A26">
        <w:rPr>
          <w:rFonts w:ascii="Calibri" w:hAnsi="Calibri"/>
          <w:szCs w:val="24"/>
          <w:lang w:eastAsia="zh-CN"/>
        </w:rPr>
        <w:t>significant ecosystem services.</w:t>
      </w:r>
    </w:p>
    <w:p w14:paraId="069D8E09" w14:textId="62F9873D" w:rsidR="006F5A79" w:rsidRPr="007C4E94" w:rsidRDefault="006F5A79" w:rsidP="007C4E94">
      <w:pPr>
        <w:pStyle w:val="BodyText"/>
        <w:rPr>
          <w:rFonts w:ascii="Calibri" w:hAnsi="Calibri"/>
          <w:szCs w:val="24"/>
        </w:rPr>
      </w:pPr>
      <w:r w:rsidRPr="007C4E94">
        <w:rPr>
          <w:rFonts w:ascii="Calibri" w:hAnsi="Calibri"/>
          <w:szCs w:val="24"/>
        </w:rPr>
        <w:t>In order t</w:t>
      </w:r>
      <w:r w:rsidR="009D614C" w:rsidRPr="007C4E94">
        <w:rPr>
          <w:rFonts w:ascii="Calibri" w:hAnsi="Calibri"/>
          <w:szCs w:val="24"/>
        </w:rPr>
        <w:t>o achieve the project objective</w:t>
      </w:r>
      <w:r w:rsidRPr="007C4E94">
        <w:rPr>
          <w:rFonts w:ascii="Calibri" w:hAnsi="Calibri"/>
          <w:szCs w:val="24"/>
        </w:rPr>
        <w:t xml:space="preserve"> and address the </w:t>
      </w:r>
      <w:r w:rsidR="009D614C" w:rsidRPr="007C4E94">
        <w:rPr>
          <w:rFonts w:ascii="Calibri" w:hAnsi="Calibri"/>
          <w:szCs w:val="24"/>
        </w:rPr>
        <w:t xml:space="preserve">threats and underlying </w:t>
      </w:r>
      <w:r w:rsidRPr="007C4E94">
        <w:rPr>
          <w:rFonts w:ascii="Calibri" w:hAnsi="Calibri"/>
          <w:szCs w:val="24"/>
        </w:rPr>
        <w:t xml:space="preserve">barriers </w:t>
      </w:r>
      <w:r w:rsidR="005D397F" w:rsidRPr="007C4E94">
        <w:rPr>
          <w:rFonts w:ascii="Calibri" w:hAnsi="Calibri"/>
          <w:szCs w:val="24"/>
        </w:rPr>
        <w:t xml:space="preserve">to effective management of Achara’s PAs </w:t>
      </w:r>
      <w:r w:rsidRPr="007C4E94">
        <w:rPr>
          <w:rFonts w:ascii="Calibri" w:hAnsi="Calibri"/>
          <w:szCs w:val="24"/>
        </w:rPr>
        <w:t>(</w:t>
      </w:r>
      <w:hyperlink w:anchor="_Long-term_solution_and" w:history="1">
        <w:r w:rsidR="0068518D" w:rsidRPr="007C4E94">
          <w:rPr>
            <w:rFonts w:ascii="Calibri" w:hAnsi="Calibri"/>
            <w:b/>
            <w:szCs w:val="24"/>
          </w:rPr>
          <w:t>Section 2.2</w:t>
        </w:r>
      </w:hyperlink>
      <w:r w:rsidR="0068518D" w:rsidRPr="007C4E94">
        <w:rPr>
          <w:rFonts w:ascii="Calibri" w:hAnsi="Calibri"/>
          <w:szCs w:val="24"/>
        </w:rPr>
        <w:t>),</w:t>
      </w:r>
      <w:r w:rsidRPr="007C4E94">
        <w:rPr>
          <w:rFonts w:ascii="Calibri" w:hAnsi="Calibri"/>
          <w:szCs w:val="24"/>
        </w:rPr>
        <w:t xml:space="preserve"> project intervention</w:t>
      </w:r>
      <w:r w:rsidR="0068518D" w:rsidRPr="007C4E94">
        <w:rPr>
          <w:rFonts w:ascii="Calibri" w:hAnsi="Calibri"/>
          <w:szCs w:val="24"/>
        </w:rPr>
        <w:t>s were</w:t>
      </w:r>
      <w:r w:rsidRPr="007C4E94">
        <w:rPr>
          <w:rFonts w:ascii="Calibri" w:hAnsi="Calibri"/>
          <w:szCs w:val="24"/>
        </w:rPr>
        <w:t xml:space="preserve"> organised into two outcomes</w:t>
      </w:r>
      <w:r w:rsidR="0068518D" w:rsidRPr="007C4E94">
        <w:rPr>
          <w:rFonts w:ascii="Calibri" w:hAnsi="Calibri"/>
          <w:szCs w:val="24"/>
        </w:rPr>
        <w:t>:</w:t>
      </w:r>
    </w:p>
    <w:p w14:paraId="655EA238" w14:textId="242EE74E" w:rsidR="006F5A79" w:rsidRPr="006F5A79" w:rsidRDefault="006F5A79" w:rsidP="0068518D">
      <w:pPr>
        <w:pStyle w:val="BodyText"/>
        <w:ind w:left="567"/>
        <w:rPr>
          <w:rFonts w:ascii="Calibri" w:hAnsi="Calibri"/>
        </w:rPr>
      </w:pPr>
      <w:r w:rsidRPr="0068518D">
        <w:rPr>
          <w:rFonts w:ascii="Calibri" w:hAnsi="Calibri"/>
          <w:b/>
        </w:rPr>
        <w:t>Outcome 1:</w:t>
      </w:r>
      <w:r w:rsidR="0068518D">
        <w:rPr>
          <w:rFonts w:ascii="Calibri" w:hAnsi="Calibri"/>
        </w:rPr>
        <w:t xml:space="preserve"> Enhancement of PA management e</w:t>
      </w:r>
      <w:r w:rsidRPr="006F5A79">
        <w:rPr>
          <w:rFonts w:ascii="Calibri" w:hAnsi="Calibri"/>
        </w:rPr>
        <w:t>ffectiveness in the Achara Region</w:t>
      </w:r>
      <w:r w:rsidR="0068518D">
        <w:rPr>
          <w:rFonts w:ascii="Calibri" w:hAnsi="Calibri"/>
        </w:rPr>
        <w:t>.</w:t>
      </w:r>
    </w:p>
    <w:p w14:paraId="2A6FC9FC" w14:textId="77777777" w:rsidR="00B97F70" w:rsidRDefault="006F5A79" w:rsidP="0068518D">
      <w:pPr>
        <w:pStyle w:val="BodyText"/>
        <w:ind w:left="567"/>
        <w:rPr>
          <w:rFonts w:ascii="Calibri" w:hAnsi="Calibri"/>
        </w:rPr>
      </w:pPr>
      <w:r w:rsidRPr="0068518D">
        <w:rPr>
          <w:rFonts w:ascii="Calibri" w:hAnsi="Calibri"/>
          <w:b/>
        </w:rPr>
        <w:t>Outcome 2:</w:t>
      </w:r>
      <w:r w:rsidR="0068518D">
        <w:rPr>
          <w:rFonts w:ascii="Calibri" w:hAnsi="Calibri"/>
        </w:rPr>
        <w:t xml:space="preserve"> PA system e</w:t>
      </w:r>
      <w:r w:rsidRPr="006F5A79">
        <w:rPr>
          <w:rFonts w:ascii="Calibri" w:hAnsi="Calibri"/>
        </w:rPr>
        <w:t>xpansion to increase functional connectivity of PAs in the West Lesser Caucasus</w:t>
      </w:r>
      <w:r w:rsidR="0068518D">
        <w:rPr>
          <w:rFonts w:ascii="Calibri" w:hAnsi="Calibri"/>
        </w:rPr>
        <w:t>.</w:t>
      </w:r>
      <w:r w:rsidR="00B97F70" w:rsidRPr="00B97F70">
        <w:rPr>
          <w:rFonts w:ascii="Calibri" w:hAnsi="Calibri"/>
        </w:rPr>
        <w:t xml:space="preserve"> </w:t>
      </w:r>
    </w:p>
    <w:p w14:paraId="7A822BF6" w14:textId="1AFA36B9" w:rsidR="006F5A79" w:rsidRPr="006F5A79" w:rsidRDefault="00B97F70" w:rsidP="00B97F70">
      <w:pPr>
        <w:pStyle w:val="BodyText"/>
        <w:ind w:left="14"/>
        <w:rPr>
          <w:rFonts w:ascii="Calibri" w:hAnsi="Calibri"/>
        </w:rPr>
      </w:pPr>
      <w:r w:rsidRPr="00B97F70">
        <w:rPr>
          <w:rFonts w:ascii="Calibri" w:hAnsi="Calibri"/>
        </w:rPr>
        <w:t xml:space="preserve">It should be noted </w:t>
      </w:r>
      <w:r>
        <w:rPr>
          <w:rFonts w:ascii="Calibri" w:hAnsi="Calibri"/>
        </w:rPr>
        <w:t xml:space="preserve">that </w:t>
      </w:r>
      <w:r w:rsidR="00F900C7">
        <w:rPr>
          <w:rFonts w:ascii="Calibri" w:hAnsi="Calibri"/>
        </w:rPr>
        <w:t>the objective and outcomes are different to those presented in the Project Identification Form (PIF), which focus on the long-term financial sustainability and effective management of a subset of Georgia’s PAs network rather than specifically on Achara’s Colchic forests. Th</w:t>
      </w:r>
      <w:r w:rsidR="00BE47DC">
        <w:rPr>
          <w:rFonts w:ascii="Calibri" w:hAnsi="Calibri"/>
        </w:rPr>
        <w:t xml:space="preserve">us, while the concept remained </w:t>
      </w:r>
      <w:r w:rsidR="00C05391">
        <w:rPr>
          <w:rFonts w:ascii="Calibri" w:hAnsi="Calibri"/>
        </w:rPr>
        <w:t xml:space="preserve">largely intact, </w:t>
      </w:r>
      <w:r w:rsidR="00BE47DC">
        <w:rPr>
          <w:rFonts w:ascii="Calibri" w:hAnsi="Calibri"/>
        </w:rPr>
        <w:t xml:space="preserve">there were </w:t>
      </w:r>
      <w:r w:rsidR="00F900C7">
        <w:rPr>
          <w:rFonts w:ascii="Calibri" w:hAnsi="Calibri"/>
        </w:rPr>
        <w:t xml:space="preserve">significant </w:t>
      </w:r>
      <w:r w:rsidR="00BE47DC">
        <w:rPr>
          <w:rFonts w:ascii="Calibri" w:hAnsi="Calibri"/>
        </w:rPr>
        <w:t xml:space="preserve">changes to the project’s structure </w:t>
      </w:r>
      <w:r w:rsidR="00C05391">
        <w:rPr>
          <w:rFonts w:ascii="Calibri" w:hAnsi="Calibri"/>
        </w:rPr>
        <w:t>and selection of demonstration sites during its subsequent development, none of which is mentioned in the Project Document (ProDoc)</w:t>
      </w:r>
      <w:r w:rsidR="00721130">
        <w:rPr>
          <w:rFonts w:ascii="Calibri" w:hAnsi="Calibri"/>
        </w:rPr>
        <w:t xml:space="preserve">. </w:t>
      </w:r>
    </w:p>
    <w:p w14:paraId="5DBD236D" w14:textId="77777777" w:rsidR="00976018" w:rsidRPr="00E22EBA" w:rsidRDefault="00976018" w:rsidP="00722D10">
      <w:pPr>
        <w:pStyle w:val="Heading2"/>
        <w:numPr>
          <w:ilvl w:val="1"/>
          <w:numId w:val="7"/>
        </w:numPr>
        <w:spacing w:before="240" w:after="120" w:line="240" w:lineRule="auto"/>
        <w:ind w:left="567" w:hanging="567"/>
        <w:rPr>
          <w:rFonts w:asciiTheme="minorHAnsi" w:hAnsiTheme="minorHAnsi" w:cs="Calibri"/>
          <w:b/>
          <w:caps w:val="0"/>
          <w:sz w:val="28"/>
        </w:rPr>
      </w:pPr>
      <w:bookmarkStart w:id="20" w:name="_Toc414745313"/>
      <w:r w:rsidRPr="00E22EBA">
        <w:rPr>
          <w:rFonts w:asciiTheme="minorHAnsi" w:hAnsiTheme="minorHAnsi" w:cs="Calibri"/>
          <w:b/>
          <w:caps w:val="0"/>
          <w:sz w:val="28"/>
        </w:rPr>
        <w:t>Baseline Indicators Established</w:t>
      </w:r>
      <w:bookmarkEnd w:id="20"/>
    </w:p>
    <w:p w14:paraId="6EA19DA5" w14:textId="44F5F948" w:rsidR="00E55422" w:rsidRDefault="00AF1909" w:rsidP="004A52B3">
      <w:pPr>
        <w:overflowPunct/>
        <w:spacing w:after="120" w:line="240" w:lineRule="atLeast"/>
        <w:jc w:val="both"/>
        <w:textAlignment w:val="auto"/>
        <w:rPr>
          <w:rFonts w:asciiTheme="minorHAnsi" w:hAnsiTheme="minorHAnsi" w:cs="TimesNewRomanPSMT"/>
          <w:sz w:val="24"/>
          <w:szCs w:val="24"/>
          <w:lang w:val="en-US"/>
        </w:rPr>
      </w:pPr>
      <w:r>
        <w:rPr>
          <w:rFonts w:asciiTheme="minorHAnsi" w:hAnsiTheme="minorHAnsi" w:cs="TimesNewRomanPSMT"/>
          <w:sz w:val="24"/>
          <w:szCs w:val="24"/>
          <w:lang w:val="en-US"/>
        </w:rPr>
        <w:t xml:space="preserve">Baseline indicators were established during </w:t>
      </w:r>
      <w:r w:rsidR="006930DA">
        <w:rPr>
          <w:rFonts w:asciiTheme="minorHAnsi" w:hAnsiTheme="minorHAnsi" w:cs="TimesNewRomanPSMT"/>
          <w:sz w:val="24"/>
          <w:szCs w:val="24"/>
          <w:lang w:val="en-US"/>
        </w:rPr>
        <w:t xml:space="preserve">project formulation, with clearly defined </w:t>
      </w:r>
      <w:r w:rsidR="005B2627">
        <w:rPr>
          <w:rFonts w:asciiTheme="minorHAnsi" w:hAnsiTheme="minorHAnsi" w:cs="TimesNewRomanPSMT"/>
          <w:sz w:val="24"/>
          <w:szCs w:val="24"/>
          <w:lang w:val="en-US"/>
        </w:rPr>
        <w:t>end of project targets</w:t>
      </w:r>
      <w:r w:rsidR="00B7547F">
        <w:rPr>
          <w:rFonts w:asciiTheme="minorHAnsi" w:hAnsiTheme="minorHAnsi" w:cs="TimesNewRomanPSMT"/>
          <w:sz w:val="24"/>
          <w:szCs w:val="24"/>
          <w:lang w:val="en-US"/>
        </w:rPr>
        <w:t xml:space="preserve"> as documented in the SRF (</w:t>
      </w:r>
      <w:r w:rsidR="00B7547F" w:rsidRPr="00B7547F">
        <w:rPr>
          <w:rFonts w:asciiTheme="minorHAnsi" w:hAnsiTheme="minorHAnsi" w:cs="TimesNewRomanPSMT"/>
          <w:b/>
          <w:sz w:val="24"/>
          <w:szCs w:val="24"/>
          <w:lang w:val="en-US"/>
        </w:rPr>
        <w:t>Annex 6</w:t>
      </w:r>
      <w:r w:rsidR="00B7547F">
        <w:rPr>
          <w:rFonts w:asciiTheme="minorHAnsi" w:hAnsiTheme="minorHAnsi" w:cs="TimesNewRomanPSMT"/>
          <w:sz w:val="24"/>
          <w:szCs w:val="24"/>
          <w:lang w:val="en-US"/>
        </w:rPr>
        <w:t>)</w:t>
      </w:r>
      <w:r w:rsidR="005B2627">
        <w:rPr>
          <w:rFonts w:asciiTheme="minorHAnsi" w:hAnsiTheme="minorHAnsi" w:cs="TimesNewRomanPSMT"/>
          <w:sz w:val="24"/>
          <w:szCs w:val="24"/>
          <w:lang w:val="en-US"/>
        </w:rPr>
        <w:t>. These did not change during project inception: the S</w:t>
      </w:r>
      <w:r w:rsidR="00B97F70">
        <w:rPr>
          <w:rFonts w:asciiTheme="minorHAnsi" w:hAnsiTheme="minorHAnsi" w:cs="TimesNewRomanPSMT"/>
          <w:sz w:val="24"/>
          <w:szCs w:val="24"/>
          <w:lang w:val="en-US"/>
        </w:rPr>
        <w:t>RF</w:t>
      </w:r>
      <w:r w:rsidR="005B2627">
        <w:rPr>
          <w:rFonts w:asciiTheme="minorHAnsi" w:hAnsiTheme="minorHAnsi" w:cs="TimesNewRomanPSMT"/>
          <w:sz w:val="24"/>
          <w:szCs w:val="24"/>
          <w:lang w:val="en-US"/>
        </w:rPr>
        <w:t xml:space="preserve"> remained unaltered.</w:t>
      </w:r>
      <w:r w:rsidR="006930DA">
        <w:rPr>
          <w:rFonts w:asciiTheme="minorHAnsi" w:hAnsiTheme="minorHAnsi" w:cs="TimesNewRomanPSMT"/>
          <w:sz w:val="24"/>
          <w:szCs w:val="24"/>
          <w:lang w:val="en-US"/>
        </w:rPr>
        <w:t xml:space="preserve"> </w:t>
      </w:r>
      <w:r w:rsidR="005748A6" w:rsidRPr="004A52B3">
        <w:rPr>
          <w:rFonts w:asciiTheme="minorHAnsi" w:hAnsiTheme="minorHAnsi" w:cs="TimesNewRomanPSMT"/>
          <w:sz w:val="24"/>
          <w:szCs w:val="24"/>
          <w:lang w:val="en-US"/>
        </w:rPr>
        <w:t>T</w:t>
      </w:r>
      <w:r w:rsidR="001819AD" w:rsidRPr="004A52B3">
        <w:rPr>
          <w:rFonts w:asciiTheme="minorHAnsi" w:hAnsiTheme="minorHAnsi" w:cs="TimesNewRomanPSMT"/>
          <w:sz w:val="24"/>
          <w:szCs w:val="24"/>
          <w:lang w:val="en-US"/>
        </w:rPr>
        <w:t>he following baseline indicators were established</w:t>
      </w:r>
      <w:r w:rsidR="005748A6" w:rsidRPr="004A52B3">
        <w:rPr>
          <w:rFonts w:asciiTheme="minorHAnsi" w:hAnsiTheme="minorHAnsi" w:cs="TimesNewRomanPSMT"/>
          <w:sz w:val="24"/>
          <w:szCs w:val="24"/>
          <w:lang w:val="en-US"/>
        </w:rPr>
        <w:t xml:space="preserve"> </w:t>
      </w:r>
      <w:r w:rsidR="00E55422">
        <w:rPr>
          <w:rFonts w:asciiTheme="minorHAnsi" w:hAnsiTheme="minorHAnsi" w:cs="TimesNewRomanPSMT"/>
          <w:sz w:val="24"/>
          <w:szCs w:val="24"/>
          <w:lang w:val="en-US"/>
        </w:rPr>
        <w:t xml:space="preserve">with respect to the </w:t>
      </w:r>
      <w:r w:rsidR="00E55422" w:rsidRPr="00A44604">
        <w:rPr>
          <w:rFonts w:asciiTheme="minorHAnsi" w:hAnsiTheme="minorHAnsi" w:cs="TimesNewRomanPSMT"/>
          <w:b/>
          <w:sz w:val="24"/>
          <w:szCs w:val="24"/>
          <w:lang w:val="en-US"/>
        </w:rPr>
        <w:t>project’s objective</w:t>
      </w:r>
      <w:r w:rsidR="00E55422">
        <w:rPr>
          <w:rFonts w:asciiTheme="minorHAnsi" w:hAnsiTheme="minorHAnsi" w:cs="TimesNewRomanPSMT"/>
          <w:sz w:val="24"/>
          <w:szCs w:val="24"/>
          <w:lang w:val="en-US"/>
        </w:rPr>
        <w:t xml:space="preserve"> during</w:t>
      </w:r>
      <w:r w:rsidR="005748A6" w:rsidRPr="004A52B3">
        <w:rPr>
          <w:rFonts w:asciiTheme="minorHAnsi" w:hAnsiTheme="minorHAnsi" w:cs="TimesNewRomanPSMT"/>
          <w:sz w:val="24"/>
          <w:szCs w:val="24"/>
          <w:lang w:val="en-US"/>
        </w:rPr>
        <w:t xml:space="preserve"> the design </w:t>
      </w:r>
      <w:r w:rsidR="00E55422">
        <w:rPr>
          <w:rFonts w:asciiTheme="minorHAnsi" w:hAnsiTheme="minorHAnsi" w:cs="TimesNewRomanPSMT"/>
          <w:sz w:val="24"/>
          <w:szCs w:val="24"/>
          <w:lang w:val="en-US"/>
        </w:rPr>
        <w:t>phase:</w:t>
      </w:r>
    </w:p>
    <w:p w14:paraId="4D1E2854" w14:textId="77777777" w:rsidR="007B710B" w:rsidRPr="007B710B" w:rsidRDefault="007B710B" w:rsidP="0067558E">
      <w:pPr>
        <w:pStyle w:val="ListParagraph"/>
        <w:numPr>
          <w:ilvl w:val="0"/>
          <w:numId w:val="15"/>
        </w:numPr>
        <w:spacing w:after="120" w:line="240" w:lineRule="atLeast"/>
        <w:ind w:left="567" w:hanging="425"/>
        <w:jc w:val="both"/>
        <w:rPr>
          <w:rFonts w:asciiTheme="minorHAnsi" w:hAnsiTheme="minorHAnsi" w:cs="TimesNewRomanPSMT"/>
          <w:sz w:val="24"/>
          <w:szCs w:val="24"/>
        </w:rPr>
      </w:pPr>
      <w:r w:rsidRPr="007B710B">
        <w:rPr>
          <w:rFonts w:asciiTheme="minorHAnsi" w:hAnsiTheme="minorHAnsi" w:cs="TimesNewRomanPSMT"/>
          <w:sz w:val="24"/>
          <w:szCs w:val="24"/>
        </w:rPr>
        <w:lastRenderedPageBreak/>
        <w:t>Protected Area Coverage within the Achara Region increased</w:t>
      </w:r>
    </w:p>
    <w:p w14:paraId="276770C6" w14:textId="77777777" w:rsidR="007B710B" w:rsidRPr="007B710B" w:rsidRDefault="007B710B" w:rsidP="0067558E">
      <w:pPr>
        <w:pStyle w:val="ListParagraph"/>
        <w:numPr>
          <w:ilvl w:val="0"/>
          <w:numId w:val="15"/>
        </w:numPr>
        <w:spacing w:after="120" w:line="240" w:lineRule="atLeast"/>
        <w:ind w:left="567" w:hanging="425"/>
        <w:jc w:val="both"/>
        <w:rPr>
          <w:rFonts w:asciiTheme="minorHAnsi" w:hAnsiTheme="minorHAnsi" w:cs="TimesNewRomanPSMT"/>
          <w:sz w:val="24"/>
          <w:szCs w:val="24"/>
        </w:rPr>
      </w:pPr>
      <w:r w:rsidRPr="007B710B">
        <w:rPr>
          <w:rFonts w:asciiTheme="minorHAnsi" w:hAnsiTheme="minorHAnsi" w:cs="TimesNewRomanPSMT"/>
          <w:sz w:val="24"/>
          <w:szCs w:val="24"/>
        </w:rPr>
        <w:t>Increased national and Achara PA Coverage of the Colchic Temperate Rain Forest by at least 1% and 5% respectively</w:t>
      </w:r>
    </w:p>
    <w:p w14:paraId="49F24BB0" w14:textId="69E60350" w:rsidR="007B710B" w:rsidRPr="007B710B" w:rsidRDefault="007B710B" w:rsidP="0067558E">
      <w:pPr>
        <w:pStyle w:val="ListParagraph"/>
        <w:numPr>
          <w:ilvl w:val="0"/>
          <w:numId w:val="15"/>
        </w:numPr>
        <w:spacing w:after="120" w:line="240" w:lineRule="atLeast"/>
        <w:ind w:left="567" w:hanging="425"/>
        <w:jc w:val="both"/>
        <w:rPr>
          <w:rFonts w:asciiTheme="minorHAnsi" w:hAnsiTheme="minorHAnsi" w:cs="TimesNewRomanPSMT"/>
          <w:sz w:val="24"/>
          <w:szCs w:val="24"/>
        </w:rPr>
      </w:pPr>
      <w:r w:rsidRPr="007B710B">
        <w:rPr>
          <w:rFonts w:asciiTheme="minorHAnsi" w:hAnsiTheme="minorHAnsi" w:cs="TimesNewRomanPSMT"/>
          <w:sz w:val="24"/>
          <w:szCs w:val="24"/>
        </w:rPr>
        <w:t>Capacity development indicator score for protected area system</w:t>
      </w:r>
      <w:r w:rsidR="008D1A4E">
        <w:rPr>
          <w:rFonts w:asciiTheme="minorHAnsi" w:hAnsiTheme="minorHAnsi" w:cs="TimesNewRomanPSMT"/>
          <w:sz w:val="24"/>
          <w:szCs w:val="24"/>
        </w:rPr>
        <w:t xml:space="preserve"> increased</w:t>
      </w:r>
    </w:p>
    <w:p w14:paraId="2E431593" w14:textId="233B56E1" w:rsidR="007B710B" w:rsidRPr="007B710B" w:rsidRDefault="007B710B" w:rsidP="0067558E">
      <w:pPr>
        <w:pStyle w:val="ListParagraph"/>
        <w:numPr>
          <w:ilvl w:val="0"/>
          <w:numId w:val="15"/>
        </w:numPr>
        <w:spacing w:after="120" w:line="240" w:lineRule="atLeast"/>
        <w:ind w:left="567" w:hanging="425"/>
        <w:jc w:val="both"/>
        <w:rPr>
          <w:rFonts w:asciiTheme="minorHAnsi" w:hAnsiTheme="minorHAnsi" w:cs="TimesNewRomanPSMT"/>
          <w:sz w:val="24"/>
          <w:szCs w:val="24"/>
        </w:rPr>
      </w:pPr>
      <w:r w:rsidRPr="007B710B">
        <w:rPr>
          <w:rFonts w:asciiTheme="minorHAnsi" w:hAnsiTheme="minorHAnsi" w:cs="TimesNewRomanPSMT"/>
          <w:sz w:val="24"/>
          <w:szCs w:val="24"/>
        </w:rPr>
        <w:t xml:space="preserve">Management effectiveness for Kintrishi PA Complex, Mtirala NP and Machakhela NP measured by </w:t>
      </w:r>
      <w:r w:rsidR="001959E9">
        <w:rPr>
          <w:rFonts w:asciiTheme="minorHAnsi" w:hAnsiTheme="minorHAnsi" w:cs="TimesNewRomanPSMT"/>
          <w:sz w:val="24"/>
          <w:szCs w:val="24"/>
        </w:rPr>
        <w:t xml:space="preserve">the </w:t>
      </w:r>
      <w:r w:rsidRPr="007B710B">
        <w:rPr>
          <w:rFonts w:asciiTheme="minorHAnsi" w:hAnsiTheme="minorHAnsi" w:cs="TimesNewRomanPSMT"/>
          <w:sz w:val="24"/>
          <w:szCs w:val="24"/>
        </w:rPr>
        <w:t>METT</w:t>
      </w:r>
      <w:r>
        <w:rPr>
          <w:rFonts w:asciiTheme="minorHAnsi" w:hAnsiTheme="minorHAnsi" w:cs="TimesNewRomanPSMT"/>
          <w:sz w:val="24"/>
          <w:szCs w:val="24"/>
        </w:rPr>
        <w:t>.</w:t>
      </w:r>
    </w:p>
    <w:p w14:paraId="3C04FAD1" w14:textId="77C2163C" w:rsidR="001819AD" w:rsidRDefault="007B710B" w:rsidP="004A52B3">
      <w:pPr>
        <w:overflowPunct/>
        <w:spacing w:after="120" w:line="240" w:lineRule="atLeast"/>
        <w:jc w:val="both"/>
        <w:textAlignment w:val="auto"/>
        <w:rPr>
          <w:rFonts w:asciiTheme="minorHAnsi" w:hAnsiTheme="minorHAnsi" w:cs="TimesNewRomanPSMT"/>
          <w:sz w:val="24"/>
          <w:szCs w:val="24"/>
          <w:lang w:val="en-US"/>
        </w:rPr>
      </w:pPr>
      <w:r>
        <w:rPr>
          <w:rFonts w:asciiTheme="minorHAnsi" w:hAnsiTheme="minorHAnsi" w:cs="TimesNewRomanPSMT"/>
          <w:sz w:val="24"/>
          <w:szCs w:val="24"/>
          <w:lang w:val="en-US"/>
        </w:rPr>
        <w:t xml:space="preserve">These are reasonably comprehensive in their coverage of the overall objective that embraces expanding </w:t>
      </w:r>
      <w:r w:rsidR="003978E7">
        <w:rPr>
          <w:rFonts w:asciiTheme="minorHAnsi" w:hAnsiTheme="minorHAnsi" w:cs="TimesNewRomanPSMT"/>
          <w:sz w:val="24"/>
          <w:szCs w:val="24"/>
          <w:lang w:val="en-US"/>
        </w:rPr>
        <w:t xml:space="preserve">Achara’s PAS network, </w:t>
      </w:r>
      <w:r>
        <w:rPr>
          <w:rFonts w:asciiTheme="minorHAnsi" w:hAnsiTheme="minorHAnsi" w:cs="TimesNewRomanPSMT"/>
          <w:sz w:val="24"/>
          <w:szCs w:val="24"/>
          <w:lang w:val="en-US"/>
        </w:rPr>
        <w:t xml:space="preserve">along with strengthening capacity, effective management and financial sustainability, all of which are </w:t>
      </w:r>
      <w:r w:rsidR="003978E7">
        <w:rPr>
          <w:rFonts w:asciiTheme="minorHAnsi" w:hAnsiTheme="minorHAnsi" w:cs="TimesNewRomanPSMT"/>
          <w:sz w:val="24"/>
          <w:szCs w:val="24"/>
          <w:lang w:val="en-US"/>
        </w:rPr>
        <w:t>interdependent</w:t>
      </w:r>
      <w:r>
        <w:rPr>
          <w:rFonts w:asciiTheme="minorHAnsi" w:hAnsiTheme="minorHAnsi" w:cs="TimesNewRomanPSMT"/>
          <w:sz w:val="24"/>
          <w:szCs w:val="24"/>
          <w:lang w:val="en-US"/>
        </w:rPr>
        <w:t>.</w:t>
      </w:r>
    </w:p>
    <w:p w14:paraId="6F9B6858" w14:textId="129AEF57" w:rsidR="00A44604" w:rsidRPr="00A44604" w:rsidRDefault="00642A21" w:rsidP="00A44604">
      <w:pPr>
        <w:overflowPunct/>
        <w:spacing w:after="120" w:line="240" w:lineRule="atLeast"/>
        <w:jc w:val="both"/>
        <w:textAlignment w:val="auto"/>
        <w:rPr>
          <w:rFonts w:asciiTheme="minorHAnsi" w:hAnsiTheme="minorHAnsi" w:cs="TimesNewRomanPSMT"/>
          <w:sz w:val="24"/>
          <w:szCs w:val="24"/>
          <w:lang w:val="en-US"/>
        </w:rPr>
      </w:pPr>
      <w:r>
        <w:rPr>
          <w:rFonts w:asciiTheme="minorHAnsi" w:hAnsiTheme="minorHAnsi" w:cs="TimesNewRomanPSMT"/>
          <w:sz w:val="24"/>
          <w:szCs w:val="24"/>
          <w:lang w:val="en-US"/>
        </w:rPr>
        <w:t xml:space="preserve">In the case of </w:t>
      </w:r>
      <w:r w:rsidRPr="00A44604">
        <w:rPr>
          <w:rFonts w:asciiTheme="minorHAnsi" w:hAnsiTheme="minorHAnsi" w:cs="TimesNewRomanPSMT"/>
          <w:b/>
          <w:sz w:val="24"/>
          <w:szCs w:val="24"/>
          <w:lang w:val="en-US"/>
        </w:rPr>
        <w:t>O</w:t>
      </w:r>
      <w:r w:rsidR="003978E7" w:rsidRPr="00A44604">
        <w:rPr>
          <w:rFonts w:asciiTheme="minorHAnsi" w:hAnsiTheme="minorHAnsi" w:cs="TimesNewRomanPSMT"/>
          <w:b/>
          <w:sz w:val="24"/>
          <w:szCs w:val="24"/>
          <w:lang w:val="en-US"/>
        </w:rPr>
        <w:t>utcome</w:t>
      </w:r>
      <w:r w:rsidRPr="00A44604">
        <w:rPr>
          <w:rFonts w:asciiTheme="minorHAnsi" w:hAnsiTheme="minorHAnsi" w:cs="TimesNewRomanPSMT"/>
          <w:b/>
          <w:sz w:val="24"/>
          <w:szCs w:val="24"/>
          <w:lang w:val="en-US"/>
        </w:rPr>
        <w:t xml:space="preserve"> 1</w:t>
      </w:r>
      <w:r w:rsidR="00AF6152">
        <w:rPr>
          <w:rFonts w:asciiTheme="minorHAnsi" w:hAnsiTheme="minorHAnsi" w:cs="TimesNewRomanPSMT"/>
          <w:sz w:val="24"/>
          <w:szCs w:val="24"/>
          <w:lang w:val="en-US"/>
        </w:rPr>
        <w:t xml:space="preserve">, </w:t>
      </w:r>
      <w:r w:rsidR="00D70369">
        <w:rPr>
          <w:rFonts w:asciiTheme="minorHAnsi" w:hAnsiTheme="minorHAnsi" w:cs="TimesNewRomanPSMT"/>
          <w:sz w:val="24"/>
          <w:szCs w:val="24"/>
          <w:lang w:val="en-US"/>
        </w:rPr>
        <w:t xml:space="preserve">which </w:t>
      </w:r>
      <w:r w:rsidR="00160562">
        <w:rPr>
          <w:rFonts w:asciiTheme="minorHAnsi" w:hAnsiTheme="minorHAnsi" w:cs="TimesNewRomanPSMT"/>
          <w:sz w:val="24"/>
          <w:szCs w:val="24"/>
          <w:lang w:val="en-US"/>
        </w:rPr>
        <w:t xml:space="preserve">is focused on enhanced management effectiveness, the two </w:t>
      </w:r>
      <w:r w:rsidR="003978E7">
        <w:rPr>
          <w:rFonts w:asciiTheme="minorHAnsi" w:hAnsiTheme="minorHAnsi" w:cs="TimesNewRomanPSMT"/>
          <w:sz w:val="24"/>
          <w:szCs w:val="24"/>
          <w:lang w:val="en-US"/>
        </w:rPr>
        <w:t>indicators</w:t>
      </w:r>
      <w:r>
        <w:rPr>
          <w:rFonts w:asciiTheme="minorHAnsi" w:hAnsiTheme="minorHAnsi" w:cs="TimesNewRomanPSMT"/>
          <w:sz w:val="24"/>
          <w:szCs w:val="24"/>
          <w:lang w:val="en-US"/>
        </w:rPr>
        <w:t xml:space="preserve"> focus on monitoring illegal activities by different means </w:t>
      </w:r>
      <w:r w:rsidR="00AF6152">
        <w:rPr>
          <w:rFonts w:asciiTheme="minorHAnsi" w:hAnsiTheme="minorHAnsi" w:cs="TimesNewRomanPSMT"/>
          <w:sz w:val="24"/>
          <w:szCs w:val="24"/>
          <w:lang w:val="en-US"/>
        </w:rPr>
        <w:t>and</w:t>
      </w:r>
      <w:r w:rsidR="00A44604">
        <w:rPr>
          <w:rFonts w:asciiTheme="minorHAnsi" w:hAnsiTheme="minorHAnsi" w:cs="TimesNewRomanPSMT"/>
          <w:sz w:val="24"/>
          <w:szCs w:val="24"/>
          <w:lang w:val="en-US"/>
        </w:rPr>
        <w:t>, arguably, could have been integrated into a single indicator. Moreover,</w:t>
      </w:r>
      <w:r>
        <w:rPr>
          <w:rFonts w:asciiTheme="minorHAnsi" w:hAnsiTheme="minorHAnsi" w:cs="TimesNewRomanPSMT"/>
          <w:sz w:val="24"/>
          <w:szCs w:val="24"/>
          <w:lang w:val="en-US"/>
        </w:rPr>
        <w:t xml:space="preserve"> </w:t>
      </w:r>
      <w:r w:rsidR="00AF6152">
        <w:rPr>
          <w:rFonts w:asciiTheme="minorHAnsi" w:hAnsiTheme="minorHAnsi" w:cs="TimesNewRomanPSMT"/>
          <w:sz w:val="24"/>
          <w:szCs w:val="24"/>
          <w:lang w:val="en-US"/>
        </w:rPr>
        <w:t>other important aspects of this outcome, such as the</w:t>
      </w:r>
      <w:r w:rsidR="00D70369">
        <w:rPr>
          <w:rFonts w:asciiTheme="minorHAnsi" w:hAnsiTheme="minorHAnsi" w:cs="TimesNewRomanPSMT"/>
          <w:sz w:val="24"/>
          <w:szCs w:val="24"/>
          <w:lang w:val="en-US"/>
        </w:rPr>
        <w:t xml:space="preserve"> </w:t>
      </w:r>
      <w:r w:rsidR="00A44604" w:rsidRPr="00A44604">
        <w:rPr>
          <w:rFonts w:asciiTheme="minorHAnsi" w:hAnsiTheme="minorHAnsi" w:cs="TimesNewRomanPSMT"/>
          <w:sz w:val="24"/>
          <w:szCs w:val="24"/>
          <w:lang w:val="en-US"/>
        </w:rPr>
        <w:t>involvement of local communities</w:t>
      </w:r>
      <w:r w:rsidR="00FB6AB6">
        <w:rPr>
          <w:rFonts w:asciiTheme="minorHAnsi" w:hAnsiTheme="minorHAnsi" w:cs="TimesNewRomanPSMT"/>
          <w:sz w:val="24"/>
          <w:szCs w:val="24"/>
          <w:lang w:val="en-US"/>
        </w:rPr>
        <w:t xml:space="preserve"> in planning and management</w:t>
      </w:r>
      <w:r w:rsidR="00A44604" w:rsidRPr="00A44604">
        <w:rPr>
          <w:rFonts w:asciiTheme="minorHAnsi" w:hAnsiTheme="minorHAnsi" w:cs="TimesNewRomanPSMT"/>
          <w:sz w:val="24"/>
          <w:szCs w:val="24"/>
          <w:lang w:val="en-US"/>
        </w:rPr>
        <w:t xml:space="preserve"> (</w:t>
      </w:r>
      <w:r w:rsidR="00A44604" w:rsidRPr="00AF6152">
        <w:rPr>
          <w:rFonts w:asciiTheme="minorHAnsi" w:hAnsiTheme="minorHAnsi" w:cs="TimesNewRomanPSMT"/>
          <w:b/>
          <w:sz w:val="24"/>
          <w:szCs w:val="24"/>
          <w:lang w:val="en-US"/>
        </w:rPr>
        <w:t>Output 1.2</w:t>
      </w:r>
      <w:r w:rsidR="00A44604" w:rsidRPr="00A44604">
        <w:rPr>
          <w:rFonts w:asciiTheme="minorHAnsi" w:hAnsiTheme="minorHAnsi" w:cs="TimesNewRomanPSMT"/>
          <w:sz w:val="24"/>
          <w:szCs w:val="24"/>
          <w:lang w:val="en-US"/>
        </w:rPr>
        <w:t>) and long-term financial sustainability (</w:t>
      </w:r>
      <w:r w:rsidR="00A44604" w:rsidRPr="00A44604">
        <w:rPr>
          <w:rFonts w:asciiTheme="minorHAnsi" w:hAnsiTheme="minorHAnsi" w:cs="TimesNewRomanPSMT"/>
          <w:b/>
          <w:sz w:val="24"/>
          <w:szCs w:val="24"/>
          <w:lang w:val="en-US"/>
        </w:rPr>
        <w:t>Output 1.3</w:t>
      </w:r>
      <w:r w:rsidR="00A44604" w:rsidRPr="00A44604">
        <w:rPr>
          <w:rFonts w:asciiTheme="minorHAnsi" w:hAnsiTheme="minorHAnsi" w:cs="TimesNewRomanPSMT"/>
          <w:sz w:val="24"/>
          <w:szCs w:val="24"/>
          <w:lang w:val="en-US"/>
        </w:rPr>
        <w:t>)</w:t>
      </w:r>
      <w:r w:rsidR="00AF6152">
        <w:rPr>
          <w:rFonts w:asciiTheme="minorHAnsi" w:hAnsiTheme="minorHAnsi" w:cs="TimesNewRomanPSMT"/>
          <w:sz w:val="24"/>
          <w:szCs w:val="24"/>
          <w:lang w:val="en-US"/>
        </w:rPr>
        <w:t xml:space="preserve">, are </w:t>
      </w:r>
      <w:r w:rsidR="00FB6AB6">
        <w:rPr>
          <w:rFonts w:asciiTheme="minorHAnsi" w:hAnsiTheme="minorHAnsi" w:cs="TimesNewRomanPSMT"/>
          <w:sz w:val="24"/>
          <w:szCs w:val="24"/>
          <w:lang w:val="en-US"/>
        </w:rPr>
        <w:t>taken into account</w:t>
      </w:r>
      <w:r w:rsidR="00A44604" w:rsidRPr="00A44604">
        <w:rPr>
          <w:rFonts w:asciiTheme="minorHAnsi" w:hAnsiTheme="minorHAnsi" w:cs="TimesNewRomanPSMT"/>
          <w:sz w:val="24"/>
          <w:szCs w:val="24"/>
          <w:lang w:val="en-US"/>
        </w:rPr>
        <w:t>.</w:t>
      </w:r>
    </w:p>
    <w:p w14:paraId="13937713" w14:textId="071B86EE" w:rsidR="003A0A34" w:rsidRPr="003A0A34" w:rsidRDefault="00AF6152" w:rsidP="00D35C2A">
      <w:pPr>
        <w:overflowPunct/>
        <w:spacing w:after="120" w:line="240" w:lineRule="atLeast"/>
        <w:jc w:val="both"/>
        <w:textAlignment w:val="auto"/>
        <w:rPr>
          <w:rFonts w:asciiTheme="minorHAnsi" w:hAnsiTheme="minorHAnsi" w:cs="TimesNewRomanPSMT"/>
          <w:sz w:val="24"/>
          <w:szCs w:val="24"/>
        </w:rPr>
      </w:pPr>
      <w:r w:rsidRPr="00AF6152">
        <w:rPr>
          <w:rFonts w:asciiTheme="minorHAnsi" w:hAnsiTheme="minorHAnsi" w:cs="TimesNewRomanPSMT"/>
          <w:b/>
          <w:sz w:val="24"/>
          <w:szCs w:val="24"/>
          <w:lang w:val="en-US"/>
        </w:rPr>
        <w:t>Outcome 2</w:t>
      </w:r>
      <w:r>
        <w:rPr>
          <w:rFonts w:asciiTheme="minorHAnsi" w:hAnsiTheme="minorHAnsi" w:cs="TimesNewRomanPSMT"/>
          <w:sz w:val="24"/>
          <w:szCs w:val="24"/>
          <w:lang w:val="en-US"/>
        </w:rPr>
        <w:t xml:space="preserve"> concerns expansion of the PA system in the West Lesser Caucasus to i</w:t>
      </w:r>
      <w:r w:rsidR="003A0A34">
        <w:rPr>
          <w:rFonts w:asciiTheme="minorHAnsi" w:hAnsiTheme="minorHAnsi" w:cs="TimesNewRomanPSMT"/>
          <w:sz w:val="24"/>
          <w:szCs w:val="24"/>
          <w:lang w:val="en-US"/>
        </w:rPr>
        <w:t>ncrease functi</w:t>
      </w:r>
      <w:r w:rsidR="00D35C2A">
        <w:rPr>
          <w:rFonts w:asciiTheme="minorHAnsi" w:hAnsiTheme="minorHAnsi" w:cs="TimesNewRomanPSMT"/>
          <w:sz w:val="24"/>
          <w:szCs w:val="24"/>
          <w:lang w:val="en-US"/>
        </w:rPr>
        <w:t>onal connectivity, particula</w:t>
      </w:r>
      <w:r w:rsidR="003A0A34">
        <w:rPr>
          <w:rFonts w:asciiTheme="minorHAnsi" w:hAnsiTheme="minorHAnsi" w:cs="TimesNewRomanPSMT"/>
          <w:sz w:val="24"/>
          <w:szCs w:val="24"/>
          <w:lang w:val="en-US"/>
        </w:rPr>
        <w:t>rly</w:t>
      </w:r>
      <w:r w:rsidR="003A0A34" w:rsidRPr="003A0A34">
        <w:rPr>
          <w:rFonts w:asciiTheme="minorHAnsi" w:hAnsiTheme="minorHAnsi" w:cs="TimesNewRomanPSMT"/>
          <w:sz w:val="24"/>
          <w:szCs w:val="24"/>
        </w:rPr>
        <w:t xml:space="preserve"> with respect to Colchic Forest</w:t>
      </w:r>
      <w:r w:rsidR="00D35C2A">
        <w:rPr>
          <w:rFonts w:asciiTheme="minorHAnsi" w:hAnsiTheme="minorHAnsi" w:cs="TimesNewRomanPSMT"/>
          <w:sz w:val="24"/>
          <w:szCs w:val="24"/>
        </w:rPr>
        <w:t xml:space="preserve">. </w:t>
      </w:r>
      <w:r w:rsidR="00D35C2A">
        <w:rPr>
          <w:rFonts w:asciiTheme="minorHAnsi" w:hAnsiTheme="minorHAnsi" w:cs="TimesNewRomanPSMT"/>
          <w:sz w:val="24"/>
          <w:szCs w:val="24"/>
          <w:lang w:val="en-US"/>
        </w:rPr>
        <w:t>T</w:t>
      </w:r>
      <w:r w:rsidR="00D35C2A">
        <w:rPr>
          <w:rFonts w:asciiTheme="minorHAnsi" w:hAnsiTheme="minorHAnsi" w:cs="TimesNewRomanPSMT"/>
          <w:sz w:val="24"/>
          <w:szCs w:val="24"/>
        </w:rPr>
        <w:t>he first two indicators focus on</w:t>
      </w:r>
      <w:r w:rsidR="00D35C2A" w:rsidRPr="003A0A34">
        <w:rPr>
          <w:rFonts w:asciiTheme="minorHAnsi" w:hAnsiTheme="minorHAnsi" w:cs="TimesNewRomanPSMT"/>
          <w:sz w:val="24"/>
          <w:szCs w:val="24"/>
        </w:rPr>
        <w:t xml:space="preserve"> expansion of the PA network and reduced distances between PAs</w:t>
      </w:r>
      <w:r w:rsidR="00D35C2A">
        <w:rPr>
          <w:rFonts w:asciiTheme="minorHAnsi" w:hAnsiTheme="minorHAnsi" w:cs="TimesNewRomanPSMT"/>
          <w:sz w:val="24"/>
          <w:szCs w:val="24"/>
        </w:rPr>
        <w:t xml:space="preserve">, essentially </w:t>
      </w:r>
      <w:r w:rsidR="00D35C2A" w:rsidRPr="003A0A34">
        <w:rPr>
          <w:rFonts w:asciiTheme="minorHAnsi" w:hAnsiTheme="minorHAnsi" w:cs="TimesNewRomanPSMT"/>
          <w:sz w:val="24"/>
          <w:szCs w:val="24"/>
        </w:rPr>
        <w:t>repeat</w:t>
      </w:r>
      <w:r w:rsidR="00D35C2A">
        <w:rPr>
          <w:rFonts w:asciiTheme="minorHAnsi" w:hAnsiTheme="minorHAnsi" w:cs="TimesNewRomanPSMT"/>
          <w:sz w:val="24"/>
          <w:szCs w:val="24"/>
        </w:rPr>
        <w:t>ing</w:t>
      </w:r>
      <w:r w:rsidR="00D35C2A" w:rsidRPr="003A0A34">
        <w:rPr>
          <w:rFonts w:asciiTheme="minorHAnsi" w:hAnsiTheme="minorHAnsi" w:cs="TimesNewRomanPSMT"/>
          <w:sz w:val="24"/>
          <w:szCs w:val="24"/>
        </w:rPr>
        <w:t xml:space="preserve"> what </w:t>
      </w:r>
      <w:r w:rsidR="00D35C2A">
        <w:rPr>
          <w:rFonts w:asciiTheme="minorHAnsi" w:hAnsiTheme="minorHAnsi" w:cs="TimesNewRomanPSMT"/>
          <w:sz w:val="24"/>
          <w:szCs w:val="24"/>
        </w:rPr>
        <w:t>is</w:t>
      </w:r>
      <w:r w:rsidR="00D35C2A" w:rsidRPr="003A0A34">
        <w:rPr>
          <w:rFonts w:asciiTheme="minorHAnsi" w:hAnsiTheme="minorHAnsi" w:cs="TimesNewRomanPSMT"/>
          <w:sz w:val="24"/>
          <w:szCs w:val="24"/>
        </w:rPr>
        <w:t xml:space="preserve"> covered</w:t>
      </w:r>
      <w:r w:rsidR="00D35C2A">
        <w:rPr>
          <w:rFonts w:asciiTheme="minorHAnsi" w:hAnsiTheme="minorHAnsi" w:cs="TimesNewRomanPSMT"/>
          <w:sz w:val="24"/>
          <w:szCs w:val="24"/>
        </w:rPr>
        <w:t xml:space="preserve"> under the objective indicators. This</w:t>
      </w:r>
      <w:r w:rsidR="00D35C2A" w:rsidRPr="003A0A34">
        <w:rPr>
          <w:rFonts w:asciiTheme="minorHAnsi" w:hAnsiTheme="minorHAnsi" w:cs="TimesNewRomanPSMT"/>
          <w:sz w:val="24"/>
          <w:szCs w:val="24"/>
        </w:rPr>
        <w:t xml:space="preserve"> reflect</w:t>
      </w:r>
      <w:r w:rsidR="00D35C2A">
        <w:rPr>
          <w:rFonts w:asciiTheme="minorHAnsi" w:hAnsiTheme="minorHAnsi" w:cs="TimesNewRomanPSMT"/>
          <w:sz w:val="24"/>
          <w:szCs w:val="24"/>
        </w:rPr>
        <w:t>s</w:t>
      </w:r>
      <w:r w:rsidR="00D35C2A" w:rsidRPr="003A0A34">
        <w:rPr>
          <w:rFonts w:asciiTheme="minorHAnsi" w:hAnsiTheme="minorHAnsi" w:cs="TimesNewRomanPSMT"/>
          <w:sz w:val="24"/>
          <w:szCs w:val="24"/>
        </w:rPr>
        <w:t xml:space="preserve"> weak design during project formulation that could have </w:t>
      </w:r>
      <w:r w:rsidR="002B645E">
        <w:rPr>
          <w:rFonts w:asciiTheme="minorHAnsi" w:hAnsiTheme="minorHAnsi" w:cs="TimesNewRomanPSMT"/>
          <w:sz w:val="24"/>
          <w:szCs w:val="24"/>
        </w:rPr>
        <w:t xml:space="preserve">been </w:t>
      </w:r>
      <w:r w:rsidR="00D35C2A" w:rsidRPr="003A0A34">
        <w:rPr>
          <w:rFonts w:asciiTheme="minorHAnsi" w:hAnsiTheme="minorHAnsi" w:cs="TimesNewRomanPSMT"/>
          <w:sz w:val="24"/>
          <w:szCs w:val="24"/>
        </w:rPr>
        <w:t>smartened</w:t>
      </w:r>
      <w:r w:rsidR="00D35C2A" w:rsidRPr="00642A21">
        <w:rPr>
          <w:rFonts w:asciiTheme="minorHAnsi" w:hAnsiTheme="minorHAnsi" w:cs="TimesNewRomanPSMT"/>
          <w:sz w:val="24"/>
          <w:szCs w:val="24"/>
          <w:vertAlign w:val="superscript"/>
          <w:lang w:val="en-US"/>
        </w:rPr>
        <w:fldChar w:fldCharType="begin"/>
      </w:r>
      <w:r w:rsidR="00D35C2A" w:rsidRPr="00642A21">
        <w:rPr>
          <w:rFonts w:asciiTheme="minorHAnsi" w:hAnsiTheme="minorHAnsi" w:cs="TimesNewRomanPSMT"/>
          <w:sz w:val="24"/>
          <w:szCs w:val="24"/>
          <w:vertAlign w:val="superscript"/>
          <w:lang w:val="en-US"/>
        </w:rPr>
        <w:instrText xml:space="preserve"> NOTEREF _Ref406765673 \h </w:instrText>
      </w:r>
      <w:r w:rsidR="00D35C2A" w:rsidRPr="00642A21">
        <w:rPr>
          <w:rFonts w:asciiTheme="minorHAnsi" w:hAnsiTheme="minorHAnsi" w:cs="TimesNewRomanPSMT"/>
          <w:sz w:val="24"/>
          <w:szCs w:val="24"/>
          <w:vertAlign w:val="superscript"/>
          <w:lang w:val="en-US"/>
        </w:rPr>
      </w:r>
      <w:r w:rsidR="00D35C2A" w:rsidRPr="00642A21">
        <w:rPr>
          <w:rFonts w:asciiTheme="minorHAnsi" w:hAnsiTheme="minorHAnsi" w:cs="TimesNewRomanPSMT"/>
          <w:sz w:val="24"/>
          <w:szCs w:val="24"/>
          <w:vertAlign w:val="superscript"/>
          <w:lang w:val="en-US"/>
        </w:rPr>
        <w:fldChar w:fldCharType="separate"/>
      </w:r>
      <w:r w:rsidR="001E2C7B">
        <w:rPr>
          <w:rFonts w:asciiTheme="minorHAnsi" w:hAnsiTheme="minorHAnsi" w:cs="TimesNewRomanPSMT"/>
          <w:sz w:val="24"/>
          <w:szCs w:val="24"/>
          <w:vertAlign w:val="superscript"/>
          <w:lang w:val="en-US"/>
        </w:rPr>
        <w:t>12</w:t>
      </w:r>
      <w:r w:rsidR="00D35C2A" w:rsidRPr="00642A21">
        <w:rPr>
          <w:rFonts w:asciiTheme="minorHAnsi" w:hAnsiTheme="minorHAnsi" w:cs="TimesNewRomanPSMT"/>
          <w:sz w:val="24"/>
          <w:szCs w:val="24"/>
          <w:vertAlign w:val="superscript"/>
          <w:lang w:val="en-US"/>
        </w:rPr>
        <w:fldChar w:fldCharType="end"/>
      </w:r>
      <w:r w:rsidR="00D35C2A" w:rsidRPr="003A0A34">
        <w:rPr>
          <w:rFonts w:asciiTheme="minorHAnsi" w:hAnsiTheme="minorHAnsi" w:cs="TimesNewRomanPSMT"/>
          <w:sz w:val="24"/>
          <w:szCs w:val="24"/>
        </w:rPr>
        <w:t xml:space="preserve"> </w:t>
      </w:r>
      <w:r w:rsidR="002B645E">
        <w:rPr>
          <w:rFonts w:asciiTheme="minorHAnsi" w:hAnsiTheme="minorHAnsi" w:cs="TimesNewRomanPSMT"/>
          <w:sz w:val="24"/>
          <w:szCs w:val="24"/>
        </w:rPr>
        <w:t xml:space="preserve">(even removed) </w:t>
      </w:r>
      <w:r w:rsidR="00D35C2A" w:rsidRPr="003A0A34">
        <w:rPr>
          <w:rFonts w:asciiTheme="minorHAnsi" w:hAnsiTheme="minorHAnsi" w:cs="TimesNewRomanPSMT"/>
          <w:sz w:val="24"/>
          <w:szCs w:val="24"/>
        </w:rPr>
        <w:t>at mid-term.  </w:t>
      </w:r>
      <w:r w:rsidR="00D35C2A" w:rsidRPr="003A0A34">
        <w:rPr>
          <w:rFonts w:asciiTheme="minorHAnsi" w:hAnsiTheme="minorHAnsi" w:cs="TimesNewRomanPSMT"/>
          <w:b/>
          <w:bCs/>
          <w:sz w:val="24"/>
          <w:szCs w:val="24"/>
        </w:rPr>
        <w:t xml:space="preserve"> </w:t>
      </w:r>
    </w:p>
    <w:p w14:paraId="3CF4BC5B" w14:textId="3052553E" w:rsidR="00AD61FD" w:rsidRDefault="00657C6B" w:rsidP="003A0A34">
      <w:pPr>
        <w:overflowPunct/>
        <w:spacing w:after="120" w:line="240" w:lineRule="atLeast"/>
        <w:jc w:val="both"/>
        <w:textAlignment w:val="auto"/>
        <w:rPr>
          <w:rFonts w:asciiTheme="minorHAnsi" w:hAnsiTheme="minorHAnsi" w:cs="TimesNewRomanPSMT"/>
          <w:sz w:val="24"/>
          <w:szCs w:val="24"/>
        </w:rPr>
      </w:pPr>
      <w:r>
        <w:rPr>
          <w:rFonts w:asciiTheme="minorHAnsi" w:hAnsiTheme="minorHAnsi" w:cs="TimesNewRomanPSMT"/>
          <w:sz w:val="24"/>
          <w:szCs w:val="24"/>
        </w:rPr>
        <w:t>T</w:t>
      </w:r>
      <w:r w:rsidR="003A0A34" w:rsidRPr="003A0A34">
        <w:rPr>
          <w:rFonts w:asciiTheme="minorHAnsi" w:hAnsiTheme="minorHAnsi" w:cs="TimesNewRomanPSMT"/>
          <w:sz w:val="24"/>
          <w:szCs w:val="24"/>
        </w:rPr>
        <w:t xml:space="preserve">he other </w:t>
      </w:r>
      <w:r w:rsidR="00AD61FD">
        <w:rPr>
          <w:rFonts w:asciiTheme="minorHAnsi" w:hAnsiTheme="minorHAnsi" w:cs="TimesNewRomanPSMT"/>
          <w:sz w:val="24"/>
          <w:szCs w:val="24"/>
        </w:rPr>
        <w:t xml:space="preserve">three </w:t>
      </w:r>
      <w:r w:rsidR="003A0A34" w:rsidRPr="003A0A34">
        <w:rPr>
          <w:rFonts w:asciiTheme="minorHAnsi" w:hAnsiTheme="minorHAnsi" w:cs="TimesNewRomanPSMT"/>
          <w:sz w:val="24"/>
          <w:szCs w:val="24"/>
        </w:rPr>
        <w:t>indicators concern infrastructural investment</w:t>
      </w:r>
      <w:r w:rsidR="00D35C2A">
        <w:rPr>
          <w:rFonts w:asciiTheme="minorHAnsi" w:hAnsiTheme="minorHAnsi" w:cs="TimesNewRomanPSMT"/>
          <w:sz w:val="24"/>
          <w:szCs w:val="24"/>
        </w:rPr>
        <w:t>,</w:t>
      </w:r>
      <w:r w:rsidR="003A0A34" w:rsidRPr="003A0A34">
        <w:rPr>
          <w:rFonts w:asciiTheme="minorHAnsi" w:hAnsiTheme="minorHAnsi" w:cs="TimesNewRomanPSMT"/>
          <w:sz w:val="24"/>
          <w:szCs w:val="24"/>
        </w:rPr>
        <w:t xml:space="preserve"> demarcati</w:t>
      </w:r>
      <w:r w:rsidR="00D35C2A">
        <w:rPr>
          <w:rFonts w:asciiTheme="minorHAnsi" w:hAnsiTheme="minorHAnsi" w:cs="TimesNewRomanPSMT"/>
          <w:sz w:val="24"/>
          <w:szCs w:val="24"/>
        </w:rPr>
        <w:t>on of boundaries</w:t>
      </w:r>
      <w:r w:rsidR="002B645E">
        <w:rPr>
          <w:rFonts w:asciiTheme="minorHAnsi" w:hAnsiTheme="minorHAnsi" w:cs="TimesNewRomanPSMT"/>
          <w:sz w:val="24"/>
          <w:szCs w:val="24"/>
        </w:rPr>
        <w:t xml:space="preserve"> and</w:t>
      </w:r>
      <w:r w:rsidR="00D35C2A">
        <w:rPr>
          <w:rFonts w:asciiTheme="minorHAnsi" w:hAnsiTheme="minorHAnsi" w:cs="TimesNewRomanPSMT"/>
          <w:sz w:val="24"/>
          <w:szCs w:val="24"/>
        </w:rPr>
        <w:t xml:space="preserve"> zonation</w:t>
      </w:r>
      <w:r w:rsidR="002B645E">
        <w:rPr>
          <w:rFonts w:asciiTheme="minorHAnsi" w:hAnsiTheme="minorHAnsi" w:cs="TimesNewRomanPSMT"/>
          <w:sz w:val="24"/>
          <w:szCs w:val="24"/>
        </w:rPr>
        <w:t>,</w:t>
      </w:r>
      <w:r w:rsidR="00D35C2A">
        <w:rPr>
          <w:rFonts w:asciiTheme="minorHAnsi" w:hAnsiTheme="minorHAnsi" w:cs="TimesNewRomanPSMT"/>
          <w:sz w:val="24"/>
          <w:szCs w:val="24"/>
        </w:rPr>
        <w:t xml:space="preserve"> and </w:t>
      </w:r>
      <w:r w:rsidR="003A0A34" w:rsidRPr="003A0A34">
        <w:rPr>
          <w:rFonts w:asciiTheme="minorHAnsi" w:hAnsiTheme="minorHAnsi" w:cs="TimesNewRomanPSMT"/>
          <w:sz w:val="24"/>
          <w:szCs w:val="24"/>
        </w:rPr>
        <w:t xml:space="preserve">local communities' involvement in </w:t>
      </w:r>
      <w:r w:rsidR="00AD61FD">
        <w:rPr>
          <w:rFonts w:asciiTheme="minorHAnsi" w:hAnsiTheme="minorHAnsi" w:cs="TimesNewRomanPSMT"/>
          <w:sz w:val="24"/>
          <w:szCs w:val="24"/>
        </w:rPr>
        <w:t xml:space="preserve">the governance, planning and </w:t>
      </w:r>
      <w:r w:rsidR="003A0A34" w:rsidRPr="003A0A34">
        <w:rPr>
          <w:rFonts w:asciiTheme="minorHAnsi" w:hAnsiTheme="minorHAnsi" w:cs="TimesNewRomanPSMT"/>
          <w:sz w:val="24"/>
          <w:szCs w:val="24"/>
        </w:rPr>
        <w:t xml:space="preserve">management </w:t>
      </w:r>
      <w:r w:rsidR="00AD61FD">
        <w:rPr>
          <w:rFonts w:asciiTheme="minorHAnsi" w:hAnsiTheme="minorHAnsi" w:cs="TimesNewRomanPSMT"/>
          <w:sz w:val="24"/>
          <w:szCs w:val="24"/>
        </w:rPr>
        <w:t>of PAs</w:t>
      </w:r>
      <w:r w:rsidR="002B645E">
        <w:rPr>
          <w:rFonts w:asciiTheme="minorHAnsi" w:hAnsiTheme="minorHAnsi" w:cs="TimesNewRomanPSMT"/>
          <w:sz w:val="24"/>
          <w:szCs w:val="24"/>
        </w:rPr>
        <w:t>. While reasonabl</w:t>
      </w:r>
      <w:r w:rsidR="00AD61FD">
        <w:rPr>
          <w:rFonts w:asciiTheme="minorHAnsi" w:hAnsiTheme="minorHAnsi" w:cs="TimesNewRomanPSMT"/>
          <w:sz w:val="24"/>
          <w:szCs w:val="24"/>
        </w:rPr>
        <w:t xml:space="preserve">e in </w:t>
      </w:r>
      <w:r w:rsidR="002B645E">
        <w:rPr>
          <w:rFonts w:asciiTheme="minorHAnsi" w:hAnsiTheme="minorHAnsi" w:cs="TimesNewRomanPSMT"/>
          <w:sz w:val="24"/>
          <w:szCs w:val="24"/>
        </w:rPr>
        <w:t>design</w:t>
      </w:r>
      <w:r w:rsidR="00AD61FD">
        <w:rPr>
          <w:rFonts w:asciiTheme="minorHAnsi" w:hAnsiTheme="minorHAnsi" w:cs="TimesNewRomanPSMT"/>
          <w:sz w:val="24"/>
          <w:szCs w:val="24"/>
        </w:rPr>
        <w:t>, t</w:t>
      </w:r>
      <w:r w:rsidR="002B645E">
        <w:rPr>
          <w:rFonts w:asciiTheme="minorHAnsi" w:hAnsiTheme="minorHAnsi" w:cs="TimesNewRomanPSMT"/>
          <w:sz w:val="24"/>
          <w:szCs w:val="24"/>
        </w:rPr>
        <w:t xml:space="preserve">hese </w:t>
      </w:r>
      <w:r w:rsidR="00AD61FD">
        <w:rPr>
          <w:rFonts w:asciiTheme="minorHAnsi" w:hAnsiTheme="minorHAnsi" w:cs="TimesNewRomanPSMT"/>
          <w:sz w:val="24"/>
          <w:szCs w:val="24"/>
        </w:rPr>
        <w:t>indicators</w:t>
      </w:r>
      <w:r w:rsidR="002B645E">
        <w:rPr>
          <w:rFonts w:asciiTheme="minorHAnsi" w:hAnsiTheme="minorHAnsi" w:cs="TimesNewRomanPSMT"/>
          <w:sz w:val="24"/>
          <w:szCs w:val="24"/>
        </w:rPr>
        <w:t xml:space="preserve"> </w:t>
      </w:r>
      <w:r w:rsidR="00AD61FD">
        <w:rPr>
          <w:rFonts w:asciiTheme="minorHAnsi" w:hAnsiTheme="minorHAnsi" w:cs="TimesNewRomanPSMT"/>
          <w:sz w:val="24"/>
          <w:szCs w:val="24"/>
        </w:rPr>
        <w:t>seem to be</w:t>
      </w:r>
      <w:r w:rsidR="002B645E">
        <w:rPr>
          <w:rFonts w:asciiTheme="minorHAnsi" w:hAnsiTheme="minorHAnsi" w:cs="TimesNewRomanPSMT"/>
          <w:sz w:val="24"/>
          <w:szCs w:val="24"/>
        </w:rPr>
        <w:t xml:space="preserve"> </w:t>
      </w:r>
      <w:r w:rsidR="00AD61FD">
        <w:rPr>
          <w:rFonts w:asciiTheme="minorHAnsi" w:hAnsiTheme="minorHAnsi" w:cs="TimesNewRomanPSMT"/>
          <w:sz w:val="24"/>
          <w:szCs w:val="24"/>
        </w:rPr>
        <w:t>as relevant to Outcome 1 as to Outcome 2</w:t>
      </w:r>
      <w:r w:rsidR="00850613">
        <w:rPr>
          <w:rFonts w:asciiTheme="minorHAnsi" w:hAnsiTheme="minorHAnsi" w:cs="TimesNewRomanPSMT"/>
          <w:sz w:val="24"/>
          <w:szCs w:val="24"/>
        </w:rPr>
        <w:t>, which suggests a lack of clear differentiation between the two outcomes</w:t>
      </w:r>
      <w:r w:rsidR="00AD61FD">
        <w:rPr>
          <w:rFonts w:asciiTheme="minorHAnsi" w:hAnsiTheme="minorHAnsi" w:cs="TimesNewRomanPSMT"/>
          <w:sz w:val="24"/>
          <w:szCs w:val="24"/>
        </w:rPr>
        <w:t>.</w:t>
      </w:r>
      <w:r w:rsidR="00B97F70">
        <w:rPr>
          <w:rFonts w:asciiTheme="minorHAnsi" w:hAnsiTheme="minorHAnsi" w:cs="TimesNewRomanPSMT"/>
          <w:sz w:val="24"/>
          <w:szCs w:val="24"/>
        </w:rPr>
        <w:t xml:space="preserve"> Most probably, some of this confused rationale stems from the PIF</w:t>
      </w:r>
      <w:r w:rsidR="00EB498F">
        <w:rPr>
          <w:rFonts w:asciiTheme="minorHAnsi" w:hAnsiTheme="minorHAnsi" w:cs="TimesNewRomanPSMT"/>
          <w:sz w:val="24"/>
          <w:szCs w:val="24"/>
        </w:rPr>
        <w:t>.</w:t>
      </w:r>
    </w:p>
    <w:p w14:paraId="2A70B072" w14:textId="77777777" w:rsidR="00976018" w:rsidRPr="00E22EBA" w:rsidRDefault="00976018" w:rsidP="00722D10">
      <w:pPr>
        <w:pStyle w:val="Heading2"/>
        <w:numPr>
          <w:ilvl w:val="1"/>
          <w:numId w:val="7"/>
        </w:numPr>
        <w:spacing w:before="240" w:after="120" w:line="240" w:lineRule="auto"/>
        <w:ind w:left="567" w:hanging="567"/>
        <w:rPr>
          <w:rFonts w:asciiTheme="minorHAnsi" w:hAnsiTheme="minorHAnsi" w:cs="Calibri"/>
          <w:b/>
          <w:caps w:val="0"/>
          <w:sz w:val="28"/>
        </w:rPr>
      </w:pPr>
      <w:bookmarkStart w:id="21" w:name="_Toc414745314"/>
      <w:r w:rsidRPr="00E22EBA">
        <w:rPr>
          <w:rFonts w:asciiTheme="minorHAnsi" w:hAnsiTheme="minorHAnsi" w:cs="Calibri"/>
          <w:b/>
          <w:caps w:val="0"/>
          <w:sz w:val="28"/>
        </w:rPr>
        <w:t>Main Stakeholders</w:t>
      </w:r>
      <w:bookmarkEnd w:id="21"/>
    </w:p>
    <w:p w14:paraId="50F2AA5C" w14:textId="007F58C2" w:rsidR="00851B43" w:rsidRDefault="004148D0" w:rsidP="001819AD">
      <w:pPr>
        <w:overflowPunct/>
        <w:spacing w:after="120" w:line="240" w:lineRule="atLeast"/>
        <w:jc w:val="both"/>
        <w:textAlignment w:val="auto"/>
        <w:rPr>
          <w:rFonts w:asciiTheme="minorHAnsi" w:hAnsiTheme="minorHAnsi" w:cs="TimesNewRomanPSMT"/>
          <w:sz w:val="24"/>
          <w:szCs w:val="24"/>
          <w:lang w:val="en-US"/>
        </w:rPr>
      </w:pPr>
      <w:r>
        <w:rPr>
          <w:rFonts w:asciiTheme="minorHAnsi" w:hAnsiTheme="minorHAnsi" w:cs="TimesNewRomanPSMT"/>
          <w:sz w:val="24"/>
          <w:szCs w:val="24"/>
          <w:lang w:val="en-US"/>
        </w:rPr>
        <w:t xml:space="preserve">Key </w:t>
      </w:r>
      <w:r w:rsidR="00851B43">
        <w:rPr>
          <w:rFonts w:asciiTheme="minorHAnsi" w:hAnsiTheme="minorHAnsi" w:cs="TimesNewRomanPSMT"/>
          <w:sz w:val="24"/>
          <w:szCs w:val="24"/>
          <w:lang w:val="en-US"/>
        </w:rPr>
        <w:t xml:space="preserve">stakeholders and their respective roles </w:t>
      </w:r>
      <w:r>
        <w:rPr>
          <w:rFonts w:asciiTheme="minorHAnsi" w:hAnsiTheme="minorHAnsi" w:cs="TimesNewRomanPSMT"/>
          <w:sz w:val="24"/>
          <w:szCs w:val="24"/>
          <w:lang w:val="en-US"/>
        </w:rPr>
        <w:t>are summarised</w:t>
      </w:r>
      <w:r w:rsidR="00851B43">
        <w:rPr>
          <w:rFonts w:asciiTheme="minorHAnsi" w:hAnsiTheme="minorHAnsi" w:cs="TimesNewRomanPSMT"/>
          <w:sz w:val="24"/>
          <w:szCs w:val="24"/>
          <w:lang w:val="en-US"/>
        </w:rPr>
        <w:t xml:space="preserve"> in </w:t>
      </w:r>
      <w:r w:rsidR="00851B43" w:rsidRPr="00851B43">
        <w:rPr>
          <w:rFonts w:asciiTheme="minorHAnsi" w:hAnsiTheme="minorHAnsi" w:cs="TimesNewRomanPSMT"/>
          <w:b/>
          <w:sz w:val="24"/>
          <w:szCs w:val="24"/>
          <w:lang w:val="en-US"/>
        </w:rPr>
        <w:t>Table 2.1</w:t>
      </w:r>
      <w:r w:rsidR="00851B43" w:rsidRPr="00851B43">
        <w:rPr>
          <w:rFonts w:asciiTheme="minorHAnsi" w:hAnsiTheme="minorHAnsi" w:cs="TimesNewRomanPSMT"/>
          <w:sz w:val="24"/>
          <w:szCs w:val="24"/>
          <w:lang w:val="en-US"/>
        </w:rPr>
        <w:t xml:space="preserve">, based </w:t>
      </w:r>
      <w:r w:rsidR="00851B43">
        <w:rPr>
          <w:rFonts w:asciiTheme="minorHAnsi" w:hAnsiTheme="minorHAnsi" w:cs="TimesNewRomanPSMT"/>
          <w:sz w:val="24"/>
          <w:szCs w:val="24"/>
          <w:lang w:val="en-US"/>
        </w:rPr>
        <w:t>primarily on information in the ProDoc</w:t>
      </w:r>
      <w:r>
        <w:rPr>
          <w:rFonts w:asciiTheme="minorHAnsi" w:hAnsiTheme="minorHAnsi" w:cs="TimesNewRomanPSMT"/>
          <w:sz w:val="24"/>
          <w:szCs w:val="24"/>
          <w:lang w:val="en-US"/>
        </w:rPr>
        <w:t xml:space="preserve"> from where further details of these </w:t>
      </w:r>
      <w:r w:rsidR="002A716B">
        <w:rPr>
          <w:rFonts w:asciiTheme="minorHAnsi" w:hAnsiTheme="minorHAnsi" w:cs="TimesNewRomanPSMT"/>
          <w:sz w:val="24"/>
          <w:szCs w:val="24"/>
          <w:lang w:val="en-US"/>
        </w:rPr>
        <w:t xml:space="preserve">parties </w:t>
      </w:r>
      <w:r>
        <w:rPr>
          <w:rFonts w:asciiTheme="minorHAnsi" w:hAnsiTheme="minorHAnsi" w:cs="TimesNewRomanPSMT"/>
          <w:sz w:val="24"/>
          <w:szCs w:val="24"/>
          <w:lang w:val="en-US"/>
        </w:rPr>
        <w:t xml:space="preserve">and other </w:t>
      </w:r>
      <w:r w:rsidR="00006BF7">
        <w:rPr>
          <w:rFonts w:asciiTheme="minorHAnsi" w:hAnsiTheme="minorHAnsi" w:cs="TimesNewRomanPSMT"/>
          <w:sz w:val="24"/>
          <w:szCs w:val="24"/>
          <w:lang w:val="en-US"/>
        </w:rPr>
        <w:t xml:space="preserve">important sectors </w:t>
      </w:r>
      <w:r w:rsidR="002A716B">
        <w:rPr>
          <w:rFonts w:asciiTheme="minorHAnsi" w:hAnsiTheme="minorHAnsi" w:cs="TimesNewRomanPSMT"/>
          <w:sz w:val="24"/>
          <w:szCs w:val="24"/>
          <w:lang w:val="en-US"/>
        </w:rPr>
        <w:t xml:space="preserve">can be found, </w:t>
      </w:r>
      <w:r w:rsidR="00006BF7">
        <w:rPr>
          <w:rFonts w:asciiTheme="minorHAnsi" w:hAnsiTheme="minorHAnsi" w:cs="TimesNewRomanPSMT"/>
          <w:sz w:val="24"/>
          <w:szCs w:val="24"/>
          <w:lang w:val="en-US"/>
        </w:rPr>
        <w:t xml:space="preserve">such as </w:t>
      </w:r>
      <w:r w:rsidR="00200EF9">
        <w:rPr>
          <w:rFonts w:asciiTheme="minorHAnsi" w:hAnsiTheme="minorHAnsi" w:cs="TimesNewRomanPSMT"/>
          <w:sz w:val="24"/>
          <w:szCs w:val="24"/>
          <w:lang w:val="en-US"/>
        </w:rPr>
        <w:t>agriculture (Ministry of Agriculture</w:t>
      </w:r>
      <w:r w:rsidR="005813EA">
        <w:rPr>
          <w:rFonts w:asciiTheme="minorHAnsi" w:hAnsiTheme="minorHAnsi" w:cs="TimesNewRomanPSMT"/>
          <w:sz w:val="24"/>
          <w:szCs w:val="24"/>
          <w:lang w:val="en-US"/>
        </w:rPr>
        <w:t>, A</w:t>
      </w:r>
      <w:r w:rsidR="00587144">
        <w:rPr>
          <w:rFonts w:asciiTheme="minorHAnsi" w:hAnsiTheme="minorHAnsi" w:cs="TimesNewRomanPSMT"/>
          <w:sz w:val="24"/>
          <w:szCs w:val="24"/>
          <w:lang w:val="en-US"/>
        </w:rPr>
        <w:t>RA</w:t>
      </w:r>
      <w:r w:rsidR="005813EA">
        <w:rPr>
          <w:rFonts w:asciiTheme="minorHAnsi" w:hAnsiTheme="minorHAnsi" w:cs="TimesNewRomanPSMT"/>
          <w:sz w:val="24"/>
          <w:szCs w:val="24"/>
          <w:lang w:val="en-US"/>
        </w:rPr>
        <w:t>)</w:t>
      </w:r>
      <w:r w:rsidR="00200EF9">
        <w:rPr>
          <w:rFonts w:asciiTheme="minorHAnsi" w:hAnsiTheme="minorHAnsi" w:cs="TimesNewRomanPSMT"/>
          <w:sz w:val="24"/>
          <w:szCs w:val="24"/>
          <w:lang w:val="en-US"/>
        </w:rPr>
        <w:t xml:space="preserve">, </w:t>
      </w:r>
      <w:r w:rsidR="00587144">
        <w:rPr>
          <w:rFonts w:asciiTheme="minorHAnsi" w:hAnsiTheme="minorHAnsi" w:cs="TimesNewRomanPSMT"/>
          <w:sz w:val="24"/>
          <w:szCs w:val="24"/>
          <w:lang w:val="en-US"/>
        </w:rPr>
        <w:t xml:space="preserve">tourism (Adjara Tourism Product Development Agency) </w:t>
      </w:r>
      <w:r w:rsidR="00006BF7">
        <w:rPr>
          <w:rFonts w:asciiTheme="minorHAnsi" w:hAnsiTheme="minorHAnsi" w:cs="TimesNewRomanPSMT"/>
          <w:sz w:val="24"/>
          <w:szCs w:val="24"/>
          <w:lang w:val="en-US"/>
        </w:rPr>
        <w:t>hydropower (Min</w:t>
      </w:r>
      <w:r w:rsidR="00200EF9">
        <w:rPr>
          <w:rFonts w:asciiTheme="minorHAnsi" w:hAnsiTheme="minorHAnsi" w:cs="TimesNewRomanPSMT"/>
          <w:sz w:val="24"/>
          <w:szCs w:val="24"/>
          <w:lang w:val="en-US"/>
        </w:rPr>
        <w:t>i</w:t>
      </w:r>
      <w:r w:rsidR="00006BF7">
        <w:rPr>
          <w:rFonts w:asciiTheme="minorHAnsi" w:hAnsiTheme="minorHAnsi" w:cs="TimesNewRomanPSMT"/>
          <w:sz w:val="24"/>
          <w:szCs w:val="24"/>
          <w:lang w:val="en-US"/>
        </w:rPr>
        <w:t xml:space="preserve">stry of </w:t>
      </w:r>
      <w:r w:rsidR="00200EF9">
        <w:rPr>
          <w:rFonts w:asciiTheme="minorHAnsi" w:hAnsiTheme="minorHAnsi" w:cs="TimesNewRomanPSMT"/>
          <w:sz w:val="24"/>
          <w:szCs w:val="24"/>
          <w:lang w:val="en-US"/>
        </w:rPr>
        <w:t>Energy and Natural Resources</w:t>
      </w:r>
      <w:r w:rsidR="00587144">
        <w:rPr>
          <w:rFonts w:asciiTheme="minorHAnsi" w:hAnsiTheme="minorHAnsi" w:cs="TimesNewRomanPSMT"/>
          <w:sz w:val="24"/>
          <w:szCs w:val="24"/>
          <w:lang w:val="en-US"/>
        </w:rPr>
        <w:t>)</w:t>
      </w:r>
      <w:r w:rsidR="002A716B">
        <w:rPr>
          <w:rFonts w:asciiTheme="minorHAnsi" w:hAnsiTheme="minorHAnsi" w:cs="TimesNewRomanPSMT"/>
          <w:sz w:val="24"/>
          <w:szCs w:val="24"/>
          <w:lang w:val="en-US"/>
        </w:rPr>
        <w:t xml:space="preserve"> and</w:t>
      </w:r>
      <w:r w:rsidR="00200EF9">
        <w:rPr>
          <w:rFonts w:asciiTheme="minorHAnsi" w:hAnsiTheme="minorHAnsi" w:cs="TimesNewRomanPSMT"/>
          <w:sz w:val="24"/>
          <w:szCs w:val="24"/>
          <w:lang w:val="en-US"/>
        </w:rPr>
        <w:t xml:space="preserve"> </w:t>
      </w:r>
      <w:r w:rsidR="00342FD1">
        <w:rPr>
          <w:rFonts w:asciiTheme="minorHAnsi" w:hAnsiTheme="minorHAnsi" w:cs="TimesNewRomanPSMT"/>
          <w:sz w:val="24"/>
          <w:szCs w:val="24"/>
          <w:lang w:val="en-US"/>
        </w:rPr>
        <w:t xml:space="preserve">culture (Ministry of Culture) </w:t>
      </w:r>
      <w:r w:rsidR="00851B43">
        <w:rPr>
          <w:rFonts w:asciiTheme="minorHAnsi" w:hAnsiTheme="minorHAnsi" w:cs="TimesNewRomanPSMT"/>
          <w:sz w:val="24"/>
          <w:szCs w:val="24"/>
          <w:lang w:val="en-US"/>
        </w:rPr>
        <w:t xml:space="preserve">No further </w:t>
      </w:r>
      <w:r>
        <w:rPr>
          <w:rFonts w:asciiTheme="minorHAnsi" w:hAnsiTheme="minorHAnsi" w:cs="TimesNewRomanPSMT"/>
          <w:sz w:val="24"/>
          <w:szCs w:val="24"/>
          <w:lang w:val="en-US"/>
        </w:rPr>
        <w:t>consideration was given to</w:t>
      </w:r>
      <w:r w:rsidR="00851B43">
        <w:rPr>
          <w:rFonts w:asciiTheme="minorHAnsi" w:hAnsiTheme="minorHAnsi" w:cs="TimesNewRomanPSMT"/>
          <w:sz w:val="24"/>
          <w:szCs w:val="24"/>
          <w:lang w:val="en-US"/>
        </w:rPr>
        <w:t xml:space="preserve"> stakeholders in the Inception Report. </w:t>
      </w:r>
    </w:p>
    <w:p w14:paraId="2282ADA2" w14:textId="3566D909" w:rsidR="00C72279" w:rsidRPr="00955EC4" w:rsidRDefault="00C72279" w:rsidP="00C72279">
      <w:pPr>
        <w:overflowPunct/>
        <w:spacing w:before="120" w:after="120" w:line="240" w:lineRule="atLeast"/>
        <w:jc w:val="both"/>
        <w:textAlignment w:val="auto"/>
        <w:rPr>
          <w:rFonts w:ascii="Calibri" w:hAnsi="Calibri" w:cs="TimesNewRomanPSMT"/>
          <w:sz w:val="24"/>
          <w:szCs w:val="24"/>
          <w:lang w:val="en-US"/>
        </w:rPr>
      </w:pPr>
      <w:r w:rsidRPr="00955EC4">
        <w:rPr>
          <w:rFonts w:ascii="Calibri" w:hAnsi="Calibri" w:cs="TimesNewRomanPSMT"/>
          <w:sz w:val="24"/>
          <w:szCs w:val="24"/>
          <w:lang w:val="en-US"/>
        </w:rPr>
        <w:t>As noted in the MTR, the project has a complex array of stakeholders with different tiers of government, non-governmental organisations (NGOs), communities and cooperatives, as well as the many other donors providing financial and technical assistance. The project has two formal structure</w:t>
      </w:r>
      <w:r w:rsidR="008413AC">
        <w:rPr>
          <w:rFonts w:ascii="Calibri" w:hAnsi="Calibri" w:cs="TimesNewRomanPSMT"/>
          <w:sz w:val="24"/>
          <w:szCs w:val="24"/>
          <w:lang w:val="en-US"/>
        </w:rPr>
        <w:t>s</w:t>
      </w:r>
      <w:r w:rsidRPr="00955EC4">
        <w:rPr>
          <w:rFonts w:ascii="Calibri" w:hAnsi="Calibri" w:cs="TimesNewRomanPSMT"/>
          <w:sz w:val="24"/>
          <w:szCs w:val="24"/>
          <w:lang w:val="en-US"/>
        </w:rPr>
        <w:t xml:space="preserve"> to help inform and coordinate stakeholder interests: the Project Executive Board (PEB), which is considered in </w:t>
      </w:r>
      <w:r w:rsidRPr="00005723">
        <w:rPr>
          <w:rFonts w:ascii="Calibri" w:hAnsi="Calibri" w:cs="TimesNewRomanPSMT"/>
          <w:b/>
          <w:sz w:val="24"/>
          <w:szCs w:val="24"/>
          <w:lang w:val="en-US"/>
        </w:rPr>
        <w:t xml:space="preserve">Section </w:t>
      </w:r>
      <w:r w:rsidR="00005723" w:rsidRPr="00005723">
        <w:rPr>
          <w:rFonts w:ascii="Calibri" w:hAnsi="Calibri" w:cs="TimesNewRomanPSMT"/>
          <w:b/>
          <w:sz w:val="24"/>
          <w:szCs w:val="24"/>
          <w:lang w:val="en-US"/>
        </w:rPr>
        <w:t>3.1.8</w:t>
      </w:r>
      <w:r w:rsidRPr="00005723">
        <w:rPr>
          <w:rFonts w:ascii="Calibri" w:hAnsi="Calibri" w:cs="TimesNewRomanPSMT"/>
          <w:sz w:val="24"/>
          <w:szCs w:val="24"/>
          <w:lang w:val="en-US"/>
        </w:rPr>
        <w:t xml:space="preserve">; and the Technical Coordination Group (TCG), which is briefly explained in </w:t>
      </w:r>
      <w:r w:rsidRPr="00005723">
        <w:rPr>
          <w:rFonts w:ascii="Calibri" w:hAnsi="Calibri" w:cs="TimesNewRomanPSMT"/>
          <w:b/>
          <w:sz w:val="24"/>
          <w:szCs w:val="24"/>
          <w:lang w:val="en-US"/>
        </w:rPr>
        <w:t>Table 2.1</w:t>
      </w:r>
      <w:r w:rsidRPr="00005723">
        <w:rPr>
          <w:rFonts w:ascii="Calibri" w:hAnsi="Calibri" w:cs="TimesNewRomanPSMT"/>
          <w:sz w:val="24"/>
          <w:szCs w:val="24"/>
          <w:lang w:val="en-US"/>
        </w:rPr>
        <w:t>. Other coord</w:t>
      </w:r>
      <w:r w:rsidR="00657C6B">
        <w:rPr>
          <w:rFonts w:ascii="Calibri" w:hAnsi="Calibri" w:cs="TimesNewRomanPSMT"/>
          <w:sz w:val="24"/>
          <w:szCs w:val="24"/>
          <w:lang w:val="en-US"/>
        </w:rPr>
        <w:t xml:space="preserve">inating initiatives include the </w:t>
      </w:r>
      <w:r w:rsidRPr="00005723">
        <w:rPr>
          <w:rFonts w:ascii="Calibri" w:hAnsi="Calibri" w:cs="TimesNewRomanPSMT"/>
          <w:sz w:val="24"/>
          <w:szCs w:val="24"/>
          <w:lang w:val="en-US"/>
        </w:rPr>
        <w:t xml:space="preserve">Advisory Councils and Friends Associations set up by NPs (see </w:t>
      </w:r>
      <w:r w:rsidRPr="00005723">
        <w:rPr>
          <w:rFonts w:ascii="Calibri" w:hAnsi="Calibri" w:cs="TimesNewRomanPSMT"/>
          <w:b/>
          <w:sz w:val="24"/>
          <w:szCs w:val="24"/>
          <w:lang w:val="en-US"/>
        </w:rPr>
        <w:t xml:space="preserve">Section </w:t>
      </w:r>
      <w:r w:rsidR="00005723">
        <w:rPr>
          <w:rFonts w:ascii="Calibri" w:hAnsi="Calibri" w:cs="TimesNewRomanPSMT"/>
          <w:b/>
          <w:sz w:val="24"/>
          <w:szCs w:val="24"/>
          <w:lang w:val="en-US"/>
        </w:rPr>
        <w:t>3.2.2</w:t>
      </w:r>
      <w:r w:rsidRPr="00005723">
        <w:rPr>
          <w:rFonts w:ascii="Calibri" w:hAnsi="Calibri" w:cs="TimesNewRomanPSMT"/>
          <w:sz w:val="24"/>
          <w:szCs w:val="24"/>
          <w:lang w:val="en-US"/>
        </w:rPr>
        <w:t>).</w:t>
      </w:r>
    </w:p>
    <w:p w14:paraId="4D88EAA6" w14:textId="5F5F2B53" w:rsidR="00B0230A" w:rsidRPr="005109B3" w:rsidRDefault="00B0230A" w:rsidP="00722D10">
      <w:pPr>
        <w:pStyle w:val="BodyText"/>
        <w:tabs>
          <w:tab w:val="left" w:pos="1134"/>
        </w:tabs>
        <w:rPr>
          <w:rFonts w:ascii="Calibri" w:hAnsi="Calibri"/>
        </w:rPr>
      </w:pPr>
      <w:r>
        <w:rPr>
          <w:rFonts w:ascii="Calibri" w:hAnsi="Calibri"/>
          <w:b/>
        </w:rPr>
        <w:t>Table 2</w:t>
      </w:r>
      <w:r w:rsidRPr="005109B3">
        <w:rPr>
          <w:rFonts w:ascii="Calibri" w:hAnsi="Calibri"/>
          <w:b/>
        </w:rPr>
        <w:t>.1</w:t>
      </w:r>
      <w:r w:rsidRPr="005109B3">
        <w:rPr>
          <w:rFonts w:ascii="Calibri" w:hAnsi="Calibri"/>
          <w:b/>
        </w:rPr>
        <w:tab/>
      </w:r>
      <w:r w:rsidR="004148D0">
        <w:rPr>
          <w:rFonts w:ascii="Calibri" w:hAnsi="Calibri"/>
        </w:rPr>
        <w:t>Key</w:t>
      </w:r>
      <w:r>
        <w:rPr>
          <w:rFonts w:ascii="Calibri" w:hAnsi="Calibri"/>
        </w:rPr>
        <w:t xml:space="preserve"> stakeholders and their</w:t>
      </w:r>
      <w:r w:rsidR="00E6189F">
        <w:rPr>
          <w:rFonts w:ascii="Calibri" w:hAnsi="Calibri"/>
        </w:rPr>
        <w:t xml:space="preserve"> roles in project imple</w:t>
      </w:r>
      <w:r w:rsidRPr="00E6189F">
        <w:rPr>
          <w:rFonts w:ascii="Calibri" w:hAnsi="Calibri"/>
        </w:rPr>
        <w:t>mentation</w:t>
      </w:r>
      <w:r w:rsidRPr="005109B3">
        <w:rPr>
          <w:rFonts w:ascii="Calibri" w:hAnsi="Calibri"/>
        </w:rPr>
        <w:t xml:space="preserve"> </w:t>
      </w:r>
      <w:r w:rsidR="00263816">
        <w:rPr>
          <w:rFonts w:ascii="Calibri" w:hAnsi="Calibri"/>
        </w:rPr>
        <w:t>as planned in ProDoc</w:t>
      </w:r>
    </w:p>
    <w:tbl>
      <w:tblPr>
        <w:tblW w:w="9068" w:type="dxa"/>
        <w:tblCellMar>
          <w:left w:w="10" w:type="dxa"/>
          <w:right w:w="10" w:type="dxa"/>
        </w:tblCellMar>
        <w:tblLook w:val="0000" w:firstRow="0" w:lastRow="0" w:firstColumn="0" w:lastColumn="0" w:noHBand="0" w:noVBand="0"/>
      </w:tblPr>
      <w:tblGrid>
        <w:gridCol w:w="2535"/>
        <w:gridCol w:w="6533"/>
      </w:tblGrid>
      <w:tr w:rsidR="007C255B" w:rsidRPr="00E6189F" w14:paraId="58971515" w14:textId="77777777" w:rsidTr="000D0A56">
        <w:trPr>
          <w:trHeight w:val="264"/>
          <w:tblHeader/>
        </w:trPr>
        <w:tc>
          <w:tcPr>
            <w:tcW w:w="2535" w:type="dxa"/>
            <w:tcBorders>
              <w:top w:val="single" w:sz="4" w:space="0" w:color="000000"/>
              <w:left w:val="single" w:sz="4" w:space="0" w:color="000000"/>
              <w:bottom w:val="single" w:sz="4" w:space="0" w:color="000000"/>
              <w:right w:val="single" w:sz="4" w:space="0" w:color="000000"/>
            </w:tcBorders>
            <w:shd w:val="clear" w:color="auto" w:fill="CCCCCC"/>
            <w:tcMar>
              <w:top w:w="57" w:type="dxa"/>
              <w:left w:w="28" w:type="dxa"/>
              <w:bottom w:w="57" w:type="dxa"/>
              <w:right w:w="28" w:type="dxa"/>
            </w:tcMar>
          </w:tcPr>
          <w:p w14:paraId="7302AA27" w14:textId="77777777" w:rsidR="007C255B" w:rsidRPr="00E6189F" w:rsidRDefault="007C255B" w:rsidP="007C255B">
            <w:pPr>
              <w:jc w:val="center"/>
              <w:rPr>
                <w:rFonts w:ascii="Calibri" w:hAnsi="Calibri"/>
                <w:b/>
                <w:sz w:val="20"/>
                <w:lang w:eastAsia="es-CO"/>
              </w:rPr>
            </w:pPr>
            <w:r w:rsidRPr="00E6189F">
              <w:rPr>
                <w:rFonts w:ascii="Calibri" w:hAnsi="Calibri"/>
                <w:b/>
                <w:sz w:val="20"/>
                <w:lang w:eastAsia="es-CO"/>
              </w:rPr>
              <w:t>Stakeholders</w:t>
            </w:r>
          </w:p>
        </w:tc>
        <w:tc>
          <w:tcPr>
            <w:tcW w:w="6533" w:type="dxa"/>
            <w:tcBorders>
              <w:top w:val="single" w:sz="4" w:space="0" w:color="000000"/>
              <w:left w:val="single" w:sz="4" w:space="0" w:color="000000"/>
              <w:bottom w:val="single" w:sz="4" w:space="0" w:color="000000"/>
              <w:right w:val="single" w:sz="4" w:space="0" w:color="000000"/>
            </w:tcBorders>
            <w:shd w:val="clear" w:color="auto" w:fill="CCCCCC"/>
            <w:tcMar>
              <w:top w:w="57" w:type="dxa"/>
              <w:left w:w="28" w:type="dxa"/>
              <w:bottom w:w="57" w:type="dxa"/>
              <w:right w:w="28" w:type="dxa"/>
            </w:tcMar>
          </w:tcPr>
          <w:p w14:paraId="4846A0E4" w14:textId="6E929FD5" w:rsidR="007C255B" w:rsidRPr="00E6189F" w:rsidRDefault="007C255B" w:rsidP="00F679E5">
            <w:pPr>
              <w:jc w:val="center"/>
              <w:rPr>
                <w:rFonts w:ascii="Calibri" w:hAnsi="Calibri"/>
                <w:b/>
                <w:sz w:val="20"/>
                <w:lang w:eastAsia="es-CO"/>
              </w:rPr>
            </w:pPr>
            <w:r w:rsidRPr="00E6189F">
              <w:rPr>
                <w:rFonts w:ascii="Calibri" w:hAnsi="Calibri"/>
                <w:b/>
                <w:sz w:val="20"/>
                <w:lang w:eastAsia="es-CO"/>
              </w:rPr>
              <w:t>Description</w:t>
            </w:r>
            <w:r w:rsidR="00F33E86">
              <w:rPr>
                <w:rFonts w:ascii="Calibri" w:hAnsi="Calibri"/>
                <w:b/>
                <w:sz w:val="20"/>
                <w:lang w:eastAsia="es-CO"/>
              </w:rPr>
              <w:t>, Mandate</w:t>
            </w:r>
            <w:r w:rsidRPr="00E6189F">
              <w:rPr>
                <w:rFonts w:ascii="Calibri" w:hAnsi="Calibri"/>
                <w:b/>
                <w:sz w:val="20"/>
                <w:lang w:eastAsia="es-CO"/>
              </w:rPr>
              <w:t xml:space="preserve"> </w:t>
            </w:r>
            <w:r w:rsidR="00B0230A" w:rsidRPr="00E6189F">
              <w:rPr>
                <w:rFonts w:ascii="Calibri" w:hAnsi="Calibri"/>
                <w:b/>
                <w:sz w:val="20"/>
                <w:lang w:eastAsia="es-CO"/>
              </w:rPr>
              <w:t>and</w:t>
            </w:r>
            <w:r w:rsidRPr="00E6189F">
              <w:rPr>
                <w:rFonts w:ascii="Calibri" w:hAnsi="Calibri"/>
                <w:b/>
                <w:sz w:val="20"/>
                <w:lang w:eastAsia="es-CO"/>
              </w:rPr>
              <w:t xml:space="preserve"> Roles in Project Implementation</w:t>
            </w:r>
          </w:p>
        </w:tc>
      </w:tr>
      <w:tr w:rsidR="007C255B" w:rsidRPr="00E6189F" w14:paraId="34B660C4" w14:textId="77777777" w:rsidTr="00E0251B">
        <w:trPr>
          <w:trHeight w:val="264"/>
        </w:trPr>
        <w:tc>
          <w:tcPr>
            <w:tcW w:w="2535"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3710A0B2" w14:textId="610DFBCC" w:rsidR="007C255B" w:rsidRPr="00E6189F" w:rsidRDefault="00B0230A" w:rsidP="00194929">
            <w:pPr>
              <w:rPr>
                <w:rFonts w:ascii="Calibri" w:hAnsi="Calibri"/>
                <w:sz w:val="20"/>
                <w:lang w:eastAsia="es-CO"/>
              </w:rPr>
            </w:pPr>
            <w:r w:rsidRPr="00E6189F">
              <w:rPr>
                <w:rFonts w:ascii="Calibri" w:hAnsi="Calibri"/>
                <w:sz w:val="20"/>
                <w:lang w:eastAsia="es-CO"/>
              </w:rPr>
              <w:t>Agency of</w:t>
            </w:r>
            <w:r w:rsidR="007C255B" w:rsidRPr="00E6189F">
              <w:rPr>
                <w:rFonts w:ascii="Calibri" w:hAnsi="Calibri"/>
                <w:sz w:val="20"/>
                <w:lang w:eastAsia="es-CO"/>
              </w:rPr>
              <w:t xml:space="preserve"> Protected Areas</w:t>
            </w:r>
            <w:r w:rsidR="00194929">
              <w:rPr>
                <w:rFonts w:ascii="Calibri" w:hAnsi="Calibri"/>
                <w:sz w:val="20"/>
                <w:lang w:eastAsia="es-CO"/>
              </w:rPr>
              <w:t xml:space="preserve"> (APA), Ministry of Environment</w:t>
            </w:r>
            <w:r w:rsidR="007C255B" w:rsidRPr="00E6189F">
              <w:rPr>
                <w:rFonts w:ascii="Calibri" w:hAnsi="Calibri"/>
                <w:sz w:val="20"/>
                <w:lang w:eastAsia="es-CO"/>
              </w:rPr>
              <w:t xml:space="preserve"> Protection and </w:t>
            </w:r>
            <w:r w:rsidR="007C255B" w:rsidRPr="00E6189F">
              <w:rPr>
                <w:rFonts w:ascii="Calibri" w:hAnsi="Calibri"/>
                <w:sz w:val="20"/>
                <w:lang w:eastAsia="es-CO"/>
              </w:rPr>
              <w:lastRenderedPageBreak/>
              <w:t>Agriculture (M</w:t>
            </w:r>
            <w:r w:rsidR="00263816">
              <w:rPr>
                <w:rFonts w:ascii="Calibri" w:hAnsi="Calibri"/>
                <w:sz w:val="20"/>
                <w:lang w:eastAsia="es-CO"/>
              </w:rPr>
              <w:t>o</w:t>
            </w:r>
            <w:r w:rsidR="007C255B" w:rsidRPr="00E6189F">
              <w:rPr>
                <w:rFonts w:ascii="Calibri" w:hAnsi="Calibri"/>
                <w:sz w:val="20"/>
                <w:lang w:eastAsia="es-CO"/>
              </w:rPr>
              <w:t>EPA)</w:t>
            </w:r>
          </w:p>
        </w:tc>
        <w:tc>
          <w:tcPr>
            <w:tcW w:w="653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39CBFC0C" w14:textId="681C8059" w:rsidR="00B0230A" w:rsidRPr="00E6189F" w:rsidRDefault="007C255B" w:rsidP="007C255B">
            <w:pPr>
              <w:rPr>
                <w:rFonts w:ascii="Calibri" w:hAnsi="Calibri"/>
                <w:sz w:val="20"/>
                <w:lang w:eastAsia="es-CO"/>
              </w:rPr>
            </w:pPr>
            <w:r w:rsidRPr="00E6189F">
              <w:rPr>
                <w:rFonts w:ascii="Calibri" w:hAnsi="Calibri"/>
                <w:sz w:val="20"/>
                <w:lang w:eastAsia="es-CO"/>
              </w:rPr>
              <w:lastRenderedPageBreak/>
              <w:t>APA</w:t>
            </w:r>
            <w:r w:rsidR="00A022B4" w:rsidRPr="00E6189F">
              <w:rPr>
                <w:rFonts w:ascii="Calibri" w:hAnsi="Calibri"/>
                <w:sz w:val="20"/>
                <w:lang w:eastAsia="es-CO"/>
              </w:rPr>
              <w:t xml:space="preserve"> is the agency established in 2008 with r</w:t>
            </w:r>
            <w:r w:rsidR="00A022B4">
              <w:rPr>
                <w:rFonts w:ascii="Calibri" w:hAnsi="Calibri"/>
                <w:sz w:val="20"/>
                <w:lang w:eastAsia="es-CO"/>
              </w:rPr>
              <w:t>esponsibility for Georgia’s PAs. It was</w:t>
            </w:r>
            <w:r w:rsidRPr="00E6189F">
              <w:rPr>
                <w:rFonts w:ascii="Calibri" w:hAnsi="Calibri"/>
                <w:sz w:val="20"/>
                <w:lang w:eastAsia="es-CO"/>
              </w:rPr>
              <w:t xml:space="preserve"> und</w:t>
            </w:r>
            <w:r w:rsidR="00194929">
              <w:rPr>
                <w:rFonts w:ascii="Calibri" w:hAnsi="Calibri"/>
                <w:sz w:val="20"/>
                <w:lang w:eastAsia="es-CO"/>
              </w:rPr>
              <w:t>er the Ministry of Environment</w:t>
            </w:r>
            <w:r w:rsidRPr="00E6189F">
              <w:rPr>
                <w:rFonts w:ascii="Calibri" w:hAnsi="Calibri"/>
                <w:sz w:val="20"/>
                <w:lang w:eastAsia="es-CO"/>
              </w:rPr>
              <w:t xml:space="preserve"> Protection</w:t>
            </w:r>
            <w:r w:rsidR="00194929">
              <w:rPr>
                <w:rFonts w:ascii="Calibri" w:hAnsi="Calibri"/>
                <w:sz w:val="20"/>
                <w:lang w:eastAsia="es-CO"/>
              </w:rPr>
              <w:t xml:space="preserve">, which merged </w:t>
            </w:r>
            <w:r w:rsidR="00777BBC">
              <w:rPr>
                <w:rFonts w:ascii="Calibri" w:hAnsi="Calibri"/>
                <w:sz w:val="20"/>
                <w:lang w:eastAsia="es-CO"/>
              </w:rPr>
              <w:t xml:space="preserve">with agriculture </w:t>
            </w:r>
            <w:r w:rsidR="00194929">
              <w:rPr>
                <w:rFonts w:ascii="Calibri" w:hAnsi="Calibri"/>
                <w:sz w:val="20"/>
                <w:lang w:eastAsia="es-CO"/>
              </w:rPr>
              <w:t xml:space="preserve">in December 2017 </w:t>
            </w:r>
            <w:r w:rsidR="00777BBC">
              <w:rPr>
                <w:rFonts w:ascii="Calibri" w:hAnsi="Calibri"/>
                <w:sz w:val="20"/>
                <w:lang w:eastAsia="es-CO"/>
              </w:rPr>
              <w:t>to become</w:t>
            </w:r>
            <w:r w:rsidRPr="00E6189F">
              <w:rPr>
                <w:rFonts w:ascii="Calibri" w:hAnsi="Calibri"/>
                <w:sz w:val="20"/>
                <w:lang w:eastAsia="es-CO"/>
              </w:rPr>
              <w:t xml:space="preserve"> MEPA</w:t>
            </w:r>
            <w:r w:rsidR="00777BBC">
              <w:rPr>
                <w:rFonts w:ascii="Calibri" w:hAnsi="Calibri"/>
                <w:sz w:val="20"/>
                <w:lang w:eastAsia="es-CO"/>
              </w:rPr>
              <w:t>.</w:t>
            </w:r>
          </w:p>
          <w:p w14:paraId="13F18CE1" w14:textId="76E3A33E" w:rsidR="007C255B" w:rsidRPr="00E6189F" w:rsidRDefault="00B0230A" w:rsidP="007C255B">
            <w:pPr>
              <w:rPr>
                <w:rFonts w:ascii="Calibri" w:hAnsi="Calibri"/>
                <w:sz w:val="20"/>
                <w:lang w:eastAsia="es-CO"/>
              </w:rPr>
            </w:pPr>
            <w:r w:rsidRPr="00777BBC">
              <w:rPr>
                <w:rFonts w:ascii="Calibri" w:hAnsi="Calibri"/>
                <w:b/>
                <w:sz w:val="20"/>
                <w:lang w:eastAsia="es-CO"/>
              </w:rPr>
              <w:lastRenderedPageBreak/>
              <w:t>Role:</w:t>
            </w:r>
            <w:r w:rsidRPr="00E6189F">
              <w:rPr>
                <w:rFonts w:ascii="Calibri" w:hAnsi="Calibri"/>
                <w:sz w:val="20"/>
                <w:lang w:eastAsia="es-CO"/>
              </w:rPr>
              <w:t xml:space="preserve"> Implementing Partner</w:t>
            </w:r>
            <w:r w:rsidR="007C255B" w:rsidRPr="00E6189F">
              <w:rPr>
                <w:rFonts w:ascii="Calibri" w:hAnsi="Calibri"/>
                <w:sz w:val="20"/>
                <w:lang w:eastAsia="es-CO"/>
              </w:rPr>
              <w:t xml:space="preserve"> </w:t>
            </w:r>
            <w:r w:rsidR="00777BBC">
              <w:rPr>
                <w:rFonts w:ascii="Calibri" w:hAnsi="Calibri"/>
                <w:sz w:val="20"/>
                <w:lang w:eastAsia="es-CO"/>
              </w:rPr>
              <w:t xml:space="preserve">with </w:t>
            </w:r>
            <w:r w:rsidR="00E471FD">
              <w:rPr>
                <w:rFonts w:ascii="Calibri" w:hAnsi="Calibri"/>
                <w:sz w:val="20"/>
                <w:lang w:eastAsia="es-CO"/>
              </w:rPr>
              <w:t>overall responsible for delivery of project.</w:t>
            </w:r>
          </w:p>
        </w:tc>
      </w:tr>
      <w:tr w:rsidR="007C255B" w:rsidRPr="00E6189F" w14:paraId="31B3A15D" w14:textId="77777777" w:rsidTr="00E0251B">
        <w:trPr>
          <w:trHeight w:val="264"/>
        </w:trPr>
        <w:tc>
          <w:tcPr>
            <w:tcW w:w="2535"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7E6A746D" w14:textId="77777777" w:rsidR="007C255B" w:rsidRPr="00E6189F" w:rsidRDefault="007C255B" w:rsidP="007C255B">
            <w:pPr>
              <w:rPr>
                <w:rFonts w:ascii="Calibri" w:hAnsi="Calibri"/>
                <w:sz w:val="20"/>
                <w:lang w:eastAsia="es-CO"/>
              </w:rPr>
            </w:pPr>
            <w:r w:rsidRPr="00E6189F">
              <w:rPr>
                <w:rFonts w:ascii="Calibri" w:hAnsi="Calibri"/>
                <w:sz w:val="20"/>
              </w:rPr>
              <w:lastRenderedPageBreak/>
              <w:t>Department of Agricultural Development and Agro-Service Center under Ministry of Agriculture of Achara</w:t>
            </w:r>
          </w:p>
        </w:tc>
        <w:tc>
          <w:tcPr>
            <w:tcW w:w="653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55016605" w14:textId="77777777" w:rsidR="007C255B" w:rsidRPr="00E6189F" w:rsidRDefault="007C255B" w:rsidP="007C255B">
            <w:pPr>
              <w:rPr>
                <w:rFonts w:ascii="Calibri" w:hAnsi="Calibri"/>
                <w:sz w:val="20"/>
                <w:lang w:eastAsia="es-CO"/>
              </w:rPr>
            </w:pPr>
            <w:r w:rsidRPr="00E6189F">
              <w:rPr>
                <w:rFonts w:ascii="Calibri" w:hAnsi="Calibri"/>
                <w:sz w:val="20"/>
                <w:lang w:eastAsia="es-CO"/>
              </w:rPr>
              <w:t xml:space="preserve">The department is implementing different agricultural and rural development projects including small grant support programs in the rural areas of Achara. Project supported some small grant community and agricultural development for the population living around the villages of the NP administrations. </w:t>
            </w:r>
          </w:p>
        </w:tc>
      </w:tr>
      <w:tr w:rsidR="007C255B" w:rsidRPr="00E6189F" w14:paraId="241870DA" w14:textId="77777777" w:rsidTr="00E0251B">
        <w:trPr>
          <w:trHeight w:val="264"/>
        </w:trPr>
        <w:tc>
          <w:tcPr>
            <w:tcW w:w="2535"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53423491" w14:textId="51D72D08" w:rsidR="007C255B" w:rsidRPr="00E6189F" w:rsidRDefault="007C255B" w:rsidP="008B51AB">
            <w:pPr>
              <w:rPr>
                <w:rFonts w:ascii="Calibri" w:hAnsi="Calibri"/>
                <w:sz w:val="20"/>
                <w:lang w:eastAsia="es-CO"/>
              </w:rPr>
            </w:pPr>
            <w:r w:rsidRPr="00E6189F">
              <w:rPr>
                <w:rFonts w:ascii="Calibri" w:hAnsi="Calibri"/>
                <w:sz w:val="20"/>
              </w:rPr>
              <w:t>Administrations of Mtirala NP</w:t>
            </w:r>
            <w:r w:rsidR="008B51AB">
              <w:rPr>
                <w:rFonts w:ascii="Calibri" w:hAnsi="Calibri"/>
                <w:sz w:val="20"/>
              </w:rPr>
              <w:t>, Machakhela NP and Kintrishi PA complex</w:t>
            </w:r>
            <w:r w:rsidR="007B3340">
              <w:rPr>
                <w:rFonts w:ascii="Calibri" w:hAnsi="Calibri"/>
                <w:sz w:val="20"/>
              </w:rPr>
              <w:t xml:space="preserve"> (Kintrishi State Reserve and Protected Landscape)</w:t>
            </w:r>
          </w:p>
        </w:tc>
        <w:tc>
          <w:tcPr>
            <w:tcW w:w="653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2DE778F7" w14:textId="6B449901" w:rsidR="007C255B" w:rsidRPr="00E6189F" w:rsidRDefault="0043171D" w:rsidP="00E82112">
            <w:pPr>
              <w:rPr>
                <w:rFonts w:ascii="Calibri" w:hAnsi="Calibri"/>
                <w:sz w:val="20"/>
                <w:lang w:eastAsia="es-CO"/>
              </w:rPr>
            </w:pPr>
            <w:r>
              <w:rPr>
                <w:rFonts w:ascii="Calibri" w:hAnsi="Calibri"/>
                <w:sz w:val="20"/>
                <w:lang w:eastAsia="es-CO"/>
              </w:rPr>
              <w:t>These A</w:t>
            </w:r>
            <w:r w:rsidR="007C255B" w:rsidRPr="00E6189F">
              <w:rPr>
                <w:rFonts w:ascii="Calibri" w:hAnsi="Calibri"/>
                <w:sz w:val="20"/>
                <w:lang w:eastAsia="es-CO"/>
              </w:rPr>
              <w:t xml:space="preserve">dministrations are </w:t>
            </w:r>
            <w:r>
              <w:rPr>
                <w:rFonts w:ascii="Calibri" w:hAnsi="Calibri"/>
                <w:sz w:val="20"/>
                <w:lang w:eastAsia="es-CO"/>
              </w:rPr>
              <w:t xml:space="preserve">responsible to APA for the planning and management of their respective PAs. </w:t>
            </w:r>
            <w:r w:rsidR="008B51AB">
              <w:rPr>
                <w:rFonts w:ascii="Calibri" w:hAnsi="Calibri"/>
                <w:sz w:val="20"/>
                <w:lang w:eastAsia="es-CO"/>
              </w:rPr>
              <w:t xml:space="preserve">Administration is centralised with essentially no autonomy provided to individual PAs under prevailing law. </w:t>
            </w:r>
            <w:r w:rsidR="007B3340">
              <w:rPr>
                <w:rFonts w:ascii="Calibri" w:hAnsi="Calibri"/>
                <w:sz w:val="20"/>
                <w:lang w:eastAsia="es-CO"/>
              </w:rPr>
              <w:t xml:space="preserve">PA </w:t>
            </w:r>
            <w:r w:rsidR="00777BBC" w:rsidRPr="00777BBC">
              <w:rPr>
                <w:rFonts w:ascii="Calibri" w:hAnsi="Calibri"/>
                <w:b/>
                <w:sz w:val="20"/>
                <w:lang w:eastAsia="es-CO"/>
              </w:rPr>
              <w:t>Role:</w:t>
            </w:r>
            <w:r w:rsidR="00777BBC">
              <w:rPr>
                <w:rFonts w:ascii="Calibri" w:hAnsi="Calibri"/>
                <w:sz w:val="20"/>
                <w:lang w:eastAsia="es-CO"/>
              </w:rPr>
              <w:t xml:space="preserve"> P</w:t>
            </w:r>
            <w:r w:rsidR="007B3340">
              <w:rPr>
                <w:rFonts w:ascii="Calibri" w:hAnsi="Calibri"/>
                <w:sz w:val="20"/>
                <w:lang w:eastAsia="es-CO"/>
              </w:rPr>
              <w:t xml:space="preserve">rimary beneficiaries of the project, responsible for </w:t>
            </w:r>
            <w:r w:rsidR="00E82112">
              <w:rPr>
                <w:rFonts w:ascii="Calibri" w:hAnsi="Calibri"/>
                <w:sz w:val="20"/>
                <w:lang w:eastAsia="es-CO"/>
              </w:rPr>
              <w:t>implementing activities relevant to</w:t>
            </w:r>
            <w:r w:rsidR="00F679E5">
              <w:rPr>
                <w:rFonts w:ascii="Calibri" w:hAnsi="Calibri"/>
                <w:sz w:val="20"/>
                <w:lang w:eastAsia="es-CO"/>
              </w:rPr>
              <w:t xml:space="preserve"> their mandate with support </w:t>
            </w:r>
            <w:r w:rsidR="00E82112">
              <w:rPr>
                <w:rFonts w:ascii="Calibri" w:hAnsi="Calibri"/>
                <w:sz w:val="20"/>
                <w:lang w:eastAsia="es-CO"/>
              </w:rPr>
              <w:t>facilitated</w:t>
            </w:r>
            <w:r w:rsidR="00F679E5">
              <w:rPr>
                <w:rFonts w:ascii="Calibri" w:hAnsi="Calibri"/>
                <w:sz w:val="20"/>
                <w:lang w:eastAsia="es-CO"/>
              </w:rPr>
              <w:t xml:space="preserve"> by </w:t>
            </w:r>
            <w:r w:rsidR="00E82112">
              <w:rPr>
                <w:rFonts w:ascii="Calibri" w:hAnsi="Calibri"/>
                <w:sz w:val="20"/>
                <w:lang w:eastAsia="es-CO"/>
              </w:rPr>
              <w:t>PMU</w:t>
            </w:r>
            <w:r w:rsidR="00F679E5">
              <w:rPr>
                <w:rFonts w:ascii="Calibri" w:hAnsi="Calibri"/>
                <w:sz w:val="20"/>
                <w:lang w:eastAsia="es-CO"/>
              </w:rPr>
              <w:t>.</w:t>
            </w:r>
          </w:p>
        </w:tc>
      </w:tr>
      <w:tr w:rsidR="007C255B" w:rsidRPr="00E6189F" w14:paraId="794508A5" w14:textId="77777777" w:rsidTr="00E0251B">
        <w:trPr>
          <w:trHeight w:val="264"/>
        </w:trPr>
        <w:tc>
          <w:tcPr>
            <w:tcW w:w="2535"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2A6F9766" w14:textId="3138C048" w:rsidR="007C255B" w:rsidRPr="00E6189F" w:rsidRDefault="007C255B" w:rsidP="00DD0556">
            <w:pPr>
              <w:pStyle w:val="BodyTextIndent"/>
              <w:ind w:left="0"/>
              <w:rPr>
                <w:rFonts w:ascii="Calibri" w:hAnsi="Calibri"/>
                <w:sz w:val="20"/>
              </w:rPr>
            </w:pPr>
            <w:r w:rsidRPr="00E6189F">
              <w:rPr>
                <w:rFonts w:ascii="Calibri" w:hAnsi="Calibri"/>
                <w:sz w:val="20"/>
              </w:rPr>
              <w:t>Local GoMunicipalit</w:t>
            </w:r>
            <w:r w:rsidR="00E82112">
              <w:rPr>
                <w:rFonts w:ascii="Calibri" w:hAnsi="Calibri"/>
                <w:sz w:val="20"/>
              </w:rPr>
              <w:t xml:space="preserve">ies of Kobuleti, Khelvachauri </w:t>
            </w:r>
            <w:r w:rsidRPr="00E6189F">
              <w:rPr>
                <w:rFonts w:ascii="Calibri" w:hAnsi="Calibri"/>
                <w:sz w:val="20"/>
              </w:rPr>
              <w:t>and Keda</w:t>
            </w:r>
          </w:p>
        </w:tc>
        <w:tc>
          <w:tcPr>
            <w:tcW w:w="653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6587967C" w14:textId="7A3A04B4" w:rsidR="00F33E86" w:rsidRDefault="00DD0556" w:rsidP="00F33E86">
            <w:pPr>
              <w:rPr>
                <w:rFonts w:ascii="Calibri" w:hAnsi="Calibri"/>
                <w:sz w:val="20"/>
                <w:lang w:eastAsia="es-CO"/>
              </w:rPr>
            </w:pPr>
            <w:r>
              <w:rPr>
                <w:rFonts w:ascii="Calibri" w:hAnsi="Calibri"/>
                <w:sz w:val="20"/>
                <w:lang w:eastAsia="es-CO"/>
              </w:rPr>
              <w:t>G</w:t>
            </w:r>
            <w:r w:rsidR="00F33E86">
              <w:rPr>
                <w:rFonts w:ascii="Calibri" w:hAnsi="Calibri"/>
                <w:sz w:val="20"/>
                <w:lang w:eastAsia="es-CO"/>
              </w:rPr>
              <w:t xml:space="preserve">overnment </w:t>
            </w:r>
            <w:r>
              <w:rPr>
                <w:rFonts w:ascii="Calibri" w:hAnsi="Calibri"/>
                <w:sz w:val="20"/>
                <w:lang w:eastAsia="es-CO"/>
              </w:rPr>
              <w:t>bodies mandated to</w:t>
            </w:r>
            <w:r w:rsidR="00E82112">
              <w:rPr>
                <w:rFonts w:ascii="Calibri" w:hAnsi="Calibri"/>
                <w:sz w:val="20"/>
                <w:lang w:eastAsia="es-CO"/>
              </w:rPr>
              <w:t xml:space="preserve"> deliver public services</w:t>
            </w:r>
            <w:r w:rsidR="00F33E86">
              <w:rPr>
                <w:rFonts w:ascii="Calibri" w:hAnsi="Calibri"/>
                <w:sz w:val="20"/>
                <w:lang w:eastAsia="es-CO"/>
              </w:rPr>
              <w:t xml:space="preserve"> at municipality level.</w:t>
            </w:r>
          </w:p>
          <w:p w14:paraId="160FDAAE" w14:textId="1E786475" w:rsidR="007C255B" w:rsidRPr="00E6189F" w:rsidRDefault="00F33E86" w:rsidP="00DD0556">
            <w:pPr>
              <w:rPr>
                <w:rFonts w:ascii="Calibri" w:hAnsi="Calibri"/>
                <w:sz w:val="20"/>
                <w:lang w:eastAsia="es-CO"/>
              </w:rPr>
            </w:pPr>
            <w:r w:rsidRPr="00F33E86">
              <w:rPr>
                <w:rFonts w:ascii="Calibri" w:hAnsi="Calibri"/>
                <w:b/>
                <w:sz w:val="20"/>
                <w:lang w:eastAsia="es-CO"/>
              </w:rPr>
              <w:t>Role:</w:t>
            </w:r>
            <w:r>
              <w:rPr>
                <w:rFonts w:ascii="Calibri" w:hAnsi="Calibri"/>
                <w:sz w:val="20"/>
                <w:lang w:eastAsia="es-CO"/>
              </w:rPr>
              <w:t xml:space="preserve"> Key partners in strengthening local governance an</w:t>
            </w:r>
            <w:r w:rsidR="00DD0556">
              <w:rPr>
                <w:rFonts w:ascii="Calibri" w:hAnsi="Calibri"/>
                <w:sz w:val="20"/>
                <w:lang w:eastAsia="es-CO"/>
              </w:rPr>
              <w:t>d ownership through delivery of infrastructure, such as roads, and services in support of socio-economic activities. Particularly close cooperation established with Khelv</w:t>
            </w:r>
            <w:r w:rsidR="00357EF4">
              <w:rPr>
                <w:rFonts w:ascii="Calibri" w:hAnsi="Calibri"/>
                <w:sz w:val="20"/>
                <w:lang w:eastAsia="es-CO"/>
              </w:rPr>
              <w:t>a</w:t>
            </w:r>
            <w:r w:rsidR="00DD0556">
              <w:rPr>
                <w:rFonts w:ascii="Calibri" w:hAnsi="Calibri"/>
                <w:sz w:val="20"/>
                <w:lang w:eastAsia="es-CO"/>
              </w:rPr>
              <w:t>chauri M</w:t>
            </w:r>
            <w:r w:rsidR="00DD0556" w:rsidRPr="00E6189F">
              <w:rPr>
                <w:rFonts w:ascii="Calibri" w:hAnsi="Calibri"/>
                <w:sz w:val="20"/>
                <w:lang w:eastAsia="es-CO"/>
              </w:rPr>
              <w:t>unicipality</w:t>
            </w:r>
            <w:r w:rsidR="00DD0556">
              <w:rPr>
                <w:rFonts w:ascii="Calibri" w:hAnsi="Calibri"/>
                <w:sz w:val="20"/>
                <w:lang w:eastAsia="es-CO"/>
              </w:rPr>
              <w:t xml:space="preserve">, given that </w:t>
            </w:r>
            <w:r w:rsidR="007C255B" w:rsidRPr="00E6189F">
              <w:rPr>
                <w:rFonts w:ascii="Calibri" w:hAnsi="Calibri"/>
                <w:sz w:val="20"/>
                <w:lang w:eastAsia="es-CO"/>
              </w:rPr>
              <w:t xml:space="preserve">the project focused </w:t>
            </w:r>
            <w:r w:rsidR="00DD0556">
              <w:rPr>
                <w:rFonts w:ascii="Calibri" w:hAnsi="Calibri"/>
                <w:sz w:val="20"/>
                <w:lang w:eastAsia="es-CO"/>
              </w:rPr>
              <w:t xml:space="preserve">on </w:t>
            </w:r>
            <w:r w:rsidR="007C255B" w:rsidRPr="00E6189F">
              <w:rPr>
                <w:rFonts w:ascii="Calibri" w:hAnsi="Calibri"/>
                <w:sz w:val="20"/>
                <w:lang w:eastAsia="es-CO"/>
              </w:rPr>
              <w:t xml:space="preserve">Machakhela NP </w:t>
            </w:r>
            <w:r w:rsidR="00DD0556">
              <w:rPr>
                <w:rFonts w:ascii="Calibri" w:hAnsi="Calibri"/>
                <w:sz w:val="20"/>
                <w:lang w:eastAsia="es-CO"/>
              </w:rPr>
              <w:t>and its surrounding villages that fall this municipality.</w:t>
            </w:r>
            <w:r w:rsidR="007C255B" w:rsidRPr="00E6189F">
              <w:rPr>
                <w:rFonts w:ascii="Calibri" w:hAnsi="Calibri"/>
                <w:sz w:val="20"/>
                <w:lang w:eastAsia="es-CO"/>
              </w:rPr>
              <w:t xml:space="preserve"> </w:t>
            </w:r>
          </w:p>
        </w:tc>
      </w:tr>
      <w:tr w:rsidR="007C255B" w:rsidRPr="00E6189F" w14:paraId="0E61321A" w14:textId="77777777" w:rsidTr="00E0251B">
        <w:trPr>
          <w:trHeight w:val="264"/>
        </w:trPr>
        <w:tc>
          <w:tcPr>
            <w:tcW w:w="2535"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68698E10" w14:textId="394FD4DC" w:rsidR="00DD0556" w:rsidRPr="00E6189F" w:rsidRDefault="00DD0556" w:rsidP="00263816">
            <w:pPr>
              <w:rPr>
                <w:rFonts w:ascii="Calibri" w:hAnsi="Calibri"/>
                <w:sz w:val="20"/>
                <w:lang w:eastAsia="es-CO"/>
              </w:rPr>
            </w:pPr>
            <w:r w:rsidRPr="00281F7C">
              <w:rPr>
                <w:rFonts w:ascii="Calibri" w:hAnsi="Calibri"/>
                <w:sz w:val="20"/>
              </w:rPr>
              <w:t xml:space="preserve">Kobuleti, Khelvachauri and Keda Forestry </w:t>
            </w:r>
            <w:r w:rsidR="00263816">
              <w:rPr>
                <w:rFonts w:ascii="Calibri" w:hAnsi="Calibri"/>
                <w:sz w:val="20"/>
              </w:rPr>
              <w:t>Administrations</w:t>
            </w:r>
            <w:r w:rsidRPr="00281F7C">
              <w:rPr>
                <w:rFonts w:ascii="Calibri" w:hAnsi="Calibri"/>
                <w:sz w:val="20"/>
              </w:rPr>
              <w:t xml:space="preserve"> of </w:t>
            </w:r>
            <w:r w:rsidR="00E0251B">
              <w:rPr>
                <w:rFonts w:ascii="Calibri" w:hAnsi="Calibri"/>
                <w:sz w:val="20"/>
              </w:rPr>
              <w:t xml:space="preserve">Achara </w:t>
            </w:r>
            <w:r w:rsidRPr="00281F7C">
              <w:rPr>
                <w:rFonts w:ascii="Calibri" w:hAnsi="Calibri"/>
                <w:sz w:val="20"/>
              </w:rPr>
              <w:t xml:space="preserve">Forestry Agency </w:t>
            </w:r>
          </w:p>
        </w:tc>
        <w:tc>
          <w:tcPr>
            <w:tcW w:w="653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15B1FE76" w14:textId="77777777" w:rsidR="003D71B8" w:rsidRDefault="00281F7C" w:rsidP="007C255B">
            <w:pPr>
              <w:rPr>
                <w:rFonts w:ascii="Calibri" w:hAnsi="Calibri"/>
                <w:sz w:val="20"/>
                <w:lang w:eastAsia="es-CO"/>
              </w:rPr>
            </w:pPr>
            <w:r>
              <w:rPr>
                <w:rFonts w:ascii="Calibri" w:hAnsi="Calibri"/>
                <w:sz w:val="20"/>
                <w:lang w:eastAsia="es-CO"/>
              </w:rPr>
              <w:t xml:space="preserve">Responsible for </w:t>
            </w:r>
            <w:r w:rsidR="003D71B8">
              <w:rPr>
                <w:rFonts w:ascii="Calibri" w:hAnsi="Calibri"/>
                <w:sz w:val="20"/>
                <w:lang w:eastAsia="es-CO"/>
              </w:rPr>
              <w:t xml:space="preserve">protection and </w:t>
            </w:r>
            <w:r>
              <w:rPr>
                <w:rFonts w:ascii="Calibri" w:hAnsi="Calibri"/>
                <w:sz w:val="20"/>
                <w:lang w:eastAsia="es-CO"/>
              </w:rPr>
              <w:t xml:space="preserve">management of </w:t>
            </w:r>
            <w:r w:rsidR="003D71B8">
              <w:rPr>
                <w:rFonts w:ascii="Calibri" w:hAnsi="Calibri"/>
                <w:sz w:val="20"/>
                <w:lang w:eastAsia="es-CO"/>
              </w:rPr>
              <w:t>National Forest within Achara.</w:t>
            </w:r>
          </w:p>
          <w:p w14:paraId="347BD9D9" w14:textId="304F9CDC" w:rsidR="007C255B" w:rsidRPr="00E6189F" w:rsidRDefault="003D71B8" w:rsidP="0070301F">
            <w:pPr>
              <w:rPr>
                <w:rFonts w:ascii="Calibri" w:hAnsi="Calibri"/>
                <w:sz w:val="20"/>
                <w:lang w:eastAsia="es-CO"/>
              </w:rPr>
            </w:pPr>
            <w:r w:rsidRPr="003D71B8">
              <w:rPr>
                <w:rFonts w:ascii="Calibri" w:hAnsi="Calibri"/>
                <w:b/>
                <w:sz w:val="20"/>
                <w:lang w:eastAsia="es-CO"/>
              </w:rPr>
              <w:t>Role:</w:t>
            </w:r>
            <w:r>
              <w:rPr>
                <w:rFonts w:ascii="Calibri" w:hAnsi="Calibri"/>
                <w:sz w:val="20"/>
                <w:lang w:eastAsia="es-CO"/>
              </w:rPr>
              <w:t xml:space="preserve"> Key partners responsible for management of forests in areas adjacent to NPs, particularly in respect of access </w:t>
            </w:r>
            <w:r w:rsidR="0070301F">
              <w:rPr>
                <w:rFonts w:ascii="Calibri" w:hAnsi="Calibri"/>
                <w:sz w:val="20"/>
                <w:lang w:eastAsia="es-CO"/>
              </w:rPr>
              <w:t>to</w:t>
            </w:r>
            <w:r>
              <w:rPr>
                <w:rFonts w:ascii="Calibri" w:hAnsi="Calibri"/>
                <w:sz w:val="20"/>
                <w:lang w:eastAsia="es-CO"/>
              </w:rPr>
              <w:t xml:space="preserve"> forest resources by local communities. </w:t>
            </w:r>
          </w:p>
        </w:tc>
      </w:tr>
      <w:tr w:rsidR="002F45B6" w:rsidRPr="00E6189F" w14:paraId="67666728" w14:textId="77777777" w:rsidTr="002F45B6">
        <w:trPr>
          <w:trHeight w:val="264"/>
        </w:trPr>
        <w:tc>
          <w:tcPr>
            <w:tcW w:w="2535"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52177BE7" w14:textId="38149E1A" w:rsidR="002F45B6" w:rsidRPr="00E6189F" w:rsidRDefault="002F45B6" w:rsidP="00AC444F">
            <w:pPr>
              <w:rPr>
                <w:rFonts w:ascii="Calibri" w:hAnsi="Calibri"/>
                <w:sz w:val="20"/>
              </w:rPr>
            </w:pPr>
            <w:r w:rsidRPr="00E6189F">
              <w:rPr>
                <w:rFonts w:ascii="Calibri" w:hAnsi="Calibri"/>
                <w:sz w:val="20"/>
              </w:rPr>
              <w:t xml:space="preserve">Local </w:t>
            </w:r>
            <w:r>
              <w:rPr>
                <w:rFonts w:ascii="Calibri" w:hAnsi="Calibri"/>
                <w:sz w:val="20"/>
              </w:rPr>
              <w:t>communities living within and adjacent to PAs</w:t>
            </w:r>
            <w:r w:rsidR="00AC444F">
              <w:rPr>
                <w:rFonts w:ascii="Calibri" w:hAnsi="Calibri"/>
                <w:sz w:val="20"/>
              </w:rPr>
              <w:t>,</w:t>
            </w:r>
            <w:r w:rsidR="00855796">
              <w:rPr>
                <w:rFonts w:ascii="Calibri" w:hAnsi="Calibri"/>
                <w:sz w:val="20"/>
              </w:rPr>
              <w:t xml:space="preserve"> and supporting</w:t>
            </w:r>
            <w:r w:rsidR="00AC444F">
              <w:rPr>
                <w:rFonts w:ascii="Calibri" w:hAnsi="Calibri"/>
                <w:sz w:val="20"/>
              </w:rPr>
              <w:t xml:space="preserve"> local </w:t>
            </w:r>
            <w:r w:rsidRPr="00E6189F">
              <w:rPr>
                <w:rFonts w:ascii="Calibri" w:hAnsi="Calibri"/>
                <w:sz w:val="20"/>
              </w:rPr>
              <w:t>Ass</w:t>
            </w:r>
            <w:r w:rsidR="004B47C3">
              <w:rPr>
                <w:rFonts w:ascii="Calibri" w:hAnsi="Calibri"/>
                <w:sz w:val="20"/>
              </w:rPr>
              <w:t>ocia</w:t>
            </w:r>
            <w:r w:rsidRPr="00E6189F">
              <w:rPr>
                <w:rFonts w:ascii="Calibri" w:hAnsi="Calibri"/>
                <w:sz w:val="20"/>
              </w:rPr>
              <w:t>tions</w:t>
            </w:r>
            <w:r w:rsidR="00AC444F">
              <w:rPr>
                <w:rFonts w:ascii="Calibri" w:hAnsi="Calibri"/>
                <w:sz w:val="20"/>
              </w:rPr>
              <w:t>, Cooperatives and NGOs</w:t>
            </w:r>
          </w:p>
        </w:tc>
        <w:tc>
          <w:tcPr>
            <w:tcW w:w="653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69F93CB5" w14:textId="57AD1F15" w:rsidR="002F45B6" w:rsidRDefault="002F45B6" w:rsidP="002F45B6">
            <w:pPr>
              <w:rPr>
                <w:rFonts w:ascii="Calibri" w:hAnsi="Calibri"/>
                <w:sz w:val="20"/>
              </w:rPr>
            </w:pPr>
            <w:r>
              <w:rPr>
                <w:rFonts w:ascii="Calibri" w:hAnsi="Calibri"/>
                <w:sz w:val="20"/>
              </w:rPr>
              <w:t>High dependence on forest resources and, therefore, very vulnerable to loss or reduction in rights of access to such resources. Need to participate directly in planning and management of PAs to ensure their livelihood needs addressed.</w:t>
            </w:r>
          </w:p>
          <w:p w14:paraId="199AEC42" w14:textId="77777777" w:rsidR="002F45B6" w:rsidRPr="00E6189F" w:rsidRDefault="002F45B6" w:rsidP="002F45B6">
            <w:pPr>
              <w:rPr>
                <w:rFonts w:ascii="Calibri" w:hAnsi="Calibri"/>
                <w:sz w:val="20"/>
              </w:rPr>
            </w:pPr>
            <w:r w:rsidRPr="0070301F">
              <w:rPr>
                <w:rFonts w:ascii="Calibri" w:hAnsi="Calibri"/>
                <w:b/>
                <w:sz w:val="20"/>
              </w:rPr>
              <w:t>Role:</w:t>
            </w:r>
            <w:r>
              <w:rPr>
                <w:rFonts w:ascii="Calibri" w:hAnsi="Calibri"/>
                <w:sz w:val="20"/>
              </w:rPr>
              <w:t xml:space="preserve"> Primary beneficiaries supported technically and financially by project to develop more sustainable and/or alternative livelihoods through cooperative and other approaches. </w:t>
            </w:r>
          </w:p>
        </w:tc>
      </w:tr>
      <w:tr w:rsidR="007C255B" w:rsidRPr="00E6189F" w14:paraId="6FF309B3" w14:textId="77777777" w:rsidTr="00E0251B">
        <w:trPr>
          <w:trHeight w:val="264"/>
        </w:trPr>
        <w:tc>
          <w:tcPr>
            <w:tcW w:w="2535"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41CBC1DF" w14:textId="0FFB9ED2" w:rsidR="007C255B" w:rsidRPr="00E6189F" w:rsidRDefault="002F1AE4" w:rsidP="002F1AE4">
            <w:pPr>
              <w:tabs>
                <w:tab w:val="left" w:pos="3686"/>
                <w:tab w:val="center" w:pos="4320"/>
                <w:tab w:val="right" w:pos="8640"/>
              </w:tabs>
              <w:rPr>
                <w:rFonts w:ascii="Calibri" w:hAnsi="Calibri"/>
                <w:sz w:val="20"/>
              </w:rPr>
            </w:pPr>
            <w:r w:rsidRPr="00E6189F">
              <w:rPr>
                <w:rFonts w:ascii="Calibri" w:hAnsi="Calibri"/>
                <w:sz w:val="20"/>
              </w:rPr>
              <w:t>Caucasus Natur</w:t>
            </w:r>
            <w:r>
              <w:rPr>
                <w:rFonts w:ascii="Calibri" w:hAnsi="Calibri"/>
                <w:sz w:val="20"/>
              </w:rPr>
              <w:t>e</w:t>
            </w:r>
            <w:r w:rsidRPr="00E6189F">
              <w:rPr>
                <w:rFonts w:ascii="Calibri" w:hAnsi="Calibri"/>
                <w:sz w:val="20"/>
              </w:rPr>
              <w:t xml:space="preserve"> Fund (CNF), </w:t>
            </w:r>
            <w:r>
              <w:rPr>
                <w:rFonts w:ascii="Calibri" w:hAnsi="Calibri"/>
                <w:sz w:val="20"/>
              </w:rPr>
              <w:t xml:space="preserve">European Union (EU), </w:t>
            </w:r>
            <w:r w:rsidR="007C255B" w:rsidRPr="00E6189F">
              <w:rPr>
                <w:rFonts w:ascii="Calibri" w:hAnsi="Calibri"/>
                <w:sz w:val="20"/>
              </w:rPr>
              <w:t xml:space="preserve">KFW, </w:t>
            </w:r>
            <w:r w:rsidR="004B47C3">
              <w:rPr>
                <w:rFonts w:ascii="Calibri" w:hAnsi="Calibri"/>
                <w:sz w:val="20"/>
              </w:rPr>
              <w:t xml:space="preserve">US Department of Interior (DoI), </w:t>
            </w:r>
            <w:r w:rsidR="007C255B" w:rsidRPr="00E6189F">
              <w:rPr>
                <w:rFonts w:ascii="Calibri" w:hAnsi="Calibri"/>
                <w:sz w:val="20"/>
              </w:rPr>
              <w:t>WWF</w:t>
            </w:r>
          </w:p>
        </w:tc>
        <w:tc>
          <w:tcPr>
            <w:tcW w:w="653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247E6083" w14:textId="6210BB50" w:rsidR="005B5CB2" w:rsidRDefault="002F1AE4" w:rsidP="005B5CB2">
            <w:pPr>
              <w:rPr>
                <w:rFonts w:ascii="Calibri" w:hAnsi="Calibri"/>
                <w:sz w:val="20"/>
              </w:rPr>
            </w:pPr>
            <w:r>
              <w:rPr>
                <w:rFonts w:ascii="Calibri" w:hAnsi="Calibri"/>
                <w:sz w:val="20"/>
              </w:rPr>
              <w:t xml:space="preserve">Range of </w:t>
            </w:r>
            <w:r w:rsidR="004148D0">
              <w:rPr>
                <w:rFonts w:ascii="Calibri" w:hAnsi="Calibri"/>
                <w:sz w:val="20"/>
              </w:rPr>
              <w:t xml:space="preserve">funding partners </w:t>
            </w:r>
            <w:r>
              <w:rPr>
                <w:rFonts w:ascii="Calibri" w:hAnsi="Calibri"/>
                <w:sz w:val="20"/>
              </w:rPr>
              <w:t>concerned about the conservation of Colchic Forest in Achara.</w:t>
            </w:r>
            <w:r w:rsidR="005B5CB2">
              <w:rPr>
                <w:rFonts w:ascii="Calibri" w:hAnsi="Calibri"/>
                <w:sz w:val="20"/>
              </w:rPr>
              <w:t xml:space="preserve"> Their activities are coordinated via a T</w:t>
            </w:r>
            <w:r w:rsidR="008F52FE">
              <w:rPr>
                <w:rFonts w:ascii="Calibri" w:hAnsi="Calibri"/>
                <w:sz w:val="20"/>
              </w:rPr>
              <w:t>echnical Coordination Group (TCG</w:t>
            </w:r>
            <w:r w:rsidR="005B5CB2">
              <w:rPr>
                <w:rFonts w:ascii="Calibri" w:hAnsi="Calibri"/>
                <w:sz w:val="20"/>
              </w:rPr>
              <w:t>), in which all participate including this project.</w:t>
            </w:r>
          </w:p>
          <w:p w14:paraId="40D96B38" w14:textId="0F6890BF" w:rsidR="007C255B" w:rsidRPr="00E6189F" w:rsidRDefault="002F1AE4" w:rsidP="004B47C3">
            <w:pPr>
              <w:rPr>
                <w:rFonts w:ascii="Calibri" w:hAnsi="Calibri"/>
                <w:sz w:val="20"/>
              </w:rPr>
            </w:pPr>
            <w:r w:rsidRPr="002F1AE4">
              <w:rPr>
                <w:rFonts w:ascii="Calibri" w:hAnsi="Calibri"/>
                <w:b/>
                <w:sz w:val="20"/>
              </w:rPr>
              <w:t>Roles:</w:t>
            </w:r>
            <w:r>
              <w:rPr>
                <w:rFonts w:ascii="Calibri" w:hAnsi="Calibri"/>
                <w:sz w:val="20"/>
              </w:rPr>
              <w:t xml:space="preserve"> CNF is a trust fund</w:t>
            </w:r>
            <w:r w:rsidR="0096748E">
              <w:rPr>
                <w:rFonts w:ascii="Calibri" w:hAnsi="Calibri"/>
                <w:sz w:val="20"/>
              </w:rPr>
              <w:t xml:space="preserve"> (supported by GEF and others) t</w:t>
            </w:r>
            <w:r w:rsidR="005B5CB2">
              <w:rPr>
                <w:rFonts w:ascii="Calibri" w:hAnsi="Calibri"/>
                <w:sz w:val="20"/>
              </w:rPr>
              <w:t xml:space="preserve">hat contributes directly </w:t>
            </w:r>
            <w:r w:rsidR="0096748E">
              <w:rPr>
                <w:rFonts w:ascii="Calibri" w:hAnsi="Calibri"/>
                <w:sz w:val="20"/>
              </w:rPr>
              <w:t>by supplementing the salaries of rangers</w:t>
            </w:r>
            <w:r w:rsidR="005B5CB2">
              <w:rPr>
                <w:rFonts w:ascii="Calibri" w:hAnsi="Calibri"/>
                <w:sz w:val="20"/>
              </w:rPr>
              <w:t xml:space="preserve"> in Mtirala NP, which also receives</w:t>
            </w:r>
            <w:r w:rsidR="004148D0">
              <w:rPr>
                <w:rFonts w:ascii="Calibri" w:hAnsi="Calibri"/>
                <w:sz w:val="20"/>
              </w:rPr>
              <w:t xml:space="preserve"> co</w:t>
            </w:r>
            <w:r w:rsidR="005B5CB2">
              <w:rPr>
                <w:rFonts w:ascii="Calibri" w:hAnsi="Calibri"/>
                <w:sz w:val="20"/>
              </w:rPr>
              <w:t>-financing from the EU. KFW supports activities in</w:t>
            </w:r>
            <w:r w:rsidR="007C255B" w:rsidRPr="00E6189F">
              <w:rPr>
                <w:rFonts w:ascii="Calibri" w:hAnsi="Calibri"/>
                <w:sz w:val="20"/>
              </w:rPr>
              <w:t xml:space="preserve"> Kintrishi PA</w:t>
            </w:r>
            <w:r w:rsidR="005B5CB2">
              <w:rPr>
                <w:rFonts w:ascii="Calibri" w:hAnsi="Calibri"/>
                <w:sz w:val="20"/>
              </w:rPr>
              <w:t>.</w:t>
            </w:r>
            <w:r w:rsidR="007C255B" w:rsidRPr="00E6189F">
              <w:rPr>
                <w:rFonts w:ascii="Calibri" w:hAnsi="Calibri"/>
                <w:sz w:val="20"/>
              </w:rPr>
              <w:t xml:space="preserve"> WWF</w:t>
            </w:r>
            <w:r w:rsidR="004148D0">
              <w:rPr>
                <w:rFonts w:ascii="Calibri" w:hAnsi="Calibri"/>
                <w:sz w:val="20"/>
              </w:rPr>
              <w:t xml:space="preserve"> previously supported Mtirala and</w:t>
            </w:r>
            <w:r w:rsidR="004B47C3">
              <w:rPr>
                <w:rFonts w:ascii="Calibri" w:hAnsi="Calibri"/>
                <w:sz w:val="20"/>
              </w:rPr>
              <w:t>, along with US DoI,</w:t>
            </w:r>
            <w:r w:rsidR="004148D0">
              <w:rPr>
                <w:rFonts w:ascii="Calibri" w:hAnsi="Calibri"/>
                <w:sz w:val="20"/>
              </w:rPr>
              <w:t xml:space="preserve"> </w:t>
            </w:r>
            <w:r w:rsidR="004B47C3">
              <w:rPr>
                <w:rFonts w:ascii="Calibri" w:hAnsi="Calibri"/>
                <w:sz w:val="20"/>
              </w:rPr>
              <w:t>has interests in supporting</w:t>
            </w:r>
            <w:r w:rsidR="004148D0">
              <w:rPr>
                <w:rFonts w:ascii="Calibri" w:hAnsi="Calibri"/>
                <w:sz w:val="20"/>
              </w:rPr>
              <w:t xml:space="preserve"> transboundary activities with Jamili Biosphere Reserve in Turkey.</w:t>
            </w:r>
          </w:p>
        </w:tc>
      </w:tr>
    </w:tbl>
    <w:p w14:paraId="0B1289FC" w14:textId="77777777" w:rsidR="00E91E45" w:rsidRDefault="00E91E45" w:rsidP="00722D10">
      <w:pPr>
        <w:pStyle w:val="Heading2"/>
        <w:numPr>
          <w:ilvl w:val="1"/>
          <w:numId w:val="7"/>
        </w:numPr>
        <w:spacing w:before="240" w:after="120" w:line="240" w:lineRule="auto"/>
        <w:ind w:left="567" w:hanging="567"/>
        <w:rPr>
          <w:rFonts w:asciiTheme="minorHAnsi" w:hAnsiTheme="minorHAnsi" w:cs="Calibri"/>
          <w:b/>
          <w:caps w:val="0"/>
          <w:sz w:val="28"/>
        </w:rPr>
      </w:pPr>
      <w:bookmarkStart w:id="22" w:name="_Toc414745315"/>
      <w:bookmarkEnd w:id="17"/>
      <w:r w:rsidRPr="00E22EBA">
        <w:rPr>
          <w:rFonts w:asciiTheme="minorHAnsi" w:hAnsiTheme="minorHAnsi" w:cs="Calibri"/>
          <w:b/>
          <w:caps w:val="0"/>
          <w:sz w:val="28"/>
        </w:rPr>
        <w:t>Expected Results</w:t>
      </w:r>
      <w:bookmarkEnd w:id="22"/>
    </w:p>
    <w:p w14:paraId="45BB9FAD" w14:textId="745E138B" w:rsidR="007C5ADE" w:rsidRDefault="007C5ADE" w:rsidP="007C5ADE">
      <w:pPr>
        <w:overflowPunct/>
        <w:spacing w:before="120" w:after="120" w:line="240" w:lineRule="atLeast"/>
        <w:jc w:val="both"/>
        <w:textAlignment w:val="auto"/>
        <w:rPr>
          <w:rFonts w:ascii="Calibri" w:hAnsi="Calibri" w:cs="TimesNewRomanPSMT"/>
          <w:sz w:val="24"/>
          <w:szCs w:val="24"/>
          <w:lang w:val="en-US"/>
        </w:rPr>
      </w:pPr>
      <w:r>
        <w:rPr>
          <w:rFonts w:ascii="Calibri" w:hAnsi="Calibri" w:cs="TimesNewRomanPSMT"/>
          <w:sz w:val="24"/>
          <w:szCs w:val="24"/>
          <w:lang w:val="en-US"/>
        </w:rPr>
        <w:t xml:space="preserve">The Government </w:t>
      </w:r>
      <w:r w:rsidR="00FE3E30" w:rsidRPr="007C5ADE">
        <w:rPr>
          <w:rFonts w:ascii="Calibri" w:hAnsi="Calibri" w:cs="TimesNewRomanPSMT"/>
          <w:sz w:val="24"/>
          <w:szCs w:val="24"/>
          <w:lang w:val="en-US"/>
        </w:rPr>
        <w:t xml:space="preserve">of Georgia </w:t>
      </w:r>
      <w:r w:rsidRPr="007C5ADE">
        <w:rPr>
          <w:rFonts w:ascii="Calibri" w:hAnsi="Calibri" w:cs="TimesNewRomanPSMT"/>
          <w:sz w:val="24"/>
          <w:szCs w:val="24"/>
          <w:lang w:val="en-US"/>
        </w:rPr>
        <w:t>request</w:t>
      </w:r>
      <w:r>
        <w:rPr>
          <w:rFonts w:ascii="Calibri" w:hAnsi="Calibri" w:cs="TimesNewRomanPSMT"/>
          <w:sz w:val="24"/>
          <w:szCs w:val="24"/>
          <w:lang w:val="en-US"/>
        </w:rPr>
        <w:t>ed</w:t>
      </w:r>
      <w:r w:rsidRPr="007C5ADE">
        <w:rPr>
          <w:rFonts w:ascii="Calibri" w:hAnsi="Calibri" w:cs="TimesNewRomanPSMT"/>
          <w:sz w:val="24"/>
          <w:szCs w:val="24"/>
          <w:lang w:val="en-US"/>
        </w:rPr>
        <w:t xml:space="preserve"> GEF support </w:t>
      </w:r>
      <w:r>
        <w:rPr>
          <w:rFonts w:ascii="Calibri" w:hAnsi="Calibri" w:cs="TimesNewRomanPSMT"/>
          <w:sz w:val="24"/>
          <w:szCs w:val="24"/>
          <w:lang w:val="en-US"/>
        </w:rPr>
        <w:t>for</w:t>
      </w:r>
      <w:r w:rsidRPr="007C5ADE">
        <w:rPr>
          <w:rFonts w:ascii="Calibri" w:hAnsi="Calibri" w:cs="TimesNewRomanPSMT"/>
          <w:sz w:val="24"/>
          <w:szCs w:val="24"/>
          <w:lang w:val="en-US"/>
        </w:rPr>
        <w:t xml:space="preserve"> this project to remove</w:t>
      </w:r>
      <w:r w:rsidR="00A04998" w:rsidRPr="00A04998">
        <w:rPr>
          <w:rFonts w:ascii="Calibri" w:hAnsi="Calibri" w:cs="TimesNewRomanPSMT"/>
          <w:sz w:val="24"/>
          <w:szCs w:val="24"/>
          <w:lang w:val="en-US"/>
        </w:rPr>
        <w:t xml:space="preserve"> </w:t>
      </w:r>
      <w:r w:rsidR="00A04998" w:rsidRPr="007C5ADE">
        <w:rPr>
          <w:rFonts w:ascii="Calibri" w:hAnsi="Calibri" w:cs="TimesNewRomanPSMT"/>
          <w:sz w:val="24"/>
          <w:szCs w:val="24"/>
          <w:lang w:val="en-US"/>
        </w:rPr>
        <w:t>existing barriers</w:t>
      </w:r>
      <w:r w:rsidR="00A04998">
        <w:rPr>
          <w:rFonts w:ascii="Calibri" w:hAnsi="Calibri" w:cs="TimesNewRomanPSMT"/>
          <w:sz w:val="24"/>
          <w:szCs w:val="24"/>
          <w:lang w:val="en-US"/>
        </w:rPr>
        <w:t xml:space="preserve"> in an incremental manner</w:t>
      </w:r>
      <w:r w:rsidRPr="007C5ADE">
        <w:rPr>
          <w:rFonts w:ascii="Calibri" w:hAnsi="Calibri" w:cs="TimesNewRomanPSMT"/>
          <w:sz w:val="24"/>
          <w:szCs w:val="24"/>
          <w:lang w:val="en-US"/>
        </w:rPr>
        <w:t xml:space="preserve"> to </w:t>
      </w:r>
      <w:r w:rsidR="00AD30A2">
        <w:rPr>
          <w:rFonts w:ascii="Calibri" w:hAnsi="Calibri" w:cs="TimesNewRomanPSMT"/>
          <w:sz w:val="24"/>
          <w:szCs w:val="24"/>
          <w:lang w:val="en-US"/>
        </w:rPr>
        <w:t xml:space="preserve">develop </w:t>
      </w:r>
      <w:r w:rsidRPr="007C5ADE">
        <w:rPr>
          <w:rFonts w:ascii="Calibri" w:hAnsi="Calibri" w:cs="TimesNewRomanPSMT"/>
          <w:sz w:val="24"/>
          <w:szCs w:val="24"/>
          <w:lang w:val="en-US"/>
        </w:rPr>
        <w:t>a viable, representative and effectively managed PA-approach to conserv</w:t>
      </w:r>
      <w:r>
        <w:rPr>
          <w:rFonts w:ascii="Calibri" w:hAnsi="Calibri" w:cs="TimesNewRomanPSMT"/>
          <w:sz w:val="24"/>
          <w:szCs w:val="24"/>
          <w:lang w:val="en-US"/>
        </w:rPr>
        <w:t>e</w:t>
      </w:r>
      <w:r w:rsidRPr="007C5ADE">
        <w:rPr>
          <w:rFonts w:ascii="Calibri" w:hAnsi="Calibri" w:cs="TimesNewRomanPSMT"/>
          <w:sz w:val="24"/>
          <w:szCs w:val="24"/>
          <w:lang w:val="en-US"/>
        </w:rPr>
        <w:t xml:space="preserve"> biodiversity in the Achara region</w:t>
      </w:r>
      <w:r>
        <w:rPr>
          <w:rFonts w:ascii="Calibri" w:hAnsi="Calibri" w:cs="TimesNewRomanPSMT"/>
          <w:sz w:val="24"/>
          <w:szCs w:val="24"/>
          <w:lang w:val="en-US"/>
        </w:rPr>
        <w:t>, focusing on</w:t>
      </w:r>
      <w:r w:rsidR="00FE3E30">
        <w:rPr>
          <w:rFonts w:ascii="Calibri" w:hAnsi="Calibri" w:cs="TimesNewRomanPSMT"/>
          <w:sz w:val="24"/>
          <w:szCs w:val="24"/>
          <w:lang w:val="en-US"/>
        </w:rPr>
        <w:t xml:space="preserve"> the globally important Colchic </w:t>
      </w:r>
      <w:r>
        <w:rPr>
          <w:rFonts w:ascii="Calibri" w:hAnsi="Calibri" w:cs="TimesNewRomanPSMT"/>
          <w:sz w:val="24"/>
          <w:szCs w:val="24"/>
          <w:lang w:val="en-US"/>
        </w:rPr>
        <w:t>Temperate Rain Forests of the Lesser Caucasus</w:t>
      </w:r>
      <w:r w:rsidR="00FE3E30">
        <w:rPr>
          <w:rFonts w:ascii="Calibri" w:hAnsi="Calibri" w:cs="TimesNewRomanPSMT"/>
          <w:sz w:val="24"/>
          <w:szCs w:val="24"/>
          <w:lang w:val="en-US"/>
        </w:rPr>
        <w:t xml:space="preserve"> Mountains in South West Georgia</w:t>
      </w:r>
      <w:r w:rsidRPr="007C5ADE">
        <w:rPr>
          <w:rFonts w:ascii="Calibri" w:hAnsi="Calibri" w:cs="TimesNewRomanPSMT"/>
          <w:sz w:val="24"/>
          <w:szCs w:val="24"/>
          <w:lang w:val="en-US"/>
        </w:rPr>
        <w:t>. The requested investment is strategic</w:t>
      </w:r>
      <w:r w:rsidR="00FE3E30">
        <w:rPr>
          <w:rFonts w:ascii="Calibri" w:hAnsi="Calibri" w:cs="TimesNewRomanPSMT"/>
          <w:sz w:val="24"/>
          <w:szCs w:val="24"/>
          <w:lang w:val="en-US"/>
        </w:rPr>
        <w:t xml:space="preserve">ally targeted on </w:t>
      </w:r>
      <w:r w:rsidRPr="007C5ADE">
        <w:rPr>
          <w:rFonts w:ascii="Calibri" w:hAnsi="Calibri" w:cs="TimesNewRomanPSMT"/>
          <w:sz w:val="24"/>
          <w:szCs w:val="24"/>
          <w:lang w:val="en-US"/>
        </w:rPr>
        <w:t>operational</w:t>
      </w:r>
      <w:r w:rsidR="00FE3E30">
        <w:rPr>
          <w:rFonts w:ascii="Calibri" w:hAnsi="Calibri" w:cs="TimesNewRomanPSMT"/>
          <w:sz w:val="24"/>
          <w:szCs w:val="24"/>
          <w:lang w:val="en-US"/>
        </w:rPr>
        <w:t>izing the newly established Machakhel</w:t>
      </w:r>
      <w:r w:rsidRPr="007C5ADE">
        <w:rPr>
          <w:rFonts w:ascii="Calibri" w:hAnsi="Calibri" w:cs="TimesNewRomanPSMT"/>
          <w:sz w:val="24"/>
          <w:szCs w:val="24"/>
          <w:lang w:val="en-US"/>
        </w:rPr>
        <w:t>a</w:t>
      </w:r>
      <w:r w:rsidR="00FE3E30">
        <w:rPr>
          <w:rFonts w:ascii="Calibri" w:hAnsi="Calibri" w:cs="TimesNewRomanPSMT"/>
          <w:sz w:val="24"/>
          <w:szCs w:val="24"/>
          <w:lang w:val="en-US"/>
        </w:rPr>
        <w:t xml:space="preserve"> NP, while also contributing to the enhancement of </w:t>
      </w:r>
      <w:r w:rsidR="005574FA">
        <w:rPr>
          <w:rFonts w:ascii="Calibri" w:hAnsi="Calibri" w:cs="TimesNewRomanPSMT"/>
          <w:sz w:val="24"/>
          <w:szCs w:val="24"/>
          <w:lang w:val="en-US"/>
        </w:rPr>
        <w:t xml:space="preserve">sustainable </w:t>
      </w:r>
      <w:r w:rsidR="00FE3E30">
        <w:rPr>
          <w:rFonts w:ascii="Calibri" w:hAnsi="Calibri" w:cs="TimesNewRomanPSMT"/>
          <w:sz w:val="24"/>
          <w:szCs w:val="24"/>
          <w:lang w:val="en-US"/>
        </w:rPr>
        <w:t>management in Mtirala NP and KIntrishi PAs complex, including the</w:t>
      </w:r>
      <w:r w:rsidRPr="007C5ADE">
        <w:rPr>
          <w:rFonts w:ascii="Calibri" w:hAnsi="Calibri" w:cs="TimesNewRomanPSMT"/>
          <w:sz w:val="24"/>
          <w:szCs w:val="24"/>
          <w:lang w:val="en-US"/>
        </w:rPr>
        <w:t xml:space="preserve"> role of local communities in PA </w:t>
      </w:r>
      <w:r w:rsidR="005574FA">
        <w:rPr>
          <w:rFonts w:ascii="Calibri" w:hAnsi="Calibri" w:cs="TimesNewRomanPSMT"/>
          <w:sz w:val="24"/>
          <w:szCs w:val="24"/>
          <w:lang w:val="en-US"/>
        </w:rPr>
        <w:t xml:space="preserve">governance </w:t>
      </w:r>
      <w:r w:rsidRPr="007C5ADE">
        <w:rPr>
          <w:rFonts w:ascii="Calibri" w:hAnsi="Calibri" w:cs="TimesNewRomanPSMT"/>
          <w:sz w:val="24"/>
          <w:szCs w:val="24"/>
          <w:lang w:val="en-US"/>
        </w:rPr>
        <w:t>and long</w:t>
      </w:r>
      <w:r w:rsidR="00FE3E30">
        <w:rPr>
          <w:rFonts w:ascii="Calibri" w:hAnsi="Calibri" w:cs="TimesNewRomanPSMT"/>
          <w:sz w:val="24"/>
          <w:szCs w:val="24"/>
          <w:lang w:val="en-US"/>
        </w:rPr>
        <w:t>-</w:t>
      </w:r>
      <w:r w:rsidRPr="007C5ADE">
        <w:rPr>
          <w:rFonts w:ascii="Calibri" w:hAnsi="Calibri" w:cs="TimesNewRomanPSMT"/>
          <w:sz w:val="24"/>
          <w:szCs w:val="24"/>
          <w:lang w:val="en-US"/>
        </w:rPr>
        <w:t xml:space="preserve">term </w:t>
      </w:r>
      <w:r w:rsidR="005574FA">
        <w:rPr>
          <w:rFonts w:ascii="Calibri" w:hAnsi="Calibri" w:cs="TimesNewRomanPSMT"/>
          <w:sz w:val="24"/>
          <w:szCs w:val="24"/>
          <w:lang w:val="en-US"/>
        </w:rPr>
        <w:t>viable financing of these PAs.</w:t>
      </w:r>
    </w:p>
    <w:p w14:paraId="6C990F36" w14:textId="25B20BCC" w:rsidR="005718A5" w:rsidRPr="000D0A56" w:rsidRDefault="003952D8" w:rsidP="000D0A56">
      <w:pPr>
        <w:pStyle w:val="BodyText2"/>
        <w:spacing w:before="40" w:after="120" w:line="264" w:lineRule="auto"/>
        <w:rPr>
          <w:rFonts w:ascii="Calibri" w:hAnsi="Calibri" w:cs="TimesNewRomanPSMT"/>
          <w:szCs w:val="24"/>
        </w:rPr>
      </w:pPr>
      <w:r w:rsidRPr="003952D8">
        <w:rPr>
          <w:rFonts w:ascii="Calibri" w:hAnsi="Calibri" w:cs="TimesNewRomanPSMT"/>
          <w:szCs w:val="24"/>
        </w:rPr>
        <w:t xml:space="preserve">The </w:t>
      </w:r>
      <w:r w:rsidR="00DE3406">
        <w:rPr>
          <w:rFonts w:ascii="Calibri" w:hAnsi="Calibri" w:cs="TimesNewRomanPSMT"/>
          <w:szCs w:val="24"/>
        </w:rPr>
        <w:t xml:space="preserve">expected results under the </w:t>
      </w:r>
      <w:r w:rsidRPr="003952D8">
        <w:rPr>
          <w:rFonts w:ascii="Calibri" w:hAnsi="Calibri" w:cs="TimesNewRomanPSMT"/>
          <w:szCs w:val="24"/>
        </w:rPr>
        <w:t>project</w:t>
      </w:r>
      <w:r w:rsidR="00DE3406">
        <w:rPr>
          <w:rFonts w:ascii="Calibri" w:hAnsi="Calibri" w:cs="TimesNewRomanPSMT"/>
          <w:szCs w:val="24"/>
        </w:rPr>
        <w:t>’s</w:t>
      </w:r>
      <w:r w:rsidRPr="003952D8">
        <w:rPr>
          <w:rFonts w:ascii="Calibri" w:hAnsi="Calibri" w:cs="TimesNewRomanPSMT"/>
          <w:szCs w:val="24"/>
        </w:rPr>
        <w:t xml:space="preserve"> </w:t>
      </w:r>
      <w:r w:rsidR="00DE3406">
        <w:rPr>
          <w:rFonts w:ascii="Calibri" w:hAnsi="Calibri" w:cs="TimesNewRomanPSMT"/>
          <w:szCs w:val="24"/>
        </w:rPr>
        <w:t>two</w:t>
      </w:r>
      <w:r w:rsidRPr="003952D8">
        <w:rPr>
          <w:rFonts w:ascii="Calibri" w:hAnsi="Calibri" w:cs="TimesNewRomanPSMT"/>
          <w:szCs w:val="24"/>
        </w:rPr>
        <w:t xml:space="preserve"> </w:t>
      </w:r>
      <w:r w:rsidR="00E05171">
        <w:rPr>
          <w:rFonts w:ascii="Calibri" w:hAnsi="Calibri" w:cs="TimesNewRomanPSMT"/>
          <w:szCs w:val="24"/>
        </w:rPr>
        <w:t>O</w:t>
      </w:r>
      <w:r w:rsidRPr="003952D8">
        <w:rPr>
          <w:rFonts w:ascii="Calibri" w:hAnsi="Calibri" w:cs="TimesNewRomanPSMT"/>
          <w:szCs w:val="24"/>
        </w:rPr>
        <w:t>utcomes</w:t>
      </w:r>
      <w:r w:rsidR="00DE3406">
        <w:rPr>
          <w:rFonts w:ascii="Calibri" w:hAnsi="Calibri" w:cs="TimesNewRomanPSMT"/>
          <w:szCs w:val="24"/>
        </w:rPr>
        <w:t xml:space="preserve"> (</w:t>
      </w:r>
      <w:r w:rsidR="00DE3406" w:rsidRPr="00DE3406">
        <w:rPr>
          <w:rFonts w:ascii="Calibri" w:hAnsi="Calibri" w:cs="TimesNewRomanPSMT"/>
          <w:b/>
          <w:szCs w:val="24"/>
        </w:rPr>
        <w:t>Section 2.3</w:t>
      </w:r>
      <w:r w:rsidR="00DE3406">
        <w:rPr>
          <w:rFonts w:ascii="Calibri" w:hAnsi="Calibri" w:cs="TimesNewRomanPSMT"/>
          <w:szCs w:val="24"/>
        </w:rPr>
        <w:t>)</w:t>
      </w:r>
      <w:r w:rsidRPr="003952D8">
        <w:rPr>
          <w:rFonts w:ascii="Calibri" w:hAnsi="Calibri" w:cs="TimesNewRomanPSMT"/>
          <w:szCs w:val="24"/>
        </w:rPr>
        <w:t xml:space="preserve"> </w:t>
      </w:r>
      <w:r w:rsidR="00E05171">
        <w:rPr>
          <w:rFonts w:ascii="Calibri" w:hAnsi="Calibri" w:cs="TimesNewRomanPSMT"/>
          <w:szCs w:val="24"/>
        </w:rPr>
        <w:t>include</w:t>
      </w:r>
      <w:r w:rsidR="00DE3406">
        <w:rPr>
          <w:rFonts w:ascii="Calibri" w:hAnsi="Calibri" w:cs="TimesNewRomanPSMT"/>
          <w:szCs w:val="24"/>
        </w:rPr>
        <w:t xml:space="preserve"> </w:t>
      </w:r>
      <w:r w:rsidR="00E05171">
        <w:rPr>
          <w:rFonts w:ascii="Calibri" w:hAnsi="Calibri" w:cs="TimesNewRomanPSMT"/>
          <w:szCs w:val="24"/>
        </w:rPr>
        <w:t>six O</w:t>
      </w:r>
      <w:r w:rsidR="00DE3406">
        <w:rPr>
          <w:rFonts w:ascii="Calibri" w:hAnsi="Calibri" w:cs="TimesNewRomanPSMT"/>
          <w:szCs w:val="24"/>
        </w:rPr>
        <w:t>utputs</w:t>
      </w:r>
      <w:r w:rsidR="00E05171">
        <w:rPr>
          <w:rFonts w:ascii="Calibri" w:hAnsi="Calibri" w:cs="TimesNewRomanPSMT"/>
          <w:szCs w:val="24"/>
        </w:rPr>
        <w:t>, shown in</w:t>
      </w:r>
      <w:r w:rsidRPr="003952D8">
        <w:rPr>
          <w:rFonts w:ascii="Calibri" w:hAnsi="Calibri" w:cs="TimesNewRomanPSMT"/>
          <w:szCs w:val="24"/>
        </w:rPr>
        <w:t xml:space="preserve"> </w:t>
      </w:r>
      <w:r w:rsidRPr="003952D8">
        <w:rPr>
          <w:rFonts w:ascii="Calibri" w:hAnsi="Calibri" w:cs="TimesNewRomanPSMT"/>
          <w:b/>
          <w:szCs w:val="24"/>
        </w:rPr>
        <w:t>Table 2.</w:t>
      </w:r>
      <w:r w:rsidR="00E05171">
        <w:rPr>
          <w:rFonts w:ascii="Calibri" w:hAnsi="Calibri" w:cs="TimesNewRomanPSMT"/>
          <w:b/>
          <w:szCs w:val="24"/>
        </w:rPr>
        <w:t>2</w:t>
      </w:r>
      <w:r w:rsidRPr="003952D8">
        <w:rPr>
          <w:rFonts w:ascii="Calibri" w:hAnsi="Calibri" w:cs="TimesNewRomanPSMT"/>
          <w:szCs w:val="24"/>
        </w:rPr>
        <w:t xml:space="preserve">. </w:t>
      </w:r>
      <w:r w:rsidR="005718A5">
        <w:rPr>
          <w:rFonts w:ascii="Calibri" w:hAnsi="Calibri"/>
          <w:b/>
        </w:rPr>
        <w:br w:type="page"/>
      </w:r>
    </w:p>
    <w:p w14:paraId="2B0D38AF" w14:textId="02CC244B" w:rsidR="00645242" w:rsidRPr="005109B3" w:rsidRDefault="00645242" w:rsidP="00722D10">
      <w:pPr>
        <w:pStyle w:val="BodyText"/>
        <w:tabs>
          <w:tab w:val="left" w:pos="1134"/>
        </w:tabs>
        <w:rPr>
          <w:rFonts w:ascii="Calibri" w:hAnsi="Calibri"/>
        </w:rPr>
      </w:pPr>
      <w:r>
        <w:rPr>
          <w:rFonts w:ascii="Calibri" w:hAnsi="Calibri"/>
          <w:b/>
        </w:rPr>
        <w:lastRenderedPageBreak/>
        <w:t>Table 2</w:t>
      </w:r>
      <w:r w:rsidRPr="005109B3">
        <w:rPr>
          <w:rFonts w:ascii="Calibri" w:hAnsi="Calibri"/>
          <w:b/>
        </w:rPr>
        <w:t>.</w:t>
      </w:r>
      <w:r w:rsidR="00D96B6C">
        <w:rPr>
          <w:rFonts w:ascii="Calibri" w:hAnsi="Calibri"/>
          <w:b/>
        </w:rPr>
        <w:t>2</w:t>
      </w:r>
      <w:r w:rsidRPr="00D96B6C">
        <w:rPr>
          <w:rFonts w:ascii="Calibri" w:hAnsi="Calibri"/>
        </w:rPr>
        <w:tab/>
      </w:r>
      <w:r w:rsidR="00D96B6C" w:rsidRPr="00D96B6C">
        <w:rPr>
          <w:rFonts w:ascii="Calibri" w:hAnsi="Calibri"/>
        </w:rPr>
        <w:t>Project outcomes and outputs, as specified in the Project Document</w:t>
      </w:r>
    </w:p>
    <w:tbl>
      <w:tblPr>
        <w:tblW w:w="9068" w:type="dxa"/>
        <w:tblCellMar>
          <w:left w:w="10" w:type="dxa"/>
          <w:right w:w="10" w:type="dxa"/>
        </w:tblCellMar>
        <w:tblLook w:val="0000" w:firstRow="0" w:lastRow="0" w:firstColumn="0" w:lastColumn="0" w:noHBand="0" w:noVBand="0"/>
      </w:tblPr>
      <w:tblGrid>
        <w:gridCol w:w="2535"/>
        <w:gridCol w:w="6533"/>
      </w:tblGrid>
      <w:tr w:rsidR="005574FA" w:rsidRPr="00645242" w14:paraId="3BB17E8E" w14:textId="77777777" w:rsidTr="000D0A56">
        <w:trPr>
          <w:trHeight w:val="264"/>
          <w:tblHeader/>
        </w:trPr>
        <w:tc>
          <w:tcPr>
            <w:tcW w:w="2535" w:type="dxa"/>
            <w:tcBorders>
              <w:top w:val="single" w:sz="4" w:space="0" w:color="000000"/>
              <w:left w:val="single" w:sz="4" w:space="0" w:color="000000"/>
              <w:bottom w:val="single" w:sz="4" w:space="0" w:color="000000"/>
              <w:right w:val="single" w:sz="4" w:space="0" w:color="000000"/>
            </w:tcBorders>
            <w:shd w:val="clear" w:color="auto" w:fill="CCCCCC"/>
            <w:tcMar>
              <w:top w:w="57" w:type="dxa"/>
              <w:left w:w="28" w:type="dxa"/>
              <w:bottom w:w="57" w:type="dxa"/>
              <w:right w:w="28" w:type="dxa"/>
            </w:tcMar>
          </w:tcPr>
          <w:p w14:paraId="18493A59" w14:textId="669DBF00" w:rsidR="005574FA" w:rsidRPr="003952D8" w:rsidRDefault="002F2B33" w:rsidP="00645242">
            <w:pPr>
              <w:pStyle w:val="BodyText"/>
              <w:spacing w:after="0" w:line="240" w:lineRule="auto"/>
              <w:rPr>
                <w:rFonts w:ascii="Calibri" w:hAnsi="Calibri"/>
                <w:b/>
                <w:sz w:val="20"/>
              </w:rPr>
            </w:pPr>
            <w:r w:rsidRPr="003952D8">
              <w:rPr>
                <w:rFonts w:ascii="Calibri" w:hAnsi="Calibri"/>
                <w:b/>
                <w:sz w:val="20"/>
              </w:rPr>
              <w:t>Outcome 1</w:t>
            </w:r>
          </w:p>
        </w:tc>
        <w:tc>
          <w:tcPr>
            <w:tcW w:w="6533" w:type="dxa"/>
            <w:tcBorders>
              <w:top w:val="single" w:sz="4" w:space="0" w:color="000000"/>
              <w:left w:val="single" w:sz="4" w:space="0" w:color="000000"/>
              <w:bottom w:val="single" w:sz="4" w:space="0" w:color="000000"/>
              <w:right w:val="single" w:sz="4" w:space="0" w:color="000000"/>
            </w:tcBorders>
            <w:shd w:val="clear" w:color="auto" w:fill="CCCCCC"/>
            <w:tcMar>
              <w:top w:w="57" w:type="dxa"/>
              <w:left w:w="28" w:type="dxa"/>
              <w:bottom w:w="57" w:type="dxa"/>
              <w:right w:w="28" w:type="dxa"/>
            </w:tcMar>
          </w:tcPr>
          <w:p w14:paraId="4C503296" w14:textId="7A003CF9" w:rsidR="005574FA" w:rsidRPr="00645242" w:rsidRDefault="005574FA" w:rsidP="00645242">
            <w:pPr>
              <w:pStyle w:val="BodyText"/>
              <w:spacing w:after="0" w:line="240" w:lineRule="auto"/>
              <w:rPr>
                <w:rFonts w:ascii="Calibri" w:hAnsi="Calibri"/>
                <w:sz w:val="20"/>
              </w:rPr>
            </w:pPr>
            <w:r w:rsidRPr="00645242">
              <w:rPr>
                <w:rFonts w:ascii="Calibri" w:hAnsi="Calibri"/>
                <w:sz w:val="20"/>
              </w:rPr>
              <w:t>Enhancement of PA Management Effectiveness in the Achara Region</w:t>
            </w:r>
          </w:p>
        </w:tc>
      </w:tr>
      <w:tr w:rsidR="002F2B33" w:rsidRPr="00645242" w14:paraId="47132B46" w14:textId="77777777" w:rsidTr="005574FA">
        <w:trPr>
          <w:trHeight w:val="264"/>
        </w:trPr>
        <w:tc>
          <w:tcPr>
            <w:tcW w:w="2535"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2350F42A" w14:textId="5E51B870" w:rsidR="002F2B33" w:rsidRPr="003952D8" w:rsidRDefault="002F2B33" w:rsidP="00645242">
            <w:pPr>
              <w:pStyle w:val="BodyText"/>
              <w:spacing w:after="0" w:line="240" w:lineRule="auto"/>
              <w:rPr>
                <w:rFonts w:ascii="Calibri" w:hAnsi="Calibri"/>
                <w:b/>
                <w:sz w:val="20"/>
              </w:rPr>
            </w:pPr>
            <w:r w:rsidRPr="003952D8">
              <w:rPr>
                <w:rFonts w:ascii="Calibri" w:hAnsi="Calibri"/>
                <w:b/>
                <w:sz w:val="20"/>
              </w:rPr>
              <w:t>Output 1.1</w:t>
            </w:r>
          </w:p>
        </w:tc>
        <w:tc>
          <w:tcPr>
            <w:tcW w:w="653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514B0BDE" w14:textId="162841E8" w:rsidR="002F2B33" w:rsidRPr="00645242" w:rsidRDefault="002F2B33" w:rsidP="00645242">
            <w:pPr>
              <w:pStyle w:val="BodyText"/>
              <w:spacing w:after="0" w:line="240" w:lineRule="auto"/>
              <w:rPr>
                <w:rFonts w:ascii="Calibri" w:hAnsi="Calibri"/>
                <w:sz w:val="20"/>
              </w:rPr>
            </w:pPr>
            <w:r w:rsidRPr="00645242">
              <w:rPr>
                <w:rFonts w:ascii="Calibri" w:hAnsi="Calibri"/>
                <w:sz w:val="20"/>
              </w:rPr>
              <w:t>Enforcement and surveillance system strengthened in Kintrishi Protected Areas and Mtirala NP</w:t>
            </w:r>
          </w:p>
        </w:tc>
      </w:tr>
      <w:tr w:rsidR="002F2B33" w:rsidRPr="00645242" w14:paraId="31771C5A" w14:textId="77777777" w:rsidTr="005574FA">
        <w:trPr>
          <w:trHeight w:val="264"/>
        </w:trPr>
        <w:tc>
          <w:tcPr>
            <w:tcW w:w="2535"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456FFE49" w14:textId="1BE6FF6C" w:rsidR="002F2B33" w:rsidRPr="003952D8" w:rsidRDefault="002F2B33" w:rsidP="00645242">
            <w:pPr>
              <w:pStyle w:val="BodyText"/>
              <w:spacing w:after="0" w:line="240" w:lineRule="auto"/>
              <w:rPr>
                <w:rFonts w:ascii="Calibri" w:hAnsi="Calibri"/>
                <w:b/>
                <w:sz w:val="20"/>
              </w:rPr>
            </w:pPr>
            <w:r w:rsidRPr="003952D8">
              <w:rPr>
                <w:rFonts w:ascii="Calibri" w:hAnsi="Calibri"/>
                <w:b/>
                <w:sz w:val="20"/>
              </w:rPr>
              <w:t>Output 1.2</w:t>
            </w:r>
          </w:p>
        </w:tc>
        <w:tc>
          <w:tcPr>
            <w:tcW w:w="653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747B18E6" w14:textId="24F79926" w:rsidR="002F2B33" w:rsidRPr="00645242" w:rsidRDefault="002F2B33" w:rsidP="00645242">
            <w:pPr>
              <w:pStyle w:val="BodyText"/>
              <w:spacing w:after="0" w:line="240" w:lineRule="auto"/>
              <w:rPr>
                <w:rFonts w:ascii="Calibri" w:hAnsi="Calibri"/>
                <w:sz w:val="20"/>
              </w:rPr>
            </w:pPr>
            <w:r w:rsidRPr="00645242">
              <w:rPr>
                <w:rFonts w:ascii="Calibri" w:hAnsi="Calibri"/>
                <w:sz w:val="20"/>
              </w:rPr>
              <w:t>Reduced threats at source by constructive involvement of local communities in planning and co-management arrangements within the governance framework of 2 newly established community-based organizations</w:t>
            </w:r>
          </w:p>
        </w:tc>
      </w:tr>
      <w:tr w:rsidR="002F2B33" w:rsidRPr="00645242" w14:paraId="098195E0" w14:textId="77777777" w:rsidTr="000D0A56">
        <w:trPr>
          <w:trHeight w:val="264"/>
        </w:trPr>
        <w:tc>
          <w:tcPr>
            <w:tcW w:w="2535"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418778A5" w14:textId="73CA7227" w:rsidR="002F2B33" w:rsidRPr="003952D8" w:rsidRDefault="002F2B33" w:rsidP="00645242">
            <w:pPr>
              <w:pStyle w:val="BodyText"/>
              <w:spacing w:after="0" w:line="240" w:lineRule="auto"/>
              <w:rPr>
                <w:rFonts w:ascii="Calibri" w:hAnsi="Calibri"/>
                <w:b/>
                <w:sz w:val="20"/>
              </w:rPr>
            </w:pPr>
            <w:r w:rsidRPr="003952D8">
              <w:rPr>
                <w:rFonts w:ascii="Calibri" w:hAnsi="Calibri"/>
                <w:b/>
                <w:sz w:val="20"/>
              </w:rPr>
              <w:t>Output 1.3</w:t>
            </w:r>
          </w:p>
        </w:tc>
        <w:tc>
          <w:tcPr>
            <w:tcW w:w="653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052C2484" w14:textId="28288AE9" w:rsidR="002F2B33" w:rsidRPr="00645242" w:rsidRDefault="002F2B33" w:rsidP="00645242">
            <w:pPr>
              <w:pStyle w:val="BodyText"/>
              <w:spacing w:after="0" w:line="240" w:lineRule="auto"/>
              <w:rPr>
                <w:rFonts w:ascii="Calibri" w:hAnsi="Calibri"/>
                <w:sz w:val="20"/>
              </w:rPr>
            </w:pPr>
            <w:r w:rsidRPr="00645242">
              <w:rPr>
                <w:rFonts w:ascii="Calibri" w:hAnsi="Calibri"/>
                <w:sz w:val="20"/>
              </w:rPr>
              <w:t>Future financial needs of the Kintrishi and Mtirala PAs addressed by developing mechanisms to generate finances on the scale needed to address emerging long term pressures on biodiversity</w:t>
            </w:r>
          </w:p>
        </w:tc>
      </w:tr>
      <w:tr w:rsidR="002F2B33" w:rsidRPr="00645242" w14:paraId="686D64BF" w14:textId="77777777" w:rsidTr="000D0A56">
        <w:trPr>
          <w:trHeight w:val="264"/>
          <w:tblHeader/>
        </w:trPr>
        <w:tc>
          <w:tcPr>
            <w:tcW w:w="2535" w:type="dxa"/>
            <w:tcBorders>
              <w:top w:val="single" w:sz="4" w:space="0" w:color="000000"/>
              <w:left w:val="single" w:sz="4" w:space="0" w:color="000000"/>
              <w:bottom w:val="single" w:sz="4" w:space="0" w:color="000000"/>
              <w:right w:val="single" w:sz="4" w:space="0" w:color="000000"/>
            </w:tcBorders>
            <w:shd w:val="clear" w:color="auto" w:fill="CCCCCC"/>
            <w:tcMar>
              <w:top w:w="57" w:type="dxa"/>
              <w:left w:w="28" w:type="dxa"/>
              <w:bottom w:w="57" w:type="dxa"/>
              <w:right w:w="28" w:type="dxa"/>
            </w:tcMar>
          </w:tcPr>
          <w:p w14:paraId="5CF2231F" w14:textId="714A41A0" w:rsidR="002F2B33" w:rsidRPr="003952D8" w:rsidRDefault="002F2B33" w:rsidP="00645242">
            <w:pPr>
              <w:pStyle w:val="BodyText"/>
              <w:spacing w:after="0" w:line="240" w:lineRule="auto"/>
              <w:rPr>
                <w:rFonts w:ascii="Calibri" w:hAnsi="Calibri"/>
                <w:b/>
                <w:sz w:val="20"/>
              </w:rPr>
            </w:pPr>
            <w:r w:rsidRPr="003952D8">
              <w:rPr>
                <w:rFonts w:ascii="Calibri" w:hAnsi="Calibri"/>
                <w:b/>
                <w:sz w:val="20"/>
              </w:rPr>
              <w:t>Outcome 2</w:t>
            </w:r>
          </w:p>
        </w:tc>
        <w:tc>
          <w:tcPr>
            <w:tcW w:w="6533" w:type="dxa"/>
            <w:tcBorders>
              <w:top w:val="single" w:sz="4" w:space="0" w:color="000000"/>
              <w:left w:val="single" w:sz="4" w:space="0" w:color="000000"/>
              <w:bottom w:val="single" w:sz="4" w:space="0" w:color="000000"/>
              <w:right w:val="single" w:sz="4" w:space="0" w:color="000000"/>
            </w:tcBorders>
            <w:shd w:val="clear" w:color="auto" w:fill="CCCCCC"/>
            <w:tcMar>
              <w:top w:w="57" w:type="dxa"/>
              <w:left w:w="28" w:type="dxa"/>
              <w:bottom w:w="57" w:type="dxa"/>
              <w:right w:w="28" w:type="dxa"/>
            </w:tcMar>
          </w:tcPr>
          <w:p w14:paraId="503A5220" w14:textId="763B275D" w:rsidR="002F2B33" w:rsidRPr="00645242" w:rsidRDefault="002F2B33" w:rsidP="00645242">
            <w:pPr>
              <w:pStyle w:val="BodyText"/>
              <w:spacing w:after="0" w:line="240" w:lineRule="auto"/>
              <w:rPr>
                <w:rFonts w:ascii="Calibri" w:hAnsi="Calibri"/>
                <w:sz w:val="20"/>
              </w:rPr>
            </w:pPr>
            <w:r w:rsidRPr="00645242">
              <w:rPr>
                <w:rFonts w:ascii="Calibri" w:hAnsi="Calibri"/>
                <w:sz w:val="20"/>
              </w:rPr>
              <w:t>PA System Expansion to Increase Functional Connectivity of PAs in the West Lesser Caucasus</w:t>
            </w:r>
          </w:p>
        </w:tc>
      </w:tr>
      <w:tr w:rsidR="006F601D" w:rsidRPr="00645242" w14:paraId="0B60892F" w14:textId="77777777" w:rsidTr="006F601D">
        <w:trPr>
          <w:trHeight w:val="264"/>
        </w:trPr>
        <w:tc>
          <w:tcPr>
            <w:tcW w:w="2535"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6B4C5C6F" w14:textId="7786EF60" w:rsidR="006F601D" w:rsidRPr="003952D8" w:rsidRDefault="006F601D" w:rsidP="00645242">
            <w:pPr>
              <w:pStyle w:val="BodyText"/>
              <w:spacing w:after="0" w:line="240" w:lineRule="auto"/>
              <w:rPr>
                <w:rFonts w:ascii="Calibri" w:hAnsi="Calibri"/>
                <w:b/>
                <w:sz w:val="20"/>
              </w:rPr>
            </w:pPr>
            <w:r w:rsidRPr="003952D8">
              <w:rPr>
                <w:rFonts w:ascii="Calibri" w:hAnsi="Calibri"/>
                <w:b/>
                <w:sz w:val="20"/>
              </w:rPr>
              <w:t>Output 2.1</w:t>
            </w:r>
          </w:p>
        </w:tc>
        <w:tc>
          <w:tcPr>
            <w:tcW w:w="653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1B3640CC" w14:textId="13587BD3" w:rsidR="006F601D" w:rsidRPr="00645242" w:rsidRDefault="006F601D" w:rsidP="00645242">
            <w:pPr>
              <w:pStyle w:val="BodyText"/>
              <w:spacing w:after="0" w:line="240" w:lineRule="auto"/>
              <w:rPr>
                <w:rFonts w:ascii="Calibri" w:hAnsi="Calibri"/>
                <w:sz w:val="20"/>
              </w:rPr>
            </w:pPr>
            <w:r w:rsidRPr="00645242">
              <w:rPr>
                <w:rFonts w:ascii="Calibri" w:hAnsi="Calibri"/>
                <w:sz w:val="20"/>
              </w:rPr>
              <w:t xml:space="preserve">Functional establishment of a new IUCN Category II PA of 8,733 ha in the Machakhela Valley </w:t>
            </w:r>
          </w:p>
        </w:tc>
      </w:tr>
      <w:tr w:rsidR="006F601D" w:rsidRPr="00645242" w14:paraId="3B7EF0A4" w14:textId="77777777" w:rsidTr="005574FA">
        <w:trPr>
          <w:trHeight w:val="264"/>
        </w:trPr>
        <w:tc>
          <w:tcPr>
            <w:tcW w:w="2535"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347C6F7C" w14:textId="07DD41EA" w:rsidR="006F601D" w:rsidRPr="003952D8" w:rsidRDefault="006F601D" w:rsidP="00645242">
            <w:pPr>
              <w:pStyle w:val="BodyText"/>
              <w:spacing w:after="0" w:line="240" w:lineRule="auto"/>
              <w:rPr>
                <w:rFonts w:ascii="Calibri" w:hAnsi="Calibri"/>
                <w:b/>
                <w:sz w:val="20"/>
              </w:rPr>
            </w:pPr>
            <w:r w:rsidRPr="003952D8">
              <w:rPr>
                <w:rFonts w:ascii="Calibri" w:hAnsi="Calibri"/>
                <w:b/>
                <w:sz w:val="20"/>
              </w:rPr>
              <w:t>Output 2.2</w:t>
            </w:r>
          </w:p>
        </w:tc>
        <w:tc>
          <w:tcPr>
            <w:tcW w:w="653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00EDBD2C" w14:textId="59AFDD5A" w:rsidR="006F601D" w:rsidRPr="00645242" w:rsidRDefault="006F601D" w:rsidP="00645242">
            <w:pPr>
              <w:pStyle w:val="BodyText"/>
              <w:spacing w:after="0" w:line="240" w:lineRule="auto"/>
              <w:rPr>
                <w:rFonts w:ascii="Calibri" w:hAnsi="Calibri"/>
                <w:sz w:val="20"/>
              </w:rPr>
            </w:pPr>
            <w:r w:rsidRPr="00645242">
              <w:rPr>
                <w:rFonts w:ascii="Calibri" w:hAnsi="Calibri"/>
                <w:sz w:val="20"/>
              </w:rPr>
              <w:t>Public-Civil Society-Community PA Planning and Management Governance Board established and provided with a legal basis to manage the proposed Machakhela National Park</w:t>
            </w:r>
          </w:p>
        </w:tc>
      </w:tr>
      <w:tr w:rsidR="006F601D" w:rsidRPr="00645242" w14:paraId="371FBE7D" w14:textId="77777777" w:rsidTr="005574FA">
        <w:trPr>
          <w:trHeight w:val="264"/>
        </w:trPr>
        <w:tc>
          <w:tcPr>
            <w:tcW w:w="2535"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0FE28B24" w14:textId="1557DD21" w:rsidR="006F601D" w:rsidRPr="003952D8" w:rsidRDefault="006F601D" w:rsidP="00645242">
            <w:pPr>
              <w:pStyle w:val="BodyText"/>
              <w:spacing w:after="0" w:line="240" w:lineRule="auto"/>
              <w:rPr>
                <w:rFonts w:ascii="Calibri" w:hAnsi="Calibri"/>
                <w:b/>
                <w:sz w:val="20"/>
              </w:rPr>
            </w:pPr>
            <w:r w:rsidRPr="003952D8">
              <w:rPr>
                <w:rFonts w:ascii="Calibri" w:hAnsi="Calibri"/>
                <w:b/>
                <w:sz w:val="20"/>
              </w:rPr>
              <w:t>Output 2.3</w:t>
            </w:r>
          </w:p>
        </w:tc>
        <w:tc>
          <w:tcPr>
            <w:tcW w:w="653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0D6A03C8" w14:textId="0482909B" w:rsidR="006F601D" w:rsidRPr="00645242" w:rsidRDefault="006F601D" w:rsidP="00645242">
            <w:pPr>
              <w:pStyle w:val="BodyText"/>
              <w:spacing w:after="0" w:line="240" w:lineRule="auto"/>
              <w:rPr>
                <w:rFonts w:ascii="Calibri" w:hAnsi="Calibri"/>
                <w:sz w:val="20"/>
              </w:rPr>
            </w:pPr>
            <w:r w:rsidRPr="00645242">
              <w:rPr>
                <w:rFonts w:ascii="Calibri" w:hAnsi="Calibri"/>
                <w:sz w:val="20"/>
              </w:rPr>
              <w:t>Established operational capacity at Machakhela National Park</w:t>
            </w:r>
          </w:p>
        </w:tc>
      </w:tr>
    </w:tbl>
    <w:p w14:paraId="4018CC56" w14:textId="77777777" w:rsidR="0072726F" w:rsidRPr="00E22EBA" w:rsidRDefault="0072726F" w:rsidP="001A4EDB">
      <w:pPr>
        <w:pStyle w:val="Heading1"/>
        <w:numPr>
          <w:ilvl w:val="0"/>
          <w:numId w:val="6"/>
        </w:numPr>
        <w:spacing w:before="240" w:after="120" w:line="240" w:lineRule="auto"/>
        <w:ind w:left="567" w:hanging="567"/>
        <w:jc w:val="left"/>
        <w:rPr>
          <w:rFonts w:asciiTheme="minorHAnsi" w:hAnsiTheme="minorHAnsi" w:cs="Calibri"/>
          <w:b/>
          <w:sz w:val="32"/>
        </w:rPr>
      </w:pPr>
      <w:bookmarkStart w:id="23" w:name="_Toc414745316"/>
      <w:r w:rsidRPr="00E22EBA">
        <w:rPr>
          <w:rFonts w:asciiTheme="minorHAnsi" w:hAnsiTheme="minorHAnsi" w:cs="Calibri"/>
          <w:b/>
          <w:sz w:val="32"/>
        </w:rPr>
        <w:t>Findings</w:t>
      </w:r>
      <w:bookmarkEnd w:id="23"/>
    </w:p>
    <w:p w14:paraId="1A807855" w14:textId="77777777" w:rsidR="0072726F" w:rsidRDefault="00A9249A" w:rsidP="0067558E">
      <w:pPr>
        <w:pStyle w:val="Heading2"/>
        <w:numPr>
          <w:ilvl w:val="1"/>
          <w:numId w:val="17"/>
        </w:numPr>
        <w:spacing w:before="240" w:after="120" w:line="240" w:lineRule="auto"/>
        <w:ind w:left="567" w:hanging="567"/>
        <w:rPr>
          <w:rFonts w:asciiTheme="minorHAnsi" w:hAnsiTheme="minorHAnsi" w:cs="Calibri"/>
          <w:b/>
          <w:caps w:val="0"/>
          <w:sz w:val="28"/>
        </w:rPr>
      </w:pPr>
      <w:bookmarkStart w:id="24" w:name="_Toc377202934"/>
      <w:bookmarkStart w:id="25" w:name="_Toc377206403"/>
      <w:bookmarkStart w:id="26" w:name="_Toc377208344"/>
      <w:bookmarkStart w:id="27" w:name="_Toc377893166"/>
      <w:bookmarkStart w:id="28" w:name="_Toc381453566"/>
      <w:bookmarkStart w:id="29" w:name="_Toc381453651"/>
      <w:bookmarkStart w:id="30" w:name="_Toc381546822"/>
      <w:bookmarkStart w:id="31" w:name="_Toc381546933"/>
      <w:bookmarkStart w:id="32" w:name="_Toc381571161"/>
      <w:bookmarkStart w:id="33" w:name="_Toc382065490"/>
      <w:bookmarkStart w:id="34" w:name="_Toc382545320"/>
      <w:bookmarkStart w:id="35" w:name="_Toc388632952"/>
      <w:bookmarkStart w:id="36" w:name="_Toc389754801"/>
      <w:bookmarkStart w:id="37" w:name="_Toc391754928"/>
      <w:bookmarkStart w:id="38" w:name="_Toc391755181"/>
      <w:bookmarkStart w:id="39" w:name="_Toc391755356"/>
      <w:bookmarkStart w:id="40" w:name="_Toc391755578"/>
      <w:bookmarkStart w:id="41" w:name="_Toc393201144"/>
      <w:bookmarkStart w:id="42" w:name="_Toc393877842"/>
      <w:bookmarkStart w:id="43" w:name="_Toc393878312"/>
      <w:bookmarkStart w:id="44" w:name="_Toc394093487"/>
      <w:bookmarkStart w:id="45" w:name="_Toc407344008"/>
      <w:bookmarkStart w:id="46" w:name="_Toc407344476"/>
      <w:bookmarkStart w:id="47" w:name="_Toc408325147"/>
      <w:bookmarkStart w:id="48" w:name="_Toc414436648"/>
      <w:bookmarkStart w:id="49" w:name="_Toc416176271"/>
      <w:bookmarkStart w:id="50" w:name="_Toc414745317"/>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E22EBA">
        <w:rPr>
          <w:rFonts w:asciiTheme="minorHAnsi" w:hAnsiTheme="minorHAnsi" w:cs="Calibri"/>
          <w:b/>
          <w:caps w:val="0"/>
          <w:sz w:val="28"/>
        </w:rPr>
        <w:t>Project Design / Formulation</w:t>
      </w:r>
      <w:bookmarkEnd w:id="50"/>
      <w:r w:rsidRPr="00E22EBA">
        <w:rPr>
          <w:rFonts w:asciiTheme="minorHAnsi" w:hAnsiTheme="minorHAnsi" w:cs="Calibri"/>
          <w:b/>
          <w:caps w:val="0"/>
          <w:sz w:val="28"/>
        </w:rPr>
        <w:t xml:space="preserve"> </w:t>
      </w:r>
    </w:p>
    <w:p w14:paraId="4556017C" w14:textId="77777777" w:rsidR="00A04680" w:rsidRDefault="00A04680" w:rsidP="00A04680">
      <w:pPr>
        <w:pStyle w:val="BodyText"/>
        <w:rPr>
          <w:rFonts w:ascii="Calibri" w:hAnsi="Calibri"/>
        </w:rPr>
      </w:pPr>
      <w:r w:rsidRPr="006878CA">
        <w:rPr>
          <w:rFonts w:ascii="Calibri" w:hAnsi="Calibri"/>
        </w:rPr>
        <w:t xml:space="preserve">The project is </w:t>
      </w:r>
      <w:r>
        <w:rPr>
          <w:rFonts w:ascii="Calibri" w:hAnsi="Calibri"/>
        </w:rPr>
        <w:t xml:space="preserve">closely </w:t>
      </w:r>
      <w:r w:rsidRPr="006878CA">
        <w:rPr>
          <w:rFonts w:ascii="Calibri" w:hAnsi="Calibri"/>
        </w:rPr>
        <w:t xml:space="preserve">aligned with </w:t>
      </w:r>
      <w:r w:rsidRPr="004C4D56">
        <w:rPr>
          <w:rFonts w:ascii="Calibri" w:hAnsi="Calibri"/>
        </w:rPr>
        <w:t xml:space="preserve">GEF </w:t>
      </w:r>
      <w:r w:rsidRPr="00D315AA">
        <w:rPr>
          <w:rFonts w:ascii="Calibri" w:hAnsi="Calibri"/>
          <w:i/>
        </w:rPr>
        <w:t>Biodiversity Strategy</w:t>
      </w:r>
      <w:r w:rsidRPr="00D315AA">
        <w:rPr>
          <w:rFonts w:ascii="Calibri" w:hAnsi="Calibri"/>
        </w:rPr>
        <w:t xml:space="preserve"> and</w:t>
      </w:r>
      <w:r>
        <w:rPr>
          <w:rFonts w:ascii="Calibri" w:hAnsi="Calibri"/>
          <w:b/>
        </w:rPr>
        <w:t xml:space="preserve"> </w:t>
      </w:r>
      <w:r>
        <w:rPr>
          <w:rFonts w:ascii="Calibri" w:hAnsi="Calibri"/>
        </w:rPr>
        <w:t xml:space="preserve">contributes directly to the CBD </w:t>
      </w:r>
      <w:r w:rsidRPr="00D315AA">
        <w:rPr>
          <w:rFonts w:ascii="Calibri" w:hAnsi="Calibri"/>
          <w:i/>
        </w:rPr>
        <w:t>2011-2020 Strategic Plan</w:t>
      </w:r>
      <w:r w:rsidRPr="00903194">
        <w:rPr>
          <w:rFonts w:ascii="Calibri" w:hAnsi="Calibri"/>
        </w:rPr>
        <w:t>,</w:t>
      </w:r>
      <w:r>
        <w:rPr>
          <w:rFonts w:ascii="Calibri" w:hAnsi="Calibri"/>
        </w:rPr>
        <w:t xml:space="preserve"> as elaborated in </w:t>
      </w:r>
      <w:r w:rsidRPr="00903194">
        <w:rPr>
          <w:rFonts w:ascii="Calibri" w:hAnsi="Calibri"/>
          <w:b/>
        </w:rPr>
        <w:t>Section 2.3</w:t>
      </w:r>
      <w:r>
        <w:rPr>
          <w:rFonts w:ascii="Calibri" w:hAnsi="Calibri"/>
        </w:rPr>
        <w:t>. Moreover, this is consistent with Georgia’s Fourth National Report to the CBD</w:t>
      </w:r>
      <w:r>
        <w:rPr>
          <w:rStyle w:val="FootnoteReference"/>
          <w:rFonts w:ascii="Calibri" w:hAnsi="Calibri"/>
        </w:rPr>
        <w:footnoteReference w:id="15"/>
      </w:r>
      <w:r>
        <w:rPr>
          <w:rFonts w:ascii="Calibri" w:hAnsi="Calibri"/>
        </w:rPr>
        <w:t>, in which high priority is given to establishing and managing a system of PAs whose ecological integrity is maintained from threats of habitat degradation and unsustainable levels of extraction of natural resources.</w:t>
      </w:r>
    </w:p>
    <w:p w14:paraId="0F83C1EC" w14:textId="77777777" w:rsidR="00A04680" w:rsidRDefault="00A04680" w:rsidP="00A04680">
      <w:pPr>
        <w:pStyle w:val="BodyText"/>
        <w:rPr>
          <w:rFonts w:ascii="Calibri" w:hAnsi="Calibri"/>
        </w:rPr>
      </w:pPr>
      <w:r w:rsidRPr="00E22EBA">
        <w:rPr>
          <w:rFonts w:ascii="Calibri" w:hAnsi="Calibri"/>
        </w:rPr>
        <w:t>The</w:t>
      </w:r>
      <w:r>
        <w:rPr>
          <w:rFonts w:ascii="Calibri" w:hAnsi="Calibri"/>
        </w:rPr>
        <w:t xml:space="preserve"> project is in line with the Ecoregional Conservation Plan for the Caucasus to establish a PA network across this ecoregion through collaborative management among all stakeholders, from national governments, NGOs and local communities. It also supports Georgia’s National Biodiversity Strategy &amp; Action Plan (2005), National Environmental Action Plan (2012-2016) and National Tourism Development  &amp; Investment Strategy that promotes the conservation of natural and cultural heritage through sustainable tourism.</w:t>
      </w:r>
    </w:p>
    <w:p w14:paraId="65537CEE" w14:textId="405E6FA4" w:rsidR="00F002DA" w:rsidRPr="00E22EBA" w:rsidRDefault="00F002DA" w:rsidP="001A4EDB">
      <w:pPr>
        <w:pStyle w:val="Heading2"/>
        <w:numPr>
          <w:ilvl w:val="2"/>
          <w:numId w:val="3"/>
        </w:numPr>
        <w:spacing w:before="240" w:after="120"/>
        <w:ind w:left="505" w:hanging="505"/>
        <w:rPr>
          <w:rFonts w:asciiTheme="minorHAnsi" w:hAnsiTheme="minorHAnsi" w:cs="Calibri"/>
          <w:b/>
          <w:caps w:val="0"/>
        </w:rPr>
      </w:pPr>
      <w:bookmarkStart w:id="51" w:name="_Toc370323424"/>
      <w:bookmarkStart w:id="52" w:name="_Toc370644174"/>
      <w:bookmarkStart w:id="53" w:name="_Toc370644230"/>
      <w:bookmarkStart w:id="54" w:name="_Toc370644286"/>
      <w:bookmarkStart w:id="55" w:name="_Toc370879817"/>
      <w:bookmarkStart w:id="56" w:name="_Toc371073786"/>
      <w:bookmarkStart w:id="57" w:name="_Toc371107009"/>
      <w:bookmarkStart w:id="58" w:name="_Toc371107602"/>
      <w:bookmarkStart w:id="59" w:name="_Toc371152093"/>
      <w:bookmarkStart w:id="60" w:name="_Toc371152149"/>
      <w:bookmarkStart w:id="61" w:name="_Toc371152291"/>
      <w:bookmarkStart w:id="62" w:name="_Toc371245212"/>
      <w:bookmarkStart w:id="63" w:name="_Toc371245274"/>
      <w:bookmarkStart w:id="64" w:name="_Toc371245389"/>
      <w:bookmarkStart w:id="65" w:name="_Toc371245443"/>
      <w:bookmarkStart w:id="66" w:name="_Toc374314894"/>
      <w:bookmarkStart w:id="67" w:name="_Toc374315136"/>
      <w:bookmarkStart w:id="68" w:name="_Toc374316351"/>
      <w:bookmarkStart w:id="69" w:name="_Toc374316505"/>
      <w:bookmarkStart w:id="70" w:name="_Toc374316560"/>
      <w:bookmarkStart w:id="71" w:name="_Toc374317156"/>
      <w:bookmarkStart w:id="72" w:name="_Toc374320954"/>
      <w:bookmarkStart w:id="73" w:name="_Toc374321113"/>
      <w:bookmarkStart w:id="74" w:name="_Toc376438412"/>
      <w:bookmarkStart w:id="75" w:name="_Toc376587599"/>
      <w:bookmarkStart w:id="76" w:name="_Toc377023574"/>
      <w:bookmarkStart w:id="77" w:name="_Toc377027368"/>
      <w:bookmarkStart w:id="78" w:name="_Toc377027432"/>
      <w:bookmarkStart w:id="79" w:name="_Toc377202936"/>
      <w:bookmarkStart w:id="80" w:name="_Toc377206405"/>
      <w:bookmarkStart w:id="81" w:name="_Toc377208346"/>
      <w:bookmarkStart w:id="82" w:name="_Toc377893168"/>
      <w:bookmarkStart w:id="83" w:name="_Toc381453568"/>
      <w:bookmarkStart w:id="84" w:name="_Toc381453653"/>
      <w:bookmarkStart w:id="85" w:name="_Toc381546824"/>
      <w:bookmarkStart w:id="86" w:name="_Toc381546935"/>
      <w:bookmarkStart w:id="87" w:name="_Toc381571163"/>
      <w:bookmarkStart w:id="88" w:name="_Toc382065492"/>
      <w:bookmarkStart w:id="89" w:name="_Toc382545322"/>
      <w:bookmarkStart w:id="90" w:name="_Toc388632954"/>
      <w:bookmarkStart w:id="91" w:name="_Toc389754803"/>
      <w:bookmarkStart w:id="92" w:name="_Toc391754930"/>
      <w:bookmarkStart w:id="93" w:name="_Toc391755183"/>
      <w:bookmarkStart w:id="94" w:name="_Toc391755358"/>
      <w:bookmarkStart w:id="95" w:name="_Toc391755580"/>
      <w:bookmarkStart w:id="96" w:name="_Toc393201146"/>
      <w:bookmarkStart w:id="97" w:name="_Toc393877844"/>
      <w:bookmarkStart w:id="98" w:name="_Toc393878314"/>
      <w:bookmarkStart w:id="99" w:name="_Toc394093489"/>
      <w:bookmarkStart w:id="100" w:name="_Toc407344010"/>
      <w:bookmarkStart w:id="101" w:name="_Toc407344478"/>
      <w:bookmarkStart w:id="102" w:name="_Toc408325149"/>
      <w:bookmarkStart w:id="103" w:name="_Toc414436650"/>
      <w:bookmarkStart w:id="104" w:name="_Toc416176273"/>
      <w:bookmarkStart w:id="105" w:name="_Toc377202939"/>
      <w:bookmarkStart w:id="106" w:name="_Toc377206408"/>
      <w:bookmarkStart w:id="107" w:name="_Toc377208349"/>
      <w:bookmarkStart w:id="108" w:name="_Toc377893171"/>
      <w:bookmarkStart w:id="109" w:name="_Toc381453571"/>
      <w:bookmarkStart w:id="110" w:name="_Toc381453656"/>
      <w:bookmarkStart w:id="111" w:name="_Toc381546827"/>
      <w:bookmarkStart w:id="112" w:name="_Toc381546938"/>
      <w:bookmarkStart w:id="113" w:name="_Toc381571166"/>
      <w:bookmarkStart w:id="114" w:name="_Toc382065495"/>
      <w:bookmarkStart w:id="115" w:name="_Toc382545325"/>
      <w:bookmarkStart w:id="116" w:name="_Toc388632957"/>
      <w:bookmarkStart w:id="117" w:name="_Toc389754806"/>
      <w:bookmarkStart w:id="118" w:name="_Toc391754933"/>
      <w:bookmarkStart w:id="119" w:name="_Toc391755186"/>
      <w:bookmarkStart w:id="120" w:name="_Toc391755361"/>
      <w:bookmarkStart w:id="121" w:name="_Toc391755583"/>
      <w:bookmarkStart w:id="122" w:name="_Toc393201149"/>
      <w:bookmarkStart w:id="123" w:name="_Toc393877847"/>
      <w:bookmarkStart w:id="124" w:name="_Toc393878317"/>
      <w:bookmarkStart w:id="125" w:name="_Toc394093492"/>
      <w:bookmarkStart w:id="126" w:name="_Toc407344013"/>
      <w:bookmarkStart w:id="127" w:name="_Toc407344481"/>
      <w:bookmarkStart w:id="128" w:name="_Toc408325152"/>
      <w:bookmarkStart w:id="129" w:name="_Toc414436653"/>
      <w:bookmarkStart w:id="130" w:name="_Toc416176276"/>
      <w:bookmarkStart w:id="131" w:name="_Toc414745318"/>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E22EBA">
        <w:rPr>
          <w:rFonts w:asciiTheme="minorHAnsi" w:hAnsiTheme="minorHAnsi" w:cs="Calibri"/>
          <w:b/>
          <w:caps w:val="0"/>
        </w:rPr>
        <w:t>Analysis of</w:t>
      </w:r>
      <w:r w:rsidR="002479C7">
        <w:rPr>
          <w:rFonts w:asciiTheme="minorHAnsi" w:hAnsiTheme="minorHAnsi" w:cs="Calibri"/>
          <w:b/>
          <w:caps w:val="0"/>
        </w:rPr>
        <w:t xml:space="preserve"> Strategic</w:t>
      </w:r>
      <w:r w:rsidRPr="00E22EBA">
        <w:rPr>
          <w:rFonts w:asciiTheme="minorHAnsi" w:hAnsiTheme="minorHAnsi" w:cs="Calibri"/>
          <w:b/>
          <w:caps w:val="0"/>
        </w:rPr>
        <w:t xml:space="preserve"> Results Framework</w:t>
      </w:r>
      <w:bookmarkEnd w:id="131"/>
    </w:p>
    <w:p w14:paraId="4A552620" w14:textId="77777777" w:rsidR="00A04680" w:rsidRDefault="00A04680" w:rsidP="00A04680">
      <w:pPr>
        <w:pStyle w:val="BodyText"/>
        <w:rPr>
          <w:rFonts w:ascii="Calibri" w:hAnsi="Calibri"/>
        </w:rPr>
      </w:pPr>
      <w:r w:rsidRPr="001B75BA">
        <w:rPr>
          <w:rFonts w:ascii="Calibri" w:hAnsi="Calibri"/>
        </w:rPr>
        <w:t>As</w:t>
      </w:r>
      <w:r>
        <w:rPr>
          <w:rFonts w:ascii="Calibri" w:hAnsi="Calibri"/>
        </w:rPr>
        <w:t xml:space="preserve"> noted in the MTR (</w:t>
      </w:r>
      <w:r w:rsidRPr="005A03DC">
        <w:rPr>
          <w:rFonts w:ascii="Calibri" w:hAnsi="Calibri"/>
          <w:b/>
        </w:rPr>
        <w:t>para. 34</w:t>
      </w:r>
      <w:r>
        <w:rPr>
          <w:rFonts w:ascii="Calibri" w:hAnsi="Calibri"/>
        </w:rPr>
        <w:t xml:space="preserve">), the project design is appropriate for achieving the project Objective, despite a number of weaknesses that relate to a lack of clear differentiation between Outcomes 1 and 2, especially with regard to the inconsistent alignment of some of their respective indicators and outputs as mentioned in </w:t>
      </w:r>
      <w:r w:rsidRPr="00EB498F">
        <w:rPr>
          <w:rFonts w:ascii="Calibri" w:hAnsi="Calibri"/>
          <w:b/>
        </w:rPr>
        <w:t>Section 2.</w:t>
      </w:r>
      <w:r>
        <w:rPr>
          <w:rFonts w:ascii="Calibri" w:hAnsi="Calibri"/>
          <w:b/>
        </w:rPr>
        <w:t>4</w:t>
      </w:r>
      <w:r>
        <w:rPr>
          <w:rFonts w:ascii="Calibri" w:hAnsi="Calibri"/>
        </w:rPr>
        <w:t xml:space="preserve">. There is also some duplication or overlap between indicators, doubtless arising from this lack of differentiation. </w:t>
      </w:r>
    </w:p>
    <w:p w14:paraId="36832274" w14:textId="77777777" w:rsidR="002670A7" w:rsidRDefault="005F6C7A" w:rsidP="007D57A0">
      <w:pPr>
        <w:pStyle w:val="BodyText"/>
        <w:rPr>
          <w:rFonts w:ascii="Calibri" w:hAnsi="Calibri"/>
        </w:rPr>
      </w:pPr>
      <w:r>
        <w:rPr>
          <w:rFonts w:ascii="Calibri" w:hAnsi="Calibri"/>
        </w:rPr>
        <w:t xml:space="preserve">The majority of indicators are assessed as being </w:t>
      </w:r>
      <w:r w:rsidR="003D0AC5">
        <w:rPr>
          <w:rFonts w:ascii="Calibri" w:hAnsi="Calibri"/>
        </w:rPr>
        <w:t>SMART</w:t>
      </w:r>
      <w:r>
        <w:rPr>
          <w:rFonts w:ascii="Calibri" w:hAnsi="Calibri"/>
        </w:rPr>
        <w:t xml:space="preserve">, as shown in </w:t>
      </w:r>
      <w:r w:rsidRPr="005F6C7A">
        <w:rPr>
          <w:rFonts w:ascii="Calibri" w:hAnsi="Calibri"/>
          <w:b/>
        </w:rPr>
        <w:t>Table 3.1</w:t>
      </w:r>
      <w:r>
        <w:rPr>
          <w:rFonts w:ascii="Calibri" w:hAnsi="Calibri"/>
        </w:rPr>
        <w:t>.</w:t>
      </w:r>
      <w:r w:rsidR="003D0AC5">
        <w:rPr>
          <w:rFonts w:ascii="Calibri" w:hAnsi="Calibri"/>
        </w:rPr>
        <w:t xml:space="preserve"> </w:t>
      </w:r>
      <w:r>
        <w:rPr>
          <w:rFonts w:ascii="Calibri" w:hAnsi="Calibri"/>
        </w:rPr>
        <w:t xml:space="preserve">Exceptions </w:t>
      </w:r>
      <w:r w:rsidR="004D7E94">
        <w:rPr>
          <w:rFonts w:ascii="Calibri" w:hAnsi="Calibri"/>
        </w:rPr>
        <w:t>are indicators 1.1 and 1.2 with respect to their measurability, ac</w:t>
      </w:r>
      <w:r w:rsidR="002670A7">
        <w:rPr>
          <w:rFonts w:ascii="Calibri" w:hAnsi="Calibri"/>
        </w:rPr>
        <w:t>hiev</w:t>
      </w:r>
      <w:r w:rsidR="004D7E94">
        <w:rPr>
          <w:rFonts w:ascii="Calibri" w:hAnsi="Calibri"/>
        </w:rPr>
        <w:t xml:space="preserve">ability </w:t>
      </w:r>
      <w:r w:rsidR="002670A7">
        <w:rPr>
          <w:rFonts w:ascii="Calibri" w:hAnsi="Calibri"/>
        </w:rPr>
        <w:t>and/or relevance:</w:t>
      </w:r>
    </w:p>
    <w:p w14:paraId="2242D420" w14:textId="39315A8A" w:rsidR="002F3A9E" w:rsidRDefault="005F6F3E" w:rsidP="0067558E">
      <w:pPr>
        <w:pStyle w:val="BodyText"/>
        <w:numPr>
          <w:ilvl w:val="0"/>
          <w:numId w:val="18"/>
        </w:numPr>
        <w:ind w:left="567" w:hanging="425"/>
        <w:rPr>
          <w:rFonts w:ascii="Calibri" w:hAnsi="Calibri"/>
        </w:rPr>
      </w:pPr>
      <w:r>
        <w:rPr>
          <w:rFonts w:ascii="Calibri" w:hAnsi="Calibri"/>
        </w:rPr>
        <w:t>As commented in the MTR (</w:t>
      </w:r>
      <w:r w:rsidRPr="005F6F3E">
        <w:rPr>
          <w:rFonts w:ascii="Calibri" w:hAnsi="Calibri"/>
          <w:b/>
        </w:rPr>
        <w:t>Table 2</w:t>
      </w:r>
      <w:r>
        <w:rPr>
          <w:rFonts w:ascii="Calibri" w:hAnsi="Calibri"/>
        </w:rPr>
        <w:t xml:space="preserve">), </w:t>
      </w:r>
      <w:r w:rsidR="009919EC">
        <w:rPr>
          <w:rFonts w:ascii="Calibri" w:hAnsi="Calibri"/>
        </w:rPr>
        <w:t xml:space="preserve">measuring illegal activities and enforcement success is problematic and some projects </w:t>
      </w:r>
      <w:r w:rsidR="002921A8">
        <w:rPr>
          <w:rFonts w:ascii="Calibri" w:hAnsi="Calibri"/>
        </w:rPr>
        <w:t xml:space="preserve">have turned </w:t>
      </w:r>
      <w:r w:rsidR="009919EC">
        <w:rPr>
          <w:rFonts w:ascii="Calibri" w:hAnsi="Calibri"/>
        </w:rPr>
        <w:t>towards us</w:t>
      </w:r>
      <w:r w:rsidR="002921A8">
        <w:rPr>
          <w:rFonts w:ascii="Calibri" w:hAnsi="Calibri"/>
        </w:rPr>
        <w:t>ing</w:t>
      </w:r>
      <w:r w:rsidR="009919EC">
        <w:rPr>
          <w:rFonts w:ascii="Calibri" w:hAnsi="Calibri"/>
        </w:rPr>
        <w:t xml:space="preserve"> conviction rates. </w:t>
      </w:r>
      <w:r w:rsidR="009919EC">
        <w:rPr>
          <w:rFonts w:ascii="Calibri" w:hAnsi="Calibri"/>
        </w:rPr>
        <w:lastRenderedPageBreak/>
        <w:t xml:space="preserve">In this project, the low incidence and quantity of illegal offtake </w:t>
      </w:r>
      <w:r w:rsidR="00682B65">
        <w:rPr>
          <w:rFonts w:ascii="Calibri" w:hAnsi="Calibri"/>
        </w:rPr>
        <w:t xml:space="preserve">suggests that </w:t>
      </w:r>
      <w:r w:rsidR="002921A8">
        <w:rPr>
          <w:rFonts w:ascii="Calibri" w:hAnsi="Calibri"/>
        </w:rPr>
        <w:t>their</w:t>
      </w:r>
      <w:r w:rsidR="00682B65">
        <w:rPr>
          <w:rFonts w:ascii="Calibri" w:hAnsi="Calibri"/>
        </w:rPr>
        <w:t xml:space="preserve"> </w:t>
      </w:r>
      <w:r w:rsidR="009919EC">
        <w:rPr>
          <w:rFonts w:ascii="Calibri" w:hAnsi="Calibri"/>
        </w:rPr>
        <w:t xml:space="preserve">relevance is </w:t>
      </w:r>
      <w:r w:rsidR="00682B65">
        <w:rPr>
          <w:rFonts w:ascii="Calibri" w:hAnsi="Calibri"/>
        </w:rPr>
        <w:t>minimal; furthermore, small changes involving low numbers of incidents and small quantities are likely to be statistically insignificant</w:t>
      </w:r>
      <w:r w:rsidR="00EF6546">
        <w:rPr>
          <w:rFonts w:ascii="Calibri" w:hAnsi="Calibri"/>
        </w:rPr>
        <w:t xml:space="preserve"> and, therefore, unreliable as indicators.</w:t>
      </w:r>
      <w:r w:rsidR="00682B65">
        <w:rPr>
          <w:rFonts w:ascii="Calibri" w:hAnsi="Calibri"/>
        </w:rPr>
        <w:t xml:space="preserve"> </w:t>
      </w:r>
      <w:r w:rsidR="00096298">
        <w:rPr>
          <w:rFonts w:ascii="Calibri" w:hAnsi="Calibri"/>
        </w:rPr>
        <w:t xml:space="preserve">There are other </w:t>
      </w:r>
      <w:r w:rsidR="00EF6546">
        <w:rPr>
          <w:rFonts w:ascii="Calibri" w:hAnsi="Calibri"/>
        </w:rPr>
        <w:t xml:space="preserve">questions about the </w:t>
      </w:r>
      <w:r w:rsidR="00096298">
        <w:rPr>
          <w:rFonts w:ascii="Calibri" w:hAnsi="Calibri"/>
        </w:rPr>
        <w:t xml:space="preserve">robustness of </w:t>
      </w:r>
      <w:r w:rsidR="002921A8">
        <w:rPr>
          <w:rFonts w:ascii="Calibri" w:hAnsi="Calibri"/>
        </w:rPr>
        <w:t xml:space="preserve">the </w:t>
      </w:r>
      <w:r w:rsidR="00E536A0">
        <w:rPr>
          <w:rFonts w:ascii="Calibri" w:hAnsi="Calibri"/>
        </w:rPr>
        <w:t>sampling</w:t>
      </w:r>
      <w:r w:rsidR="00EF6546">
        <w:rPr>
          <w:rFonts w:ascii="Calibri" w:hAnsi="Calibri"/>
        </w:rPr>
        <w:t>, which is not described in the any of the available documentation</w:t>
      </w:r>
      <w:r w:rsidR="00E536A0">
        <w:rPr>
          <w:rFonts w:ascii="Calibri" w:hAnsi="Calibri"/>
        </w:rPr>
        <w:t>. G</w:t>
      </w:r>
      <w:r w:rsidR="00EF6546">
        <w:rPr>
          <w:rFonts w:ascii="Calibri" w:hAnsi="Calibri"/>
        </w:rPr>
        <w:t>iven difficulties of access, how was the NP stratified and was sampling adequate to generate estimates between 0 and 11 m</w:t>
      </w:r>
      <w:r w:rsidR="00EF6546" w:rsidRPr="00EF6546">
        <w:rPr>
          <w:rFonts w:ascii="Calibri" w:hAnsi="Calibri"/>
          <w:szCs w:val="24"/>
          <w:vertAlign w:val="superscript"/>
        </w:rPr>
        <w:t>3</w:t>
      </w:r>
      <w:r w:rsidR="00EF6546" w:rsidRPr="00EF6546">
        <w:rPr>
          <w:rFonts w:ascii="Calibri" w:hAnsi="Calibri"/>
        </w:rPr>
        <w:t xml:space="preserve"> </w:t>
      </w:r>
      <w:r w:rsidR="00EF6546">
        <w:rPr>
          <w:rFonts w:ascii="Calibri" w:hAnsi="Calibri"/>
        </w:rPr>
        <w:t xml:space="preserve">of </w:t>
      </w:r>
      <w:r w:rsidR="00096298">
        <w:rPr>
          <w:rFonts w:ascii="Calibri" w:hAnsi="Calibri"/>
        </w:rPr>
        <w:t xml:space="preserve">illegally harvested </w:t>
      </w:r>
      <w:r w:rsidR="00EF6546">
        <w:rPr>
          <w:rFonts w:ascii="Calibri" w:hAnsi="Calibri"/>
        </w:rPr>
        <w:t>fores</w:t>
      </w:r>
      <w:r w:rsidR="00096298">
        <w:rPr>
          <w:rFonts w:ascii="Calibri" w:hAnsi="Calibri"/>
        </w:rPr>
        <w:t>t products in Mtirala NP</w:t>
      </w:r>
      <w:r w:rsidR="002921A8">
        <w:rPr>
          <w:rFonts w:ascii="Calibri" w:hAnsi="Calibri"/>
        </w:rPr>
        <w:t xml:space="preserve"> </w:t>
      </w:r>
      <w:r w:rsidR="00096298">
        <w:rPr>
          <w:rFonts w:ascii="Calibri" w:hAnsi="Calibri"/>
        </w:rPr>
        <w:t>and Kintrishi PA complex?</w:t>
      </w:r>
      <w:r w:rsidR="00EF6546">
        <w:rPr>
          <w:rFonts w:ascii="Calibri" w:hAnsi="Calibri"/>
        </w:rPr>
        <w:t xml:space="preserve"> </w:t>
      </w:r>
      <w:r w:rsidR="00096298">
        <w:rPr>
          <w:rFonts w:ascii="Calibri" w:hAnsi="Calibri"/>
        </w:rPr>
        <w:t>The felling of just a few mature trees could generate 10.78 m</w:t>
      </w:r>
      <w:r w:rsidR="00096298" w:rsidRPr="00EF6546">
        <w:rPr>
          <w:rFonts w:ascii="Calibri" w:hAnsi="Calibri"/>
          <w:szCs w:val="24"/>
          <w:vertAlign w:val="superscript"/>
        </w:rPr>
        <w:t>3</w:t>
      </w:r>
      <w:r w:rsidR="00096298" w:rsidRPr="00EF6546">
        <w:rPr>
          <w:rFonts w:ascii="Calibri" w:hAnsi="Calibri"/>
        </w:rPr>
        <w:t xml:space="preserve"> </w:t>
      </w:r>
      <w:r w:rsidR="00096298">
        <w:rPr>
          <w:rFonts w:ascii="Calibri" w:hAnsi="Calibri"/>
        </w:rPr>
        <w:t>of firewood,</w:t>
      </w:r>
    </w:p>
    <w:p w14:paraId="1B945F0B" w14:textId="28CF9FCD" w:rsidR="00856A17" w:rsidRPr="00C72279" w:rsidRDefault="00856A17" w:rsidP="00C72279">
      <w:pPr>
        <w:pStyle w:val="BodyText"/>
        <w:rPr>
          <w:rFonts w:ascii="Calibri" w:hAnsi="Calibri"/>
          <w:b/>
        </w:rPr>
      </w:pPr>
      <w:r>
        <w:rPr>
          <w:rFonts w:ascii="Calibri" w:hAnsi="Calibri"/>
          <w:b/>
        </w:rPr>
        <w:t>Table 3.1</w:t>
      </w:r>
      <w:r w:rsidRPr="00C72279">
        <w:rPr>
          <w:rFonts w:ascii="Calibri" w:hAnsi="Calibri"/>
          <w:b/>
        </w:rPr>
        <w:tab/>
      </w:r>
      <w:r w:rsidRPr="00C72279">
        <w:rPr>
          <w:rFonts w:ascii="Calibri" w:hAnsi="Calibri"/>
        </w:rPr>
        <w:t>Analysis of indicators with respect to their SMARTness</w:t>
      </w:r>
    </w:p>
    <w:tbl>
      <w:tblPr>
        <w:tblW w:w="5000" w:type="pct"/>
        <w:tblLook w:val="04A0" w:firstRow="1" w:lastRow="0" w:firstColumn="1" w:lastColumn="0" w:noHBand="0" w:noVBand="1"/>
      </w:tblPr>
      <w:tblGrid>
        <w:gridCol w:w="617"/>
        <w:gridCol w:w="2889"/>
        <w:gridCol w:w="60"/>
        <w:gridCol w:w="3369"/>
        <w:gridCol w:w="449"/>
        <w:gridCol w:w="449"/>
        <w:gridCol w:w="449"/>
        <w:gridCol w:w="449"/>
        <w:gridCol w:w="351"/>
      </w:tblGrid>
      <w:tr w:rsidR="003E6D8C" w:rsidRPr="00F66384" w14:paraId="402DC5A5" w14:textId="77777777" w:rsidTr="000D0A56">
        <w:trPr>
          <w:trHeight w:val="46"/>
          <w:tblHeader/>
        </w:trPr>
        <w:tc>
          <w:tcPr>
            <w:tcW w:w="340" w:type="pct"/>
            <w:vMerge w:val="restart"/>
            <w:tcBorders>
              <w:top w:val="single" w:sz="4" w:space="0" w:color="auto"/>
              <w:left w:val="single" w:sz="4" w:space="0" w:color="auto"/>
              <w:right w:val="single" w:sz="4" w:space="0" w:color="auto"/>
            </w:tcBorders>
            <w:shd w:val="clear" w:color="auto" w:fill="CCCCCC"/>
            <w:tcMar>
              <w:top w:w="28" w:type="dxa"/>
              <w:left w:w="28" w:type="dxa"/>
              <w:bottom w:w="28" w:type="dxa"/>
              <w:right w:w="28" w:type="dxa"/>
            </w:tcMar>
            <w:vAlign w:val="center"/>
          </w:tcPr>
          <w:p w14:paraId="114F03E9" w14:textId="74B0C265" w:rsidR="003E6D8C" w:rsidRPr="00F66384" w:rsidRDefault="003E6D8C" w:rsidP="001E0ACE">
            <w:pPr>
              <w:jc w:val="center"/>
              <w:rPr>
                <w:rFonts w:asciiTheme="minorHAnsi" w:hAnsiTheme="minorHAnsi"/>
                <w:b/>
                <w:bCs/>
                <w:color w:val="000000"/>
                <w:sz w:val="20"/>
                <w:szCs w:val="18"/>
                <w:lang w:val="en-US"/>
              </w:rPr>
            </w:pPr>
            <w:r w:rsidRPr="00F66384">
              <w:rPr>
                <w:rFonts w:asciiTheme="minorHAnsi" w:hAnsiTheme="minorHAnsi"/>
                <w:b/>
                <w:bCs/>
                <w:color w:val="000000"/>
                <w:sz w:val="20"/>
                <w:szCs w:val="18"/>
                <w:lang w:val="en-US"/>
              </w:rPr>
              <w:t>No.</w:t>
            </w:r>
          </w:p>
        </w:tc>
        <w:tc>
          <w:tcPr>
            <w:tcW w:w="1591" w:type="pct"/>
            <w:vMerge w:val="restart"/>
            <w:tcBorders>
              <w:top w:val="single" w:sz="4" w:space="0" w:color="auto"/>
              <w:left w:val="nil"/>
              <w:right w:val="single" w:sz="4" w:space="0" w:color="auto"/>
            </w:tcBorders>
            <w:shd w:val="clear" w:color="auto" w:fill="CCCCCC"/>
            <w:tcMar>
              <w:top w:w="28" w:type="dxa"/>
              <w:left w:w="28" w:type="dxa"/>
              <w:bottom w:w="28" w:type="dxa"/>
              <w:right w:w="28" w:type="dxa"/>
            </w:tcMar>
            <w:vAlign w:val="center"/>
          </w:tcPr>
          <w:p w14:paraId="1F55BC3E" w14:textId="2C9D93DC" w:rsidR="003E6D8C" w:rsidRPr="00F66384" w:rsidRDefault="003E6D8C" w:rsidP="001E0ACE">
            <w:pPr>
              <w:jc w:val="center"/>
              <w:rPr>
                <w:rFonts w:asciiTheme="minorHAnsi" w:hAnsiTheme="minorHAnsi"/>
                <w:b/>
                <w:bCs/>
                <w:color w:val="000000"/>
                <w:sz w:val="20"/>
                <w:szCs w:val="18"/>
                <w:lang w:val="en-US"/>
              </w:rPr>
            </w:pPr>
            <w:r w:rsidRPr="00F66384">
              <w:rPr>
                <w:rFonts w:asciiTheme="minorHAnsi" w:hAnsiTheme="minorHAnsi"/>
                <w:b/>
                <w:bCs/>
                <w:color w:val="000000"/>
                <w:sz w:val="20"/>
                <w:szCs w:val="18"/>
                <w:lang w:val="en-US"/>
              </w:rPr>
              <w:t>Indicator</w:t>
            </w:r>
          </w:p>
        </w:tc>
        <w:tc>
          <w:tcPr>
            <w:tcW w:w="1888" w:type="pct"/>
            <w:gridSpan w:val="2"/>
            <w:vMerge w:val="restart"/>
            <w:tcBorders>
              <w:top w:val="single" w:sz="4" w:space="0" w:color="auto"/>
              <w:left w:val="nil"/>
              <w:right w:val="single" w:sz="4" w:space="0" w:color="auto"/>
            </w:tcBorders>
            <w:shd w:val="clear" w:color="auto" w:fill="CCCCCC"/>
            <w:tcMar>
              <w:top w:w="28" w:type="dxa"/>
              <w:left w:w="28" w:type="dxa"/>
              <w:bottom w:w="28" w:type="dxa"/>
              <w:right w:w="28" w:type="dxa"/>
            </w:tcMar>
            <w:vAlign w:val="center"/>
          </w:tcPr>
          <w:p w14:paraId="37234BA6" w14:textId="23BB2720" w:rsidR="003E6D8C" w:rsidRPr="00F66384" w:rsidRDefault="003E6D8C" w:rsidP="001E0ACE">
            <w:pPr>
              <w:jc w:val="center"/>
              <w:rPr>
                <w:rFonts w:asciiTheme="minorHAnsi" w:hAnsiTheme="minorHAnsi"/>
                <w:b/>
                <w:bCs/>
                <w:color w:val="000000"/>
                <w:sz w:val="20"/>
                <w:szCs w:val="18"/>
                <w:lang w:val="en-US"/>
              </w:rPr>
            </w:pPr>
            <w:r w:rsidRPr="00F66384">
              <w:rPr>
                <w:rFonts w:asciiTheme="minorHAnsi" w:hAnsiTheme="minorHAnsi"/>
                <w:b/>
                <w:bCs/>
                <w:color w:val="000000"/>
                <w:sz w:val="20"/>
                <w:szCs w:val="18"/>
                <w:lang w:val="en-US"/>
              </w:rPr>
              <w:t>Target</w:t>
            </w:r>
          </w:p>
        </w:tc>
        <w:tc>
          <w:tcPr>
            <w:tcW w:w="1182" w:type="pct"/>
            <w:gridSpan w:val="5"/>
            <w:tcBorders>
              <w:top w:val="single" w:sz="4" w:space="0" w:color="auto"/>
              <w:left w:val="nil"/>
              <w:bottom w:val="single" w:sz="4" w:space="0" w:color="auto"/>
              <w:right w:val="single" w:sz="4" w:space="0" w:color="auto"/>
            </w:tcBorders>
            <w:shd w:val="clear" w:color="auto" w:fill="CCCCCC"/>
            <w:tcMar>
              <w:top w:w="28" w:type="dxa"/>
              <w:left w:w="28" w:type="dxa"/>
              <w:bottom w:w="28" w:type="dxa"/>
              <w:right w:w="28" w:type="dxa"/>
            </w:tcMar>
          </w:tcPr>
          <w:p w14:paraId="582936F2" w14:textId="7E89C285" w:rsidR="003E6D8C" w:rsidRPr="00F66384" w:rsidRDefault="003E6D8C" w:rsidP="003E6D8C">
            <w:pPr>
              <w:overflowPunct/>
              <w:autoSpaceDE/>
              <w:autoSpaceDN/>
              <w:adjustRightInd/>
              <w:jc w:val="center"/>
              <w:textAlignment w:val="auto"/>
              <w:rPr>
                <w:rFonts w:asciiTheme="minorHAnsi" w:hAnsiTheme="minorHAnsi"/>
                <w:b/>
                <w:bCs/>
                <w:color w:val="000000"/>
                <w:sz w:val="20"/>
                <w:szCs w:val="18"/>
                <w:lang w:val="en-US"/>
              </w:rPr>
            </w:pPr>
            <w:r>
              <w:rPr>
                <w:rFonts w:asciiTheme="minorHAnsi" w:hAnsiTheme="minorHAnsi"/>
                <w:b/>
                <w:bCs/>
                <w:color w:val="000000"/>
                <w:sz w:val="20"/>
                <w:szCs w:val="18"/>
                <w:lang w:val="en-US"/>
              </w:rPr>
              <w:t>SMARTness</w:t>
            </w:r>
          </w:p>
        </w:tc>
      </w:tr>
      <w:tr w:rsidR="003E6D8C" w:rsidRPr="00F66384" w14:paraId="6D2A2097" w14:textId="77777777" w:rsidTr="000D0A56">
        <w:trPr>
          <w:trHeight w:val="1102"/>
          <w:tblHeader/>
        </w:trPr>
        <w:tc>
          <w:tcPr>
            <w:tcW w:w="340" w:type="pct"/>
            <w:vMerge/>
            <w:tcBorders>
              <w:left w:val="single" w:sz="4" w:space="0" w:color="auto"/>
              <w:bottom w:val="single" w:sz="4" w:space="0" w:color="auto"/>
              <w:right w:val="single" w:sz="4" w:space="0" w:color="auto"/>
            </w:tcBorders>
            <w:shd w:val="clear" w:color="auto" w:fill="CCCCCC"/>
            <w:tcMar>
              <w:top w:w="28" w:type="dxa"/>
              <w:left w:w="28" w:type="dxa"/>
              <w:bottom w:w="28" w:type="dxa"/>
              <w:right w:w="28" w:type="dxa"/>
            </w:tcMar>
            <w:vAlign w:val="center"/>
            <w:hideMark/>
          </w:tcPr>
          <w:p w14:paraId="49DE5DAF" w14:textId="34E5F33A" w:rsidR="003E6D8C" w:rsidRPr="00F66384" w:rsidRDefault="003E6D8C" w:rsidP="001E0ACE">
            <w:pPr>
              <w:overflowPunct/>
              <w:autoSpaceDE/>
              <w:autoSpaceDN/>
              <w:adjustRightInd/>
              <w:jc w:val="center"/>
              <w:textAlignment w:val="auto"/>
              <w:rPr>
                <w:rFonts w:asciiTheme="minorHAnsi" w:hAnsiTheme="minorHAnsi"/>
                <w:b/>
                <w:bCs/>
                <w:color w:val="000000"/>
                <w:sz w:val="20"/>
                <w:szCs w:val="18"/>
                <w:lang w:val="en-US"/>
              </w:rPr>
            </w:pPr>
          </w:p>
        </w:tc>
        <w:tc>
          <w:tcPr>
            <w:tcW w:w="1591" w:type="pct"/>
            <w:vMerge/>
            <w:tcBorders>
              <w:left w:val="nil"/>
              <w:bottom w:val="single" w:sz="4" w:space="0" w:color="auto"/>
              <w:right w:val="single" w:sz="4" w:space="0" w:color="auto"/>
            </w:tcBorders>
            <w:shd w:val="clear" w:color="auto" w:fill="CCCCCC"/>
            <w:tcMar>
              <w:top w:w="28" w:type="dxa"/>
              <w:left w:w="28" w:type="dxa"/>
              <w:bottom w:w="28" w:type="dxa"/>
              <w:right w:w="28" w:type="dxa"/>
            </w:tcMar>
            <w:vAlign w:val="center"/>
            <w:hideMark/>
          </w:tcPr>
          <w:p w14:paraId="72BCDDAF" w14:textId="0D4F0C75" w:rsidR="003E6D8C" w:rsidRPr="00F66384" w:rsidRDefault="003E6D8C" w:rsidP="001E0ACE">
            <w:pPr>
              <w:overflowPunct/>
              <w:autoSpaceDE/>
              <w:autoSpaceDN/>
              <w:adjustRightInd/>
              <w:jc w:val="center"/>
              <w:textAlignment w:val="auto"/>
              <w:rPr>
                <w:rFonts w:asciiTheme="minorHAnsi" w:hAnsiTheme="minorHAnsi"/>
                <w:b/>
                <w:bCs/>
                <w:color w:val="000000"/>
                <w:sz w:val="20"/>
                <w:szCs w:val="18"/>
                <w:lang w:val="en-US"/>
              </w:rPr>
            </w:pPr>
          </w:p>
        </w:tc>
        <w:tc>
          <w:tcPr>
            <w:tcW w:w="1888" w:type="pct"/>
            <w:gridSpan w:val="2"/>
            <w:vMerge/>
            <w:tcBorders>
              <w:left w:val="nil"/>
              <w:bottom w:val="single" w:sz="4" w:space="0" w:color="auto"/>
              <w:right w:val="single" w:sz="4" w:space="0" w:color="auto"/>
            </w:tcBorders>
            <w:shd w:val="clear" w:color="auto" w:fill="CCCCCC"/>
            <w:tcMar>
              <w:top w:w="28" w:type="dxa"/>
              <w:left w:w="28" w:type="dxa"/>
              <w:bottom w:w="28" w:type="dxa"/>
              <w:right w:w="28" w:type="dxa"/>
            </w:tcMar>
            <w:vAlign w:val="center"/>
            <w:hideMark/>
          </w:tcPr>
          <w:p w14:paraId="52917DFB" w14:textId="40AF64CF" w:rsidR="003E6D8C" w:rsidRPr="00F66384" w:rsidRDefault="003E6D8C" w:rsidP="001E0ACE">
            <w:pPr>
              <w:overflowPunct/>
              <w:autoSpaceDE/>
              <w:autoSpaceDN/>
              <w:adjustRightInd/>
              <w:jc w:val="center"/>
              <w:textAlignment w:val="auto"/>
              <w:rPr>
                <w:rFonts w:asciiTheme="minorHAnsi" w:hAnsiTheme="minorHAnsi"/>
                <w:b/>
                <w:bCs/>
                <w:color w:val="000000"/>
                <w:sz w:val="20"/>
                <w:szCs w:val="18"/>
                <w:lang w:val="en-US"/>
              </w:rPr>
            </w:pPr>
          </w:p>
        </w:tc>
        <w:tc>
          <w:tcPr>
            <w:tcW w:w="247" w:type="pct"/>
            <w:tcBorders>
              <w:top w:val="single" w:sz="4" w:space="0" w:color="auto"/>
              <w:left w:val="nil"/>
              <w:bottom w:val="single" w:sz="4" w:space="0" w:color="auto"/>
              <w:right w:val="single" w:sz="4" w:space="0" w:color="auto"/>
            </w:tcBorders>
            <w:shd w:val="clear" w:color="auto" w:fill="CCCCCC"/>
            <w:tcMar>
              <w:top w:w="28" w:type="dxa"/>
              <w:left w:w="28" w:type="dxa"/>
              <w:bottom w:w="28" w:type="dxa"/>
              <w:right w:w="28" w:type="dxa"/>
            </w:tcMar>
            <w:textDirection w:val="btLr"/>
            <w:hideMark/>
          </w:tcPr>
          <w:p w14:paraId="329AE651" w14:textId="30578B6C" w:rsidR="003E6D8C" w:rsidRPr="00F66384" w:rsidRDefault="003E6D8C" w:rsidP="00F824FC">
            <w:pPr>
              <w:overflowPunct/>
              <w:autoSpaceDE/>
              <w:autoSpaceDN/>
              <w:adjustRightInd/>
              <w:jc w:val="both"/>
              <w:textAlignment w:val="auto"/>
              <w:rPr>
                <w:rFonts w:asciiTheme="minorHAnsi" w:hAnsiTheme="minorHAnsi"/>
                <w:b/>
                <w:bCs/>
                <w:color w:val="000000"/>
                <w:sz w:val="20"/>
                <w:szCs w:val="18"/>
                <w:lang w:val="en-US"/>
              </w:rPr>
            </w:pPr>
            <w:r w:rsidRPr="00F66384">
              <w:rPr>
                <w:rFonts w:asciiTheme="minorHAnsi" w:hAnsiTheme="minorHAnsi"/>
                <w:b/>
                <w:bCs/>
                <w:color w:val="000000"/>
                <w:sz w:val="20"/>
                <w:szCs w:val="18"/>
                <w:lang w:val="en-US"/>
              </w:rPr>
              <w:t>Specific</w:t>
            </w:r>
          </w:p>
        </w:tc>
        <w:tc>
          <w:tcPr>
            <w:tcW w:w="247" w:type="pct"/>
            <w:tcBorders>
              <w:top w:val="single" w:sz="4" w:space="0" w:color="auto"/>
              <w:left w:val="nil"/>
              <w:bottom w:val="single" w:sz="4" w:space="0" w:color="auto"/>
              <w:right w:val="single" w:sz="4" w:space="0" w:color="auto"/>
            </w:tcBorders>
            <w:shd w:val="clear" w:color="auto" w:fill="CCCCCC"/>
            <w:tcMar>
              <w:top w:w="28" w:type="dxa"/>
              <w:left w:w="28" w:type="dxa"/>
              <w:bottom w:w="28" w:type="dxa"/>
              <w:right w:w="28" w:type="dxa"/>
            </w:tcMar>
            <w:textDirection w:val="btLr"/>
            <w:hideMark/>
          </w:tcPr>
          <w:p w14:paraId="7B828CFC" w14:textId="298C7711" w:rsidR="003E6D8C" w:rsidRPr="00F66384" w:rsidRDefault="003E6D8C" w:rsidP="00F824FC">
            <w:pPr>
              <w:overflowPunct/>
              <w:autoSpaceDE/>
              <w:autoSpaceDN/>
              <w:adjustRightInd/>
              <w:jc w:val="both"/>
              <w:textAlignment w:val="auto"/>
              <w:rPr>
                <w:rFonts w:asciiTheme="minorHAnsi" w:hAnsiTheme="minorHAnsi"/>
                <w:b/>
                <w:bCs/>
                <w:color w:val="000000"/>
                <w:sz w:val="20"/>
                <w:szCs w:val="18"/>
                <w:lang w:val="en-US"/>
              </w:rPr>
            </w:pPr>
            <w:r w:rsidRPr="00F66384">
              <w:rPr>
                <w:rFonts w:asciiTheme="minorHAnsi" w:hAnsiTheme="minorHAnsi"/>
                <w:b/>
                <w:bCs/>
                <w:color w:val="000000"/>
                <w:sz w:val="20"/>
                <w:szCs w:val="18"/>
                <w:lang w:val="en-US"/>
              </w:rPr>
              <w:t>Measurable</w:t>
            </w:r>
          </w:p>
        </w:tc>
        <w:tc>
          <w:tcPr>
            <w:tcW w:w="247" w:type="pct"/>
            <w:tcBorders>
              <w:top w:val="single" w:sz="4" w:space="0" w:color="auto"/>
              <w:left w:val="nil"/>
              <w:bottom w:val="single" w:sz="4" w:space="0" w:color="auto"/>
              <w:right w:val="single" w:sz="4" w:space="0" w:color="auto"/>
            </w:tcBorders>
            <w:shd w:val="clear" w:color="auto" w:fill="CCCCCC"/>
            <w:tcMar>
              <w:top w:w="28" w:type="dxa"/>
              <w:left w:w="28" w:type="dxa"/>
              <w:bottom w:w="28" w:type="dxa"/>
              <w:right w:w="28" w:type="dxa"/>
            </w:tcMar>
            <w:textDirection w:val="btLr"/>
            <w:hideMark/>
          </w:tcPr>
          <w:p w14:paraId="5A679E66" w14:textId="0CC08FEF" w:rsidR="003E6D8C" w:rsidRPr="00F66384" w:rsidRDefault="003E6D8C" w:rsidP="00F824FC">
            <w:pPr>
              <w:overflowPunct/>
              <w:autoSpaceDE/>
              <w:autoSpaceDN/>
              <w:adjustRightInd/>
              <w:jc w:val="both"/>
              <w:textAlignment w:val="auto"/>
              <w:rPr>
                <w:rFonts w:asciiTheme="minorHAnsi" w:hAnsiTheme="minorHAnsi"/>
                <w:b/>
                <w:bCs/>
                <w:color w:val="000000"/>
                <w:sz w:val="20"/>
                <w:szCs w:val="18"/>
                <w:lang w:val="en-US"/>
              </w:rPr>
            </w:pPr>
            <w:r w:rsidRPr="00F66384">
              <w:rPr>
                <w:rFonts w:asciiTheme="minorHAnsi" w:hAnsiTheme="minorHAnsi"/>
                <w:b/>
                <w:bCs/>
                <w:color w:val="000000"/>
                <w:sz w:val="20"/>
                <w:szCs w:val="18"/>
                <w:lang w:val="en-US"/>
              </w:rPr>
              <w:t>Achievable</w:t>
            </w:r>
          </w:p>
        </w:tc>
        <w:tc>
          <w:tcPr>
            <w:tcW w:w="247" w:type="pct"/>
            <w:tcBorders>
              <w:top w:val="single" w:sz="4" w:space="0" w:color="auto"/>
              <w:left w:val="nil"/>
              <w:bottom w:val="single" w:sz="4" w:space="0" w:color="auto"/>
              <w:right w:val="single" w:sz="4" w:space="0" w:color="auto"/>
            </w:tcBorders>
            <w:shd w:val="clear" w:color="auto" w:fill="CCCCCC"/>
            <w:tcMar>
              <w:top w:w="28" w:type="dxa"/>
              <w:left w:w="28" w:type="dxa"/>
              <w:bottom w:w="28" w:type="dxa"/>
              <w:right w:w="28" w:type="dxa"/>
            </w:tcMar>
            <w:textDirection w:val="btLr"/>
            <w:hideMark/>
          </w:tcPr>
          <w:p w14:paraId="54349CD3" w14:textId="525E859C" w:rsidR="003E6D8C" w:rsidRPr="00F66384" w:rsidRDefault="003E6D8C" w:rsidP="00F824FC">
            <w:pPr>
              <w:overflowPunct/>
              <w:autoSpaceDE/>
              <w:autoSpaceDN/>
              <w:adjustRightInd/>
              <w:jc w:val="both"/>
              <w:textAlignment w:val="auto"/>
              <w:rPr>
                <w:rFonts w:asciiTheme="minorHAnsi" w:hAnsiTheme="minorHAnsi"/>
                <w:b/>
                <w:bCs/>
                <w:color w:val="000000"/>
                <w:sz w:val="20"/>
                <w:szCs w:val="18"/>
                <w:lang w:val="en-US"/>
              </w:rPr>
            </w:pPr>
            <w:r w:rsidRPr="00F66384">
              <w:rPr>
                <w:rFonts w:asciiTheme="minorHAnsi" w:hAnsiTheme="minorHAnsi"/>
                <w:b/>
                <w:bCs/>
                <w:color w:val="000000"/>
                <w:sz w:val="20"/>
                <w:szCs w:val="18"/>
                <w:lang w:val="en-US"/>
              </w:rPr>
              <w:t>Relevant</w:t>
            </w:r>
          </w:p>
        </w:tc>
        <w:tc>
          <w:tcPr>
            <w:tcW w:w="193" w:type="pct"/>
            <w:tcBorders>
              <w:top w:val="single" w:sz="4" w:space="0" w:color="auto"/>
              <w:left w:val="nil"/>
              <w:bottom w:val="single" w:sz="4" w:space="0" w:color="auto"/>
              <w:right w:val="single" w:sz="4" w:space="0" w:color="auto"/>
            </w:tcBorders>
            <w:shd w:val="clear" w:color="auto" w:fill="CCCCCC"/>
            <w:tcMar>
              <w:top w:w="28" w:type="dxa"/>
              <w:left w:w="28" w:type="dxa"/>
              <w:bottom w:w="28" w:type="dxa"/>
              <w:right w:w="28" w:type="dxa"/>
            </w:tcMar>
            <w:textDirection w:val="btLr"/>
            <w:hideMark/>
          </w:tcPr>
          <w:p w14:paraId="01712877" w14:textId="0F389DF2" w:rsidR="003E6D8C" w:rsidRPr="00F66384" w:rsidRDefault="003E6D8C" w:rsidP="00F824FC">
            <w:pPr>
              <w:overflowPunct/>
              <w:autoSpaceDE/>
              <w:autoSpaceDN/>
              <w:adjustRightInd/>
              <w:jc w:val="both"/>
              <w:textAlignment w:val="auto"/>
              <w:rPr>
                <w:rFonts w:asciiTheme="minorHAnsi" w:hAnsiTheme="minorHAnsi"/>
                <w:b/>
                <w:bCs/>
                <w:color w:val="000000"/>
                <w:sz w:val="20"/>
                <w:szCs w:val="18"/>
                <w:lang w:val="en-US"/>
              </w:rPr>
            </w:pPr>
            <w:r w:rsidRPr="00F66384">
              <w:rPr>
                <w:rFonts w:asciiTheme="minorHAnsi" w:hAnsiTheme="minorHAnsi"/>
                <w:b/>
                <w:bCs/>
                <w:color w:val="000000"/>
                <w:sz w:val="20"/>
                <w:szCs w:val="18"/>
                <w:lang w:val="en-US"/>
              </w:rPr>
              <w:t>Time-bound</w:t>
            </w:r>
          </w:p>
        </w:tc>
      </w:tr>
      <w:tr w:rsidR="001E0ACE" w:rsidRPr="00F66384" w14:paraId="6C8C0858" w14:textId="77777777" w:rsidTr="00355317">
        <w:trPr>
          <w:trHeight w:val="121"/>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tcMar>
              <w:top w:w="28" w:type="dxa"/>
              <w:left w:w="28" w:type="dxa"/>
              <w:bottom w:w="28" w:type="dxa"/>
              <w:right w:w="28" w:type="dxa"/>
            </w:tcMar>
            <w:hideMark/>
          </w:tcPr>
          <w:p w14:paraId="04312604" w14:textId="6513435C" w:rsidR="001E0ACE" w:rsidRPr="009069FF" w:rsidRDefault="001E0ACE" w:rsidP="001E0ACE">
            <w:pPr>
              <w:overflowPunct/>
              <w:autoSpaceDE/>
              <w:autoSpaceDN/>
              <w:adjustRightInd/>
              <w:textAlignment w:val="auto"/>
              <w:rPr>
                <w:rFonts w:asciiTheme="minorHAnsi" w:hAnsiTheme="minorHAnsi"/>
                <w:b/>
                <w:bCs/>
                <w:color w:val="000000"/>
                <w:sz w:val="18"/>
                <w:szCs w:val="18"/>
                <w:lang w:val="en-US"/>
              </w:rPr>
            </w:pPr>
            <w:r w:rsidRPr="009069FF">
              <w:rPr>
                <w:rFonts w:asciiTheme="minorHAnsi" w:hAnsiTheme="minorHAnsi"/>
                <w:b/>
                <w:bCs/>
                <w:color w:val="000000"/>
                <w:sz w:val="18"/>
                <w:szCs w:val="18"/>
                <w:lang w:val="en-US"/>
              </w:rPr>
              <w:t xml:space="preserve">Project Objective: </w:t>
            </w:r>
            <w:r w:rsidR="00932926" w:rsidRPr="008568FE">
              <w:rPr>
                <w:rFonts w:ascii="Calibri" w:hAnsi="Calibri"/>
                <w:iCs/>
                <w:sz w:val="18"/>
                <w:szCs w:val="18"/>
              </w:rPr>
              <w:t>To enhance the management effectiveness, biogeographically coverage and connectivity of Protected Areas to conserve forest ecosystems in the Achara Region</w:t>
            </w:r>
          </w:p>
        </w:tc>
      </w:tr>
      <w:tr w:rsidR="00090894" w:rsidRPr="00F66384" w14:paraId="20E39DC8" w14:textId="77777777" w:rsidTr="005F6C7A">
        <w:trPr>
          <w:trHeight w:val="299"/>
        </w:trPr>
        <w:tc>
          <w:tcPr>
            <w:tcW w:w="340" w:type="pct"/>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14:paraId="53290E34" w14:textId="77777777" w:rsidR="00090894" w:rsidRPr="009069FF" w:rsidRDefault="00090894" w:rsidP="001E0ACE">
            <w:pPr>
              <w:overflowPunct/>
              <w:autoSpaceDE/>
              <w:autoSpaceDN/>
              <w:adjustRightInd/>
              <w:jc w:val="center"/>
              <w:textAlignment w:val="auto"/>
              <w:rPr>
                <w:rFonts w:asciiTheme="minorHAnsi" w:hAnsiTheme="minorHAnsi"/>
                <w:b/>
                <w:color w:val="000000"/>
                <w:sz w:val="18"/>
                <w:szCs w:val="18"/>
                <w:lang w:val="en-US"/>
              </w:rPr>
            </w:pPr>
            <w:r w:rsidRPr="009069FF">
              <w:rPr>
                <w:rFonts w:asciiTheme="minorHAnsi" w:hAnsiTheme="minorHAnsi"/>
                <w:b/>
                <w:color w:val="000000"/>
                <w:sz w:val="18"/>
                <w:szCs w:val="18"/>
                <w:lang w:val="en-US"/>
              </w:rPr>
              <w:t>Obj.1</w:t>
            </w:r>
          </w:p>
        </w:tc>
        <w:tc>
          <w:tcPr>
            <w:tcW w:w="1624" w:type="pct"/>
            <w:gridSpan w:val="2"/>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14:paraId="1235BFB5" w14:textId="72315D1A" w:rsidR="00090894" w:rsidRPr="00F66384" w:rsidRDefault="00090894">
            <w:pPr>
              <w:rPr>
                <w:rFonts w:asciiTheme="minorHAnsi" w:hAnsiTheme="minorHAnsi"/>
                <w:color w:val="000000"/>
                <w:sz w:val="18"/>
                <w:szCs w:val="18"/>
              </w:rPr>
            </w:pPr>
            <w:r w:rsidRPr="008568FE">
              <w:rPr>
                <w:rFonts w:ascii="Calibri" w:hAnsi="Calibri"/>
                <w:sz w:val="18"/>
                <w:szCs w:val="18"/>
              </w:rPr>
              <w:t>Protected Area Coverage within the Achara Region increased</w:t>
            </w:r>
          </w:p>
        </w:tc>
        <w:tc>
          <w:tcPr>
            <w:tcW w:w="1855" w:type="pct"/>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14:paraId="5E237AF3" w14:textId="5245AE70" w:rsidR="00090894" w:rsidRPr="00F66384" w:rsidRDefault="00090894">
            <w:pPr>
              <w:rPr>
                <w:rFonts w:asciiTheme="minorHAnsi" w:hAnsiTheme="minorHAnsi"/>
                <w:color w:val="000000"/>
                <w:sz w:val="18"/>
                <w:szCs w:val="18"/>
              </w:rPr>
            </w:pPr>
            <w:r w:rsidRPr="008568FE">
              <w:rPr>
                <w:rFonts w:ascii="Calibri" w:hAnsi="Calibri"/>
                <w:sz w:val="18"/>
                <w:szCs w:val="18"/>
              </w:rPr>
              <w:t>39,202 ha.</w:t>
            </w:r>
          </w:p>
        </w:tc>
        <w:tc>
          <w:tcPr>
            <w:tcW w:w="247" w:type="pct"/>
            <w:tcBorders>
              <w:top w:val="nil"/>
              <w:left w:val="nil"/>
              <w:bottom w:val="single" w:sz="4" w:space="0" w:color="auto"/>
              <w:right w:val="single" w:sz="4" w:space="0" w:color="auto"/>
            </w:tcBorders>
            <w:shd w:val="clear" w:color="auto" w:fill="92D050"/>
            <w:tcMar>
              <w:top w:w="28" w:type="dxa"/>
              <w:left w:w="28" w:type="dxa"/>
              <w:bottom w:w="28" w:type="dxa"/>
              <w:right w:w="28" w:type="dxa"/>
            </w:tcMar>
            <w:hideMark/>
          </w:tcPr>
          <w:p w14:paraId="123091EC" w14:textId="77777777" w:rsidR="00090894" w:rsidRPr="00F66384" w:rsidRDefault="00090894" w:rsidP="001E0ACE">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247" w:type="pct"/>
            <w:tcBorders>
              <w:top w:val="nil"/>
              <w:left w:val="nil"/>
              <w:bottom w:val="single" w:sz="4" w:space="0" w:color="auto"/>
              <w:right w:val="single" w:sz="4" w:space="0" w:color="auto"/>
            </w:tcBorders>
            <w:shd w:val="clear" w:color="auto" w:fill="92D050"/>
            <w:tcMar>
              <w:top w:w="28" w:type="dxa"/>
              <w:left w:w="28" w:type="dxa"/>
              <w:bottom w:w="28" w:type="dxa"/>
              <w:right w:w="28" w:type="dxa"/>
            </w:tcMar>
            <w:hideMark/>
          </w:tcPr>
          <w:p w14:paraId="6C5AD5CF" w14:textId="77777777" w:rsidR="00090894" w:rsidRPr="00F66384" w:rsidRDefault="00090894" w:rsidP="001E0ACE">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247" w:type="pct"/>
            <w:tcBorders>
              <w:top w:val="nil"/>
              <w:left w:val="nil"/>
              <w:bottom w:val="single" w:sz="4" w:space="0" w:color="auto"/>
              <w:right w:val="single" w:sz="4" w:space="0" w:color="auto"/>
            </w:tcBorders>
            <w:shd w:val="clear" w:color="auto" w:fill="92D000"/>
            <w:tcMar>
              <w:top w:w="28" w:type="dxa"/>
              <w:left w:w="28" w:type="dxa"/>
              <w:bottom w:w="28" w:type="dxa"/>
              <w:right w:w="28" w:type="dxa"/>
            </w:tcMar>
            <w:hideMark/>
          </w:tcPr>
          <w:p w14:paraId="73C9668C" w14:textId="32C26DBB" w:rsidR="00090894" w:rsidRPr="00F66384" w:rsidRDefault="00090894" w:rsidP="001E0ACE">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247" w:type="pct"/>
            <w:tcBorders>
              <w:top w:val="nil"/>
              <w:left w:val="nil"/>
              <w:bottom w:val="single" w:sz="4" w:space="0" w:color="auto"/>
              <w:right w:val="single" w:sz="4" w:space="0" w:color="auto"/>
            </w:tcBorders>
            <w:shd w:val="clear" w:color="000000" w:fill="92D050"/>
            <w:tcMar>
              <w:top w:w="28" w:type="dxa"/>
              <w:left w:w="28" w:type="dxa"/>
              <w:bottom w:w="28" w:type="dxa"/>
              <w:right w:w="28" w:type="dxa"/>
            </w:tcMar>
            <w:hideMark/>
          </w:tcPr>
          <w:p w14:paraId="10700EE9" w14:textId="77777777" w:rsidR="00090894" w:rsidRPr="00F66384" w:rsidRDefault="00090894" w:rsidP="001E0ACE">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193" w:type="pct"/>
            <w:tcBorders>
              <w:top w:val="nil"/>
              <w:left w:val="nil"/>
              <w:bottom w:val="single" w:sz="4" w:space="0" w:color="auto"/>
              <w:right w:val="single" w:sz="4" w:space="0" w:color="auto"/>
            </w:tcBorders>
            <w:shd w:val="clear" w:color="000000" w:fill="92D050"/>
            <w:tcMar>
              <w:top w:w="28" w:type="dxa"/>
              <w:left w:w="28" w:type="dxa"/>
              <w:bottom w:w="28" w:type="dxa"/>
              <w:right w:w="28" w:type="dxa"/>
            </w:tcMar>
            <w:hideMark/>
          </w:tcPr>
          <w:p w14:paraId="35F8B279" w14:textId="77777777" w:rsidR="00090894" w:rsidRPr="00F66384" w:rsidRDefault="00090894" w:rsidP="001E0ACE">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r>
      <w:tr w:rsidR="00932926" w:rsidRPr="00F66384" w14:paraId="4F9CF26A" w14:textId="77777777" w:rsidTr="005F6C7A">
        <w:trPr>
          <w:trHeight w:val="46"/>
        </w:trPr>
        <w:tc>
          <w:tcPr>
            <w:tcW w:w="340"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5728C29E" w14:textId="77777777" w:rsidR="00932926" w:rsidRPr="009069FF" w:rsidRDefault="00932926" w:rsidP="001E0ACE">
            <w:pPr>
              <w:overflowPunct/>
              <w:autoSpaceDE/>
              <w:autoSpaceDN/>
              <w:adjustRightInd/>
              <w:jc w:val="center"/>
              <w:textAlignment w:val="auto"/>
              <w:rPr>
                <w:rFonts w:asciiTheme="minorHAnsi" w:hAnsiTheme="minorHAnsi"/>
                <w:b/>
                <w:color w:val="000000"/>
                <w:sz w:val="18"/>
                <w:szCs w:val="18"/>
                <w:lang w:val="en-US"/>
              </w:rPr>
            </w:pPr>
            <w:r w:rsidRPr="009069FF">
              <w:rPr>
                <w:rFonts w:asciiTheme="minorHAnsi" w:hAnsiTheme="minorHAnsi"/>
                <w:b/>
                <w:color w:val="000000"/>
                <w:sz w:val="18"/>
                <w:szCs w:val="18"/>
                <w:lang w:val="en-US"/>
              </w:rPr>
              <w:t>Obj.2</w:t>
            </w:r>
          </w:p>
        </w:tc>
        <w:tc>
          <w:tcPr>
            <w:tcW w:w="1624" w:type="pct"/>
            <w:gridSpan w:val="2"/>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tcPr>
          <w:p w14:paraId="51BF13BE" w14:textId="6F60F7A0" w:rsidR="00932926" w:rsidRPr="00F66384" w:rsidRDefault="00932926">
            <w:pPr>
              <w:rPr>
                <w:rFonts w:asciiTheme="minorHAnsi" w:hAnsiTheme="minorHAnsi"/>
                <w:color w:val="000000"/>
                <w:sz w:val="18"/>
                <w:szCs w:val="18"/>
              </w:rPr>
            </w:pPr>
            <w:r w:rsidRPr="008568FE">
              <w:rPr>
                <w:rFonts w:ascii="Calibri" w:hAnsi="Calibri"/>
                <w:sz w:val="18"/>
                <w:szCs w:val="18"/>
              </w:rPr>
              <w:t>In</w:t>
            </w:r>
            <w:r>
              <w:rPr>
                <w:rFonts w:ascii="Calibri" w:hAnsi="Calibri"/>
                <w:sz w:val="18"/>
                <w:szCs w:val="18"/>
              </w:rPr>
              <w:t>creased national and Achara PA c</w:t>
            </w:r>
            <w:r w:rsidRPr="008568FE">
              <w:rPr>
                <w:rFonts w:ascii="Calibri" w:hAnsi="Calibri"/>
                <w:sz w:val="18"/>
                <w:szCs w:val="18"/>
              </w:rPr>
              <w:t>overage of the Colchic Temperate Rain Forest by at least 1% and 5% respectively</w:t>
            </w:r>
          </w:p>
        </w:tc>
        <w:tc>
          <w:tcPr>
            <w:tcW w:w="1855" w:type="pct"/>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tcPr>
          <w:p w14:paraId="3719A4D8" w14:textId="77777777" w:rsidR="00932926" w:rsidRPr="008568FE" w:rsidRDefault="00932926" w:rsidP="00856A17">
            <w:pPr>
              <w:rPr>
                <w:rFonts w:ascii="Calibri" w:hAnsi="Calibri"/>
                <w:b/>
                <w:bCs/>
                <w:color w:val="000000" w:themeColor="text1"/>
                <w:sz w:val="18"/>
                <w:szCs w:val="18"/>
              </w:rPr>
            </w:pPr>
            <w:r w:rsidRPr="008568FE">
              <w:rPr>
                <w:rFonts w:ascii="Calibri" w:hAnsi="Calibri"/>
                <w:color w:val="000000" w:themeColor="text1"/>
                <w:sz w:val="18"/>
                <w:szCs w:val="18"/>
              </w:rPr>
              <w:t>Nationally: 11.7%</w:t>
            </w:r>
          </w:p>
          <w:p w14:paraId="2A6552E4" w14:textId="6DD5CFFA" w:rsidR="00932926" w:rsidRPr="00F66384" w:rsidRDefault="00932926">
            <w:pPr>
              <w:rPr>
                <w:rFonts w:asciiTheme="minorHAnsi" w:hAnsiTheme="minorHAnsi"/>
                <w:color w:val="000000"/>
                <w:sz w:val="18"/>
                <w:szCs w:val="18"/>
              </w:rPr>
            </w:pPr>
            <w:r w:rsidRPr="008568FE">
              <w:rPr>
                <w:rFonts w:ascii="Calibri" w:hAnsi="Calibri"/>
                <w:color w:val="000000" w:themeColor="text1"/>
                <w:sz w:val="18"/>
                <w:szCs w:val="18"/>
              </w:rPr>
              <w:t>Achara: 20%</w:t>
            </w:r>
          </w:p>
        </w:tc>
        <w:tc>
          <w:tcPr>
            <w:tcW w:w="247" w:type="pct"/>
            <w:tcBorders>
              <w:top w:val="single" w:sz="4" w:space="0" w:color="auto"/>
              <w:left w:val="nil"/>
              <w:bottom w:val="single" w:sz="4" w:space="0" w:color="auto"/>
              <w:right w:val="single" w:sz="4" w:space="0" w:color="auto"/>
            </w:tcBorders>
            <w:shd w:val="clear" w:color="auto" w:fill="92D050"/>
            <w:tcMar>
              <w:top w:w="28" w:type="dxa"/>
              <w:left w:w="28" w:type="dxa"/>
              <w:bottom w:w="28" w:type="dxa"/>
              <w:right w:w="28" w:type="dxa"/>
            </w:tcMar>
          </w:tcPr>
          <w:p w14:paraId="0C29B9C4" w14:textId="77777777" w:rsidR="00932926" w:rsidRPr="00F66384" w:rsidRDefault="00932926" w:rsidP="001D6F51">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247" w:type="pct"/>
            <w:tcBorders>
              <w:top w:val="single" w:sz="4" w:space="0" w:color="auto"/>
              <w:left w:val="nil"/>
              <w:bottom w:val="single" w:sz="4" w:space="0" w:color="auto"/>
              <w:right w:val="single" w:sz="4" w:space="0" w:color="auto"/>
            </w:tcBorders>
            <w:shd w:val="clear" w:color="auto" w:fill="92D050"/>
            <w:tcMar>
              <w:top w:w="28" w:type="dxa"/>
              <w:left w:w="28" w:type="dxa"/>
              <w:bottom w:w="28" w:type="dxa"/>
              <w:right w:w="28" w:type="dxa"/>
            </w:tcMar>
          </w:tcPr>
          <w:p w14:paraId="37C84BE0" w14:textId="77777777" w:rsidR="00932926" w:rsidRPr="00F66384" w:rsidRDefault="00932926" w:rsidP="001D6F51">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247" w:type="pct"/>
            <w:tcBorders>
              <w:top w:val="single" w:sz="4" w:space="0" w:color="auto"/>
              <w:left w:val="nil"/>
              <w:bottom w:val="single" w:sz="4" w:space="0" w:color="auto"/>
              <w:right w:val="single" w:sz="4" w:space="0" w:color="auto"/>
            </w:tcBorders>
            <w:shd w:val="clear" w:color="auto" w:fill="92D000"/>
            <w:tcMar>
              <w:top w:w="28" w:type="dxa"/>
              <w:left w:w="28" w:type="dxa"/>
              <w:bottom w:w="28" w:type="dxa"/>
              <w:right w:w="28" w:type="dxa"/>
            </w:tcMar>
          </w:tcPr>
          <w:p w14:paraId="1A13A8A5" w14:textId="77777777" w:rsidR="00932926" w:rsidRPr="00F66384" w:rsidRDefault="00932926" w:rsidP="001D6F51">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247" w:type="pct"/>
            <w:tcBorders>
              <w:top w:val="single" w:sz="4" w:space="0" w:color="auto"/>
              <w:left w:val="nil"/>
              <w:bottom w:val="single" w:sz="4" w:space="0" w:color="auto"/>
              <w:right w:val="single" w:sz="4" w:space="0" w:color="auto"/>
            </w:tcBorders>
            <w:shd w:val="clear" w:color="auto" w:fill="92D050"/>
            <w:tcMar>
              <w:top w:w="28" w:type="dxa"/>
              <w:left w:w="28" w:type="dxa"/>
              <w:bottom w:w="28" w:type="dxa"/>
              <w:right w:w="28" w:type="dxa"/>
            </w:tcMar>
          </w:tcPr>
          <w:p w14:paraId="7F39745D" w14:textId="77777777" w:rsidR="00932926" w:rsidRPr="00F66384" w:rsidRDefault="00932926" w:rsidP="001D6F51">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193" w:type="pct"/>
            <w:tcBorders>
              <w:top w:val="single" w:sz="4" w:space="0" w:color="auto"/>
              <w:left w:val="nil"/>
              <w:bottom w:val="single" w:sz="4" w:space="0" w:color="auto"/>
              <w:right w:val="single" w:sz="4" w:space="0" w:color="auto"/>
            </w:tcBorders>
            <w:shd w:val="clear" w:color="auto" w:fill="92D050"/>
            <w:tcMar>
              <w:top w:w="28" w:type="dxa"/>
              <w:left w:w="28" w:type="dxa"/>
              <w:bottom w:w="28" w:type="dxa"/>
              <w:right w:w="28" w:type="dxa"/>
            </w:tcMar>
          </w:tcPr>
          <w:p w14:paraId="5A321D5A" w14:textId="77777777" w:rsidR="00932926" w:rsidRPr="00F66384" w:rsidRDefault="00932926" w:rsidP="001D6F51">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r>
      <w:tr w:rsidR="00932926" w:rsidRPr="00F66384" w14:paraId="41711A60" w14:textId="77777777" w:rsidTr="005F6C7A">
        <w:trPr>
          <w:trHeight w:val="56"/>
        </w:trPr>
        <w:tc>
          <w:tcPr>
            <w:tcW w:w="340" w:type="pct"/>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530CBBDA" w14:textId="77777777" w:rsidR="00932926" w:rsidRPr="009069FF" w:rsidRDefault="00932926" w:rsidP="001E0ACE">
            <w:pPr>
              <w:overflowPunct/>
              <w:autoSpaceDE/>
              <w:autoSpaceDN/>
              <w:adjustRightInd/>
              <w:jc w:val="center"/>
              <w:textAlignment w:val="auto"/>
              <w:rPr>
                <w:rFonts w:asciiTheme="minorHAnsi" w:hAnsiTheme="minorHAnsi"/>
                <w:b/>
                <w:color w:val="000000"/>
                <w:sz w:val="18"/>
                <w:szCs w:val="18"/>
                <w:lang w:val="en-US"/>
              </w:rPr>
            </w:pPr>
            <w:r w:rsidRPr="009069FF">
              <w:rPr>
                <w:rFonts w:asciiTheme="minorHAnsi" w:hAnsiTheme="minorHAnsi"/>
                <w:b/>
                <w:color w:val="000000"/>
                <w:sz w:val="18"/>
                <w:szCs w:val="18"/>
                <w:lang w:val="en-US"/>
              </w:rPr>
              <w:t>Obj.3</w:t>
            </w:r>
          </w:p>
        </w:tc>
        <w:tc>
          <w:tcPr>
            <w:tcW w:w="1624" w:type="pct"/>
            <w:gridSpan w:val="2"/>
            <w:tcBorders>
              <w:top w:val="nil"/>
              <w:left w:val="nil"/>
              <w:bottom w:val="single" w:sz="4" w:space="0" w:color="auto"/>
              <w:right w:val="single" w:sz="4" w:space="0" w:color="auto"/>
            </w:tcBorders>
            <w:shd w:val="clear" w:color="auto" w:fill="auto"/>
            <w:tcMar>
              <w:top w:w="28" w:type="dxa"/>
              <w:left w:w="28" w:type="dxa"/>
              <w:bottom w:w="28" w:type="dxa"/>
              <w:right w:w="28" w:type="dxa"/>
            </w:tcMar>
          </w:tcPr>
          <w:p w14:paraId="2A8F70E4" w14:textId="6EF72E1C" w:rsidR="00932926" w:rsidRPr="00F66384" w:rsidRDefault="00932926">
            <w:pPr>
              <w:rPr>
                <w:rFonts w:asciiTheme="minorHAnsi" w:hAnsiTheme="minorHAnsi"/>
                <w:color w:val="000000"/>
                <w:sz w:val="18"/>
                <w:szCs w:val="18"/>
              </w:rPr>
            </w:pPr>
            <w:r w:rsidRPr="008568FE">
              <w:rPr>
                <w:rFonts w:ascii="Calibri" w:hAnsi="Calibri"/>
                <w:sz w:val="18"/>
                <w:szCs w:val="18"/>
              </w:rPr>
              <w:t>Capacity development indicator score for protected area system</w:t>
            </w:r>
          </w:p>
        </w:tc>
        <w:tc>
          <w:tcPr>
            <w:tcW w:w="1855" w:type="pct"/>
            <w:tcBorders>
              <w:top w:val="nil"/>
              <w:left w:val="nil"/>
              <w:bottom w:val="single" w:sz="4" w:space="0" w:color="auto"/>
              <w:right w:val="single" w:sz="4" w:space="0" w:color="auto"/>
            </w:tcBorders>
            <w:shd w:val="clear" w:color="auto" w:fill="auto"/>
            <w:tcMar>
              <w:top w:w="28" w:type="dxa"/>
              <w:left w:w="28" w:type="dxa"/>
              <w:bottom w:w="28" w:type="dxa"/>
              <w:right w:w="28" w:type="dxa"/>
            </w:tcMar>
          </w:tcPr>
          <w:p w14:paraId="7FF38E9D" w14:textId="77777777" w:rsidR="00932926" w:rsidRPr="008568FE" w:rsidRDefault="00932926" w:rsidP="00856A17">
            <w:pPr>
              <w:rPr>
                <w:rFonts w:ascii="Calibri" w:hAnsi="Calibri"/>
                <w:b/>
                <w:bCs/>
                <w:sz w:val="18"/>
                <w:szCs w:val="18"/>
              </w:rPr>
            </w:pPr>
            <w:r w:rsidRPr="008568FE">
              <w:rPr>
                <w:rFonts w:ascii="Calibri" w:hAnsi="Calibri"/>
                <w:sz w:val="18"/>
                <w:szCs w:val="18"/>
              </w:rPr>
              <w:t>Systemic: &gt;20%</w:t>
            </w:r>
          </w:p>
          <w:p w14:paraId="3DB32AF3" w14:textId="77777777" w:rsidR="00932926" w:rsidRPr="008568FE" w:rsidRDefault="00932926" w:rsidP="00856A17">
            <w:pPr>
              <w:rPr>
                <w:rFonts w:ascii="Calibri" w:hAnsi="Calibri"/>
                <w:b/>
                <w:bCs/>
                <w:sz w:val="18"/>
                <w:szCs w:val="18"/>
              </w:rPr>
            </w:pPr>
            <w:r w:rsidRPr="008568FE">
              <w:rPr>
                <w:rFonts w:ascii="Calibri" w:hAnsi="Calibri"/>
                <w:sz w:val="18"/>
                <w:szCs w:val="18"/>
              </w:rPr>
              <w:t>Institutional: &gt;29%</w:t>
            </w:r>
          </w:p>
          <w:p w14:paraId="5BEA945F" w14:textId="1D838751" w:rsidR="00932926" w:rsidRPr="00F66384" w:rsidRDefault="00932926">
            <w:pPr>
              <w:rPr>
                <w:rFonts w:asciiTheme="minorHAnsi" w:hAnsiTheme="minorHAnsi"/>
                <w:color w:val="000000"/>
                <w:sz w:val="18"/>
                <w:szCs w:val="18"/>
              </w:rPr>
            </w:pPr>
            <w:r w:rsidRPr="008568FE">
              <w:rPr>
                <w:rFonts w:ascii="Calibri" w:hAnsi="Calibri"/>
                <w:sz w:val="18"/>
                <w:szCs w:val="18"/>
              </w:rPr>
              <w:t>Individual: &gt;13%</w:t>
            </w:r>
          </w:p>
        </w:tc>
        <w:tc>
          <w:tcPr>
            <w:tcW w:w="247" w:type="pct"/>
            <w:tcBorders>
              <w:top w:val="nil"/>
              <w:left w:val="nil"/>
              <w:bottom w:val="single" w:sz="4" w:space="0" w:color="auto"/>
              <w:right w:val="single" w:sz="4" w:space="0" w:color="auto"/>
            </w:tcBorders>
            <w:shd w:val="clear" w:color="auto" w:fill="92D050"/>
            <w:tcMar>
              <w:top w:w="28" w:type="dxa"/>
              <w:left w:w="28" w:type="dxa"/>
              <w:bottom w:w="28" w:type="dxa"/>
              <w:right w:w="28" w:type="dxa"/>
            </w:tcMar>
          </w:tcPr>
          <w:p w14:paraId="514AED88" w14:textId="77777777" w:rsidR="00932926" w:rsidRPr="00F66384" w:rsidRDefault="00932926" w:rsidP="001D6F51">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247" w:type="pct"/>
            <w:tcBorders>
              <w:top w:val="nil"/>
              <w:left w:val="nil"/>
              <w:bottom w:val="single" w:sz="4" w:space="0" w:color="auto"/>
              <w:right w:val="single" w:sz="4" w:space="0" w:color="auto"/>
            </w:tcBorders>
            <w:shd w:val="clear" w:color="auto" w:fill="92D050"/>
            <w:tcMar>
              <w:top w:w="28" w:type="dxa"/>
              <w:left w:w="28" w:type="dxa"/>
              <w:bottom w:w="28" w:type="dxa"/>
              <w:right w:w="28" w:type="dxa"/>
            </w:tcMar>
          </w:tcPr>
          <w:p w14:paraId="42875F43" w14:textId="77777777" w:rsidR="00932926" w:rsidRPr="00F66384" w:rsidRDefault="00932926" w:rsidP="001D6F51">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247" w:type="pct"/>
            <w:tcBorders>
              <w:top w:val="single" w:sz="4" w:space="0" w:color="auto"/>
              <w:left w:val="nil"/>
              <w:bottom w:val="single" w:sz="4" w:space="0" w:color="auto"/>
              <w:right w:val="single" w:sz="4" w:space="0" w:color="auto"/>
            </w:tcBorders>
            <w:shd w:val="clear" w:color="auto" w:fill="92D000"/>
            <w:tcMar>
              <w:top w:w="28" w:type="dxa"/>
              <w:left w:w="28" w:type="dxa"/>
              <w:bottom w:w="28" w:type="dxa"/>
              <w:right w:w="28" w:type="dxa"/>
            </w:tcMar>
          </w:tcPr>
          <w:p w14:paraId="5E5E538C" w14:textId="77777777" w:rsidR="00932926" w:rsidRPr="00F66384" w:rsidRDefault="00932926" w:rsidP="001D6F51">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247" w:type="pct"/>
            <w:tcBorders>
              <w:top w:val="nil"/>
              <w:left w:val="nil"/>
              <w:bottom w:val="single" w:sz="4" w:space="0" w:color="auto"/>
              <w:right w:val="single" w:sz="4" w:space="0" w:color="auto"/>
            </w:tcBorders>
            <w:shd w:val="clear" w:color="auto" w:fill="92D050"/>
            <w:tcMar>
              <w:top w:w="28" w:type="dxa"/>
              <w:left w:w="28" w:type="dxa"/>
              <w:bottom w:w="28" w:type="dxa"/>
              <w:right w:w="28" w:type="dxa"/>
            </w:tcMar>
          </w:tcPr>
          <w:p w14:paraId="63B80344" w14:textId="77777777" w:rsidR="00932926" w:rsidRPr="00F66384" w:rsidRDefault="00932926" w:rsidP="001D6F51">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193" w:type="pct"/>
            <w:tcBorders>
              <w:top w:val="nil"/>
              <w:left w:val="nil"/>
              <w:bottom w:val="single" w:sz="4" w:space="0" w:color="auto"/>
              <w:right w:val="single" w:sz="4" w:space="0" w:color="auto"/>
            </w:tcBorders>
            <w:shd w:val="clear" w:color="auto" w:fill="92D050"/>
            <w:tcMar>
              <w:top w:w="28" w:type="dxa"/>
              <w:left w:w="28" w:type="dxa"/>
              <w:bottom w:w="28" w:type="dxa"/>
              <w:right w:w="28" w:type="dxa"/>
            </w:tcMar>
          </w:tcPr>
          <w:p w14:paraId="256226A4" w14:textId="77777777" w:rsidR="00932926" w:rsidRPr="00F66384" w:rsidRDefault="00932926" w:rsidP="001D6F51">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r>
      <w:tr w:rsidR="00932926" w:rsidRPr="00F66384" w14:paraId="08E5A245" w14:textId="77777777" w:rsidTr="005F6C7A">
        <w:trPr>
          <w:trHeight w:val="56"/>
        </w:trPr>
        <w:tc>
          <w:tcPr>
            <w:tcW w:w="340" w:type="pct"/>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14:paraId="2B0DA294" w14:textId="77777777" w:rsidR="00932926" w:rsidRPr="009069FF" w:rsidRDefault="00932926" w:rsidP="001E0ACE">
            <w:pPr>
              <w:overflowPunct/>
              <w:autoSpaceDE/>
              <w:autoSpaceDN/>
              <w:adjustRightInd/>
              <w:jc w:val="center"/>
              <w:textAlignment w:val="auto"/>
              <w:rPr>
                <w:rFonts w:asciiTheme="minorHAnsi" w:hAnsiTheme="minorHAnsi"/>
                <w:b/>
                <w:color w:val="000000"/>
                <w:sz w:val="18"/>
                <w:szCs w:val="18"/>
                <w:lang w:val="en-US"/>
              </w:rPr>
            </w:pPr>
            <w:r w:rsidRPr="009069FF">
              <w:rPr>
                <w:rFonts w:asciiTheme="minorHAnsi" w:hAnsiTheme="minorHAnsi"/>
                <w:b/>
                <w:color w:val="000000"/>
                <w:sz w:val="18"/>
                <w:szCs w:val="18"/>
                <w:lang w:val="en-US"/>
              </w:rPr>
              <w:t>Obj.4</w:t>
            </w:r>
          </w:p>
        </w:tc>
        <w:tc>
          <w:tcPr>
            <w:tcW w:w="1624" w:type="pct"/>
            <w:gridSpan w:val="2"/>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14:paraId="4522C91A" w14:textId="580E9BF0" w:rsidR="00932926" w:rsidRPr="00F66384" w:rsidRDefault="00932926">
            <w:pPr>
              <w:rPr>
                <w:rFonts w:asciiTheme="minorHAnsi" w:hAnsiTheme="minorHAnsi"/>
                <w:color w:val="000000"/>
                <w:sz w:val="18"/>
                <w:szCs w:val="18"/>
              </w:rPr>
            </w:pPr>
            <w:r w:rsidRPr="008568FE">
              <w:rPr>
                <w:rFonts w:ascii="Calibri" w:hAnsi="Calibri"/>
                <w:sz w:val="18"/>
                <w:szCs w:val="18"/>
              </w:rPr>
              <w:t>Management effectiveness for Kintrishi PA Complex, Mtirala NP and Machakhela NP measured by METT scorecard</w:t>
            </w:r>
          </w:p>
        </w:tc>
        <w:tc>
          <w:tcPr>
            <w:tcW w:w="1855" w:type="pct"/>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14:paraId="26E59EAE" w14:textId="77777777" w:rsidR="00932926" w:rsidRPr="008568FE" w:rsidRDefault="00932926" w:rsidP="00856A17">
            <w:pPr>
              <w:rPr>
                <w:rFonts w:ascii="Calibri" w:hAnsi="Calibri"/>
                <w:b/>
                <w:bCs/>
                <w:sz w:val="18"/>
                <w:szCs w:val="18"/>
              </w:rPr>
            </w:pPr>
            <w:r w:rsidRPr="008568FE">
              <w:rPr>
                <w:rFonts w:ascii="Calibri" w:hAnsi="Calibri"/>
                <w:sz w:val="18"/>
                <w:szCs w:val="18"/>
              </w:rPr>
              <w:t>Mtirala NP METT score:&gt; 73%</w:t>
            </w:r>
          </w:p>
          <w:p w14:paraId="52054D6E" w14:textId="77777777" w:rsidR="00932926" w:rsidRPr="008568FE" w:rsidRDefault="00932926" w:rsidP="00856A17">
            <w:pPr>
              <w:rPr>
                <w:rFonts w:ascii="Calibri" w:hAnsi="Calibri"/>
                <w:b/>
                <w:bCs/>
                <w:sz w:val="18"/>
                <w:szCs w:val="18"/>
              </w:rPr>
            </w:pPr>
            <w:r w:rsidRPr="008568FE">
              <w:rPr>
                <w:rFonts w:ascii="Calibri" w:hAnsi="Calibri"/>
                <w:sz w:val="18"/>
                <w:szCs w:val="18"/>
              </w:rPr>
              <w:t>Kintrishi State Reserve METT score: &gt; 67%</w:t>
            </w:r>
          </w:p>
          <w:p w14:paraId="30785518" w14:textId="77777777" w:rsidR="00932926" w:rsidRPr="008568FE" w:rsidRDefault="00932926" w:rsidP="00856A17">
            <w:pPr>
              <w:rPr>
                <w:rFonts w:ascii="Calibri" w:hAnsi="Calibri"/>
                <w:b/>
                <w:bCs/>
                <w:sz w:val="18"/>
                <w:szCs w:val="18"/>
              </w:rPr>
            </w:pPr>
            <w:r w:rsidRPr="008568FE">
              <w:rPr>
                <w:rFonts w:ascii="Calibri" w:hAnsi="Calibri"/>
                <w:sz w:val="18"/>
                <w:szCs w:val="18"/>
              </w:rPr>
              <w:t>Kintrishi Protected Landscape METT score:&gt; 63%</w:t>
            </w:r>
          </w:p>
          <w:p w14:paraId="6289D345" w14:textId="13655549" w:rsidR="00932926" w:rsidRPr="00F66384" w:rsidRDefault="00932926">
            <w:pPr>
              <w:rPr>
                <w:rFonts w:asciiTheme="minorHAnsi" w:hAnsiTheme="minorHAnsi"/>
                <w:color w:val="000000"/>
                <w:sz w:val="18"/>
                <w:szCs w:val="18"/>
              </w:rPr>
            </w:pPr>
            <w:r w:rsidRPr="008568FE">
              <w:rPr>
                <w:rFonts w:ascii="Calibri" w:hAnsi="Calibri"/>
                <w:sz w:val="18"/>
                <w:szCs w:val="18"/>
              </w:rPr>
              <w:t>Machakhela NP METT score:71%</w:t>
            </w:r>
          </w:p>
        </w:tc>
        <w:tc>
          <w:tcPr>
            <w:tcW w:w="247" w:type="pct"/>
            <w:tcBorders>
              <w:top w:val="nil"/>
              <w:left w:val="nil"/>
              <w:bottom w:val="single" w:sz="4" w:space="0" w:color="auto"/>
              <w:right w:val="single" w:sz="4" w:space="0" w:color="auto"/>
            </w:tcBorders>
            <w:shd w:val="clear" w:color="000000" w:fill="92D050"/>
            <w:tcMar>
              <w:top w:w="28" w:type="dxa"/>
              <w:left w:w="28" w:type="dxa"/>
              <w:bottom w:w="28" w:type="dxa"/>
              <w:right w:w="28" w:type="dxa"/>
            </w:tcMar>
            <w:hideMark/>
          </w:tcPr>
          <w:p w14:paraId="5C7ADC53" w14:textId="77777777" w:rsidR="00932926" w:rsidRPr="00F66384" w:rsidRDefault="00932926" w:rsidP="001E0ACE">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247" w:type="pct"/>
            <w:tcBorders>
              <w:top w:val="nil"/>
              <w:left w:val="nil"/>
              <w:bottom w:val="single" w:sz="4" w:space="0" w:color="auto"/>
              <w:right w:val="single" w:sz="4" w:space="0" w:color="auto"/>
            </w:tcBorders>
            <w:shd w:val="clear" w:color="auto" w:fill="92D050"/>
            <w:tcMar>
              <w:top w:w="28" w:type="dxa"/>
              <w:left w:w="28" w:type="dxa"/>
              <w:bottom w:w="28" w:type="dxa"/>
              <w:right w:w="28" w:type="dxa"/>
            </w:tcMar>
            <w:hideMark/>
          </w:tcPr>
          <w:p w14:paraId="70634952" w14:textId="77777777" w:rsidR="00932926" w:rsidRPr="00F66384" w:rsidRDefault="00932926" w:rsidP="001E0ACE">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247" w:type="pct"/>
            <w:tcBorders>
              <w:top w:val="single" w:sz="4" w:space="0" w:color="auto"/>
              <w:left w:val="nil"/>
              <w:bottom w:val="single" w:sz="4" w:space="0" w:color="auto"/>
              <w:right w:val="single" w:sz="4" w:space="0" w:color="auto"/>
            </w:tcBorders>
            <w:shd w:val="clear" w:color="auto" w:fill="92D000"/>
            <w:tcMar>
              <w:top w:w="28" w:type="dxa"/>
              <w:left w:w="28" w:type="dxa"/>
              <w:bottom w:w="28" w:type="dxa"/>
              <w:right w:w="28" w:type="dxa"/>
            </w:tcMar>
            <w:hideMark/>
          </w:tcPr>
          <w:p w14:paraId="2C00C195" w14:textId="3002F4F2" w:rsidR="00932926" w:rsidRPr="00F66384" w:rsidRDefault="00090894" w:rsidP="00090894">
            <w:pPr>
              <w:overflowPunct/>
              <w:autoSpaceDE/>
              <w:autoSpaceDN/>
              <w:adjustRightInd/>
              <w:jc w:val="center"/>
              <w:textAlignment w:val="auto"/>
              <w:rPr>
                <w:rFonts w:asciiTheme="minorHAnsi" w:hAnsiTheme="minorHAnsi"/>
                <w:b/>
                <w:color w:val="000000"/>
                <w:sz w:val="18"/>
                <w:szCs w:val="18"/>
                <w:lang w:val="en-US"/>
              </w:rPr>
            </w:pPr>
            <w:r>
              <w:rPr>
                <w:rFonts w:asciiTheme="minorHAnsi" w:hAnsiTheme="minorHAnsi"/>
                <w:b/>
                <w:color w:val="000000"/>
                <w:sz w:val="18"/>
                <w:szCs w:val="18"/>
                <w:lang w:val="en-US"/>
              </w:rPr>
              <w:t>y</w:t>
            </w:r>
          </w:p>
        </w:tc>
        <w:tc>
          <w:tcPr>
            <w:tcW w:w="247" w:type="pct"/>
            <w:tcBorders>
              <w:top w:val="nil"/>
              <w:left w:val="nil"/>
              <w:bottom w:val="single" w:sz="4" w:space="0" w:color="auto"/>
              <w:right w:val="single" w:sz="4" w:space="0" w:color="auto"/>
            </w:tcBorders>
            <w:shd w:val="clear" w:color="000000" w:fill="92D050"/>
            <w:tcMar>
              <w:top w:w="28" w:type="dxa"/>
              <w:left w:w="28" w:type="dxa"/>
              <w:bottom w:w="28" w:type="dxa"/>
              <w:right w:w="28" w:type="dxa"/>
            </w:tcMar>
            <w:hideMark/>
          </w:tcPr>
          <w:p w14:paraId="340F2F18" w14:textId="77777777" w:rsidR="00932926" w:rsidRPr="00F66384" w:rsidRDefault="00932926" w:rsidP="001E0ACE">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193" w:type="pct"/>
            <w:tcBorders>
              <w:top w:val="nil"/>
              <w:left w:val="nil"/>
              <w:bottom w:val="single" w:sz="4" w:space="0" w:color="auto"/>
              <w:right w:val="single" w:sz="4" w:space="0" w:color="auto"/>
            </w:tcBorders>
            <w:shd w:val="clear" w:color="000000" w:fill="92D050"/>
            <w:tcMar>
              <w:top w:w="28" w:type="dxa"/>
              <w:left w:w="28" w:type="dxa"/>
              <w:bottom w:w="28" w:type="dxa"/>
              <w:right w:w="28" w:type="dxa"/>
            </w:tcMar>
            <w:hideMark/>
          </w:tcPr>
          <w:p w14:paraId="458E8DE0" w14:textId="77777777" w:rsidR="00932926" w:rsidRPr="00F66384" w:rsidRDefault="00932926" w:rsidP="001E0ACE">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r>
      <w:tr w:rsidR="001E0ACE" w:rsidRPr="00F66384" w14:paraId="414155E7" w14:textId="77777777" w:rsidTr="00355317">
        <w:trPr>
          <w:trHeight w:val="46"/>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tcMar>
              <w:top w:w="28" w:type="dxa"/>
              <w:left w:w="28" w:type="dxa"/>
              <w:bottom w:w="28" w:type="dxa"/>
              <w:right w:w="28" w:type="dxa"/>
            </w:tcMar>
            <w:hideMark/>
          </w:tcPr>
          <w:p w14:paraId="6C8EE703" w14:textId="78EF2B29" w:rsidR="001E0ACE" w:rsidRPr="009069FF" w:rsidRDefault="001E0ACE" w:rsidP="001E0ACE">
            <w:pPr>
              <w:overflowPunct/>
              <w:autoSpaceDE/>
              <w:autoSpaceDN/>
              <w:adjustRightInd/>
              <w:textAlignment w:val="auto"/>
              <w:rPr>
                <w:rFonts w:asciiTheme="minorHAnsi" w:hAnsiTheme="minorHAnsi"/>
                <w:b/>
                <w:bCs/>
                <w:color w:val="000000"/>
                <w:sz w:val="18"/>
                <w:szCs w:val="18"/>
                <w:lang w:val="en-US"/>
              </w:rPr>
            </w:pPr>
            <w:r w:rsidRPr="009069FF">
              <w:rPr>
                <w:rFonts w:asciiTheme="minorHAnsi" w:hAnsiTheme="minorHAnsi"/>
                <w:b/>
                <w:bCs/>
                <w:color w:val="000000"/>
                <w:sz w:val="18"/>
                <w:szCs w:val="18"/>
                <w:lang w:val="en-US"/>
              </w:rPr>
              <w:t xml:space="preserve">Outcome 1: </w:t>
            </w:r>
            <w:r w:rsidR="00267B30" w:rsidRPr="00267B30">
              <w:rPr>
                <w:rFonts w:ascii="Calibri" w:hAnsi="Calibri"/>
                <w:sz w:val="18"/>
                <w:szCs w:val="18"/>
              </w:rPr>
              <w:t>Enhanced PA Management Effectiveness in the Achara Region</w:t>
            </w:r>
          </w:p>
        </w:tc>
      </w:tr>
      <w:tr w:rsidR="003E6D8C" w:rsidRPr="00F66384" w14:paraId="0E549421" w14:textId="77777777" w:rsidTr="00D56423">
        <w:trPr>
          <w:trHeight w:val="56"/>
        </w:trPr>
        <w:tc>
          <w:tcPr>
            <w:tcW w:w="340" w:type="pct"/>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14:paraId="0289437B" w14:textId="77777777" w:rsidR="003E6D8C" w:rsidRPr="009069FF" w:rsidRDefault="003E6D8C" w:rsidP="001E0ACE">
            <w:pPr>
              <w:overflowPunct/>
              <w:autoSpaceDE/>
              <w:autoSpaceDN/>
              <w:adjustRightInd/>
              <w:jc w:val="center"/>
              <w:textAlignment w:val="auto"/>
              <w:rPr>
                <w:rFonts w:asciiTheme="minorHAnsi" w:hAnsiTheme="minorHAnsi"/>
                <w:b/>
                <w:color w:val="000000"/>
                <w:sz w:val="18"/>
                <w:szCs w:val="18"/>
                <w:lang w:val="en-US"/>
              </w:rPr>
            </w:pPr>
            <w:r w:rsidRPr="009069FF">
              <w:rPr>
                <w:rFonts w:asciiTheme="minorHAnsi" w:hAnsiTheme="minorHAnsi"/>
                <w:b/>
                <w:color w:val="000000"/>
                <w:sz w:val="18"/>
                <w:szCs w:val="18"/>
                <w:lang w:val="en-US"/>
              </w:rPr>
              <w:t>1.1</w:t>
            </w:r>
          </w:p>
        </w:tc>
        <w:tc>
          <w:tcPr>
            <w:tcW w:w="1624" w:type="pct"/>
            <w:gridSpan w:val="2"/>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14:paraId="66EE80E0" w14:textId="7CF8FC22" w:rsidR="003E6D8C" w:rsidRPr="00F66384" w:rsidRDefault="003E6D8C">
            <w:pPr>
              <w:rPr>
                <w:rFonts w:asciiTheme="minorHAnsi" w:hAnsiTheme="minorHAnsi"/>
                <w:color w:val="000000"/>
                <w:sz w:val="18"/>
                <w:szCs w:val="18"/>
              </w:rPr>
            </w:pPr>
            <w:r w:rsidRPr="008568FE">
              <w:rPr>
                <w:rFonts w:ascii="Calibri" w:hAnsi="Calibri"/>
                <w:sz w:val="18"/>
                <w:szCs w:val="18"/>
              </w:rPr>
              <w:t>No net increase in the illegal harvesting of wood and non wood forest products</w:t>
            </w:r>
          </w:p>
        </w:tc>
        <w:tc>
          <w:tcPr>
            <w:tcW w:w="1855" w:type="pct"/>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14:paraId="78830E5B" w14:textId="77777777" w:rsidR="003E6D8C" w:rsidRPr="008568FE" w:rsidRDefault="003E6D8C" w:rsidP="003E6D8C">
            <w:pPr>
              <w:rPr>
                <w:rFonts w:ascii="Calibri" w:hAnsi="Calibri"/>
                <w:b/>
                <w:bCs/>
                <w:sz w:val="18"/>
                <w:szCs w:val="18"/>
                <w:lang w:val="es-ES_tradnl"/>
              </w:rPr>
            </w:pPr>
            <w:r w:rsidRPr="008568FE">
              <w:rPr>
                <w:rFonts w:ascii="Calibri" w:hAnsi="Calibri"/>
                <w:sz w:val="18"/>
                <w:szCs w:val="18"/>
                <w:lang w:val="es-ES_tradnl"/>
              </w:rPr>
              <w:t>Mtirala NP: &lt; 7.82 m</w:t>
            </w:r>
            <w:r w:rsidRPr="008568FE">
              <w:rPr>
                <w:rFonts w:ascii="Calibri" w:hAnsi="Calibri"/>
                <w:sz w:val="18"/>
                <w:szCs w:val="18"/>
                <w:vertAlign w:val="superscript"/>
                <w:lang w:val="es-ES_tradnl"/>
              </w:rPr>
              <w:t>3</w:t>
            </w:r>
            <w:r w:rsidRPr="008568FE">
              <w:rPr>
                <w:rFonts w:ascii="Calibri" w:hAnsi="Calibri"/>
                <w:sz w:val="18"/>
                <w:szCs w:val="18"/>
                <w:lang w:val="es-ES_tradnl"/>
              </w:rPr>
              <w:t>.</w:t>
            </w:r>
          </w:p>
          <w:p w14:paraId="66D2FE3F" w14:textId="56CAC28D" w:rsidR="003E6D8C" w:rsidRPr="00F66384" w:rsidRDefault="003E6D8C">
            <w:pPr>
              <w:rPr>
                <w:rFonts w:asciiTheme="minorHAnsi" w:hAnsiTheme="minorHAnsi"/>
                <w:color w:val="000000"/>
                <w:sz w:val="18"/>
                <w:szCs w:val="18"/>
              </w:rPr>
            </w:pPr>
            <w:r w:rsidRPr="008568FE">
              <w:rPr>
                <w:rFonts w:ascii="Calibri" w:hAnsi="Calibri"/>
                <w:sz w:val="18"/>
                <w:szCs w:val="18"/>
                <w:lang w:val="es-ES_tradnl"/>
              </w:rPr>
              <w:t>Kintrishi PA Complex: 0 m</w:t>
            </w:r>
            <w:r w:rsidRPr="008568FE">
              <w:rPr>
                <w:rFonts w:ascii="Calibri" w:hAnsi="Calibri"/>
                <w:sz w:val="18"/>
                <w:szCs w:val="18"/>
                <w:vertAlign w:val="superscript"/>
                <w:lang w:val="es-ES_tradnl"/>
              </w:rPr>
              <w:t>3</w:t>
            </w:r>
            <w:r w:rsidRPr="008568FE">
              <w:rPr>
                <w:rFonts w:ascii="Calibri" w:hAnsi="Calibri"/>
                <w:sz w:val="18"/>
                <w:szCs w:val="18"/>
                <w:lang w:val="es-ES_tradnl"/>
              </w:rPr>
              <w:t>.</w:t>
            </w:r>
          </w:p>
        </w:tc>
        <w:tc>
          <w:tcPr>
            <w:tcW w:w="247" w:type="pct"/>
            <w:tcBorders>
              <w:top w:val="nil"/>
              <w:left w:val="nil"/>
              <w:bottom w:val="single" w:sz="4" w:space="0" w:color="auto"/>
              <w:right w:val="single" w:sz="4" w:space="0" w:color="auto"/>
            </w:tcBorders>
            <w:shd w:val="clear" w:color="000000" w:fill="92D050"/>
            <w:tcMar>
              <w:top w:w="28" w:type="dxa"/>
              <w:left w:w="28" w:type="dxa"/>
              <w:bottom w:w="28" w:type="dxa"/>
              <w:right w:w="28" w:type="dxa"/>
            </w:tcMar>
            <w:hideMark/>
          </w:tcPr>
          <w:p w14:paraId="4770A4CE" w14:textId="77777777" w:rsidR="003E6D8C" w:rsidRPr="00F66384" w:rsidRDefault="003E6D8C" w:rsidP="001E0ACE">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247" w:type="pct"/>
            <w:tcBorders>
              <w:top w:val="nil"/>
              <w:left w:val="nil"/>
              <w:bottom w:val="single" w:sz="4" w:space="0" w:color="auto"/>
              <w:right w:val="single" w:sz="4" w:space="0" w:color="auto"/>
            </w:tcBorders>
            <w:shd w:val="clear" w:color="auto" w:fill="FF9900"/>
            <w:tcMar>
              <w:top w:w="28" w:type="dxa"/>
              <w:left w:w="28" w:type="dxa"/>
              <w:bottom w:w="28" w:type="dxa"/>
              <w:right w:w="28" w:type="dxa"/>
            </w:tcMar>
            <w:hideMark/>
          </w:tcPr>
          <w:p w14:paraId="476F5E95" w14:textId="218F1B3B" w:rsidR="003E6D8C" w:rsidRPr="00F66384" w:rsidRDefault="007A32B6" w:rsidP="007A32B6">
            <w:pPr>
              <w:overflowPunct/>
              <w:autoSpaceDE/>
              <w:autoSpaceDN/>
              <w:adjustRightInd/>
              <w:jc w:val="center"/>
              <w:textAlignment w:val="auto"/>
              <w:rPr>
                <w:rFonts w:asciiTheme="minorHAnsi" w:hAnsiTheme="minorHAnsi"/>
                <w:b/>
                <w:color w:val="000000"/>
                <w:sz w:val="18"/>
                <w:szCs w:val="18"/>
                <w:lang w:val="en-US"/>
              </w:rPr>
            </w:pPr>
            <w:r>
              <w:rPr>
                <w:rFonts w:asciiTheme="minorHAnsi" w:hAnsiTheme="minorHAnsi"/>
                <w:b/>
                <w:color w:val="000000"/>
                <w:sz w:val="18"/>
                <w:szCs w:val="18"/>
                <w:lang w:val="en-US"/>
              </w:rPr>
              <w:t>?</w:t>
            </w:r>
          </w:p>
        </w:tc>
        <w:tc>
          <w:tcPr>
            <w:tcW w:w="247" w:type="pct"/>
            <w:tcBorders>
              <w:top w:val="nil"/>
              <w:left w:val="nil"/>
              <w:bottom w:val="single" w:sz="4" w:space="0" w:color="auto"/>
              <w:right w:val="single" w:sz="4" w:space="0" w:color="auto"/>
            </w:tcBorders>
            <w:shd w:val="clear" w:color="auto" w:fill="FF9900"/>
            <w:tcMar>
              <w:top w:w="28" w:type="dxa"/>
              <w:left w:w="28" w:type="dxa"/>
              <w:bottom w:w="28" w:type="dxa"/>
              <w:right w:w="28" w:type="dxa"/>
            </w:tcMar>
            <w:hideMark/>
          </w:tcPr>
          <w:p w14:paraId="168C5B9D" w14:textId="5B798387" w:rsidR="003E6D8C" w:rsidRPr="00F66384" w:rsidRDefault="007A32B6" w:rsidP="007A32B6">
            <w:pPr>
              <w:overflowPunct/>
              <w:autoSpaceDE/>
              <w:autoSpaceDN/>
              <w:adjustRightInd/>
              <w:jc w:val="center"/>
              <w:textAlignment w:val="auto"/>
              <w:rPr>
                <w:rFonts w:asciiTheme="minorHAnsi" w:hAnsiTheme="minorHAnsi"/>
                <w:b/>
                <w:color w:val="000000"/>
                <w:sz w:val="18"/>
                <w:szCs w:val="18"/>
                <w:lang w:val="en-US"/>
              </w:rPr>
            </w:pPr>
            <w:r>
              <w:rPr>
                <w:rFonts w:asciiTheme="minorHAnsi" w:hAnsiTheme="minorHAnsi"/>
                <w:b/>
                <w:color w:val="000000"/>
                <w:sz w:val="18"/>
                <w:szCs w:val="18"/>
                <w:lang w:val="en-US"/>
              </w:rPr>
              <w:t>?</w:t>
            </w:r>
          </w:p>
        </w:tc>
        <w:tc>
          <w:tcPr>
            <w:tcW w:w="247" w:type="pct"/>
            <w:tcBorders>
              <w:top w:val="nil"/>
              <w:left w:val="nil"/>
              <w:bottom w:val="single" w:sz="4" w:space="0" w:color="auto"/>
              <w:right w:val="single" w:sz="4" w:space="0" w:color="auto"/>
            </w:tcBorders>
            <w:shd w:val="clear" w:color="auto" w:fill="FF9900"/>
            <w:tcMar>
              <w:top w:w="28" w:type="dxa"/>
              <w:left w:w="28" w:type="dxa"/>
              <w:bottom w:w="28" w:type="dxa"/>
              <w:right w:w="28" w:type="dxa"/>
            </w:tcMar>
            <w:hideMark/>
          </w:tcPr>
          <w:p w14:paraId="21A35594" w14:textId="49B3125A" w:rsidR="003E6D8C" w:rsidRPr="00F66384" w:rsidRDefault="007A32B6" w:rsidP="007A32B6">
            <w:pPr>
              <w:overflowPunct/>
              <w:autoSpaceDE/>
              <w:autoSpaceDN/>
              <w:adjustRightInd/>
              <w:jc w:val="center"/>
              <w:textAlignment w:val="auto"/>
              <w:rPr>
                <w:rFonts w:asciiTheme="minorHAnsi" w:hAnsiTheme="minorHAnsi"/>
                <w:b/>
                <w:color w:val="000000"/>
                <w:sz w:val="18"/>
                <w:szCs w:val="18"/>
                <w:lang w:val="en-US"/>
              </w:rPr>
            </w:pPr>
            <w:r>
              <w:rPr>
                <w:rFonts w:asciiTheme="minorHAnsi" w:hAnsiTheme="minorHAnsi"/>
                <w:b/>
                <w:color w:val="000000"/>
                <w:sz w:val="18"/>
                <w:szCs w:val="18"/>
                <w:lang w:val="en-US"/>
              </w:rPr>
              <w:t>?</w:t>
            </w:r>
          </w:p>
        </w:tc>
        <w:tc>
          <w:tcPr>
            <w:tcW w:w="193" w:type="pct"/>
            <w:tcBorders>
              <w:top w:val="nil"/>
              <w:left w:val="nil"/>
              <w:bottom w:val="single" w:sz="4" w:space="0" w:color="auto"/>
              <w:right w:val="single" w:sz="4" w:space="0" w:color="auto"/>
            </w:tcBorders>
            <w:shd w:val="clear" w:color="000000" w:fill="92D050"/>
            <w:tcMar>
              <w:top w:w="28" w:type="dxa"/>
              <w:left w:w="28" w:type="dxa"/>
              <w:bottom w:w="28" w:type="dxa"/>
              <w:right w:w="28" w:type="dxa"/>
            </w:tcMar>
            <w:hideMark/>
          </w:tcPr>
          <w:p w14:paraId="1216C371" w14:textId="77777777" w:rsidR="003E6D8C" w:rsidRPr="00F66384" w:rsidRDefault="003E6D8C" w:rsidP="001E0ACE">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r>
      <w:tr w:rsidR="003E6D8C" w:rsidRPr="00F66384" w14:paraId="7C5F605C" w14:textId="77777777" w:rsidTr="00D56423">
        <w:trPr>
          <w:trHeight w:val="56"/>
        </w:trPr>
        <w:tc>
          <w:tcPr>
            <w:tcW w:w="340" w:type="pct"/>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14:paraId="5DC373CD" w14:textId="77777777" w:rsidR="003E6D8C" w:rsidRPr="009069FF" w:rsidRDefault="003E6D8C" w:rsidP="001E0ACE">
            <w:pPr>
              <w:overflowPunct/>
              <w:autoSpaceDE/>
              <w:autoSpaceDN/>
              <w:adjustRightInd/>
              <w:jc w:val="center"/>
              <w:textAlignment w:val="auto"/>
              <w:rPr>
                <w:rFonts w:asciiTheme="minorHAnsi" w:hAnsiTheme="minorHAnsi"/>
                <w:b/>
                <w:color w:val="000000"/>
                <w:sz w:val="18"/>
                <w:szCs w:val="18"/>
                <w:lang w:val="en-US"/>
              </w:rPr>
            </w:pPr>
            <w:r w:rsidRPr="009069FF">
              <w:rPr>
                <w:rFonts w:asciiTheme="minorHAnsi" w:hAnsiTheme="minorHAnsi"/>
                <w:b/>
                <w:color w:val="000000"/>
                <w:sz w:val="18"/>
                <w:szCs w:val="18"/>
                <w:lang w:val="en-US"/>
              </w:rPr>
              <w:t>1.2</w:t>
            </w:r>
          </w:p>
        </w:tc>
        <w:tc>
          <w:tcPr>
            <w:tcW w:w="1624" w:type="pct"/>
            <w:gridSpan w:val="2"/>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14:paraId="2E3E7A0F" w14:textId="5430C470" w:rsidR="003E6D8C" w:rsidRPr="00F66384" w:rsidRDefault="003E6D8C">
            <w:pPr>
              <w:rPr>
                <w:rFonts w:asciiTheme="minorHAnsi" w:hAnsiTheme="minorHAnsi"/>
                <w:color w:val="000000"/>
                <w:sz w:val="18"/>
                <w:szCs w:val="18"/>
              </w:rPr>
            </w:pPr>
            <w:r w:rsidRPr="008568FE">
              <w:rPr>
                <w:rFonts w:ascii="Calibri" w:hAnsi="Calibri"/>
                <w:sz w:val="18"/>
                <w:szCs w:val="18"/>
              </w:rPr>
              <w:t xml:space="preserve">Reduction or no increase in illegal activity measured by % of patrols resulting in arrests or fines </w:t>
            </w:r>
            <w:r w:rsidRPr="008568FE">
              <w:rPr>
                <w:rFonts w:ascii="Calibri" w:hAnsi="Calibri"/>
                <w:sz w:val="18"/>
                <w:szCs w:val="18"/>
                <w:vertAlign w:val="superscript"/>
              </w:rPr>
              <w:footnoteReference w:id="16"/>
            </w:r>
          </w:p>
        </w:tc>
        <w:tc>
          <w:tcPr>
            <w:tcW w:w="1855" w:type="pct"/>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14:paraId="17E1A3CC" w14:textId="77777777" w:rsidR="003E6D8C" w:rsidRPr="008568FE" w:rsidRDefault="003E6D8C" w:rsidP="003E6D8C">
            <w:pPr>
              <w:rPr>
                <w:rFonts w:ascii="Calibri" w:hAnsi="Calibri"/>
                <w:b/>
                <w:bCs/>
                <w:color w:val="000000" w:themeColor="text1"/>
                <w:sz w:val="18"/>
                <w:szCs w:val="18"/>
              </w:rPr>
            </w:pPr>
            <w:r w:rsidRPr="008568FE">
              <w:rPr>
                <w:rFonts w:ascii="Calibri" w:hAnsi="Calibri"/>
                <w:color w:val="000000" w:themeColor="text1"/>
                <w:sz w:val="18"/>
                <w:szCs w:val="18"/>
              </w:rPr>
              <w:t>Mtirala NP: 1.3% or less</w:t>
            </w:r>
          </w:p>
          <w:p w14:paraId="2DDD4B38" w14:textId="465574F1" w:rsidR="003E6D8C" w:rsidRPr="00F66384" w:rsidRDefault="003E6D8C">
            <w:pPr>
              <w:rPr>
                <w:rFonts w:asciiTheme="minorHAnsi" w:hAnsiTheme="minorHAnsi"/>
                <w:color w:val="000000"/>
                <w:sz w:val="18"/>
                <w:szCs w:val="18"/>
              </w:rPr>
            </w:pPr>
            <w:r w:rsidRPr="008568FE">
              <w:rPr>
                <w:rFonts w:ascii="Calibri" w:hAnsi="Calibri"/>
                <w:color w:val="000000" w:themeColor="text1"/>
                <w:sz w:val="18"/>
                <w:szCs w:val="18"/>
              </w:rPr>
              <w:t>Kintrishi PA Complex: 0.37% or less</w:t>
            </w:r>
          </w:p>
        </w:tc>
        <w:tc>
          <w:tcPr>
            <w:tcW w:w="247" w:type="pct"/>
            <w:tcBorders>
              <w:top w:val="nil"/>
              <w:left w:val="nil"/>
              <w:bottom w:val="single" w:sz="4" w:space="0" w:color="auto"/>
              <w:right w:val="single" w:sz="4" w:space="0" w:color="auto"/>
            </w:tcBorders>
            <w:shd w:val="clear" w:color="000000" w:fill="92D050"/>
            <w:tcMar>
              <w:top w:w="28" w:type="dxa"/>
              <w:left w:w="28" w:type="dxa"/>
              <w:bottom w:w="28" w:type="dxa"/>
              <w:right w:w="28" w:type="dxa"/>
            </w:tcMar>
            <w:hideMark/>
          </w:tcPr>
          <w:p w14:paraId="1D9B7EE9" w14:textId="77777777" w:rsidR="003E6D8C" w:rsidRPr="00F66384" w:rsidRDefault="003E6D8C" w:rsidP="001E0ACE">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247" w:type="pct"/>
            <w:tcBorders>
              <w:top w:val="nil"/>
              <w:left w:val="nil"/>
              <w:bottom w:val="single" w:sz="4" w:space="0" w:color="auto"/>
              <w:right w:val="single" w:sz="4" w:space="0" w:color="auto"/>
            </w:tcBorders>
            <w:shd w:val="clear" w:color="000000" w:fill="92D050"/>
            <w:tcMar>
              <w:top w:w="28" w:type="dxa"/>
              <w:left w:w="28" w:type="dxa"/>
              <w:bottom w:w="28" w:type="dxa"/>
              <w:right w:w="28" w:type="dxa"/>
            </w:tcMar>
            <w:hideMark/>
          </w:tcPr>
          <w:p w14:paraId="716062C5" w14:textId="77777777" w:rsidR="003E6D8C" w:rsidRPr="00F66384" w:rsidRDefault="003E6D8C" w:rsidP="001E0ACE">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247" w:type="pct"/>
            <w:tcBorders>
              <w:top w:val="nil"/>
              <w:left w:val="nil"/>
              <w:bottom w:val="single" w:sz="4" w:space="0" w:color="auto"/>
              <w:right w:val="single" w:sz="4" w:space="0" w:color="auto"/>
            </w:tcBorders>
            <w:shd w:val="clear" w:color="auto" w:fill="92D050"/>
            <w:tcMar>
              <w:top w:w="28" w:type="dxa"/>
              <w:left w:w="28" w:type="dxa"/>
              <w:bottom w:w="28" w:type="dxa"/>
              <w:right w:w="28" w:type="dxa"/>
            </w:tcMar>
            <w:hideMark/>
          </w:tcPr>
          <w:p w14:paraId="19BA0D44" w14:textId="77777777" w:rsidR="003E6D8C" w:rsidRPr="00F66384" w:rsidRDefault="003E6D8C" w:rsidP="001E0ACE">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247" w:type="pct"/>
            <w:tcBorders>
              <w:top w:val="single" w:sz="4" w:space="0" w:color="auto"/>
              <w:left w:val="nil"/>
              <w:bottom w:val="single" w:sz="4" w:space="0" w:color="auto"/>
              <w:right w:val="single" w:sz="4" w:space="0" w:color="auto"/>
            </w:tcBorders>
            <w:shd w:val="clear" w:color="000000" w:fill="FF9900"/>
            <w:tcMar>
              <w:top w:w="28" w:type="dxa"/>
              <w:left w:w="28" w:type="dxa"/>
              <w:bottom w:w="28" w:type="dxa"/>
              <w:right w:w="28" w:type="dxa"/>
            </w:tcMar>
            <w:hideMark/>
          </w:tcPr>
          <w:p w14:paraId="119B9A2F" w14:textId="248F027E" w:rsidR="003E6D8C" w:rsidRPr="00F66384" w:rsidRDefault="007A32B6" w:rsidP="007A32B6">
            <w:pPr>
              <w:overflowPunct/>
              <w:autoSpaceDE/>
              <w:autoSpaceDN/>
              <w:adjustRightInd/>
              <w:jc w:val="center"/>
              <w:textAlignment w:val="auto"/>
              <w:rPr>
                <w:rFonts w:asciiTheme="minorHAnsi" w:hAnsiTheme="minorHAnsi"/>
                <w:b/>
                <w:color w:val="000000"/>
                <w:sz w:val="18"/>
                <w:szCs w:val="18"/>
                <w:lang w:val="en-US"/>
              </w:rPr>
            </w:pPr>
            <w:r>
              <w:rPr>
                <w:rFonts w:asciiTheme="minorHAnsi" w:hAnsiTheme="minorHAnsi"/>
                <w:b/>
                <w:color w:val="000000"/>
                <w:sz w:val="18"/>
                <w:szCs w:val="18"/>
                <w:lang w:val="en-US"/>
              </w:rPr>
              <w:t>?</w:t>
            </w:r>
          </w:p>
        </w:tc>
        <w:tc>
          <w:tcPr>
            <w:tcW w:w="193" w:type="pct"/>
            <w:tcBorders>
              <w:top w:val="nil"/>
              <w:left w:val="nil"/>
              <w:bottom w:val="single" w:sz="4" w:space="0" w:color="auto"/>
              <w:right w:val="single" w:sz="4" w:space="0" w:color="auto"/>
            </w:tcBorders>
            <w:shd w:val="clear" w:color="000000" w:fill="92D050"/>
            <w:tcMar>
              <w:top w:w="28" w:type="dxa"/>
              <w:left w:w="28" w:type="dxa"/>
              <w:bottom w:w="28" w:type="dxa"/>
              <w:right w:w="28" w:type="dxa"/>
            </w:tcMar>
            <w:hideMark/>
          </w:tcPr>
          <w:p w14:paraId="1976C48F" w14:textId="77777777" w:rsidR="003E6D8C" w:rsidRPr="00F66384" w:rsidRDefault="003E6D8C" w:rsidP="001E0ACE">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r>
      <w:tr w:rsidR="001E0ACE" w:rsidRPr="00F66384" w14:paraId="56530D27" w14:textId="77777777" w:rsidTr="00355317">
        <w:trPr>
          <w:trHeight w:val="46"/>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tcMar>
              <w:top w:w="28" w:type="dxa"/>
              <w:left w:w="28" w:type="dxa"/>
              <w:bottom w:w="28" w:type="dxa"/>
              <w:right w:w="28" w:type="dxa"/>
            </w:tcMar>
            <w:hideMark/>
          </w:tcPr>
          <w:p w14:paraId="27E9FB1B" w14:textId="6667E5D8" w:rsidR="001E0ACE" w:rsidRPr="009069FF" w:rsidRDefault="001E0ACE" w:rsidP="001E0ACE">
            <w:pPr>
              <w:overflowPunct/>
              <w:autoSpaceDE/>
              <w:autoSpaceDN/>
              <w:adjustRightInd/>
              <w:textAlignment w:val="auto"/>
              <w:rPr>
                <w:rFonts w:asciiTheme="minorHAnsi" w:hAnsiTheme="minorHAnsi"/>
                <w:b/>
                <w:bCs/>
                <w:color w:val="000000"/>
                <w:sz w:val="18"/>
                <w:szCs w:val="18"/>
                <w:lang w:val="en-US"/>
              </w:rPr>
            </w:pPr>
            <w:r w:rsidRPr="009069FF">
              <w:rPr>
                <w:rFonts w:asciiTheme="minorHAnsi" w:hAnsiTheme="minorHAnsi"/>
                <w:b/>
                <w:bCs/>
                <w:color w:val="000000"/>
                <w:sz w:val="18"/>
                <w:szCs w:val="18"/>
                <w:lang w:val="en-US"/>
              </w:rPr>
              <w:t xml:space="preserve">Outcome 2: </w:t>
            </w:r>
            <w:r w:rsidR="003E6D8C" w:rsidRPr="003E6D8C">
              <w:rPr>
                <w:rFonts w:ascii="Calibri" w:hAnsi="Calibri"/>
                <w:sz w:val="18"/>
                <w:szCs w:val="18"/>
              </w:rPr>
              <w:t>PA System Expanded to increase functional connectivity of PAs in the West Lesser Caucasus</w:t>
            </w:r>
          </w:p>
        </w:tc>
      </w:tr>
      <w:tr w:rsidR="003E6D8C" w:rsidRPr="00F66384" w14:paraId="0358F190" w14:textId="77777777" w:rsidTr="005F6C7A">
        <w:trPr>
          <w:trHeight w:val="56"/>
        </w:trPr>
        <w:tc>
          <w:tcPr>
            <w:tcW w:w="340" w:type="pct"/>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14:paraId="4B2C82E9" w14:textId="77777777" w:rsidR="003E6D8C" w:rsidRPr="00F66384" w:rsidRDefault="003E6D8C">
            <w:pPr>
              <w:jc w:val="center"/>
              <w:rPr>
                <w:rFonts w:asciiTheme="minorHAnsi" w:hAnsiTheme="minorHAnsi"/>
                <w:b/>
                <w:bCs/>
                <w:color w:val="000000"/>
                <w:sz w:val="18"/>
                <w:szCs w:val="18"/>
              </w:rPr>
            </w:pPr>
            <w:r w:rsidRPr="00F66384">
              <w:rPr>
                <w:rFonts w:asciiTheme="minorHAnsi" w:hAnsiTheme="minorHAnsi"/>
                <w:b/>
                <w:bCs/>
                <w:color w:val="000000"/>
                <w:sz w:val="18"/>
                <w:szCs w:val="18"/>
              </w:rPr>
              <w:t>2.1</w:t>
            </w:r>
          </w:p>
        </w:tc>
        <w:tc>
          <w:tcPr>
            <w:tcW w:w="1624" w:type="pct"/>
            <w:gridSpan w:val="2"/>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14:paraId="05A6F426" w14:textId="48782175" w:rsidR="003E6D8C" w:rsidRPr="00F66384" w:rsidRDefault="003E6D8C">
            <w:pPr>
              <w:rPr>
                <w:rFonts w:asciiTheme="minorHAnsi" w:hAnsiTheme="minorHAnsi"/>
                <w:color w:val="000000"/>
                <w:sz w:val="18"/>
                <w:szCs w:val="18"/>
              </w:rPr>
            </w:pPr>
            <w:r w:rsidRPr="008568FE">
              <w:rPr>
                <w:rFonts w:ascii="Calibri" w:hAnsi="Calibri"/>
                <w:sz w:val="18"/>
                <w:szCs w:val="18"/>
              </w:rPr>
              <w:t>Extent (ha) of area surveyed, and formally proclaimed and managed as Machakhela National Park (IUCN Cat II)</w:t>
            </w:r>
          </w:p>
        </w:tc>
        <w:tc>
          <w:tcPr>
            <w:tcW w:w="1855" w:type="pct"/>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14:paraId="70F0FE90" w14:textId="64273CED" w:rsidR="003E6D8C" w:rsidRPr="00F66384" w:rsidRDefault="003E6D8C">
            <w:pPr>
              <w:rPr>
                <w:rFonts w:asciiTheme="minorHAnsi" w:hAnsiTheme="minorHAnsi"/>
                <w:color w:val="000000"/>
                <w:sz w:val="18"/>
                <w:szCs w:val="18"/>
              </w:rPr>
            </w:pPr>
            <w:r w:rsidRPr="008568FE">
              <w:rPr>
                <w:rFonts w:ascii="Calibri" w:hAnsi="Calibri"/>
                <w:sz w:val="18"/>
                <w:szCs w:val="18"/>
                <w:lang w:val="sv-SE"/>
              </w:rPr>
              <w:t>Machakhela National Park  covering 8,733 ha by yr 2</w:t>
            </w:r>
          </w:p>
        </w:tc>
        <w:tc>
          <w:tcPr>
            <w:tcW w:w="247" w:type="pct"/>
            <w:tcBorders>
              <w:top w:val="nil"/>
              <w:left w:val="nil"/>
              <w:bottom w:val="single" w:sz="4" w:space="0" w:color="auto"/>
              <w:right w:val="single" w:sz="4" w:space="0" w:color="auto"/>
            </w:tcBorders>
            <w:shd w:val="clear" w:color="000000" w:fill="92D050"/>
            <w:tcMar>
              <w:top w:w="28" w:type="dxa"/>
              <w:left w:w="28" w:type="dxa"/>
              <w:bottom w:w="28" w:type="dxa"/>
              <w:right w:w="28" w:type="dxa"/>
            </w:tcMar>
            <w:hideMark/>
          </w:tcPr>
          <w:p w14:paraId="6862D352" w14:textId="77777777" w:rsidR="003E6D8C" w:rsidRPr="00F66384" w:rsidRDefault="003E6D8C" w:rsidP="001E0ACE">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247" w:type="pct"/>
            <w:tcBorders>
              <w:top w:val="nil"/>
              <w:left w:val="nil"/>
              <w:bottom w:val="single" w:sz="4" w:space="0" w:color="auto"/>
              <w:right w:val="single" w:sz="4" w:space="0" w:color="auto"/>
            </w:tcBorders>
            <w:shd w:val="clear" w:color="000000" w:fill="92D050"/>
            <w:tcMar>
              <w:top w:w="28" w:type="dxa"/>
              <w:left w:w="28" w:type="dxa"/>
              <w:bottom w:w="28" w:type="dxa"/>
              <w:right w:w="28" w:type="dxa"/>
            </w:tcMar>
            <w:hideMark/>
          </w:tcPr>
          <w:p w14:paraId="3251D81E" w14:textId="77777777" w:rsidR="003E6D8C" w:rsidRPr="00F66384" w:rsidRDefault="003E6D8C" w:rsidP="001E0ACE">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247" w:type="pct"/>
            <w:tcBorders>
              <w:top w:val="nil"/>
              <w:left w:val="nil"/>
              <w:bottom w:val="single" w:sz="4" w:space="0" w:color="auto"/>
              <w:right w:val="single" w:sz="4" w:space="0" w:color="auto"/>
            </w:tcBorders>
            <w:shd w:val="clear" w:color="000000" w:fill="92D050"/>
            <w:tcMar>
              <w:top w:w="28" w:type="dxa"/>
              <w:left w:w="28" w:type="dxa"/>
              <w:bottom w:w="28" w:type="dxa"/>
              <w:right w:w="28" w:type="dxa"/>
            </w:tcMar>
            <w:hideMark/>
          </w:tcPr>
          <w:p w14:paraId="08DCBCE3" w14:textId="77777777" w:rsidR="003E6D8C" w:rsidRPr="00F66384" w:rsidRDefault="003E6D8C" w:rsidP="001E0ACE">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247" w:type="pct"/>
            <w:tcBorders>
              <w:top w:val="nil"/>
              <w:left w:val="nil"/>
              <w:bottom w:val="single" w:sz="4" w:space="0" w:color="auto"/>
              <w:right w:val="single" w:sz="4" w:space="0" w:color="auto"/>
            </w:tcBorders>
            <w:shd w:val="clear" w:color="auto" w:fill="92D050"/>
            <w:tcMar>
              <w:top w:w="28" w:type="dxa"/>
              <w:left w:w="28" w:type="dxa"/>
              <w:bottom w:w="28" w:type="dxa"/>
              <w:right w:w="28" w:type="dxa"/>
            </w:tcMar>
            <w:hideMark/>
          </w:tcPr>
          <w:p w14:paraId="1746F69B" w14:textId="77777777" w:rsidR="003E6D8C" w:rsidRPr="00F66384" w:rsidRDefault="003E6D8C" w:rsidP="001E0ACE">
            <w:pPr>
              <w:overflowPunct/>
              <w:autoSpaceDE/>
              <w:autoSpaceDN/>
              <w:adjustRightInd/>
              <w:jc w:val="center"/>
              <w:textAlignment w:val="auto"/>
              <w:rPr>
                <w:rFonts w:asciiTheme="minorHAnsi" w:hAnsiTheme="minorHAnsi"/>
                <w:b/>
                <w:color w:val="000000"/>
                <w:sz w:val="18"/>
                <w:szCs w:val="18"/>
                <w:lang w:val="en-US"/>
              </w:rPr>
            </w:pPr>
            <w:r>
              <w:rPr>
                <w:rFonts w:asciiTheme="minorHAnsi" w:hAnsiTheme="minorHAnsi"/>
                <w:b/>
                <w:color w:val="000000"/>
                <w:sz w:val="18"/>
                <w:szCs w:val="18"/>
                <w:lang w:val="en-US"/>
              </w:rPr>
              <w:t>Y</w:t>
            </w:r>
          </w:p>
        </w:tc>
        <w:tc>
          <w:tcPr>
            <w:tcW w:w="193" w:type="pct"/>
            <w:tcBorders>
              <w:top w:val="nil"/>
              <w:left w:val="nil"/>
              <w:bottom w:val="single" w:sz="4" w:space="0" w:color="auto"/>
              <w:right w:val="single" w:sz="4" w:space="0" w:color="auto"/>
            </w:tcBorders>
            <w:shd w:val="clear" w:color="auto" w:fill="92D050"/>
            <w:tcMar>
              <w:top w:w="28" w:type="dxa"/>
              <w:left w:w="28" w:type="dxa"/>
              <w:bottom w:w="28" w:type="dxa"/>
              <w:right w:w="28" w:type="dxa"/>
            </w:tcMar>
            <w:hideMark/>
          </w:tcPr>
          <w:p w14:paraId="186F5D3F" w14:textId="77777777" w:rsidR="003E6D8C" w:rsidRPr="00F66384" w:rsidRDefault="003E6D8C" w:rsidP="001E0ACE">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r>
      <w:tr w:rsidR="003E6D8C" w:rsidRPr="00F66384" w14:paraId="634D2DB5" w14:textId="77777777" w:rsidTr="005F6C7A">
        <w:trPr>
          <w:trHeight w:val="56"/>
        </w:trPr>
        <w:tc>
          <w:tcPr>
            <w:tcW w:w="340" w:type="pct"/>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14:paraId="0637D338" w14:textId="77777777" w:rsidR="003E6D8C" w:rsidRPr="00F66384" w:rsidRDefault="003E6D8C">
            <w:pPr>
              <w:jc w:val="center"/>
              <w:rPr>
                <w:rFonts w:asciiTheme="minorHAnsi" w:hAnsiTheme="minorHAnsi"/>
                <w:b/>
                <w:bCs/>
                <w:color w:val="000000"/>
                <w:sz w:val="18"/>
                <w:szCs w:val="18"/>
              </w:rPr>
            </w:pPr>
            <w:r w:rsidRPr="00F66384">
              <w:rPr>
                <w:rFonts w:asciiTheme="minorHAnsi" w:hAnsiTheme="minorHAnsi"/>
                <w:b/>
                <w:bCs/>
                <w:color w:val="000000"/>
                <w:sz w:val="18"/>
                <w:szCs w:val="18"/>
              </w:rPr>
              <w:t>2.2</w:t>
            </w:r>
          </w:p>
        </w:tc>
        <w:tc>
          <w:tcPr>
            <w:tcW w:w="1624" w:type="pct"/>
            <w:gridSpan w:val="2"/>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14:paraId="26AEBDC6" w14:textId="2E38FAD0" w:rsidR="003E6D8C" w:rsidRPr="00F66384" w:rsidRDefault="003E6D8C">
            <w:pPr>
              <w:rPr>
                <w:rFonts w:asciiTheme="minorHAnsi" w:hAnsiTheme="minorHAnsi"/>
                <w:color w:val="000000"/>
                <w:sz w:val="18"/>
                <w:szCs w:val="18"/>
              </w:rPr>
            </w:pPr>
            <w:r w:rsidRPr="008568FE">
              <w:rPr>
                <w:rFonts w:ascii="Calibri" w:hAnsi="Calibri"/>
                <w:sz w:val="18"/>
                <w:szCs w:val="18"/>
              </w:rPr>
              <w:t>Distance between the Mtirala/Kintrishi PA Complex and the nearest Forest Habitat PA</w:t>
            </w:r>
          </w:p>
        </w:tc>
        <w:tc>
          <w:tcPr>
            <w:tcW w:w="1855" w:type="pct"/>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14:paraId="18B311C6" w14:textId="0945BB5F" w:rsidR="003E6D8C" w:rsidRPr="00F66384" w:rsidRDefault="003E6D8C">
            <w:pPr>
              <w:rPr>
                <w:rFonts w:asciiTheme="minorHAnsi" w:hAnsiTheme="minorHAnsi"/>
                <w:color w:val="000000"/>
                <w:sz w:val="18"/>
                <w:szCs w:val="18"/>
              </w:rPr>
            </w:pPr>
            <w:r w:rsidRPr="008568FE">
              <w:rPr>
                <w:rFonts w:ascii="Calibri" w:hAnsi="Calibri"/>
                <w:sz w:val="18"/>
                <w:szCs w:val="18"/>
              </w:rPr>
              <w:t>Less than 6 km to Machakhela NP</w:t>
            </w:r>
          </w:p>
        </w:tc>
        <w:tc>
          <w:tcPr>
            <w:tcW w:w="247" w:type="pct"/>
            <w:tcBorders>
              <w:top w:val="nil"/>
              <w:left w:val="nil"/>
              <w:bottom w:val="single" w:sz="4" w:space="0" w:color="auto"/>
              <w:right w:val="single" w:sz="4" w:space="0" w:color="auto"/>
            </w:tcBorders>
            <w:shd w:val="clear" w:color="000000" w:fill="92D050"/>
            <w:tcMar>
              <w:top w:w="28" w:type="dxa"/>
              <w:left w:w="28" w:type="dxa"/>
              <w:bottom w:w="28" w:type="dxa"/>
              <w:right w:w="28" w:type="dxa"/>
            </w:tcMar>
            <w:hideMark/>
          </w:tcPr>
          <w:p w14:paraId="28BD9F4A" w14:textId="77777777" w:rsidR="003E6D8C" w:rsidRPr="00F66384" w:rsidRDefault="003E6D8C" w:rsidP="001E0ACE">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247" w:type="pct"/>
            <w:tcBorders>
              <w:top w:val="nil"/>
              <w:left w:val="nil"/>
              <w:bottom w:val="single" w:sz="4" w:space="0" w:color="auto"/>
              <w:right w:val="single" w:sz="4" w:space="0" w:color="auto"/>
            </w:tcBorders>
            <w:shd w:val="clear" w:color="000000" w:fill="92D050"/>
            <w:tcMar>
              <w:top w:w="28" w:type="dxa"/>
              <w:left w:w="28" w:type="dxa"/>
              <w:bottom w:w="28" w:type="dxa"/>
              <w:right w:w="28" w:type="dxa"/>
            </w:tcMar>
            <w:hideMark/>
          </w:tcPr>
          <w:p w14:paraId="0D94A2DE" w14:textId="77777777" w:rsidR="003E6D8C" w:rsidRPr="00F66384" w:rsidRDefault="003E6D8C" w:rsidP="001E0ACE">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247" w:type="pct"/>
            <w:tcBorders>
              <w:top w:val="nil"/>
              <w:left w:val="nil"/>
              <w:bottom w:val="single" w:sz="4" w:space="0" w:color="auto"/>
              <w:right w:val="single" w:sz="4" w:space="0" w:color="auto"/>
            </w:tcBorders>
            <w:shd w:val="clear" w:color="000000" w:fill="92D050"/>
            <w:tcMar>
              <w:top w:w="28" w:type="dxa"/>
              <w:left w:w="28" w:type="dxa"/>
              <w:bottom w:w="28" w:type="dxa"/>
              <w:right w:w="28" w:type="dxa"/>
            </w:tcMar>
            <w:hideMark/>
          </w:tcPr>
          <w:p w14:paraId="1A38CEFB" w14:textId="77777777" w:rsidR="003E6D8C" w:rsidRPr="00F66384" w:rsidRDefault="003E6D8C" w:rsidP="001E0ACE">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247" w:type="pct"/>
            <w:tcBorders>
              <w:top w:val="nil"/>
              <w:left w:val="nil"/>
              <w:bottom w:val="single" w:sz="4" w:space="0" w:color="auto"/>
              <w:right w:val="single" w:sz="4" w:space="0" w:color="auto"/>
            </w:tcBorders>
            <w:shd w:val="clear" w:color="auto" w:fill="92D050"/>
            <w:tcMar>
              <w:top w:w="28" w:type="dxa"/>
              <w:left w:w="28" w:type="dxa"/>
              <w:bottom w:w="28" w:type="dxa"/>
              <w:right w:w="28" w:type="dxa"/>
            </w:tcMar>
            <w:hideMark/>
          </w:tcPr>
          <w:p w14:paraId="10692CBB" w14:textId="77777777" w:rsidR="003E6D8C" w:rsidRPr="00F66384" w:rsidRDefault="003E6D8C" w:rsidP="001E0ACE">
            <w:pPr>
              <w:overflowPunct/>
              <w:autoSpaceDE/>
              <w:autoSpaceDN/>
              <w:adjustRightInd/>
              <w:jc w:val="center"/>
              <w:textAlignment w:val="auto"/>
              <w:rPr>
                <w:rFonts w:asciiTheme="minorHAnsi" w:hAnsiTheme="minorHAnsi"/>
                <w:b/>
                <w:color w:val="000000"/>
                <w:sz w:val="18"/>
                <w:szCs w:val="18"/>
                <w:lang w:val="en-US"/>
              </w:rPr>
            </w:pPr>
            <w:r>
              <w:rPr>
                <w:rFonts w:asciiTheme="minorHAnsi" w:hAnsiTheme="minorHAnsi"/>
                <w:b/>
                <w:color w:val="000000"/>
                <w:sz w:val="18"/>
                <w:szCs w:val="18"/>
                <w:lang w:val="en-US"/>
              </w:rPr>
              <w:t>Y</w:t>
            </w:r>
          </w:p>
        </w:tc>
        <w:tc>
          <w:tcPr>
            <w:tcW w:w="193" w:type="pct"/>
            <w:tcBorders>
              <w:top w:val="nil"/>
              <w:left w:val="nil"/>
              <w:bottom w:val="single" w:sz="4" w:space="0" w:color="auto"/>
              <w:right w:val="single" w:sz="4" w:space="0" w:color="auto"/>
            </w:tcBorders>
            <w:shd w:val="clear" w:color="auto" w:fill="92D050"/>
            <w:tcMar>
              <w:top w:w="28" w:type="dxa"/>
              <w:left w:w="28" w:type="dxa"/>
              <w:bottom w:w="28" w:type="dxa"/>
              <w:right w:w="28" w:type="dxa"/>
            </w:tcMar>
            <w:hideMark/>
          </w:tcPr>
          <w:p w14:paraId="2DE5C898" w14:textId="77777777" w:rsidR="003E6D8C" w:rsidRPr="00F66384" w:rsidRDefault="003E6D8C" w:rsidP="001E0ACE">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r>
      <w:tr w:rsidR="003E6D8C" w:rsidRPr="00F66384" w14:paraId="7C24A261" w14:textId="77777777" w:rsidTr="005F6C7A">
        <w:trPr>
          <w:trHeight w:val="56"/>
        </w:trPr>
        <w:tc>
          <w:tcPr>
            <w:tcW w:w="340" w:type="pct"/>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22DF6554" w14:textId="77777777" w:rsidR="003E6D8C" w:rsidRPr="00F66384" w:rsidRDefault="003E6D8C">
            <w:pPr>
              <w:jc w:val="center"/>
              <w:rPr>
                <w:rFonts w:asciiTheme="minorHAnsi" w:hAnsiTheme="minorHAnsi"/>
                <w:b/>
                <w:bCs/>
                <w:color w:val="000000"/>
                <w:sz w:val="18"/>
                <w:szCs w:val="18"/>
              </w:rPr>
            </w:pPr>
            <w:r w:rsidRPr="00F66384">
              <w:rPr>
                <w:rFonts w:asciiTheme="minorHAnsi" w:hAnsiTheme="minorHAnsi"/>
                <w:b/>
                <w:bCs/>
                <w:color w:val="000000"/>
                <w:sz w:val="18"/>
                <w:szCs w:val="18"/>
              </w:rPr>
              <w:t>2.3</w:t>
            </w:r>
          </w:p>
        </w:tc>
        <w:tc>
          <w:tcPr>
            <w:tcW w:w="1624" w:type="pct"/>
            <w:gridSpan w:val="2"/>
            <w:tcBorders>
              <w:top w:val="nil"/>
              <w:left w:val="nil"/>
              <w:bottom w:val="single" w:sz="4" w:space="0" w:color="auto"/>
              <w:right w:val="single" w:sz="4" w:space="0" w:color="auto"/>
            </w:tcBorders>
            <w:shd w:val="clear" w:color="auto" w:fill="auto"/>
            <w:tcMar>
              <w:top w:w="28" w:type="dxa"/>
              <w:left w:w="28" w:type="dxa"/>
              <w:bottom w:w="28" w:type="dxa"/>
              <w:right w:w="28" w:type="dxa"/>
            </w:tcMar>
          </w:tcPr>
          <w:p w14:paraId="6F3F028E" w14:textId="6323A7BA" w:rsidR="003E6D8C" w:rsidRPr="00F66384" w:rsidRDefault="003E6D8C">
            <w:pPr>
              <w:rPr>
                <w:rFonts w:asciiTheme="minorHAnsi" w:hAnsiTheme="minorHAnsi"/>
                <w:color w:val="000000"/>
                <w:sz w:val="18"/>
                <w:szCs w:val="18"/>
              </w:rPr>
            </w:pPr>
            <w:r w:rsidRPr="008568FE">
              <w:rPr>
                <w:rFonts w:ascii="Calibri" w:hAnsi="Calibri"/>
                <w:sz w:val="18"/>
                <w:szCs w:val="18"/>
              </w:rPr>
              <w:t>Necessary infrastructure investment is made by APA and Achara authorities  to establish effective management of the NP</w:t>
            </w:r>
          </w:p>
        </w:tc>
        <w:tc>
          <w:tcPr>
            <w:tcW w:w="1855" w:type="pct"/>
            <w:tcBorders>
              <w:top w:val="nil"/>
              <w:left w:val="nil"/>
              <w:bottom w:val="single" w:sz="4" w:space="0" w:color="auto"/>
              <w:right w:val="single" w:sz="4" w:space="0" w:color="auto"/>
            </w:tcBorders>
            <w:shd w:val="clear" w:color="auto" w:fill="auto"/>
            <w:tcMar>
              <w:top w:w="28" w:type="dxa"/>
              <w:left w:w="28" w:type="dxa"/>
              <w:bottom w:w="28" w:type="dxa"/>
              <w:right w:w="28" w:type="dxa"/>
            </w:tcMar>
          </w:tcPr>
          <w:p w14:paraId="5F5206E2" w14:textId="391F5A49" w:rsidR="003E6D8C" w:rsidRPr="00F66384" w:rsidRDefault="003E6D8C">
            <w:pPr>
              <w:rPr>
                <w:rFonts w:asciiTheme="minorHAnsi" w:hAnsiTheme="minorHAnsi"/>
                <w:color w:val="000000"/>
                <w:sz w:val="18"/>
                <w:szCs w:val="18"/>
              </w:rPr>
            </w:pPr>
            <w:r w:rsidRPr="008568FE">
              <w:rPr>
                <w:rFonts w:ascii="Calibri" w:hAnsi="Calibri"/>
                <w:noProof/>
                <w:sz w:val="18"/>
                <w:szCs w:val="18"/>
              </w:rPr>
              <w:t>Approx. 120,000 USD</w:t>
            </w:r>
          </w:p>
        </w:tc>
        <w:tc>
          <w:tcPr>
            <w:tcW w:w="247" w:type="pct"/>
            <w:tcBorders>
              <w:top w:val="nil"/>
              <w:left w:val="nil"/>
              <w:bottom w:val="single" w:sz="4" w:space="0" w:color="auto"/>
              <w:right w:val="single" w:sz="4" w:space="0" w:color="auto"/>
            </w:tcBorders>
            <w:shd w:val="clear" w:color="000000" w:fill="92D050"/>
            <w:tcMar>
              <w:top w:w="28" w:type="dxa"/>
              <w:left w:w="28" w:type="dxa"/>
              <w:bottom w:w="28" w:type="dxa"/>
              <w:right w:w="28" w:type="dxa"/>
            </w:tcMar>
          </w:tcPr>
          <w:p w14:paraId="68DEEB55" w14:textId="77777777" w:rsidR="003E6D8C" w:rsidRPr="00F66384" w:rsidRDefault="003E6D8C" w:rsidP="001D6F51">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247" w:type="pct"/>
            <w:tcBorders>
              <w:top w:val="nil"/>
              <w:left w:val="nil"/>
              <w:bottom w:val="single" w:sz="4" w:space="0" w:color="auto"/>
              <w:right w:val="single" w:sz="4" w:space="0" w:color="auto"/>
            </w:tcBorders>
            <w:shd w:val="clear" w:color="000000" w:fill="92D050"/>
            <w:tcMar>
              <w:top w:w="28" w:type="dxa"/>
              <w:left w:w="28" w:type="dxa"/>
              <w:bottom w:w="28" w:type="dxa"/>
              <w:right w:w="28" w:type="dxa"/>
            </w:tcMar>
          </w:tcPr>
          <w:p w14:paraId="4AF716E9" w14:textId="77777777" w:rsidR="003E6D8C" w:rsidRPr="00F66384" w:rsidRDefault="003E6D8C" w:rsidP="001D6F51">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247" w:type="pct"/>
            <w:tcBorders>
              <w:top w:val="single" w:sz="4" w:space="0" w:color="auto"/>
              <w:left w:val="nil"/>
              <w:bottom w:val="single" w:sz="4" w:space="0" w:color="auto"/>
              <w:right w:val="single" w:sz="4" w:space="0" w:color="auto"/>
            </w:tcBorders>
            <w:shd w:val="clear" w:color="auto" w:fill="99D050"/>
            <w:tcMar>
              <w:top w:w="28" w:type="dxa"/>
              <w:left w:w="28" w:type="dxa"/>
              <w:bottom w:w="28" w:type="dxa"/>
              <w:right w:w="28" w:type="dxa"/>
            </w:tcMar>
          </w:tcPr>
          <w:p w14:paraId="0436CC3A" w14:textId="3DE508BD" w:rsidR="003E6D8C" w:rsidRPr="00F66384" w:rsidRDefault="005F6C7A" w:rsidP="001D6F51">
            <w:pPr>
              <w:overflowPunct/>
              <w:autoSpaceDE/>
              <w:autoSpaceDN/>
              <w:adjustRightInd/>
              <w:jc w:val="center"/>
              <w:textAlignment w:val="auto"/>
              <w:rPr>
                <w:rFonts w:asciiTheme="minorHAnsi" w:hAnsiTheme="minorHAnsi"/>
                <w:b/>
                <w:color w:val="000000"/>
                <w:sz w:val="18"/>
                <w:szCs w:val="18"/>
                <w:lang w:val="en-US"/>
              </w:rPr>
            </w:pPr>
            <w:r>
              <w:rPr>
                <w:rFonts w:asciiTheme="minorHAnsi" w:hAnsiTheme="minorHAnsi"/>
                <w:b/>
                <w:color w:val="000000"/>
                <w:sz w:val="18"/>
                <w:szCs w:val="18"/>
                <w:lang w:val="en-US"/>
              </w:rPr>
              <w:t>Y</w:t>
            </w:r>
          </w:p>
        </w:tc>
        <w:tc>
          <w:tcPr>
            <w:tcW w:w="247" w:type="pct"/>
            <w:tcBorders>
              <w:top w:val="nil"/>
              <w:left w:val="nil"/>
              <w:bottom w:val="single" w:sz="4" w:space="0" w:color="auto"/>
              <w:right w:val="single" w:sz="4" w:space="0" w:color="auto"/>
            </w:tcBorders>
            <w:shd w:val="clear" w:color="000000" w:fill="92D050"/>
            <w:tcMar>
              <w:top w:w="28" w:type="dxa"/>
              <w:left w:w="28" w:type="dxa"/>
              <w:bottom w:w="28" w:type="dxa"/>
              <w:right w:w="28" w:type="dxa"/>
            </w:tcMar>
          </w:tcPr>
          <w:p w14:paraId="45458FE8" w14:textId="77777777" w:rsidR="003E6D8C" w:rsidRPr="00F66384" w:rsidRDefault="003E6D8C" w:rsidP="001D6F51">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193" w:type="pct"/>
            <w:tcBorders>
              <w:top w:val="nil"/>
              <w:left w:val="nil"/>
              <w:bottom w:val="single" w:sz="4" w:space="0" w:color="auto"/>
              <w:right w:val="single" w:sz="4" w:space="0" w:color="auto"/>
            </w:tcBorders>
            <w:shd w:val="clear" w:color="000000" w:fill="92D050"/>
            <w:tcMar>
              <w:top w:w="28" w:type="dxa"/>
              <w:left w:w="28" w:type="dxa"/>
              <w:bottom w:w="28" w:type="dxa"/>
              <w:right w:w="28" w:type="dxa"/>
            </w:tcMar>
          </w:tcPr>
          <w:p w14:paraId="18AE9206" w14:textId="77777777" w:rsidR="003E6D8C" w:rsidRPr="00F66384" w:rsidRDefault="003E6D8C" w:rsidP="001D6F51">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r>
      <w:tr w:rsidR="003E6D8C" w:rsidRPr="00F66384" w14:paraId="2B7DEDEB" w14:textId="77777777" w:rsidTr="005F6C7A">
        <w:trPr>
          <w:trHeight w:val="755"/>
        </w:trPr>
        <w:tc>
          <w:tcPr>
            <w:tcW w:w="340" w:type="pct"/>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247657E7" w14:textId="77777777" w:rsidR="003E6D8C" w:rsidRPr="00F66384" w:rsidRDefault="003E6D8C">
            <w:pPr>
              <w:jc w:val="center"/>
              <w:rPr>
                <w:rFonts w:asciiTheme="minorHAnsi" w:hAnsiTheme="minorHAnsi"/>
                <w:b/>
                <w:bCs/>
                <w:color w:val="000000"/>
                <w:sz w:val="18"/>
                <w:szCs w:val="18"/>
              </w:rPr>
            </w:pPr>
            <w:r w:rsidRPr="00F66384">
              <w:rPr>
                <w:rFonts w:asciiTheme="minorHAnsi" w:hAnsiTheme="minorHAnsi"/>
                <w:b/>
                <w:bCs/>
                <w:color w:val="000000"/>
                <w:sz w:val="18"/>
                <w:szCs w:val="18"/>
              </w:rPr>
              <w:t>2.4</w:t>
            </w:r>
          </w:p>
        </w:tc>
        <w:tc>
          <w:tcPr>
            <w:tcW w:w="1624" w:type="pct"/>
            <w:gridSpan w:val="2"/>
            <w:tcBorders>
              <w:top w:val="nil"/>
              <w:left w:val="nil"/>
              <w:bottom w:val="single" w:sz="4" w:space="0" w:color="auto"/>
              <w:right w:val="single" w:sz="4" w:space="0" w:color="auto"/>
            </w:tcBorders>
            <w:shd w:val="clear" w:color="auto" w:fill="auto"/>
            <w:tcMar>
              <w:top w:w="28" w:type="dxa"/>
              <w:left w:w="28" w:type="dxa"/>
              <w:bottom w:w="28" w:type="dxa"/>
              <w:right w:w="28" w:type="dxa"/>
            </w:tcMar>
          </w:tcPr>
          <w:p w14:paraId="6B170BB6" w14:textId="4A6CB65D" w:rsidR="003E6D8C" w:rsidRPr="00F66384" w:rsidRDefault="003E6D8C">
            <w:pPr>
              <w:rPr>
                <w:rFonts w:asciiTheme="minorHAnsi" w:hAnsiTheme="minorHAnsi"/>
                <w:color w:val="000000"/>
                <w:sz w:val="18"/>
                <w:szCs w:val="18"/>
              </w:rPr>
            </w:pPr>
            <w:r w:rsidRPr="008568FE">
              <w:rPr>
                <w:rFonts w:ascii="Calibri" w:hAnsi="Calibri"/>
                <w:sz w:val="18"/>
                <w:szCs w:val="18"/>
              </w:rPr>
              <w:t>Machakhela NP boundaries and zonation decided and  participatory management plan in existence</w:t>
            </w:r>
          </w:p>
        </w:tc>
        <w:tc>
          <w:tcPr>
            <w:tcW w:w="1855" w:type="pct"/>
            <w:tcBorders>
              <w:top w:val="nil"/>
              <w:left w:val="nil"/>
              <w:bottom w:val="single" w:sz="4" w:space="0" w:color="auto"/>
              <w:right w:val="single" w:sz="4" w:space="0" w:color="auto"/>
            </w:tcBorders>
            <w:shd w:val="clear" w:color="auto" w:fill="auto"/>
            <w:tcMar>
              <w:top w:w="28" w:type="dxa"/>
              <w:left w:w="28" w:type="dxa"/>
              <w:bottom w:w="28" w:type="dxa"/>
              <w:right w:w="28" w:type="dxa"/>
            </w:tcMar>
          </w:tcPr>
          <w:p w14:paraId="1CF367D1" w14:textId="77777777" w:rsidR="003E6D8C" w:rsidRPr="008568FE" w:rsidRDefault="003E6D8C" w:rsidP="003E6D8C">
            <w:pPr>
              <w:rPr>
                <w:rFonts w:ascii="Calibri" w:hAnsi="Calibri"/>
                <w:b/>
                <w:bCs/>
                <w:noProof/>
                <w:sz w:val="18"/>
                <w:szCs w:val="18"/>
              </w:rPr>
            </w:pPr>
            <w:r w:rsidRPr="008568FE">
              <w:rPr>
                <w:rFonts w:ascii="Calibri" w:hAnsi="Calibri"/>
                <w:noProof/>
                <w:sz w:val="18"/>
                <w:szCs w:val="18"/>
              </w:rPr>
              <w:t>Clearly defined and consensually agreed boundaries and zones by yr 2</w:t>
            </w:r>
          </w:p>
          <w:p w14:paraId="6E293A4D" w14:textId="40E276C6" w:rsidR="003E6D8C" w:rsidRPr="00F66384" w:rsidRDefault="003E6D8C">
            <w:pPr>
              <w:rPr>
                <w:rFonts w:asciiTheme="minorHAnsi" w:hAnsiTheme="minorHAnsi"/>
                <w:color w:val="000000"/>
                <w:sz w:val="18"/>
                <w:szCs w:val="18"/>
              </w:rPr>
            </w:pPr>
            <w:r w:rsidRPr="008568FE">
              <w:rPr>
                <w:rFonts w:ascii="Calibri" w:hAnsi="Calibri"/>
                <w:noProof/>
                <w:sz w:val="18"/>
                <w:szCs w:val="18"/>
              </w:rPr>
              <w:t>Consensually agreed Management plan exists by yr 3</w:t>
            </w:r>
          </w:p>
        </w:tc>
        <w:tc>
          <w:tcPr>
            <w:tcW w:w="247" w:type="pct"/>
            <w:tcBorders>
              <w:top w:val="nil"/>
              <w:left w:val="nil"/>
              <w:bottom w:val="single" w:sz="4" w:space="0" w:color="auto"/>
              <w:right w:val="single" w:sz="4" w:space="0" w:color="auto"/>
            </w:tcBorders>
            <w:shd w:val="clear" w:color="000000" w:fill="92D050"/>
            <w:tcMar>
              <w:top w:w="28" w:type="dxa"/>
              <w:left w:w="28" w:type="dxa"/>
              <w:bottom w:w="28" w:type="dxa"/>
              <w:right w:w="28" w:type="dxa"/>
            </w:tcMar>
          </w:tcPr>
          <w:p w14:paraId="3EAE9F79" w14:textId="77777777" w:rsidR="003E6D8C" w:rsidRPr="00F66384" w:rsidRDefault="003E6D8C" w:rsidP="001D6F51">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247" w:type="pct"/>
            <w:tcBorders>
              <w:top w:val="nil"/>
              <w:left w:val="nil"/>
              <w:bottom w:val="single" w:sz="4" w:space="0" w:color="auto"/>
              <w:right w:val="single" w:sz="4" w:space="0" w:color="auto"/>
            </w:tcBorders>
            <w:shd w:val="clear" w:color="000000" w:fill="92D050"/>
            <w:tcMar>
              <w:top w:w="28" w:type="dxa"/>
              <w:left w:w="28" w:type="dxa"/>
              <w:bottom w:w="28" w:type="dxa"/>
              <w:right w:w="28" w:type="dxa"/>
            </w:tcMar>
          </w:tcPr>
          <w:p w14:paraId="4C28B667" w14:textId="77777777" w:rsidR="003E6D8C" w:rsidRPr="00F66384" w:rsidRDefault="003E6D8C" w:rsidP="001D6F51">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247" w:type="pct"/>
            <w:tcBorders>
              <w:top w:val="single" w:sz="4" w:space="0" w:color="auto"/>
              <w:left w:val="nil"/>
              <w:bottom w:val="single" w:sz="4" w:space="0" w:color="auto"/>
              <w:right w:val="single" w:sz="4" w:space="0" w:color="auto"/>
            </w:tcBorders>
            <w:shd w:val="clear" w:color="auto" w:fill="99D050"/>
            <w:tcMar>
              <w:top w:w="28" w:type="dxa"/>
              <w:left w:w="28" w:type="dxa"/>
              <w:bottom w:w="28" w:type="dxa"/>
              <w:right w:w="28" w:type="dxa"/>
            </w:tcMar>
          </w:tcPr>
          <w:p w14:paraId="50EA7844" w14:textId="48F375C6" w:rsidR="003E6D8C" w:rsidRPr="00F66384" w:rsidRDefault="005F6C7A" w:rsidP="001D6F51">
            <w:pPr>
              <w:overflowPunct/>
              <w:autoSpaceDE/>
              <w:autoSpaceDN/>
              <w:adjustRightInd/>
              <w:jc w:val="center"/>
              <w:textAlignment w:val="auto"/>
              <w:rPr>
                <w:rFonts w:asciiTheme="minorHAnsi" w:hAnsiTheme="minorHAnsi"/>
                <w:b/>
                <w:color w:val="000000"/>
                <w:sz w:val="18"/>
                <w:szCs w:val="18"/>
                <w:lang w:val="en-US"/>
              </w:rPr>
            </w:pPr>
            <w:r>
              <w:rPr>
                <w:rFonts w:asciiTheme="minorHAnsi" w:hAnsiTheme="minorHAnsi"/>
                <w:b/>
                <w:color w:val="000000"/>
                <w:sz w:val="18"/>
                <w:szCs w:val="18"/>
                <w:lang w:val="en-US"/>
              </w:rPr>
              <w:t>y</w:t>
            </w:r>
          </w:p>
        </w:tc>
        <w:tc>
          <w:tcPr>
            <w:tcW w:w="247" w:type="pct"/>
            <w:tcBorders>
              <w:top w:val="nil"/>
              <w:left w:val="nil"/>
              <w:bottom w:val="single" w:sz="4" w:space="0" w:color="auto"/>
              <w:right w:val="single" w:sz="4" w:space="0" w:color="auto"/>
            </w:tcBorders>
            <w:shd w:val="clear" w:color="000000" w:fill="92D050"/>
            <w:tcMar>
              <w:top w:w="28" w:type="dxa"/>
              <w:left w:w="28" w:type="dxa"/>
              <w:bottom w:w="28" w:type="dxa"/>
              <w:right w:w="28" w:type="dxa"/>
            </w:tcMar>
          </w:tcPr>
          <w:p w14:paraId="4E14A34A" w14:textId="77777777" w:rsidR="003E6D8C" w:rsidRPr="00F66384" w:rsidRDefault="003E6D8C" w:rsidP="001D6F51">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193" w:type="pct"/>
            <w:tcBorders>
              <w:top w:val="nil"/>
              <w:left w:val="nil"/>
              <w:bottom w:val="single" w:sz="4" w:space="0" w:color="auto"/>
              <w:right w:val="single" w:sz="4" w:space="0" w:color="auto"/>
            </w:tcBorders>
            <w:shd w:val="clear" w:color="000000" w:fill="92D050"/>
            <w:tcMar>
              <w:top w:w="28" w:type="dxa"/>
              <w:left w:w="28" w:type="dxa"/>
              <w:bottom w:w="28" w:type="dxa"/>
              <w:right w:w="28" w:type="dxa"/>
            </w:tcMar>
          </w:tcPr>
          <w:p w14:paraId="08C93EE1" w14:textId="77777777" w:rsidR="003E6D8C" w:rsidRPr="00F66384" w:rsidRDefault="003E6D8C" w:rsidP="001D6F51">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r>
      <w:tr w:rsidR="003E6D8C" w:rsidRPr="00F66384" w14:paraId="0DAB9F9E" w14:textId="77777777" w:rsidTr="005F6C7A">
        <w:trPr>
          <w:trHeight w:val="56"/>
        </w:trPr>
        <w:tc>
          <w:tcPr>
            <w:tcW w:w="340" w:type="pct"/>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191D2258" w14:textId="77777777" w:rsidR="003E6D8C" w:rsidRPr="00F66384" w:rsidRDefault="003E6D8C">
            <w:pPr>
              <w:jc w:val="center"/>
              <w:rPr>
                <w:rFonts w:asciiTheme="minorHAnsi" w:hAnsiTheme="minorHAnsi"/>
                <w:b/>
                <w:bCs/>
                <w:color w:val="000000"/>
                <w:sz w:val="18"/>
                <w:szCs w:val="18"/>
              </w:rPr>
            </w:pPr>
            <w:r w:rsidRPr="00F66384">
              <w:rPr>
                <w:rFonts w:asciiTheme="minorHAnsi" w:hAnsiTheme="minorHAnsi"/>
                <w:b/>
                <w:bCs/>
                <w:color w:val="000000"/>
                <w:sz w:val="18"/>
                <w:szCs w:val="18"/>
              </w:rPr>
              <w:lastRenderedPageBreak/>
              <w:t>2.5</w:t>
            </w:r>
          </w:p>
        </w:tc>
        <w:tc>
          <w:tcPr>
            <w:tcW w:w="1624" w:type="pct"/>
            <w:gridSpan w:val="2"/>
            <w:tcBorders>
              <w:top w:val="nil"/>
              <w:left w:val="nil"/>
              <w:bottom w:val="single" w:sz="4" w:space="0" w:color="auto"/>
              <w:right w:val="single" w:sz="4" w:space="0" w:color="auto"/>
            </w:tcBorders>
            <w:shd w:val="clear" w:color="auto" w:fill="auto"/>
            <w:tcMar>
              <w:top w:w="28" w:type="dxa"/>
              <w:left w:w="28" w:type="dxa"/>
              <w:bottom w:w="28" w:type="dxa"/>
              <w:right w:w="28" w:type="dxa"/>
            </w:tcMar>
          </w:tcPr>
          <w:p w14:paraId="0DBB58DF" w14:textId="1E2EF6F8" w:rsidR="003E6D8C" w:rsidRPr="00F66384" w:rsidRDefault="003E6D8C">
            <w:pPr>
              <w:rPr>
                <w:rFonts w:asciiTheme="minorHAnsi" w:hAnsiTheme="minorHAnsi"/>
                <w:color w:val="000000"/>
                <w:sz w:val="18"/>
                <w:szCs w:val="18"/>
              </w:rPr>
            </w:pPr>
            <w:r w:rsidRPr="008568FE">
              <w:rPr>
                <w:rFonts w:ascii="Calibri" w:hAnsi="Calibri"/>
                <w:sz w:val="18"/>
                <w:szCs w:val="18"/>
              </w:rPr>
              <w:t>Level of involvement of communities in th</w:t>
            </w:r>
            <w:r>
              <w:rPr>
                <w:rFonts w:ascii="Calibri" w:hAnsi="Calibri"/>
                <w:sz w:val="18"/>
                <w:szCs w:val="18"/>
              </w:rPr>
              <w:t xml:space="preserve">e management and governance of </w:t>
            </w:r>
            <w:r w:rsidRPr="008568FE">
              <w:rPr>
                <w:rFonts w:ascii="Calibri" w:hAnsi="Calibri"/>
                <w:sz w:val="18"/>
                <w:szCs w:val="18"/>
              </w:rPr>
              <w:t>the NP</w:t>
            </w:r>
          </w:p>
        </w:tc>
        <w:tc>
          <w:tcPr>
            <w:tcW w:w="1855" w:type="pct"/>
            <w:tcBorders>
              <w:top w:val="nil"/>
              <w:left w:val="nil"/>
              <w:bottom w:val="single" w:sz="4" w:space="0" w:color="auto"/>
              <w:right w:val="single" w:sz="4" w:space="0" w:color="auto"/>
            </w:tcBorders>
            <w:shd w:val="clear" w:color="auto" w:fill="auto"/>
            <w:tcMar>
              <w:top w:w="28" w:type="dxa"/>
              <w:left w:w="28" w:type="dxa"/>
              <w:bottom w:w="28" w:type="dxa"/>
              <w:right w:w="28" w:type="dxa"/>
            </w:tcMar>
          </w:tcPr>
          <w:p w14:paraId="674D20C0" w14:textId="754779BF" w:rsidR="003E6D8C" w:rsidRPr="00F66384" w:rsidRDefault="003E6D8C">
            <w:pPr>
              <w:rPr>
                <w:rFonts w:asciiTheme="minorHAnsi" w:hAnsiTheme="minorHAnsi"/>
                <w:color w:val="000000"/>
                <w:sz w:val="18"/>
                <w:szCs w:val="18"/>
              </w:rPr>
            </w:pPr>
            <w:r w:rsidRPr="008568FE">
              <w:rPr>
                <w:rFonts w:ascii="Calibri" w:hAnsi="Calibri"/>
                <w:noProof/>
                <w:sz w:val="18"/>
                <w:szCs w:val="18"/>
              </w:rPr>
              <w:t>Public-Civil Society-Community PA Planning and Management Governance Board established with proper representation and involvement of local communities in the planning and management of the Machakhela NP (by year 2)</w:t>
            </w:r>
          </w:p>
        </w:tc>
        <w:tc>
          <w:tcPr>
            <w:tcW w:w="247" w:type="pct"/>
            <w:tcBorders>
              <w:top w:val="nil"/>
              <w:left w:val="nil"/>
              <w:bottom w:val="single" w:sz="4" w:space="0" w:color="auto"/>
              <w:right w:val="single" w:sz="4" w:space="0" w:color="auto"/>
            </w:tcBorders>
            <w:shd w:val="clear" w:color="000000" w:fill="92D050"/>
            <w:tcMar>
              <w:top w:w="28" w:type="dxa"/>
              <w:left w:w="28" w:type="dxa"/>
              <w:bottom w:w="28" w:type="dxa"/>
              <w:right w:w="28" w:type="dxa"/>
            </w:tcMar>
          </w:tcPr>
          <w:p w14:paraId="14EE595E" w14:textId="77777777" w:rsidR="003E6D8C" w:rsidRPr="00F66384" w:rsidRDefault="003E6D8C" w:rsidP="001D6F51">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247" w:type="pct"/>
            <w:tcBorders>
              <w:top w:val="nil"/>
              <w:left w:val="nil"/>
              <w:bottom w:val="single" w:sz="4" w:space="0" w:color="auto"/>
              <w:right w:val="single" w:sz="4" w:space="0" w:color="auto"/>
            </w:tcBorders>
            <w:shd w:val="clear" w:color="000000" w:fill="92D050"/>
            <w:tcMar>
              <w:top w:w="28" w:type="dxa"/>
              <w:left w:w="28" w:type="dxa"/>
              <w:bottom w:w="28" w:type="dxa"/>
              <w:right w:w="28" w:type="dxa"/>
            </w:tcMar>
          </w:tcPr>
          <w:p w14:paraId="16E7290B" w14:textId="77777777" w:rsidR="003E6D8C" w:rsidRPr="00F66384" w:rsidRDefault="003E6D8C" w:rsidP="001D6F51">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247" w:type="pct"/>
            <w:tcBorders>
              <w:top w:val="single" w:sz="4" w:space="0" w:color="auto"/>
              <w:left w:val="nil"/>
              <w:bottom w:val="single" w:sz="4" w:space="0" w:color="auto"/>
              <w:right w:val="single" w:sz="4" w:space="0" w:color="auto"/>
            </w:tcBorders>
            <w:shd w:val="clear" w:color="auto" w:fill="99D050"/>
            <w:tcMar>
              <w:top w:w="28" w:type="dxa"/>
              <w:left w:w="28" w:type="dxa"/>
              <w:bottom w:w="28" w:type="dxa"/>
              <w:right w:w="28" w:type="dxa"/>
            </w:tcMar>
          </w:tcPr>
          <w:p w14:paraId="3D1E3FD2" w14:textId="77777777" w:rsidR="003E6D8C" w:rsidRPr="00F66384" w:rsidRDefault="003E6D8C" w:rsidP="001D6F51">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247" w:type="pct"/>
            <w:tcBorders>
              <w:top w:val="nil"/>
              <w:left w:val="nil"/>
              <w:bottom w:val="single" w:sz="4" w:space="0" w:color="auto"/>
              <w:right w:val="single" w:sz="4" w:space="0" w:color="auto"/>
            </w:tcBorders>
            <w:shd w:val="clear" w:color="000000" w:fill="92D050"/>
            <w:tcMar>
              <w:top w:w="28" w:type="dxa"/>
              <w:left w:w="28" w:type="dxa"/>
              <w:bottom w:w="28" w:type="dxa"/>
              <w:right w:w="28" w:type="dxa"/>
            </w:tcMar>
          </w:tcPr>
          <w:p w14:paraId="4C83374D" w14:textId="77777777" w:rsidR="003E6D8C" w:rsidRPr="00F66384" w:rsidRDefault="003E6D8C" w:rsidP="001D6F51">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c>
          <w:tcPr>
            <w:tcW w:w="193" w:type="pct"/>
            <w:tcBorders>
              <w:top w:val="nil"/>
              <w:left w:val="nil"/>
              <w:bottom w:val="single" w:sz="4" w:space="0" w:color="auto"/>
              <w:right w:val="single" w:sz="4" w:space="0" w:color="auto"/>
            </w:tcBorders>
            <w:shd w:val="clear" w:color="000000" w:fill="92D050"/>
            <w:tcMar>
              <w:top w:w="28" w:type="dxa"/>
              <w:left w:w="28" w:type="dxa"/>
              <w:bottom w:w="28" w:type="dxa"/>
              <w:right w:w="28" w:type="dxa"/>
            </w:tcMar>
          </w:tcPr>
          <w:p w14:paraId="60ED60E8" w14:textId="77777777" w:rsidR="003E6D8C" w:rsidRPr="00F66384" w:rsidRDefault="003E6D8C" w:rsidP="001D6F51">
            <w:pPr>
              <w:overflowPunct/>
              <w:autoSpaceDE/>
              <w:autoSpaceDN/>
              <w:adjustRightInd/>
              <w:jc w:val="center"/>
              <w:textAlignment w:val="auto"/>
              <w:rPr>
                <w:rFonts w:asciiTheme="minorHAnsi" w:hAnsiTheme="minorHAnsi"/>
                <w:b/>
                <w:color w:val="000000"/>
                <w:sz w:val="18"/>
                <w:szCs w:val="18"/>
                <w:lang w:val="en-US"/>
              </w:rPr>
            </w:pPr>
            <w:r w:rsidRPr="00F66384">
              <w:rPr>
                <w:rFonts w:asciiTheme="minorHAnsi" w:hAnsiTheme="minorHAnsi"/>
                <w:b/>
                <w:color w:val="000000"/>
                <w:sz w:val="18"/>
                <w:szCs w:val="18"/>
                <w:lang w:val="en-US"/>
              </w:rPr>
              <w:t>Y</w:t>
            </w:r>
          </w:p>
        </w:tc>
      </w:tr>
    </w:tbl>
    <w:p w14:paraId="7152DAFF" w14:textId="77777777" w:rsidR="002F3A9E" w:rsidRDefault="002F3A9E" w:rsidP="00D269A8">
      <w:pPr>
        <w:pStyle w:val="BodyText"/>
        <w:spacing w:before="120"/>
        <w:ind w:left="567"/>
        <w:rPr>
          <w:rFonts w:ascii="Calibri" w:hAnsi="Calibri"/>
        </w:rPr>
      </w:pPr>
      <w:r>
        <w:rPr>
          <w:rFonts w:ascii="Calibri" w:hAnsi="Calibri"/>
        </w:rPr>
        <w:t xml:space="preserve">for example, and yet this estimate is for all illegally harvested forest products from the entire Mtirala NP, which covers 15,699 ha. If this really is a meaningful estimate, it is of little consequence, compared to the annual forest production. </w:t>
      </w:r>
    </w:p>
    <w:p w14:paraId="12A8592F" w14:textId="77777777" w:rsidR="002F3A9E" w:rsidRDefault="002F3A9E" w:rsidP="0067558E">
      <w:pPr>
        <w:pStyle w:val="BodyText"/>
        <w:numPr>
          <w:ilvl w:val="0"/>
          <w:numId w:val="18"/>
        </w:numPr>
        <w:ind w:left="567" w:hanging="425"/>
        <w:rPr>
          <w:rFonts w:ascii="Calibri" w:hAnsi="Calibri"/>
        </w:rPr>
      </w:pPr>
      <w:r>
        <w:rPr>
          <w:rFonts w:ascii="Calibri" w:hAnsi="Calibri"/>
        </w:rPr>
        <w:t>Indicator 1.2 may be more meaningful that Indicator 1.1 in terms of what is being measured, so arguably this duplication could have been avoided. Instead, other important aspects of management under Outcome 1, such as community involvement in planning and management, and financial sustainability should have been monitored.</w:t>
      </w:r>
    </w:p>
    <w:p w14:paraId="5F720CF4" w14:textId="345E09E4" w:rsidR="002F3A9E" w:rsidRDefault="002F3A9E" w:rsidP="002F3A9E">
      <w:pPr>
        <w:pStyle w:val="BodyText"/>
        <w:rPr>
          <w:rFonts w:ascii="Calibri" w:hAnsi="Calibri"/>
          <w:b/>
        </w:rPr>
      </w:pPr>
      <w:r>
        <w:rPr>
          <w:rFonts w:ascii="Calibri" w:hAnsi="Calibri"/>
        </w:rPr>
        <w:t>In fact, community involvement and financial stability are monitored by various indicators under Outcome 2 (</w:t>
      </w:r>
      <w:r w:rsidRPr="003547A0">
        <w:rPr>
          <w:rFonts w:ascii="Calibri" w:hAnsi="Calibri"/>
          <w:b/>
        </w:rPr>
        <w:t>Table 3.1</w:t>
      </w:r>
      <w:r>
        <w:rPr>
          <w:rFonts w:ascii="Calibri" w:hAnsi="Calibri"/>
        </w:rPr>
        <w:t xml:space="preserve">), albeit specifically with reference to Machakhela NP. However, in design terms, this is something of a mismatch with Outcome 2, which supposedly concerns the PA sub-system as a whole (Colchic Forest) and its functionality. This lack of integrated design in the SRF has already been </w:t>
      </w:r>
      <w:r w:rsidR="00D269A8">
        <w:rPr>
          <w:rFonts w:ascii="Calibri" w:hAnsi="Calibri"/>
        </w:rPr>
        <w:t xml:space="preserve">identified and </w:t>
      </w:r>
      <w:r>
        <w:rPr>
          <w:rFonts w:ascii="Calibri" w:hAnsi="Calibri"/>
        </w:rPr>
        <w:t xml:space="preserve">concluded in </w:t>
      </w:r>
      <w:r w:rsidRPr="002F3A9E">
        <w:rPr>
          <w:rFonts w:ascii="Calibri" w:hAnsi="Calibri"/>
          <w:b/>
        </w:rPr>
        <w:t>Section 2.4.</w:t>
      </w:r>
    </w:p>
    <w:p w14:paraId="3567E547" w14:textId="48A6B974" w:rsidR="002F3A9E" w:rsidRPr="006A6C7E" w:rsidRDefault="002F3A9E" w:rsidP="002F3A9E">
      <w:pPr>
        <w:pStyle w:val="BodyText"/>
        <w:rPr>
          <w:rFonts w:ascii="Calibri" w:hAnsi="Calibri"/>
        </w:rPr>
      </w:pPr>
      <w:r w:rsidRPr="006A6C7E">
        <w:rPr>
          <w:rFonts w:ascii="Calibri" w:hAnsi="Calibri"/>
        </w:rPr>
        <w:t xml:space="preserve">The design is complemented </w:t>
      </w:r>
      <w:r w:rsidR="006A6C7E">
        <w:rPr>
          <w:rFonts w:ascii="Calibri" w:hAnsi="Calibri"/>
        </w:rPr>
        <w:t>by the</w:t>
      </w:r>
      <w:r w:rsidRPr="006A6C7E">
        <w:rPr>
          <w:rFonts w:ascii="Calibri" w:hAnsi="Calibri"/>
        </w:rPr>
        <w:t xml:space="preserve"> inclusion of management tools widely adopted </w:t>
      </w:r>
      <w:r w:rsidR="00B611FB">
        <w:rPr>
          <w:rFonts w:ascii="Calibri" w:hAnsi="Calibri"/>
        </w:rPr>
        <w:t>for monitoring</w:t>
      </w:r>
      <w:r w:rsidRPr="006A6C7E">
        <w:rPr>
          <w:rFonts w:ascii="Calibri" w:hAnsi="Calibri"/>
        </w:rPr>
        <w:t xml:space="preserve"> UNDP-GEF biodiversity projects, </w:t>
      </w:r>
      <w:r w:rsidR="006A6C7E" w:rsidRPr="006A6C7E">
        <w:rPr>
          <w:rFonts w:ascii="Calibri" w:hAnsi="Calibri"/>
        </w:rPr>
        <w:t>sp</w:t>
      </w:r>
      <w:r w:rsidR="006A6C7E">
        <w:rPr>
          <w:rFonts w:ascii="Calibri" w:hAnsi="Calibri"/>
        </w:rPr>
        <w:t>ecifically the UNDP Capacity De</w:t>
      </w:r>
      <w:r w:rsidR="006A6C7E" w:rsidRPr="006A6C7E">
        <w:rPr>
          <w:rFonts w:ascii="Calibri" w:hAnsi="Calibri"/>
        </w:rPr>
        <w:t>velopment S</w:t>
      </w:r>
      <w:r w:rsidRPr="006A6C7E">
        <w:rPr>
          <w:rFonts w:ascii="Calibri" w:hAnsi="Calibri"/>
        </w:rPr>
        <w:t xml:space="preserve">corecard and the </w:t>
      </w:r>
      <w:r w:rsidR="006A6C7E" w:rsidRPr="006A6C7E">
        <w:rPr>
          <w:rFonts w:ascii="Calibri" w:hAnsi="Calibri"/>
        </w:rPr>
        <w:t>GEF M</w:t>
      </w:r>
      <w:r w:rsidRPr="006A6C7E">
        <w:rPr>
          <w:rFonts w:ascii="Calibri" w:hAnsi="Calibri"/>
        </w:rPr>
        <w:t xml:space="preserve">anagement </w:t>
      </w:r>
      <w:r w:rsidR="006A6C7E" w:rsidRPr="006A6C7E">
        <w:rPr>
          <w:rFonts w:ascii="Calibri" w:hAnsi="Calibri"/>
        </w:rPr>
        <w:t>E</w:t>
      </w:r>
      <w:r w:rsidRPr="006A6C7E">
        <w:rPr>
          <w:rFonts w:ascii="Calibri" w:hAnsi="Calibri"/>
        </w:rPr>
        <w:t xml:space="preserve">ffectiveness </w:t>
      </w:r>
      <w:r w:rsidR="006A6C7E" w:rsidRPr="006A6C7E">
        <w:rPr>
          <w:rFonts w:ascii="Calibri" w:hAnsi="Calibri"/>
        </w:rPr>
        <w:t>T</w:t>
      </w:r>
      <w:r w:rsidRPr="006A6C7E">
        <w:rPr>
          <w:rFonts w:ascii="Calibri" w:hAnsi="Calibri"/>
        </w:rPr>
        <w:t xml:space="preserve">racking </w:t>
      </w:r>
      <w:r w:rsidR="006A6C7E" w:rsidRPr="006A6C7E">
        <w:rPr>
          <w:rFonts w:ascii="Calibri" w:hAnsi="Calibri"/>
        </w:rPr>
        <w:t>T</w:t>
      </w:r>
      <w:r w:rsidRPr="006A6C7E">
        <w:rPr>
          <w:rFonts w:ascii="Calibri" w:hAnsi="Calibri"/>
        </w:rPr>
        <w:t>ool (METT)</w:t>
      </w:r>
      <w:r w:rsidR="00B611FB">
        <w:rPr>
          <w:rFonts w:ascii="Calibri" w:hAnsi="Calibri"/>
        </w:rPr>
        <w:t xml:space="preserve"> in this project </w:t>
      </w:r>
      <w:r w:rsidRPr="006A6C7E">
        <w:rPr>
          <w:rFonts w:ascii="Calibri" w:hAnsi="Calibri"/>
        </w:rPr>
        <w:t>.</w:t>
      </w:r>
    </w:p>
    <w:p w14:paraId="7E5ED621" w14:textId="09F3AA40" w:rsidR="00F002DA" w:rsidRPr="00E22EBA" w:rsidRDefault="00F002DA" w:rsidP="00FF20F5">
      <w:pPr>
        <w:pStyle w:val="Heading2"/>
        <w:numPr>
          <w:ilvl w:val="2"/>
          <w:numId w:val="3"/>
        </w:numPr>
        <w:spacing w:before="240" w:after="120"/>
        <w:ind w:left="504"/>
        <w:rPr>
          <w:rFonts w:asciiTheme="minorHAnsi" w:hAnsiTheme="minorHAnsi" w:cs="Calibri"/>
          <w:b/>
          <w:caps w:val="0"/>
        </w:rPr>
      </w:pPr>
      <w:bookmarkStart w:id="132" w:name="_Toc414745319"/>
      <w:r w:rsidRPr="00E22EBA">
        <w:rPr>
          <w:rFonts w:asciiTheme="minorHAnsi" w:hAnsiTheme="minorHAnsi" w:cs="Calibri"/>
          <w:b/>
          <w:caps w:val="0"/>
        </w:rPr>
        <w:t xml:space="preserve">Assumptions and </w:t>
      </w:r>
      <w:r w:rsidR="001B6DDC">
        <w:rPr>
          <w:rFonts w:asciiTheme="minorHAnsi" w:hAnsiTheme="minorHAnsi" w:cs="Calibri"/>
          <w:b/>
          <w:caps w:val="0"/>
        </w:rPr>
        <w:t>r</w:t>
      </w:r>
      <w:r w:rsidRPr="00E22EBA">
        <w:rPr>
          <w:rFonts w:asciiTheme="minorHAnsi" w:hAnsiTheme="minorHAnsi" w:cs="Calibri"/>
          <w:b/>
          <w:caps w:val="0"/>
        </w:rPr>
        <w:t>isks</w:t>
      </w:r>
      <w:bookmarkEnd w:id="132"/>
    </w:p>
    <w:p w14:paraId="7990C798" w14:textId="686221CC" w:rsidR="009C109F" w:rsidRDefault="00E7669E" w:rsidP="009C109F">
      <w:pPr>
        <w:pStyle w:val="BodyText"/>
        <w:spacing w:before="120"/>
        <w:rPr>
          <w:rFonts w:asciiTheme="minorHAnsi" w:hAnsiTheme="minorHAnsi"/>
          <w:szCs w:val="24"/>
        </w:rPr>
      </w:pPr>
      <w:r>
        <w:rPr>
          <w:rFonts w:asciiTheme="minorHAnsi" w:hAnsiTheme="minorHAnsi"/>
        </w:rPr>
        <w:t>Five risks are identified in the ProDoc, of which only two actually feature as risks in the SRF and a third is highlighted as a risk to environmental sustainability (</w:t>
      </w:r>
      <w:r w:rsidRPr="00E7669E">
        <w:rPr>
          <w:rFonts w:asciiTheme="minorHAnsi" w:hAnsiTheme="minorHAnsi"/>
          <w:b/>
        </w:rPr>
        <w:t>Table 3.2</w:t>
      </w:r>
      <w:r>
        <w:rPr>
          <w:rFonts w:asciiTheme="minorHAnsi" w:hAnsiTheme="minorHAnsi"/>
        </w:rPr>
        <w:t xml:space="preserve">). </w:t>
      </w:r>
      <w:r w:rsidR="009C109F">
        <w:rPr>
          <w:rFonts w:asciiTheme="minorHAnsi" w:hAnsiTheme="minorHAnsi"/>
        </w:rPr>
        <w:t xml:space="preserve">No changes were made to the SRF risks and assumptions, nor were any additional risks identified in the Inception Report. </w:t>
      </w:r>
    </w:p>
    <w:p w14:paraId="66028F9A" w14:textId="439401BD" w:rsidR="008231DA" w:rsidRPr="00C72279" w:rsidRDefault="008231DA" w:rsidP="001A4EDB">
      <w:pPr>
        <w:pStyle w:val="BodyText"/>
        <w:tabs>
          <w:tab w:val="left" w:pos="1134"/>
        </w:tabs>
        <w:rPr>
          <w:rFonts w:ascii="Calibri" w:hAnsi="Calibri"/>
          <w:b/>
        </w:rPr>
      </w:pPr>
      <w:r>
        <w:rPr>
          <w:rFonts w:ascii="Calibri" w:hAnsi="Calibri"/>
          <w:b/>
        </w:rPr>
        <w:t>Table 3.2</w:t>
      </w:r>
      <w:r w:rsidRPr="00C72279">
        <w:rPr>
          <w:rFonts w:ascii="Calibri" w:hAnsi="Calibri"/>
          <w:b/>
        </w:rPr>
        <w:tab/>
      </w:r>
      <w:r>
        <w:rPr>
          <w:rFonts w:ascii="Calibri" w:hAnsi="Calibri"/>
        </w:rPr>
        <w:t>Risks identified in the Project Document</w:t>
      </w:r>
      <w:r w:rsidR="00311722">
        <w:rPr>
          <w:rFonts w:ascii="Calibri" w:hAnsi="Calibri"/>
        </w:rPr>
        <w:t xml:space="preserve"> (pp. 43-45)</w:t>
      </w:r>
    </w:p>
    <w:tbl>
      <w:tblPr>
        <w:tblW w:w="4986"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9"/>
        <w:gridCol w:w="851"/>
        <w:gridCol w:w="2659"/>
      </w:tblGrid>
      <w:tr w:rsidR="009F3455" w:rsidRPr="009F3455" w14:paraId="34E5B906" w14:textId="34C02566" w:rsidTr="000D0A56">
        <w:tc>
          <w:tcPr>
            <w:tcW w:w="3058" w:type="pct"/>
            <w:shd w:val="clear" w:color="auto" w:fill="CCCCCC"/>
            <w:tcMar>
              <w:top w:w="28" w:type="dxa"/>
              <w:left w:w="28" w:type="dxa"/>
              <w:bottom w:w="28" w:type="dxa"/>
              <w:right w:w="28" w:type="dxa"/>
            </w:tcMar>
            <w:vAlign w:val="center"/>
          </w:tcPr>
          <w:p w14:paraId="7D756219" w14:textId="7B0A8D0A" w:rsidR="00822D08" w:rsidRPr="009F3455" w:rsidRDefault="00822D08" w:rsidP="008231DA">
            <w:pPr>
              <w:ind w:right="14"/>
              <w:jc w:val="center"/>
              <w:rPr>
                <w:rFonts w:asciiTheme="minorHAnsi" w:hAnsiTheme="minorHAnsi"/>
                <w:b/>
                <w:sz w:val="20"/>
              </w:rPr>
            </w:pPr>
            <w:r w:rsidRPr="009F3455">
              <w:rPr>
                <w:rFonts w:asciiTheme="minorHAnsi" w:hAnsiTheme="minorHAnsi"/>
                <w:b/>
                <w:sz w:val="20"/>
              </w:rPr>
              <w:t xml:space="preserve">Risks </w:t>
            </w:r>
            <w:r w:rsidR="008231DA" w:rsidRPr="009F3455">
              <w:rPr>
                <w:rFonts w:asciiTheme="minorHAnsi" w:hAnsiTheme="minorHAnsi"/>
                <w:b/>
                <w:sz w:val="20"/>
              </w:rPr>
              <w:t>(preceded by C</w:t>
            </w:r>
            <w:r w:rsidRPr="009F3455">
              <w:rPr>
                <w:rFonts w:asciiTheme="minorHAnsi" w:hAnsiTheme="minorHAnsi"/>
                <w:b/>
                <w:sz w:val="20"/>
              </w:rPr>
              <w:t>ategory</w:t>
            </w:r>
            <w:r w:rsidR="008231DA" w:rsidRPr="009F3455">
              <w:rPr>
                <w:rFonts w:asciiTheme="minorHAnsi" w:hAnsiTheme="minorHAnsi"/>
                <w:b/>
                <w:sz w:val="20"/>
              </w:rPr>
              <w:t>)</w:t>
            </w:r>
          </w:p>
        </w:tc>
        <w:tc>
          <w:tcPr>
            <w:tcW w:w="471" w:type="pct"/>
            <w:tcBorders>
              <w:bottom w:val="single" w:sz="4" w:space="0" w:color="auto"/>
            </w:tcBorders>
            <w:shd w:val="clear" w:color="auto" w:fill="CCCCCC"/>
            <w:tcMar>
              <w:top w:w="28" w:type="dxa"/>
              <w:bottom w:w="28" w:type="dxa"/>
            </w:tcMar>
            <w:vAlign w:val="center"/>
          </w:tcPr>
          <w:p w14:paraId="1B415850" w14:textId="77777777" w:rsidR="00822D08" w:rsidRPr="009F3455" w:rsidRDefault="00822D08" w:rsidP="003A6579">
            <w:pPr>
              <w:ind w:right="14"/>
              <w:jc w:val="center"/>
              <w:rPr>
                <w:rFonts w:asciiTheme="minorHAnsi" w:hAnsiTheme="minorHAnsi"/>
                <w:b/>
                <w:sz w:val="20"/>
              </w:rPr>
            </w:pPr>
            <w:r w:rsidRPr="009F3455">
              <w:rPr>
                <w:rFonts w:asciiTheme="minorHAnsi" w:hAnsiTheme="minorHAnsi"/>
                <w:b/>
                <w:sz w:val="20"/>
              </w:rPr>
              <w:t>Risk Rating</w:t>
            </w:r>
          </w:p>
        </w:tc>
        <w:tc>
          <w:tcPr>
            <w:tcW w:w="1471" w:type="pct"/>
            <w:shd w:val="clear" w:color="auto" w:fill="CCCCCC"/>
            <w:tcMar>
              <w:top w:w="28" w:type="dxa"/>
              <w:bottom w:w="28" w:type="dxa"/>
            </w:tcMar>
            <w:vAlign w:val="center"/>
          </w:tcPr>
          <w:p w14:paraId="4A6777CC" w14:textId="5114ED07" w:rsidR="00822D08" w:rsidRPr="009F3455" w:rsidRDefault="00822D08" w:rsidP="003A6579">
            <w:pPr>
              <w:ind w:right="14"/>
              <w:jc w:val="center"/>
              <w:rPr>
                <w:rFonts w:asciiTheme="minorHAnsi" w:hAnsiTheme="minorHAnsi"/>
                <w:b/>
                <w:sz w:val="20"/>
              </w:rPr>
            </w:pPr>
            <w:r w:rsidRPr="009F3455">
              <w:rPr>
                <w:rFonts w:asciiTheme="minorHAnsi" w:hAnsiTheme="minorHAnsi"/>
                <w:b/>
                <w:sz w:val="20"/>
              </w:rPr>
              <w:t>TE Comments</w:t>
            </w:r>
          </w:p>
        </w:tc>
      </w:tr>
      <w:tr w:rsidR="009F3455" w:rsidRPr="009F3455" w14:paraId="01A842FC" w14:textId="7E6B9A5B" w:rsidTr="00D8402F">
        <w:tc>
          <w:tcPr>
            <w:tcW w:w="3058" w:type="pct"/>
            <w:shd w:val="clear" w:color="auto" w:fill="auto"/>
            <w:tcMar>
              <w:top w:w="28" w:type="dxa"/>
              <w:left w:w="28" w:type="dxa"/>
              <w:bottom w:w="28" w:type="dxa"/>
              <w:right w:w="28" w:type="dxa"/>
            </w:tcMar>
          </w:tcPr>
          <w:p w14:paraId="6BF7EB5A" w14:textId="562697E1" w:rsidR="00822D08" w:rsidRPr="009F3455" w:rsidRDefault="00303418" w:rsidP="00D56423">
            <w:pPr>
              <w:ind w:right="11"/>
              <w:rPr>
                <w:rFonts w:asciiTheme="minorHAnsi" w:hAnsiTheme="minorHAnsi"/>
                <w:color w:val="000000"/>
                <w:sz w:val="20"/>
              </w:rPr>
            </w:pPr>
            <w:r w:rsidRPr="009F3455">
              <w:rPr>
                <w:rFonts w:asciiTheme="minorHAnsi" w:hAnsiTheme="minorHAnsi"/>
                <w:color w:val="000000"/>
                <w:sz w:val="20"/>
              </w:rPr>
              <w:t>POLITICAL: The Government fails to commit sufficient financial support to new protected area’s planning and operations, and protected areas are unable to finance the subsequent shortfall</w:t>
            </w:r>
            <w:r w:rsidR="00E705DE">
              <w:rPr>
                <w:rFonts w:asciiTheme="minorHAnsi" w:hAnsiTheme="minorHAnsi"/>
                <w:color w:val="000000"/>
                <w:sz w:val="20"/>
              </w:rPr>
              <w:t>.</w:t>
            </w:r>
          </w:p>
        </w:tc>
        <w:tc>
          <w:tcPr>
            <w:tcW w:w="471" w:type="pct"/>
            <w:tcBorders>
              <w:bottom w:val="single" w:sz="4" w:space="0" w:color="auto"/>
            </w:tcBorders>
            <w:shd w:val="clear" w:color="auto" w:fill="FF0000"/>
            <w:tcMar>
              <w:top w:w="28" w:type="dxa"/>
              <w:bottom w:w="28" w:type="dxa"/>
            </w:tcMar>
            <w:vAlign w:val="center"/>
          </w:tcPr>
          <w:p w14:paraId="210CC32C" w14:textId="76D4239B" w:rsidR="00822D08" w:rsidRPr="009F3455" w:rsidRDefault="003A6579" w:rsidP="00311722">
            <w:pPr>
              <w:ind w:right="14"/>
              <w:jc w:val="center"/>
              <w:rPr>
                <w:rFonts w:asciiTheme="minorHAnsi" w:hAnsiTheme="minorHAnsi"/>
                <w:sz w:val="20"/>
              </w:rPr>
            </w:pPr>
            <w:r w:rsidRPr="009F3455">
              <w:rPr>
                <w:rFonts w:asciiTheme="minorHAnsi" w:hAnsiTheme="minorHAnsi"/>
                <w:sz w:val="20"/>
              </w:rPr>
              <w:t>High</w:t>
            </w:r>
          </w:p>
        </w:tc>
        <w:tc>
          <w:tcPr>
            <w:tcW w:w="1471" w:type="pct"/>
            <w:tcMar>
              <w:top w:w="28" w:type="dxa"/>
              <w:left w:w="28" w:type="dxa"/>
              <w:bottom w:w="28" w:type="dxa"/>
            </w:tcMar>
          </w:tcPr>
          <w:p w14:paraId="010D9FAE" w14:textId="1AD5BE18" w:rsidR="00822D08" w:rsidRPr="009F3455" w:rsidRDefault="009F3455" w:rsidP="00493006">
            <w:pPr>
              <w:ind w:right="14"/>
              <w:rPr>
                <w:rFonts w:asciiTheme="minorHAnsi" w:hAnsiTheme="minorHAnsi"/>
                <w:sz w:val="20"/>
              </w:rPr>
            </w:pPr>
            <w:r>
              <w:rPr>
                <w:rFonts w:asciiTheme="minorHAnsi" w:hAnsiTheme="minorHAnsi"/>
                <w:sz w:val="20"/>
              </w:rPr>
              <w:t>Features in SRF</w:t>
            </w:r>
            <w:r w:rsidR="00493006">
              <w:rPr>
                <w:rFonts w:asciiTheme="minorHAnsi" w:hAnsiTheme="minorHAnsi"/>
                <w:sz w:val="20"/>
              </w:rPr>
              <w:t>;</w:t>
            </w:r>
            <w:r>
              <w:rPr>
                <w:rFonts w:asciiTheme="minorHAnsi" w:hAnsiTheme="minorHAnsi"/>
                <w:sz w:val="20"/>
              </w:rPr>
              <w:t xml:space="preserve"> the assumption </w:t>
            </w:r>
            <w:r w:rsidR="00493006">
              <w:rPr>
                <w:rFonts w:asciiTheme="minorHAnsi" w:hAnsiTheme="minorHAnsi"/>
                <w:sz w:val="20"/>
              </w:rPr>
              <w:t>is</w:t>
            </w:r>
            <w:r>
              <w:rPr>
                <w:rFonts w:asciiTheme="minorHAnsi" w:hAnsiTheme="minorHAnsi"/>
                <w:sz w:val="20"/>
              </w:rPr>
              <w:t xml:space="preserve"> that government will gazette Machakhela NP and meet PAs’ full management costs. </w:t>
            </w:r>
          </w:p>
        </w:tc>
      </w:tr>
      <w:tr w:rsidR="009F3455" w:rsidRPr="009F3455" w14:paraId="40041B68" w14:textId="02B38B30" w:rsidTr="00D8402F">
        <w:trPr>
          <w:trHeight w:val="485"/>
        </w:trPr>
        <w:tc>
          <w:tcPr>
            <w:tcW w:w="3058" w:type="pct"/>
            <w:shd w:val="clear" w:color="auto" w:fill="auto"/>
            <w:tcMar>
              <w:top w:w="28" w:type="dxa"/>
              <w:left w:w="28" w:type="dxa"/>
              <w:bottom w:w="28" w:type="dxa"/>
              <w:right w:w="28" w:type="dxa"/>
            </w:tcMar>
          </w:tcPr>
          <w:p w14:paraId="2F1E626A" w14:textId="689924D3" w:rsidR="00303418" w:rsidRPr="009F3455" w:rsidRDefault="00303418" w:rsidP="00D56423">
            <w:pPr>
              <w:ind w:right="11"/>
              <w:rPr>
                <w:rFonts w:asciiTheme="minorHAnsi" w:hAnsiTheme="minorHAnsi"/>
                <w:color w:val="000000"/>
                <w:sz w:val="20"/>
              </w:rPr>
            </w:pPr>
            <w:r w:rsidRPr="009F3455">
              <w:rPr>
                <w:rFonts w:asciiTheme="minorHAnsi" w:hAnsiTheme="minorHAnsi"/>
                <w:color w:val="000000"/>
                <w:sz w:val="20"/>
              </w:rPr>
              <w:t>POLITICAL: Conflicts and misunderstanding among public institutions, private sector partners, NGOs and resource users undermine partnership approaches and implementation of cooperative governance arrangements</w:t>
            </w:r>
            <w:r w:rsidR="00E705DE">
              <w:rPr>
                <w:rFonts w:asciiTheme="minorHAnsi" w:hAnsiTheme="minorHAnsi"/>
                <w:color w:val="000000"/>
                <w:sz w:val="20"/>
              </w:rPr>
              <w:t>.</w:t>
            </w:r>
          </w:p>
        </w:tc>
        <w:tc>
          <w:tcPr>
            <w:tcW w:w="471" w:type="pct"/>
            <w:shd w:val="clear" w:color="auto" w:fill="FF9900"/>
            <w:tcMar>
              <w:top w:w="28" w:type="dxa"/>
              <w:bottom w:w="28" w:type="dxa"/>
            </w:tcMar>
            <w:vAlign w:val="center"/>
          </w:tcPr>
          <w:p w14:paraId="3BB23E12" w14:textId="2F0A0609" w:rsidR="00303418" w:rsidRPr="009F3455" w:rsidRDefault="00303418" w:rsidP="00311722">
            <w:pPr>
              <w:ind w:right="14"/>
              <w:jc w:val="center"/>
              <w:rPr>
                <w:rFonts w:asciiTheme="minorHAnsi" w:hAnsiTheme="minorHAnsi"/>
                <w:color w:val="000000"/>
                <w:sz w:val="20"/>
              </w:rPr>
            </w:pPr>
            <w:r w:rsidRPr="009F3455">
              <w:rPr>
                <w:rFonts w:asciiTheme="minorHAnsi" w:hAnsiTheme="minorHAnsi"/>
                <w:color w:val="000000"/>
                <w:sz w:val="20"/>
              </w:rPr>
              <w:t>M</w:t>
            </w:r>
            <w:r w:rsidR="009F3455">
              <w:rPr>
                <w:rFonts w:asciiTheme="minorHAnsi" w:hAnsiTheme="minorHAnsi"/>
                <w:color w:val="000000"/>
                <w:sz w:val="20"/>
              </w:rPr>
              <w:t>oderate</w:t>
            </w:r>
          </w:p>
        </w:tc>
        <w:tc>
          <w:tcPr>
            <w:tcW w:w="1471" w:type="pct"/>
            <w:tcMar>
              <w:top w:w="28" w:type="dxa"/>
              <w:left w:w="28" w:type="dxa"/>
              <w:bottom w:w="28" w:type="dxa"/>
            </w:tcMar>
          </w:tcPr>
          <w:p w14:paraId="3CEF7406" w14:textId="51B94F5F" w:rsidR="00303418" w:rsidRPr="009F3455" w:rsidRDefault="007B332C" w:rsidP="00311722">
            <w:pPr>
              <w:ind w:right="14"/>
              <w:rPr>
                <w:rFonts w:asciiTheme="minorHAnsi" w:hAnsiTheme="minorHAnsi"/>
                <w:color w:val="000000"/>
                <w:sz w:val="20"/>
              </w:rPr>
            </w:pPr>
            <w:r>
              <w:rPr>
                <w:rFonts w:asciiTheme="minorHAnsi" w:hAnsiTheme="minorHAnsi"/>
                <w:color w:val="000000"/>
                <w:sz w:val="20"/>
              </w:rPr>
              <w:t>Does not feature in SRF or else</w:t>
            </w:r>
            <w:r w:rsidR="00311722">
              <w:rPr>
                <w:rFonts w:asciiTheme="minorHAnsi" w:hAnsiTheme="minorHAnsi"/>
                <w:color w:val="000000"/>
                <w:sz w:val="20"/>
              </w:rPr>
              <w:t>-</w:t>
            </w:r>
            <w:r>
              <w:rPr>
                <w:rFonts w:asciiTheme="minorHAnsi" w:hAnsiTheme="minorHAnsi"/>
                <w:color w:val="000000"/>
                <w:sz w:val="20"/>
              </w:rPr>
              <w:t>where in ProDoc</w:t>
            </w:r>
            <w:r w:rsidR="00311722">
              <w:rPr>
                <w:rFonts w:asciiTheme="minorHAnsi" w:hAnsiTheme="minorHAnsi"/>
                <w:color w:val="000000"/>
                <w:sz w:val="20"/>
              </w:rPr>
              <w:t>, other than risk assessment table (p. 43).</w:t>
            </w:r>
          </w:p>
        </w:tc>
      </w:tr>
      <w:tr w:rsidR="009F3455" w:rsidRPr="009F3455" w14:paraId="0CD8EB10" w14:textId="4942E960" w:rsidTr="00D8402F">
        <w:tc>
          <w:tcPr>
            <w:tcW w:w="3058" w:type="pct"/>
            <w:shd w:val="clear" w:color="auto" w:fill="auto"/>
            <w:tcMar>
              <w:top w:w="28" w:type="dxa"/>
              <w:left w:w="28" w:type="dxa"/>
              <w:bottom w:w="28" w:type="dxa"/>
              <w:right w:w="28" w:type="dxa"/>
            </w:tcMar>
          </w:tcPr>
          <w:p w14:paraId="789C4549" w14:textId="2E107AA6" w:rsidR="003A6579" w:rsidRPr="009F3455" w:rsidRDefault="003A6579" w:rsidP="00D56423">
            <w:pPr>
              <w:ind w:right="11"/>
              <w:rPr>
                <w:rFonts w:asciiTheme="minorHAnsi" w:hAnsiTheme="minorHAnsi"/>
                <w:color w:val="000000"/>
                <w:sz w:val="20"/>
              </w:rPr>
            </w:pPr>
            <w:r w:rsidRPr="009F3455">
              <w:rPr>
                <w:rFonts w:asciiTheme="minorHAnsi" w:hAnsiTheme="minorHAnsi"/>
                <w:color w:val="000000"/>
                <w:sz w:val="20"/>
              </w:rPr>
              <w:lastRenderedPageBreak/>
              <w:t>POLITICAL: Current institutions show limited support for “de-concentration”</w:t>
            </w:r>
            <w:r w:rsidRPr="00952F6A">
              <w:rPr>
                <w:rFonts w:asciiTheme="minorHAnsi" w:hAnsiTheme="minorHAnsi"/>
                <w:color w:val="000000"/>
                <w:sz w:val="20"/>
                <w:vertAlign w:val="superscript"/>
              </w:rPr>
              <w:footnoteReference w:id="17"/>
            </w:r>
            <w:r w:rsidRPr="009F3455">
              <w:rPr>
                <w:rFonts w:asciiTheme="minorHAnsi" w:hAnsiTheme="minorHAnsi"/>
                <w:color w:val="000000"/>
                <w:sz w:val="20"/>
              </w:rPr>
              <w:t xml:space="preserve"> </w:t>
            </w:r>
            <w:r w:rsidR="00E705DE">
              <w:rPr>
                <w:rFonts w:asciiTheme="minorHAnsi" w:hAnsiTheme="minorHAnsi"/>
                <w:color w:val="000000"/>
                <w:sz w:val="20"/>
              </w:rPr>
              <w:t>[of] management authority to PA a</w:t>
            </w:r>
            <w:r w:rsidRPr="009F3455">
              <w:rPr>
                <w:rFonts w:asciiTheme="minorHAnsi" w:hAnsiTheme="minorHAnsi"/>
                <w:color w:val="000000"/>
                <w:sz w:val="20"/>
              </w:rPr>
              <w:t>dministrations or to changes needed to improve PA management cost-effectiveness</w:t>
            </w:r>
            <w:r w:rsidR="00E705DE">
              <w:rPr>
                <w:rFonts w:asciiTheme="minorHAnsi" w:hAnsiTheme="minorHAnsi"/>
                <w:color w:val="000000"/>
                <w:sz w:val="20"/>
              </w:rPr>
              <w:t>.</w:t>
            </w:r>
          </w:p>
        </w:tc>
        <w:tc>
          <w:tcPr>
            <w:tcW w:w="471" w:type="pct"/>
            <w:shd w:val="clear" w:color="auto" w:fill="FF9900"/>
            <w:tcMar>
              <w:top w:w="28" w:type="dxa"/>
              <w:bottom w:w="28" w:type="dxa"/>
            </w:tcMar>
            <w:vAlign w:val="center"/>
          </w:tcPr>
          <w:p w14:paraId="1E1AFFED" w14:textId="1466F59D" w:rsidR="003A6579" w:rsidRPr="009F3455" w:rsidRDefault="003A6579" w:rsidP="00311722">
            <w:pPr>
              <w:ind w:right="14"/>
              <w:jc w:val="center"/>
              <w:rPr>
                <w:rFonts w:asciiTheme="minorHAnsi" w:hAnsiTheme="minorHAnsi"/>
                <w:sz w:val="20"/>
              </w:rPr>
            </w:pPr>
            <w:r w:rsidRPr="009F3455">
              <w:rPr>
                <w:rFonts w:asciiTheme="minorHAnsi" w:hAnsiTheme="minorHAnsi"/>
                <w:color w:val="000000"/>
                <w:sz w:val="20"/>
              </w:rPr>
              <w:t>Moderate</w:t>
            </w:r>
          </w:p>
        </w:tc>
        <w:tc>
          <w:tcPr>
            <w:tcW w:w="1471" w:type="pct"/>
            <w:tcMar>
              <w:top w:w="28" w:type="dxa"/>
              <w:left w:w="28" w:type="dxa"/>
              <w:bottom w:w="28" w:type="dxa"/>
            </w:tcMar>
          </w:tcPr>
          <w:p w14:paraId="26FFD547" w14:textId="7050E181" w:rsidR="003A6579" w:rsidRPr="009F3455" w:rsidRDefault="00493006" w:rsidP="00493006">
            <w:pPr>
              <w:ind w:right="14"/>
              <w:rPr>
                <w:rFonts w:asciiTheme="minorHAnsi" w:hAnsiTheme="minorHAnsi"/>
                <w:sz w:val="20"/>
              </w:rPr>
            </w:pPr>
            <w:r>
              <w:rPr>
                <w:rFonts w:asciiTheme="minorHAnsi" w:hAnsiTheme="minorHAnsi"/>
                <w:sz w:val="20"/>
              </w:rPr>
              <w:t>Features in SRF; the assumption is that APA will delegate more authority to PAs to allo</w:t>
            </w:r>
            <w:r w:rsidR="00D8402F">
              <w:rPr>
                <w:rFonts w:asciiTheme="minorHAnsi" w:hAnsiTheme="minorHAnsi"/>
                <w:sz w:val="20"/>
              </w:rPr>
              <w:t xml:space="preserve">w </w:t>
            </w:r>
            <w:r>
              <w:rPr>
                <w:rFonts w:asciiTheme="minorHAnsi" w:hAnsiTheme="minorHAnsi"/>
                <w:sz w:val="20"/>
              </w:rPr>
              <w:t>more adaptive management.</w:t>
            </w:r>
          </w:p>
        </w:tc>
      </w:tr>
      <w:tr w:rsidR="009F3455" w:rsidRPr="009F3455" w14:paraId="61EA4527" w14:textId="3FA5D09F" w:rsidTr="00D8402F">
        <w:tc>
          <w:tcPr>
            <w:tcW w:w="3058" w:type="pct"/>
            <w:shd w:val="clear" w:color="auto" w:fill="auto"/>
            <w:tcMar>
              <w:top w:w="28" w:type="dxa"/>
              <w:left w:w="28" w:type="dxa"/>
              <w:bottom w:w="28" w:type="dxa"/>
              <w:right w:w="28" w:type="dxa"/>
            </w:tcMar>
          </w:tcPr>
          <w:p w14:paraId="78BE6E9F" w14:textId="219D7BCA" w:rsidR="003A6579" w:rsidRPr="009F3455" w:rsidRDefault="003A6579" w:rsidP="00D56423">
            <w:pPr>
              <w:ind w:right="11"/>
              <w:rPr>
                <w:rFonts w:asciiTheme="minorHAnsi" w:hAnsiTheme="minorHAnsi"/>
                <w:color w:val="000000"/>
                <w:sz w:val="20"/>
              </w:rPr>
            </w:pPr>
            <w:r w:rsidRPr="009F3455">
              <w:rPr>
                <w:rFonts w:asciiTheme="minorHAnsi" w:hAnsiTheme="minorHAnsi"/>
                <w:color w:val="000000"/>
                <w:sz w:val="20"/>
              </w:rPr>
              <w:t>ENVIRONMENTAL: Ecosystems are not sufficiently resilient and their biological and physical integrity is incrementally compromised by the effects of global and regional climate change</w:t>
            </w:r>
            <w:r w:rsidR="00E705DE">
              <w:rPr>
                <w:rFonts w:asciiTheme="minorHAnsi" w:hAnsiTheme="minorHAnsi"/>
                <w:color w:val="000000"/>
                <w:sz w:val="20"/>
              </w:rPr>
              <w:t>.</w:t>
            </w:r>
          </w:p>
        </w:tc>
        <w:tc>
          <w:tcPr>
            <w:tcW w:w="471" w:type="pct"/>
            <w:tcBorders>
              <w:bottom w:val="single" w:sz="4" w:space="0" w:color="auto"/>
            </w:tcBorders>
            <w:shd w:val="clear" w:color="auto" w:fill="FF9900"/>
            <w:tcMar>
              <w:top w:w="28" w:type="dxa"/>
              <w:bottom w:w="28" w:type="dxa"/>
            </w:tcMar>
            <w:vAlign w:val="center"/>
          </w:tcPr>
          <w:p w14:paraId="3CA6B13D" w14:textId="299A2DE7" w:rsidR="003A6579" w:rsidRPr="009F3455" w:rsidRDefault="003A6579" w:rsidP="00311722">
            <w:pPr>
              <w:ind w:right="14"/>
              <w:jc w:val="center"/>
              <w:rPr>
                <w:rFonts w:asciiTheme="minorHAnsi" w:hAnsiTheme="minorHAnsi"/>
                <w:sz w:val="20"/>
              </w:rPr>
            </w:pPr>
            <w:r w:rsidRPr="009F3455">
              <w:rPr>
                <w:rFonts w:asciiTheme="minorHAnsi" w:hAnsiTheme="minorHAnsi"/>
                <w:color w:val="000000"/>
                <w:sz w:val="20"/>
              </w:rPr>
              <w:t>Moderate</w:t>
            </w:r>
          </w:p>
        </w:tc>
        <w:tc>
          <w:tcPr>
            <w:tcW w:w="1471" w:type="pct"/>
            <w:tcMar>
              <w:top w:w="28" w:type="dxa"/>
              <w:left w:w="28" w:type="dxa"/>
              <w:bottom w:w="28" w:type="dxa"/>
            </w:tcMar>
          </w:tcPr>
          <w:p w14:paraId="574136B5" w14:textId="0C9941C2" w:rsidR="003A6579" w:rsidRPr="009F3455" w:rsidRDefault="00A57698" w:rsidP="00D56423">
            <w:pPr>
              <w:ind w:right="14"/>
              <w:rPr>
                <w:rFonts w:asciiTheme="minorHAnsi" w:hAnsiTheme="minorHAnsi"/>
                <w:sz w:val="20"/>
              </w:rPr>
            </w:pPr>
            <w:r>
              <w:rPr>
                <w:rFonts w:asciiTheme="minorHAnsi" w:hAnsiTheme="minorHAnsi"/>
                <w:sz w:val="20"/>
              </w:rPr>
              <w:t>Does not feature in SRF but climate change identified as risk to environmental sustainability.</w:t>
            </w:r>
          </w:p>
        </w:tc>
      </w:tr>
      <w:tr w:rsidR="009F3455" w:rsidRPr="009F3455" w14:paraId="1A1842DD" w14:textId="7BDC9A83" w:rsidTr="00D8402F">
        <w:tc>
          <w:tcPr>
            <w:tcW w:w="3058" w:type="pct"/>
            <w:shd w:val="clear" w:color="auto" w:fill="auto"/>
            <w:tcMar>
              <w:top w:w="28" w:type="dxa"/>
              <w:left w:w="28" w:type="dxa"/>
              <w:bottom w:w="28" w:type="dxa"/>
              <w:right w:w="28" w:type="dxa"/>
            </w:tcMar>
          </w:tcPr>
          <w:p w14:paraId="736BDAC2" w14:textId="493DF2D1" w:rsidR="00303418" w:rsidRPr="009F3455" w:rsidRDefault="00303418" w:rsidP="00D56423">
            <w:pPr>
              <w:ind w:right="11"/>
              <w:rPr>
                <w:rFonts w:asciiTheme="minorHAnsi" w:hAnsiTheme="minorHAnsi"/>
                <w:color w:val="000000"/>
                <w:sz w:val="20"/>
              </w:rPr>
            </w:pPr>
            <w:r w:rsidRPr="009F3455">
              <w:rPr>
                <w:rFonts w:asciiTheme="minorHAnsi" w:hAnsiTheme="minorHAnsi"/>
                <w:color w:val="000000"/>
                <w:sz w:val="20"/>
              </w:rPr>
              <w:t>STRATEGIC: Current institutions have inadequate capacity or resources to manage protected areas</w:t>
            </w:r>
            <w:r w:rsidR="00E705DE">
              <w:rPr>
                <w:rFonts w:asciiTheme="minorHAnsi" w:hAnsiTheme="minorHAnsi"/>
                <w:color w:val="000000"/>
                <w:sz w:val="20"/>
              </w:rPr>
              <w:t>.</w:t>
            </w:r>
          </w:p>
        </w:tc>
        <w:tc>
          <w:tcPr>
            <w:tcW w:w="471" w:type="pct"/>
            <w:shd w:val="clear" w:color="auto" w:fill="FFFF99"/>
            <w:tcMar>
              <w:top w:w="28" w:type="dxa"/>
              <w:bottom w:w="28" w:type="dxa"/>
            </w:tcMar>
            <w:vAlign w:val="center"/>
          </w:tcPr>
          <w:p w14:paraId="0BB42C68" w14:textId="77777777" w:rsidR="00303418" w:rsidRPr="009F3455" w:rsidRDefault="00303418" w:rsidP="00311722">
            <w:pPr>
              <w:ind w:right="14"/>
              <w:jc w:val="center"/>
              <w:rPr>
                <w:rFonts w:asciiTheme="minorHAnsi" w:hAnsiTheme="minorHAnsi"/>
                <w:sz w:val="20"/>
              </w:rPr>
            </w:pPr>
            <w:r w:rsidRPr="009F3455">
              <w:rPr>
                <w:rFonts w:asciiTheme="minorHAnsi" w:hAnsiTheme="minorHAnsi"/>
                <w:sz w:val="20"/>
              </w:rPr>
              <w:t>Low</w:t>
            </w:r>
          </w:p>
        </w:tc>
        <w:tc>
          <w:tcPr>
            <w:tcW w:w="1471" w:type="pct"/>
            <w:tcMar>
              <w:top w:w="28" w:type="dxa"/>
              <w:left w:w="28" w:type="dxa"/>
              <w:bottom w:w="28" w:type="dxa"/>
            </w:tcMar>
          </w:tcPr>
          <w:p w14:paraId="59208ED8" w14:textId="729A13F7" w:rsidR="00303418" w:rsidRPr="009F3455" w:rsidRDefault="00311722" w:rsidP="00D56423">
            <w:pPr>
              <w:ind w:right="14"/>
              <w:rPr>
                <w:rFonts w:asciiTheme="minorHAnsi" w:hAnsiTheme="minorHAnsi"/>
                <w:sz w:val="20"/>
              </w:rPr>
            </w:pPr>
            <w:r>
              <w:rPr>
                <w:rFonts w:asciiTheme="minorHAnsi" w:hAnsiTheme="minorHAnsi"/>
                <w:color w:val="000000"/>
                <w:sz w:val="20"/>
              </w:rPr>
              <w:t>Does not feature in SRF or else-where in ProDoc, other than risk assessment table (p. 45).</w:t>
            </w:r>
          </w:p>
        </w:tc>
      </w:tr>
    </w:tbl>
    <w:p w14:paraId="20C42E1A" w14:textId="31A2C12F" w:rsidR="00B44791" w:rsidRDefault="00C66A5C" w:rsidP="00DF218B">
      <w:pPr>
        <w:pStyle w:val="BodyText"/>
        <w:spacing w:before="120"/>
        <w:rPr>
          <w:rFonts w:asciiTheme="minorHAnsi" w:hAnsiTheme="minorHAnsi"/>
        </w:rPr>
      </w:pPr>
      <w:r>
        <w:rPr>
          <w:rFonts w:asciiTheme="minorHAnsi" w:hAnsiTheme="minorHAnsi"/>
          <w:szCs w:val="24"/>
        </w:rPr>
        <w:t xml:space="preserve">During project implementation, </w:t>
      </w:r>
      <w:r w:rsidR="00DF218B">
        <w:rPr>
          <w:rFonts w:asciiTheme="minorHAnsi" w:hAnsiTheme="minorHAnsi"/>
          <w:szCs w:val="24"/>
        </w:rPr>
        <w:t>t</w:t>
      </w:r>
      <w:r w:rsidR="002B22A7">
        <w:rPr>
          <w:rFonts w:ascii="Calibri" w:hAnsi="Calibri"/>
        </w:rPr>
        <w:t>he high</w:t>
      </w:r>
      <w:r w:rsidR="00DF218B">
        <w:rPr>
          <w:rFonts w:ascii="Calibri" w:hAnsi="Calibri"/>
        </w:rPr>
        <w:t xml:space="preserve"> rating accorded to the</w:t>
      </w:r>
      <w:r w:rsidR="002B22A7">
        <w:rPr>
          <w:rFonts w:ascii="Calibri" w:hAnsi="Calibri"/>
        </w:rPr>
        <w:t xml:space="preserve"> risk</w:t>
      </w:r>
      <w:r w:rsidR="002B22A7" w:rsidRPr="005C1B57">
        <w:rPr>
          <w:rStyle w:val="FootnoteReference"/>
          <w:rFonts w:ascii="Calibri" w:hAnsi="Calibri"/>
        </w:rPr>
        <w:footnoteReference w:id="18"/>
      </w:r>
      <w:r w:rsidR="002B22A7" w:rsidRPr="005C1B57">
        <w:rPr>
          <w:rFonts w:ascii="Calibri" w:hAnsi="Calibri"/>
        </w:rPr>
        <w:t xml:space="preserve"> </w:t>
      </w:r>
      <w:r w:rsidR="00DF218B" w:rsidRPr="005C1B57">
        <w:rPr>
          <w:rFonts w:ascii="Calibri" w:hAnsi="Calibri"/>
        </w:rPr>
        <w:t xml:space="preserve">of </w:t>
      </w:r>
      <w:r w:rsidR="002B22A7" w:rsidRPr="005C1B57">
        <w:rPr>
          <w:rFonts w:ascii="Calibri" w:hAnsi="Calibri"/>
        </w:rPr>
        <w:t>Government fail</w:t>
      </w:r>
      <w:r w:rsidR="00DF218B" w:rsidRPr="005C1B57">
        <w:rPr>
          <w:rFonts w:ascii="Calibri" w:hAnsi="Calibri"/>
        </w:rPr>
        <w:t>ing</w:t>
      </w:r>
      <w:r w:rsidR="005C1B57" w:rsidRPr="005C1B57">
        <w:rPr>
          <w:rFonts w:ascii="Calibri" w:hAnsi="Calibri"/>
        </w:rPr>
        <w:t>:</w:t>
      </w:r>
      <w:r w:rsidR="002B22A7" w:rsidRPr="002B22A7">
        <w:rPr>
          <w:rFonts w:ascii="Calibri" w:hAnsi="Calibri"/>
          <w:i/>
        </w:rPr>
        <w:t xml:space="preserve"> </w:t>
      </w:r>
      <w:r w:rsidR="005C1B57">
        <w:rPr>
          <w:rFonts w:ascii="Calibri" w:hAnsi="Calibri"/>
          <w:i/>
        </w:rPr>
        <w:t>“</w:t>
      </w:r>
      <w:r w:rsidR="002B22A7" w:rsidRPr="002B22A7">
        <w:rPr>
          <w:rFonts w:ascii="Calibri" w:hAnsi="Calibri"/>
          <w:i/>
        </w:rPr>
        <w:t>to commit sufficient financial support to new protected area’s planning and operations, and protected areas are unable to finance the subsequent shortfall</w:t>
      </w:r>
      <w:r w:rsidR="002B22A7">
        <w:rPr>
          <w:rFonts w:ascii="Calibri" w:hAnsi="Calibri"/>
          <w:i/>
        </w:rPr>
        <w:t>”</w:t>
      </w:r>
      <w:r w:rsidR="002B22A7">
        <w:rPr>
          <w:rFonts w:ascii="Calibri" w:hAnsi="Calibri"/>
        </w:rPr>
        <w:t xml:space="preserve"> was considered in the 2016 PIR and measures were </w:t>
      </w:r>
      <w:r w:rsidR="00213933">
        <w:rPr>
          <w:rFonts w:ascii="Calibri" w:hAnsi="Calibri"/>
        </w:rPr>
        <w:t>identified to mitigate short-fall</w:t>
      </w:r>
      <w:r w:rsidR="005C1B57">
        <w:rPr>
          <w:rFonts w:ascii="Calibri" w:hAnsi="Calibri"/>
        </w:rPr>
        <w:t>s</w:t>
      </w:r>
      <w:r w:rsidR="00213933">
        <w:rPr>
          <w:rFonts w:ascii="Calibri" w:hAnsi="Calibri"/>
        </w:rPr>
        <w:t xml:space="preserve"> in financing, such as </w:t>
      </w:r>
      <w:r w:rsidR="00237810">
        <w:rPr>
          <w:rFonts w:ascii="Calibri" w:hAnsi="Calibri"/>
        </w:rPr>
        <w:t xml:space="preserve">representation of local communities on the management board of the proposed Machakhela NP and </w:t>
      </w:r>
      <w:r w:rsidR="00213933">
        <w:rPr>
          <w:rFonts w:ascii="Calibri" w:hAnsi="Calibri"/>
        </w:rPr>
        <w:t xml:space="preserve">engagement </w:t>
      </w:r>
      <w:r w:rsidR="00237810">
        <w:rPr>
          <w:rFonts w:ascii="Calibri" w:hAnsi="Calibri"/>
        </w:rPr>
        <w:t xml:space="preserve">with private sector </w:t>
      </w:r>
      <w:r w:rsidR="00DF218B">
        <w:rPr>
          <w:rFonts w:ascii="Calibri" w:hAnsi="Calibri"/>
        </w:rPr>
        <w:t xml:space="preserve">and NGO </w:t>
      </w:r>
      <w:r w:rsidR="00237810">
        <w:rPr>
          <w:rFonts w:ascii="Calibri" w:hAnsi="Calibri"/>
        </w:rPr>
        <w:t>partners.</w:t>
      </w:r>
      <w:r w:rsidR="002B22A7">
        <w:rPr>
          <w:rFonts w:ascii="Calibri" w:hAnsi="Calibri"/>
        </w:rPr>
        <w:t xml:space="preserve"> </w:t>
      </w:r>
      <w:r w:rsidR="005C1B57">
        <w:rPr>
          <w:rFonts w:asciiTheme="minorHAnsi" w:hAnsiTheme="minorHAnsi"/>
        </w:rPr>
        <w:t>The MTR does not make any specific reference to these risks identified in the ProDoc; rather it focuses specifically on the risks to post-project sustainability.</w:t>
      </w:r>
    </w:p>
    <w:p w14:paraId="58134967" w14:textId="02BE8132" w:rsidR="00F002DA" w:rsidRPr="00E22EBA" w:rsidRDefault="00F002DA" w:rsidP="00B611FB">
      <w:pPr>
        <w:pStyle w:val="Heading2"/>
        <w:numPr>
          <w:ilvl w:val="2"/>
          <w:numId w:val="3"/>
        </w:numPr>
        <w:spacing w:before="240" w:after="120"/>
        <w:ind w:left="505" w:hanging="505"/>
        <w:rPr>
          <w:rFonts w:asciiTheme="minorHAnsi" w:hAnsiTheme="minorHAnsi" w:cs="Calibri"/>
          <w:b/>
          <w:caps w:val="0"/>
        </w:rPr>
      </w:pPr>
      <w:bookmarkStart w:id="133" w:name="_Toc414745320"/>
      <w:r w:rsidRPr="00E22EBA">
        <w:rPr>
          <w:rFonts w:asciiTheme="minorHAnsi" w:hAnsiTheme="minorHAnsi" w:cs="Calibri"/>
          <w:b/>
          <w:caps w:val="0"/>
        </w:rPr>
        <w:t xml:space="preserve">Lessons from other </w:t>
      </w:r>
      <w:r w:rsidR="001B6DDC">
        <w:rPr>
          <w:rFonts w:asciiTheme="minorHAnsi" w:hAnsiTheme="minorHAnsi" w:cs="Calibri"/>
          <w:b/>
          <w:caps w:val="0"/>
        </w:rPr>
        <w:t>r</w:t>
      </w:r>
      <w:r w:rsidRPr="00E22EBA">
        <w:rPr>
          <w:rFonts w:asciiTheme="minorHAnsi" w:hAnsiTheme="minorHAnsi" w:cs="Calibri"/>
          <w:b/>
          <w:caps w:val="0"/>
        </w:rPr>
        <w:t xml:space="preserve">elevant </w:t>
      </w:r>
      <w:r w:rsidR="001B6DDC">
        <w:rPr>
          <w:rFonts w:asciiTheme="minorHAnsi" w:hAnsiTheme="minorHAnsi" w:cs="Calibri"/>
          <w:b/>
          <w:caps w:val="0"/>
        </w:rPr>
        <w:t>p</w:t>
      </w:r>
      <w:r w:rsidRPr="00E22EBA">
        <w:rPr>
          <w:rFonts w:asciiTheme="minorHAnsi" w:hAnsiTheme="minorHAnsi" w:cs="Calibri"/>
          <w:b/>
          <w:caps w:val="0"/>
        </w:rPr>
        <w:t>rojects</w:t>
      </w:r>
      <w:r w:rsidR="008A3064">
        <w:rPr>
          <w:rFonts w:asciiTheme="minorHAnsi" w:hAnsiTheme="minorHAnsi" w:cs="Calibri"/>
          <w:b/>
          <w:caps w:val="0"/>
        </w:rPr>
        <w:t xml:space="preserve"> incorporated into project design</w:t>
      </w:r>
      <w:bookmarkEnd w:id="133"/>
    </w:p>
    <w:p w14:paraId="32FC9403" w14:textId="6F0DB5BD" w:rsidR="009D619E" w:rsidRPr="00AA0166" w:rsidRDefault="009D619E" w:rsidP="009D619E">
      <w:pPr>
        <w:pStyle w:val="BodyText"/>
        <w:rPr>
          <w:rFonts w:ascii="Calibri" w:hAnsi="Calibri"/>
        </w:rPr>
      </w:pPr>
      <w:r>
        <w:rPr>
          <w:rFonts w:ascii="Calibri" w:hAnsi="Calibri"/>
        </w:rPr>
        <w:t>Mention</w:t>
      </w:r>
      <w:r w:rsidRPr="00AA0166">
        <w:rPr>
          <w:rFonts w:ascii="Calibri" w:hAnsi="Calibri"/>
        </w:rPr>
        <w:t xml:space="preserve"> has already been made </w:t>
      </w:r>
      <w:r>
        <w:rPr>
          <w:rFonts w:ascii="Calibri" w:hAnsi="Calibri"/>
        </w:rPr>
        <w:t>of</w:t>
      </w:r>
      <w:r w:rsidRPr="00AA0166">
        <w:rPr>
          <w:rFonts w:ascii="Calibri" w:hAnsi="Calibri"/>
        </w:rPr>
        <w:t xml:space="preserve"> Georgia’s Fourth National Report to the CBD and the Ecoregional Conservation Plan for the Caucasus, along with other national strategies and plans (</w:t>
      </w:r>
      <w:r w:rsidRPr="00AA0166">
        <w:rPr>
          <w:rFonts w:ascii="Calibri" w:hAnsi="Calibri"/>
          <w:b/>
        </w:rPr>
        <w:t>Section 3.1</w:t>
      </w:r>
      <w:r w:rsidRPr="00AA0166">
        <w:rPr>
          <w:rFonts w:ascii="Calibri" w:hAnsi="Calibri"/>
        </w:rPr>
        <w:t>), that have underpinned the project’s design.</w:t>
      </w:r>
    </w:p>
    <w:p w14:paraId="6351C7EE" w14:textId="1AF2B01C" w:rsidR="00143E55" w:rsidRDefault="00143E55" w:rsidP="008A3064">
      <w:pPr>
        <w:pStyle w:val="BodyText"/>
        <w:rPr>
          <w:rFonts w:ascii="Calibri" w:hAnsi="Calibri"/>
        </w:rPr>
      </w:pPr>
      <w:r>
        <w:rPr>
          <w:rFonts w:ascii="Calibri" w:hAnsi="Calibri"/>
        </w:rPr>
        <w:t>Reference to the PIF indicates that t</w:t>
      </w:r>
      <w:r w:rsidRPr="00143E55">
        <w:rPr>
          <w:rFonts w:ascii="Calibri" w:hAnsi="Calibri"/>
        </w:rPr>
        <w:t>he project design</w:t>
      </w:r>
      <w:r>
        <w:rPr>
          <w:rFonts w:ascii="Calibri" w:hAnsi="Calibri"/>
        </w:rPr>
        <w:t xml:space="preserve"> takes into account</w:t>
      </w:r>
      <w:r w:rsidRPr="00143E55">
        <w:rPr>
          <w:rFonts w:ascii="Calibri" w:hAnsi="Calibri"/>
        </w:rPr>
        <w:t xml:space="preserve"> lessons learned from GEF projects that established the enabling framework </w:t>
      </w:r>
      <w:r>
        <w:rPr>
          <w:rFonts w:ascii="Calibri" w:hAnsi="Calibri"/>
        </w:rPr>
        <w:t>for</w:t>
      </w:r>
      <w:r w:rsidRPr="00143E55">
        <w:rPr>
          <w:rFonts w:ascii="Calibri" w:hAnsi="Calibri"/>
        </w:rPr>
        <w:t xml:space="preserve"> strengthening </w:t>
      </w:r>
      <w:r>
        <w:rPr>
          <w:rFonts w:ascii="Calibri" w:hAnsi="Calibri"/>
        </w:rPr>
        <w:t xml:space="preserve">the </w:t>
      </w:r>
      <w:r w:rsidRPr="00143E55">
        <w:rPr>
          <w:rFonts w:ascii="Calibri" w:hAnsi="Calibri"/>
        </w:rPr>
        <w:t>financial sustainability of Georgia’s PA</w:t>
      </w:r>
      <w:r>
        <w:rPr>
          <w:rFonts w:ascii="Calibri" w:hAnsi="Calibri"/>
        </w:rPr>
        <w:t>s</w:t>
      </w:r>
      <w:r w:rsidRPr="00143E55">
        <w:rPr>
          <w:rFonts w:ascii="Calibri" w:hAnsi="Calibri"/>
        </w:rPr>
        <w:t xml:space="preserve"> system</w:t>
      </w:r>
      <w:r w:rsidR="009D619E">
        <w:rPr>
          <w:rFonts w:ascii="Calibri" w:hAnsi="Calibri"/>
        </w:rPr>
        <w:t>, specifically</w:t>
      </w:r>
      <w:r w:rsidRPr="00143E55">
        <w:rPr>
          <w:rFonts w:ascii="Calibri" w:hAnsi="Calibri"/>
        </w:rPr>
        <w:t xml:space="preserve"> the W</w:t>
      </w:r>
      <w:r w:rsidR="009D619E">
        <w:rPr>
          <w:rFonts w:ascii="Calibri" w:hAnsi="Calibri"/>
        </w:rPr>
        <w:t xml:space="preserve">orld </w:t>
      </w:r>
      <w:r w:rsidRPr="00143E55">
        <w:rPr>
          <w:rFonts w:ascii="Calibri" w:hAnsi="Calibri"/>
        </w:rPr>
        <w:t>B</w:t>
      </w:r>
      <w:r w:rsidR="009D619E">
        <w:rPr>
          <w:rFonts w:ascii="Calibri" w:hAnsi="Calibri"/>
        </w:rPr>
        <w:t>ank-</w:t>
      </w:r>
      <w:r w:rsidRPr="00143E55">
        <w:rPr>
          <w:rFonts w:ascii="Calibri" w:hAnsi="Calibri"/>
        </w:rPr>
        <w:t xml:space="preserve">GEF </w:t>
      </w:r>
      <w:r w:rsidRPr="009D619E">
        <w:rPr>
          <w:rFonts w:ascii="Calibri" w:hAnsi="Calibri"/>
          <w:i/>
        </w:rPr>
        <w:t>Georgia: Protected Areas Development Project</w:t>
      </w:r>
      <w:r w:rsidRPr="00143E55">
        <w:rPr>
          <w:rFonts w:ascii="Calibri" w:hAnsi="Calibri"/>
        </w:rPr>
        <w:t>, UNDP</w:t>
      </w:r>
      <w:r w:rsidR="009D619E">
        <w:rPr>
          <w:rFonts w:ascii="Calibri" w:hAnsi="Calibri"/>
        </w:rPr>
        <w:t xml:space="preserve">-GEF </w:t>
      </w:r>
      <w:r w:rsidRPr="009D619E">
        <w:rPr>
          <w:rFonts w:ascii="Calibri" w:hAnsi="Calibri"/>
          <w:i/>
        </w:rPr>
        <w:t>Catalyzing Financial Sustainability of Georgia’s Protected Areas System</w:t>
      </w:r>
      <w:r w:rsidR="009D619E">
        <w:rPr>
          <w:rFonts w:ascii="Calibri" w:hAnsi="Calibri"/>
        </w:rPr>
        <w:t xml:space="preserve"> and UNDP-GEF </w:t>
      </w:r>
      <w:r w:rsidRPr="009D619E">
        <w:rPr>
          <w:rFonts w:ascii="Calibri" w:hAnsi="Calibri"/>
          <w:i/>
        </w:rPr>
        <w:t>Ensuring Sufficiency and Predictability of Revenues for Georgia’s Protected Areas System</w:t>
      </w:r>
      <w:r w:rsidR="009D619E">
        <w:rPr>
          <w:rFonts w:ascii="Calibri" w:hAnsi="Calibri"/>
        </w:rPr>
        <w:t>.</w:t>
      </w:r>
    </w:p>
    <w:p w14:paraId="5C7545B5" w14:textId="77777777" w:rsidR="00583CE0" w:rsidRDefault="00D675A8" w:rsidP="00D675A8">
      <w:pPr>
        <w:pStyle w:val="BodyText"/>
        <w:rPr>
          <w:rFonts w:ascii="Calibri" w:hAnsi="Calibri"/>
        </w:rPr>
      </w:pPr>
      <w:r w:rsidRPr="00D675A8">
        <w:rPr>
          <w:rFonts w:ascii="Calibri" w:hAnsi="Calibri"/>
        </w:rPr>
        <w:t xml:space="preserve">A </w:t>
      </w:r>
      <w:r w:rsidR="00583CE0">
        <w:rPr>
          <w:rFonts w:ascii="Calibri" w:hAnsi="Calibri"/>
        </w:rPr>
        <w:t xml:space="preserve">further </w:t>
      </w:r>
      <w:r w:rsidRPr="00D675A8">
        <w:rPr>
          <w:rFonts w:ascii="Calibri" w:hAnsi="Calibri"/>
        </w:rPr>
        <w:t xml:space="preserve">attribute of this project has been its </w:t>
      </w:r>
      <w:r w:rsidR="00583CE0">
        <w:rPr>
          <w:rFonts w:ascii="Calibri" w:hAnsi="Calibri"/>
        </w:rPr>
        <w:t>anticipation of the need for a Technical Coordination Group in order to share experiences, develop synergies</w:t>
      </w:r>
      <w:r w:rsidRPr="00D675A8">
        <w:rPr>
          <w:rFonts w:ascii="Calibri" w:hAnsi="Calibri"/>
        </w:rPr>
        <w:t xml:space="preserve"> </w:t>
      </w:r>
      <w:r w:rsidR="00583CE0">
        <w:rPr>
          <w:rFonts w:ascii="Calibri" w:hAnsi="Calibri"/>
        </w:rPr>
        <w:t xml:space="preserve">and avoid duplication </w:t>
      </w:r>
      <w:r w:rsidRPr="00D675A8">
        <w:rPr>
          <w:rFonts w:ascii="Calibri" w:hAnsi="Calibri"/>
        </w:rPr>
        <w:t xml:space="preserve">with other ongoing investments in establishing and strengthening the management of all protected Colchic forests in ARA, </w:t>
      </w:r>
      <w:r w:rsidR="00583CE0">
        <w:rPr>
          <w:rFonts w:ascii="Calibri" w:hAnsi="Calibri"/>
        </w:rPr>
        <w:t>supported by</w:t>
      </w:r>
      <w:r w:rsidRPr="00D675A8">
        <w:rPr>
          <w:rFonts w:ascii="Calibri" w:hAnsi="Calibri"/>
        </w:rPr>
        <w:t xml:space="preserve"> donors </w:t>
      </w:r>
      <w:r w:rsidR="00583CE0">
        <w:rPr>
          <w:rFonts w:ascii="Calibri" w:hAnsi="Calibri"/>
        </w:rPr>
        <w:t xml:space="preserve">such </w:t>
      </w:r>
      <w:r w:rsidRPr="00D675A8">
        <w:rPr>
          <w:rFonts w:ascii="Calibri" w:hAnsi="Calibri"/>
        </w:rPr>
        <w:t xml:space="preserve">as CNF, EU and WWF in Mtirala NP and KFW in Kintrishi PA complex. </w:t>
      </w:r>
      <w:r w:rsidR="00583CE0">
        <w:rPr>
          <w:rFonts w:ascii="Calibri" w:hAnsi="Calibri"/>
        </w:rPr>
        <w:t xml:space="preserve">This initiative is considered further in </w:t>
      </w:r>
      <w:r w:rsidR="00583CE0" w:rsidRPr="00583CE0">
        <w:rPr>
          <w:rFonts w:ascii="Calibri" w:hAnsi="Calibri"/>
          <w:b/>
        </w:rPr>
        <w:t>Section 3.3.7</w:t>
      </w:r>
      <w:r w:rsidR="00583CE0">
        <w:rPr>
          <w:rFonts w:ascii="Calibri" w:hAnsi="Calibri"/>
        </w:rPr>
        <w:t>.</w:t>
      </w:r>
    </w:p>
    <w:p w14:paraId="0CFA17C8" w14:textId="4752E397" w:rsidR="00F002DA" w:rsidRPr="00E22EBA" w:rsidRDefault="00F002DA" w:rsidP="001A4EDB">
      <w:pPr>
        <w:pStyle w:val="Heading2"/>
        <w:numPr>
          <w:ilvl w:val="2"/>
          <w:numId w:val="3"/>
        </w:numPr>
        <w:spacing w:before="240" w:after="120"/>
        <w:ind w:left="505" w:hanging="505"/>
        <w:rPr>
          <w:rFonts w:asciiTheme="minorHAnsi" w:hAnsiTheme="minorHAnsi" w:cs="Calibri"/>
          <w:b/>
          <w:caps w:val="0"/>
        </w:rPr>
      </w:pPr>
      <w:bookmarkStart w:id="134" w:name="_Toc414745321"/>
      <w:r w:rsidRPr="00E22EBA">
        <w:rPr>
          <w:rFonts w:asciiTheme="minorHAnsi" w:hAnsiTheme="minorHAnsi" w:cs="Calibri"/>
          <w:b/>
          <w:caps w:val="0"/>
        </w:rPr>
        <w:t xml:space="preserve">Planned </w:t>
      </w:r>
      <w:r w:rsidR="001B6DDC">
        <w:rPr>
          <w:rFonts w:asciiTheme="minorHAnsi" w:hAnsiTheme="minorHAnsi" w:cs="Calibri"/>
          <w:b/>
          <w:caps w:val="0"/>
        </w:rPr>
        <w:t>s</w:t>
      </w:r>
      <w:r w:rsidRPr="00E22EBA">
        <w:rPr>
          <w:rFonts w:asciiTheme="minorHAnsi" w:hAnsiTheme="minorHAnsi" w:cs="Calibri"/>
          <w:b/>
          <w:caps w:val="0"/>
        </w:rPr>
        <w:t xml:space="preserve">takeholder </w:t>
      </w:r>
      <w:r w:rsidR="001B6DDC">
        <w:rPr>
          <w:rFonts w:asciiTheme="minorHAnsi" w:hAnsiTheme="minorHAnsi" w:cs="Calibri"/>
          <w:b/>
          <w:caps w:val="0"/>
        </w:rPr>
        <w:t>p</w:t>
      </w:r>
      <w:r w:rsidRPr="00E22EBA">
        <w:rPr>
          <w:rFonts w:asciiTheme="minorHAnsi" w:hAnsiTheme="minorHAnsi" w:cs="Calibri"/>
          <w:b/>
          <w:caps w:val="0"/>
        </w:rPr>
        <w:t>articipation</w:t>
      </w:r>
      <w:bookmarkEnd w:id="134"/>
    </w:p>
    <w:p w14:paraId="2DAEBDA6" w14:textId="407AA582" w:rsidR="008413AC" w:rsidRDefault="008413AC" w:rsidP="0069534E">
      <w:pPr>
        <w:pStyle w:val="BodyText"/>
        <w:spacing w:before="120"/>
        <w:rPr>
          <w:rFonts w:asciiTheme="minorHAnsi" w:hAnsiTheme="minorHAnsi"/>
          <w:szCs w:val="24"/>
        </w:rPr>
      </w:pPr>
      <w:r>
        <w:rPr>
          <w:rFonts w:ascii="Calibri" w:hAnsi="Calibri" w:cs="TimesNewRomanPSMT"/>
          <w:szCs w:val="24"/>
        </w:rPr>
        <w:t>The main stakeholders are identified</w:t>
      </w:r>
      <w:r w:rsidR="002C1A9C">
        <w:rPr>
          <w:rFonts w:ascii="Calibri" w:hAnsi="Calibri" w:cs="TimesNewRomanPSMT"/>
          <w:szCs w:val="24"/>
        </w:rPr>
        <w:t xml:space="preserve"> </w:t>
      </w:r>
      <w:r w:rsidR="002C1A9C" w:rsidRPr="002C1A9C">
        <w:rPr>
          <w:rFonts w:ascii="Calibri" w:hAnsi="Calibri" w:cs="TimesNewRomanPSMT"/>
          <w:b/>
          <w:szCs w:val="24"/>
        </w:rPr>
        <w:t>Table 2.1</w:t>
      </w:r>
      <w:r w:rsidR="000B6C97">
        <w:rPr>
          <w:rFonts w:ascii="Calibri" w:hAnsi="Calibri" w:cs="TimesNewRomanPSMT"/>
          <w:szCs w:val="24"/>
        </w:rPr>
        <w:t xml:space="preserve"> and, </w:t>
      </w:r>
      <w:r w:rsidR="002C1A9C">
        <w:rPr>
          <w:rFonts w:ascii="Calibri" w:hAnsi="Calibri" w:cs="TimesNewRomanPSMT"/>
          <w:szCs w:val="24"/>
        </w:rPr>
        <w:t xml:space="preserve">as further elaborated in </w:t>
      </w:r>
      <w:r w:rsidR="002C1A9C" w:rsidRPr="008413AC">
        <w:rPr>
          <w:rFonts w:ascii="Calibri" w:hAnsi="Calibri" w:cs="TimesNewRomanPSMT"/>
          <w:b/>
          <w:szCs w:val="24"/>
        </w:rPr>
        <w:t>Section 2.5</w:t>
      </w:r>
      <w:r w:rsidR="000B6C97">
        <w:rPr>
          <w:rFonts w:ascii="Calibri" w:hAnsi="Calibri" w:cs="TimesNewRomanPSMT"/>
          <w:szCs w:val="24"/>
        </w:rPr>
        <w:t xml:space="preserve">, </w:t>
      </w:r>
      <w:r w:rsidR="002C1A9C">
        <w:rPr>
          <w:rFonts w:ascii="Calibri" w:hAnsi="Calibri" w:cs="TimesNewRomanPSMT"/>
          <w:szCs w:val="24"/>
        </w:rPr>
        <w:t>the p</w:t>
      </w:r>
      <w:r w:rsidRPr="00955EC4">
        <w:rPr>
          <w:rFonts w:ascii="Calibri" w:hAnsi="Calibri" w:cs="TimesNewRomanPSMT"/>
          <w:szCs w:val="24"/>
        </w:rPr>
        <w:t xml:space="preserve">roject </w:t>
      </w:r>
      <w:r w:rsidR="007E55C1">
        <w:rPr>
          <w:rFonts w:ascii="Calibri" w:hAnsi="Calibri" w:cs="TimesNewRomanPSMT"/>
          <w:szCs w:val="24"/>
        </w:rPr>
        <w:t xml:space="preserve">design included </w:t>
      </w:r>
      <w:r w:rsidRPr="00955EC4">
        <w:rPr>
          <w:rFonts w:ascii="Calibri" w:hAnsi="Calibri" w:cs="TimesNewRomanPSMT"/>
          <w:szCs w:val="24"/>
        </w:rPr>
        <w:t>two formal structure</w:t>
      </w:r>
      <w:r>
        <w:rPr>
          <w:rFonts w:ascii="Calibri" w:hAnsi="Calibri" w:cs="TimesNewRomanPSMT"/>
          <w:szCs w:val="24"/>
        </w:rPr>
        <w:t>s</w:t>
      </w:r>
      <w:r w:rsidRPr="00955EC4">
        <w:rPr>
          <w:rFonts w:ascii="Calibri" w:hAnsi="Calibri" w:cs="TimesNewRomanPSMT"/>
          <w:szCs w:val="24"/>
        </w:rPr>
        <w:t xml:space="preserve"> to coordinate stakeholder interests: the PEB</w:t>
      </w:r>
      <w:r w:rsidR="002C1A9C">
        <w:rPr>
          <w:rFonts w:ascii="Calibri" w:hAnsi="Calibri" w:cs="TimesNewRomanPSMT"/>
          <w:szCs w:val="24"/>
        </w:rPr>
        <w:t xml:space="preserve"> and </w:t>
      </w:r>
      <w:r w:rsidRPr="00955EC4">
        <w:rPr>
          <w:rFonts w:ascii="Calibri" w:hAnsi="Calibri" w:cs="TimesNewRomanPSMT"/>
          <w:szCs w:val="24"/>
        </w:rPr>
        <w:t>TCG</w:t>
      </w:r>
      <w:r w:rsidR="000B6C97">
        <w:rPr>
          <w:rFonts w:ascii="Calibri" w:hAnsi="Calibri" w:cs="TimesNewRomanPSMT"/>
          <w:szCs w:val="24"/>
        </w:rPr>
        <w:t xml:space="preserve">, both of which </w:t>
      </w:r>
      <w:r w:rsidR="00E31B6A">
        <w:rPr>
          <w:rFonts w:ascii="Calibri" w:hAnsi="Calibri" w:cs="TimesNewRomanPSMT"/>
          <w:szCs w:val="24"/>
        </w:rPr>
        <w:t>should meet</w:t>
      </w:r>
      <w:r w:rsidR="000B6C97">
        <w:rPr>
          <w:rFonts w:ascii="Calibri" w:hAnsi="Calibri" w:cs="TimesNewRomanPSMT"/>
          <w:szCs w:val="24"/>
        </w:rPr>
        <w:t xml:space="preserve"> quarterly</w:t>
      </w:r>
      <w:r w:rsidR="00E31B6A">
        <w:rPr>
          <w:rFonts w:ascii="Calibri" w:hAnsi="Calibri" w:cs="TimesNewRomanPSMT"/>
          <w:szCs w:val="24"/>
        </w:rPr>
        <w:t>.</w:t>
      </w:r>
    </w:p>
    <w:p w14:paraId="4E71DB86" w14:textId="470B9F02" w:rsidR="005265C4" w:rsidRDefault="005265C4" w:rsidP="0069534E">
      <w:pPr>
        <w:pStyle w:val="BodyText"/>
        <w:spacing w:before="120"/>
        <w:rPr>
          <w:rFonts w:asciiTheme="minorHAnsi" w:hAnsiTheme="minorHAnsi"/>
          <w:szCs w:val="24"/>
        </w:rPr>
      </w:pPr>
      <w:r>
        <w:rPr>
          <w:rFonts w:asciiTheme="minorHAnsi" w:hAnsiTheme="minorHAnsi"/>
          <w:szCs w:val="24"/>
        </w:rPr>
        <w:t>Stakeholder participation is fundamental to this project’s</w:t>
      </w:r>
      <w:r w:rsidR="00D86C1E">
        <w:rPr>
          <w:rFonts w:asciiTheme="minorHAnsi" w:hAnsiTheme="minorHAnsi"/>
          <w:szCs w:val="24"/>
        </w:rPr>
        <w:t xml:space="preserve"> design: </w:t>
      </w:r>
      <w:r w:rsidR="00772114">
        <w:rPr>
          <w:rFonts w:asciiTheme="minorHAnsi" w:hAnsiTheme="minorHAnsi"/>
          <w:szCs w:val="24"/>
        </w:rPr>
        <w:t>in the case of Outcome 1 i</w:t>
      </w:r>
      <w:r>
        <w:rPr>
          <w:rFonts w:asciiTheme="minorHAnsi" w:hAnsiTheme="minorHAnsi"/>
          <w:szCs w:val="24"/>
        </w:rPr>
        <w:t>t</w:t>
      </w:r>
      <w:r w:rsidR="00772114">
        <w:rPr>
          <w:rFonts w:asciiTheme="minorHAnsi" w:hAnsiTheme="minorHAnsi"/>
          <w:szCs w:val="24"/>
        </w:rPr>
        <w:t xml:space="preserve"> concerns strengthening the capacity of the full spectrum of stakeholders to manage existing PAs (Mtirala and Kintrishi); and in Outcome 2 it relates to engaging relevant stakeholders in creating and managing a new PA (Machakhela NP). </w:t>
      </w:r>
      <w:r>
        <w:rPr>
          <w:rFonts w:asciiTheme="minorHAnsi" w:hAnsiTheme="minorHAnsi"/>
          <w:szCs w:val="24"/>
        </w:rPr>
        <w:t>Planned initiatives include:</w:t>
      </w:r>
    </w:p>
    <w:p w14:paraId="1613DD8A" w14:textId="1C2F9D14" w:rsidR="005265C4" w:rsidRDefault="005265C4" w:rsidP="0067558E">
      <w:pPr>
        <w:pStyle w:val="ListParagraph"/>
        <w:numPr>
          <w:ilvl w:val="0"/>
          <w:numId w:val="10"/>
        </w:numPr>
        <w:spacing w:after="60" w:line="240" w:lineRule="atLeast"/>
        <w:ind w:left="567" w:hanging="425"/>
        <w:contextualSpacing w:val="0"/>
        <w:rPr>
          <w:rFonts w:asciiTheme="minorHAnsi" w:hAnsiTheme="minorHAnsi"/>
          <w:szCs w:val="24"/>
        </w:rPr>
      </w:pPr>
      <w:r>
        <w:rPr>
          <w:rFonts w:asciiTheme="minorHAnsi" w:hAnsiTheme="minorHAnsi"/>
          <w:szCs w:val="24"/>
        </w:rPr>
        <w:lastRenderedPageBreak/>
        <w:t>Involving local communities and PA staff in the collection of biodiversity and management effectiveness data and their sharing via an information system.</w:t>
      </w:r>
    </w:p>
    <w:p w14:paraId="419F1F03" w14:textId="35793A1A" w:rsidR="00064DBA" w:rsidRDefault="005265C4" w:rsidP="0067558E">
      <w:pPr>
        <w:pStyle w:val="ListParagraph"/>
        <w:numPr>
          <w:ilvl w:val="0"/>
          <w:numId w:val="10"/>
        </w:numPr>
        <w:spacing w:after="60" w:line="240" w:lineRule="atLeast"/>
        <w:ind w:left="567" w:hanging="425"/>
        <w:contextualSpacing w:val="0"/>
        <w:rPr>
          <w:rFonts w:asciiTheme="minorHAnsi" w:hAnsiTheme="minorHAnsi"/>
          <w:szCs w:val="24"/>
        </w:rPr>
      </w:pPr>
      <w:r>
        <w:rPr>
          <w:rFonts w:asciiTheme="minorHAnsi" w:hAnsiTheme="minorHAnsi"/>
          <w:szCs w:val="24"/>
        </w:rPr>
        <w:t>Involving local communities in planning and co-management arrangements through the es</w:t>
      </w:r>
      <w:r w:rsidR="00064DBA">
        <w:rPr>
          <w:rFonts w:asciiTheme="minorHAnsi" w:hAnsiTheme="minorHAnsi"/>
          <w:szCs w:val="24"/>
        </w:rPr>
        <w:t>tablis</w:t>
      </w:r>
      <w:r w:rsidR="005C087D">
        <w:rPr>
          <w:rFonts w:asciiTheme="minorHAnsi" w:hAnsiTheme="minorHAnsi"/>
          <w:szCs w:val="24"/>
        </w:rPr>
        <w:t>hment of community-based organiz</w:t>
      </w:r>
      <w:r w:rsidR="00064DBA">
        <w:rPr>
          <w:rFonts w:asciiTheme="minorHAnsi" w:hAnsiTheme="minorHAnsi"/>
          <w:szCs w:val="24"/>
        </w:rPr>
        <w:t xml:space="preserve">ations (CBOs) </w:t>
      </w:r>
      <w:r w:rsidR="005C087D">
        <w:rPr>
          <w:rFonts w:asciiTheme="minorHAnsi" w:hAnsiTheme="minorHAnsi"/>
          <w:szCs w:val="24"/>
        </w:rPr>
        <w:t xml:space="preserve">to represent community interests on PA management boards in matters </w:t>
      </w:r>
      <w:r w:rsidR="00064DBA">
        <w:rPr>
          <w:rFonts w:asciiTheme="minorHAnsi" w:hAnsiTheme="minorHAnsi"/>
          <w:szCs w:val="24"/>
        </w:rPr>
        <w:t>related to livelihoods</w:t>
      </w:r>
      <w:r w:rsidR="005C087D">
        <w:rPr>
          <w:rFonts w:asciiTheme="minorHAnsi" w:hAnsiTheme="minorHAnsi"/>
          <w:szCs w:val="24"/>
        </w:rPr>
        <w:t xml:space="preserve"> in areas buffering PAs</w:t>
      </w:r>
      <w:r w:rsidR="00064DBA">
        <w:rPr>
          <w:rFonts w:asciiTheme="minorHAnsi" w:hAnsiTheme="minorHAnsi"/>
          <w:szCs w:val="24"/>
        </w:rPr>
        <w:t xml:space="preserve">, such as fuel wood and NTFPs collection, livestock grazing, improved </w:t>
      </w:r>
      <w:r w:rsidR="00736C09">
        <w:rPr>
          <w:rFonts w:asciiTheme="minorHAnsi" w:hAnsiTheme="minorHAnsi"/>
          <w:szCs w:val="24"/>
        </w:rPr>
        <w:t>agriculture/</w:t>
      </w:r>
      <w:r w:rsidR="00064DBA">
        <w:rPr>
          <w:rFonts w:asciiTheme="minorHAnsi" w:hAnsiTheme="minorHAnsi"/>
          <w:szCs w:val="24"/>
        </w:rPr>
        <w:t>horticulture</w:t>
      </w:r>
      <w:r w:rsidR="00736C09">
        <w:rPr>
          <w:rFonts w:asciiTheme="minorHAnsi" w:hAnsiTheme="minorHAnsi"/>
          <w:szCs w:val="24"/>
        </w:rPr>
        <w:t>,</w:t>
      </w:r>
      <w:r w:rsidR="00064DBA">
        <w:rPr>
          <w:rFonts w:asciiTheme="minorHAnsi" w:hAnsiTheme="minorHAnsi"/>
          <w:szCs w:val="24"/>
        </w:rPr>
        <w:t xml:space="preserve"> bee-keeping</w:t>
      </w:r>
      <w:r w:rsidR="00736C09">
        <w:rPr>
          <w:rFonts w:asciiTheme="minorHAnsi" w:hAnsiTheme="minorHAnsi"/>
          <w:szCs w:val="24"/>
        </w:rPr>
        <w:t xml:space="preserve"> and community-based ecotourism</w:t>
      </w:r>
      <w:r w:rsidR="00064DBA">
        <w:rPr>
          <w:rFonts w:asciiTheme="minorHAnsi" w:hAnsiTheme="minorHAnsi"/>
          <w:szCs w:val="24"/>
        </w:rPr>
        <w:t>.</w:t>
      </w:r>
    </w:p>
    <w:p w14:paraId="510723B5" w14:textId="0E5B045F" w:rsidR="005265C4" w:rsidRDefault="00B62B8A" w:rsidP="0067558E">
      <w:pPr>
        <w:pStyle w:val="ListParagraph"/>
        <w:numPr>
          <w:ilvl w:val="0"/>
          <w:numId w:val="10"/>
        </w:numPr>
        <w:spacing w:after="60" w:line="240" w:lineRule="atLeast"/>
        <w:ind w:left="567" w:hanging="425"/>
        <w:contextualSpacing w:val="0"/>
        <w:rPr>
          <w:rFonts w:asciiTheme="minorHAnsi" w:hAnsiTheme="minorHAnsi"/>
          <w:szCs w:val="24"/>
        </w:rPr>
      </w:pPr>
      <w:r>
        <w:rPr>
          <w:rFonts w:asciiTheme="minorHAnsi" w:hAnsiTheme="minorHAnsi"/>
          <w:szCs w:val="24"/>
        </w:rPr>
        <w:t>In the case of Machakhela,</w:t>
      </w:r>
      <w:r w:rsidR="00E31B6A">
        <w:rPr>
          <w:rFonts w:asciiTheme="minorHAnsi" w:hAnsiTheme="minorHAnsi"/>
          <w:szCs w:val="24"/>
        </w:rPr>
        <w:t xml:space="preserve"> it was planned to establish a Public - Civil Society – Community Planning &amp; Management Board and, more specifically, to i</w:t>
      </w:r>
      <w:r>
        <w:rPr>
          <w:rFonts w:asciiTheme="minorHAnsi" w:hAnsiTheme="minorHAnsi"/>
          <w:szCs w:val="24"/>
        </w:rPr>
        <w:t>nvolve local communities in defining management zones for the NP</w:t>
      </w:r>
      <w:r w:rsidR="00E31B6A">
        <w:rPr>
          <w:rFonts w:asciiTheme="minorHAnsi" w:hAnsiTheme="minorHAnsi"/>
          <w:szCs w:val="24"/>
        </w:rPr>
        <w:t>.</w:t>
      </w:r>
    </w:p>
    <w:p w14:paraId="3C2C3D9A" w14:textId="68BF0047" w:rsidR="00E31B6A" w:rsidRPr="00E31B6A" w:rsidRDefault="00F038EC" w:rsidP="00E31B6A">
      <w:pPr>
        <w:pStyle w:val="BodyText"/>
        <w:spacing w:before="120"/>
        <w:rPr>
          <w:rFonts w:asciiTheme="minorHAnsi" w:hAnsiTheme="minorHAnsi"/>
          <w:szCs w:val="24"/>
        </w:rPr>
      </w:pPr>
      <w:r>
        <w:rPr>
          <w:rFonts w:asciiTheme="minorHAnsi" w:hAnsiTheme="minorHAnsi"/>
          <w:szCs w:val="24"/>
        </w:rPr>
        <w:t xml:space="preserve">During project implementation, CBOs did not gain much traction and were replaced by </w:t>
      </w:r>
      <w:r w:rsidR="00B611FB">
        <w:rPr>
          <w:rFonts w:asciiTheme="minorHAnsi" w:hAnsiTheme="minorHAnsi"/>
          <w:szCs w:val="24"/>
        </w:rPr>
        <w:t>PA</w:t>
      </w:r>
      <w:r>
        <w:rPr>
          <w:rFonts w:asciiTheme="minorHAnsi" w:hAnsiTheme="minorHAnsi"/>
          <w:szCs w:val="24"/>
        </w:rPr>
        <w:t xml:space="preserve"> Friends Associations. </w:t>
      </w:r>
      <w:r w:rsidR="009D09E1">
        <w:rPr>
          <w:rFonts w:asciiTheme="minorHAnsi" w:hAnsiTheme="minorHAnsi"/>
          <w:szCs w:val="24"/>
        </w:rPr>
        <w:t>Further details of these and other plan</w:t>
      </w:r>
      <w:r w:rsidR="00515887">
        <w:rPr>
          <w:rFonts w:asciiTheme="minorHAnsi" w:hAnsiTheme="minorHAnsi"/>
          <w:szCs w:val="24"/>
        </w:rPr>
        <w:t>ned initiatives</w:t>
      </w:r>
      <w:r w:rsidR="009D09E1">
        <w:rPr>
          <w:rFonts w:asciiTheme="minorHAnsi" w:hAnsiTheme="minorHAnsi"/>
          <w:szCs w:val="24"/>
        </w:rPr>
        <w:t xml:space="preserve"> can be found in </w:t>
      </w:r>
      <w:r w:rsidR="00515887">
        <w:rPr>
          <w:rFonts w:asciiTheme="minorHAnsi" w:hAnsiTheme="minorHAnsi"/>
          <w:szCs w:val="24"/>
        </w:rPr>
        <w:t>the Stakeholder Involvement Plan (</w:t>
      </w:r>
      <w:r w:rsidR="005B38E1">
        <w:rPr>
          <w:rFonts w:asciiTheme="minorHAnsi" w:hAnsiTheme="minorHAnsi"/>
          <w:szCs w:val="24"/>
        </w:rPr>
        <w:t xml:space="preserve">Section IV, </w:t>
      </w:r>
      <w:r w:rsidR="009D09E1">
        <w:rPr>
          <w:rFonts w:asciiTheme="minorHAnsi" w:hAnsiTheme="minorHAnsi"/>
          <w:szCs w:val="24"/>
        </w:rPr>
        <w:t>Part III of the ProDoc</w:t>
      </w:r>
      <w:r w:rsidR="00515887">
        <w:rPr>
          <w:rFonts w:asciiTheme="minorHAnsi" w:hAnsiTheme="minorHAnsi"/>
          <w:szCs w:val="24"/>
        </w:rPr>
        <w:t>); and their i</w:t>
      </w:r>
      <w:r w:rsidR="00E31B6A" w:rsidRPr="00E31B6A">
        <w:rPr>
          <w:rFonts w:asciiTheme="minorHAnsi" w:hAnsiTheme="minorHAnsi"/>
          <w:szCs w:val="24"/>
        </w:rPr>
        <w:t xml:space="preserve">mplementation </w:t>
      </w:r>
      <w:r w:rsidR="00515887">
        <w:rPr>
          <w:rFonts w:asciiTheme="minorHAnsi" w:hAnsiTheme="minorHAnsi"/>
          <w:szCs w:val="24"/>
        </w:rPr>
        <w:t>is</w:t>
      </w:r>
      <w:r w:rsidR="00E31B6A" w:rsidRPr="00E31B6A">
        <w:rPr>
          <w:rFonts w:asciiTheme="minorHAnsi" w:hAnsiTheme="minorHAnsi"/>
          <w:szCs w:val="24"/>
        </w:rPr>
        <w:t xml:space="preserve"> evaluated </w:t>
      </w:r>
      <w:r w:rsidR="00E31B6A" w:rsidRPr="00C77440">
        <w:rPr>
          <w:rFonts w:asciiTheme="minorHAnsi" w:hAnsiTheme="minorHAnsi"/>
          <w:szCs w:val="24"/>
        </w:rPr>
        <w:t xml:space="preserve">in </w:t>
      </w:r>
      <w:r w:rsidR="00C77440" w:rsidRPr="00C77440">
        <w:rPr>
          <w:rFonts w:asciiTheme="minorHAnsi" w:hAnsiTheme="minorHAnsi"/>
          <w:b/>
          <w:szCs w:val="24"/>
        </w:rPr>
        <w:t>Section 3.2.2</w:t>
      </w:r>
      <w:r w:rsidR="00E31B6A" w:rsidRPr="00C77440">
        <w:rPr>
          <w:rFonts w:asciiTheme="minorHAnsi" w:hAnsiTheme="minorHAnsi"/>
          <w:szCs w:val="24"/>
        </w:rPr>
        <w:t>.</w:t>
      </w:r>
    </w:p>
    <w:p w14:paraId="7350D905" w14:textId="4ACEFFF4" w:rsidR="00F002DA" w:rsidRPr="00E22EBA" w:rsidRDefault="001B6DDC" w:rsidP="001A4EDB">
      <w:pPr>
        <w:pStyle w:val="Heading2"/>
        <w:numPr>
          <w:ilvl w:val="2"/>
          <w:numId w:val="3"/>
        </w:numPr>
        <w:spacing w:before="240" w:after="120"/>
        <w:ind w:left="505" w:hanging="505"/>
        <w:rPr>
          <w:rFonts w:asciiTheme="minorHAnsi" w:hAnsiTheme="minorHAnsi" w:cs="Calibri"/>
          <w:b/>
          <w:caps w:val="0"/>
        </w:rPr>
      </w:pPr>
      <w:bookmarkStart w:id="135" w:name="_Toc414745322"/>
      <w:r>
        <w:rPr>
          <w:rFonts w:asciiTheme="minorHAnsi" w:hAnsiTheme="minorHAnsi" w:cs="Calibri"/>
          <w:b/>
          <w:caps w:val="0"/>
        </w:rPr>
        <w:t>Replication a</w:t>
      </w:r>
      <w:r w:rsidR="00F002DA" w:rsidRPr="00E22EBA">
        <w:rPr>
          <w:rFonts w:asciiTheme="minorHAnsi" w:hAnsiTheme="minorHAnsi" w:cs="Calibri"/>
          <w:b/>
          <w:caps w:val="0"/>
        </w:rPr>
        <w:t>pproach</w:t>
      </w:r>
      <w:bookmarkEnd w:id="135"/>
    </w:p>
    <w:p w14:paraId="31FC1B01" w14:textId="2414C076" w:rsidR="00964388" w:rsidRDefault="002D0C91" w:rsidP="002D0C91">
      <w:pPr>
        <w:tabs>
          <w:tab w:val="num" w:pos="0"/>
        </w:tabs>
        <w:spacing w:after="120" w:line="240" w:lineRule="atLeast"/>
        <w:jc w:val="both"/>
        <w:rPr>
          <w:rFonts w:asciiTheme="minorHAnsi" w:hAnsiTheme="minorHAnsi"/>
          <w:sz w:val="24"/>
          <w:szCs w:val="24"/>
        </w:rPr>
      </w:pPr>
      <w:r w:rsidRPr="002D0C91">
        <w:rPr>
          <w:rFonts w:asciiTheme="minorHAnsi" w:hAnsiTheme="minorHAnsi"/>
          <w:sz w:val="24"/>
          <w:szCs w:val="24"/>
        </w:rPr>
        <w:t xml:space="preserve">The </w:t>
      </w:r>
      <w:r w:rsidR="00E31B6A">
        <w:rPr>
          <w:rFonts w:asciiTheme="minorHAnsi" w:hAnsiTheme="minorHAnsi"/>
          <w:sz w:val="24"/>
          <w:szCs w:val="24"/>
        </w:rPr>
        <w:t xml:space="preserve">design of the </w:t>
      </w:r>
      <w:r w:rsidRPr="002D0C91">
        <w:rPr>
          <w:rFonts w:asciiTheme="minorHAnsi" w:hAnsiTheme="minorHAnsi"/>
          <w:sz w:val="24"/>
          <w:szCs w:val="24"/>
        </w:rPr>
        <w:t xml:space="preserve">project </w:t>
      </w:r>
      <w:r w:rsidR="00E31B6A">
        <w:rPr>
          <w:rFonts w:asciiTheme="minorHAnsi" w:hAnsiTheme="minorHAnsi"/>
          <w:sz w:val="24"/>
          <w:szCs w:val="24"/>
        </w:rPr>
        <w:t>has an inherent</w:t>
      </w:r>
      <w:r w:rsidRPr="002D0C91">
        <w:rPr>
          <w:rFonts w:asciiTheme="minorHAnsi" w:hAnsiTheme="minorHAnsi"/>
          <w:sz w:val="24"/>
          <w:szCs w:val="24"/>
        </w:rPr>
        <w:t xml:space="preserve"> replication dimension</w:t>
      </w:r>
      <w:r w:rsidR="001C5461">
        <w:rPr>
          <w:rFonts w:asciiTheme="minorHAnsi" w:hAnsiTheme="minorHAnsi"/>
          <w:sz w:val="24"/>
          <w:szCs w:val="24"/>
        </w:rPr>
        <w:t xml:space="preserve">, as explained above in </w:t>
      </w:r>
      <w:r w:rsidR="001C5461" w:rsidRPr="001C5461">
        <w:rPr>
          <w:rFonts w:asciiTheme="minorHAnsi" w:hAnsiTheme="minorHAnsi"/>
          <w:b/>
          <w:sz w:val="24"/>
          <w:szCs w:val="24"/>
        </w:rPr>
        <w:t>Section 3.1.3</w:t>
      </w:r>
      <w:r>
        <w:rPr>
          <w:rFonts w:asciiTheme="minorHAnsi" w:hAnsiTheme="minorHAnsi"/>
          <w:sz w:val="24"/>
          <w:szCs w:val="24"/>
        </w:rPr>
        <w:t xml:space="preserve">, </w:t>
      </w:r>
      <w:r w:rsidR="001C5461">
        <w:rPr>
          <w:rFonts w:asciiTheme="minorHAnsi" w:hAnsiTheme="minorHAnsi"/>
          <w:sz w:val="24"/>
          <w:szCs w:val="24"/>
        </w:rPr>
        <w:t xml:space="preserve">whereby lessons learned can be shared via the TCG and applied across other PAs in ARA, or more widely across Georgia’s PAs system. </w:t>
      </w:r>
      <w:r w:rsidR="00E45C1B">
        <w:rPr>
          <w:rFonts w:asciiTheme="minorHAnsi" w:hAnsiTheme="minorHAnsi"/>
          <w:sz w:val="24"/>
          <w:szCs w:val="24"/>
        </w:rPr>
        <w:t>E</w:t>
      </w:r>
      <w:r w:rsidR="004E4FEC">
        <w:rPr>
          <w:rFonts w:asciiTheme="minorHAnsi" w:hAnsiTheme="minorHAnsi"/>
          <w:sz w:val="24"/>
          <w:szCs w:val="24"/>
        </w:rPr>
        <w:t>xamples of</w:t>
      </w:r>
      <w:r w:rsidR="00E45C1B">
        <w:rPr>
          <w:rFonts w:asciiTheme="minorHAnsi" w:hAnsiTheme="minorHAnsi"/>
          <w:sz w:val="24"/>
          <w:szCs w:val="24"/>
        </w:rPr>
        <w:t xml:space="preserve"> how this </w:t>
      </w:r>
      <w:r w:rsidR="004E4FEC">
        <w:rPr>
          <w:rFonts w:asciiTheme="minorHAnsi" w:hAnsiTheme="minorHAnsi"/>
          <w:sz w:val="24"/>
          <w:szCs w:val="24"/>
        </w:rPr>
        <w:t xml:space="preserve">replication </w:t>
      </w:r>
      <w:r w:rsidR="00E45C1B">
        <w:rPr>
          <w:rFonts w:asciiTheme="minorHAnsi" w:hAnsiTheme="minorHAnsi"/>
          <w:sz w:val="24"/>
          <w:szCs w:val="24"/>
        </w:rPr>
        <w:t xml:space="preserve">approach has been applied are considered in </w:t>
      </w:r>
      <w:r w:rsidR="00E45C1B" w:rsidRPr="00E45C1B">
        <w:rPr>
          <w:rFonts w:asciiTheme="minorHAnsi" w:hAnsiTheme="minorHAnsi"/>
          <w:b/>
          <w:sz w:val="24"/>
          <w:szCs w:val="24"/>
        </w:rPr>
        <w:t>Section 3.</w:t>
      </w:r>
      <w:r w:rsidR="000C7C78">
        <w:rPr>
          <w:rFonts w:asciiTheme="minorHAnsi" w:hAnsiTheme="minorHAnsi"/>
          <w:b/>
          <w:sz w:val="24"/>
          <w:szCs w:val="24"/>
        </w:rPr>
        <w:t>3.</w:t>
      </w:r>
      <w:r w:rsidR="00E45C1B" w:rsidRPr="00E45C1B">
        <w:rPr>
          <w:rFonts w:asciiTheme="minorHAnsi" w:hAnsiTheme="minorHAnsi"/>
          <w:b/>
          <w:sz w:val="24"/>
          <w:szCs w:val="24"/>
        </w:rPr>
        <w:t>7</w:t>
      </w:r>
      <w:r w:rsidR="00E45C1B">
        <w:rPr>
          <w:rFonts w:asciiTheme="minorHAnsi" w:hAnsiTheme="minorHAnsi"/>
          <w:sz w:val="24"/>
          <w:szCs w:val="24"/>
        </w:rPr>
        <w:t>.</w:t>
      </w:r>
    </w:p>
    <w:p w14:paraId="3A9C0FC0" w14:textId="4E51E4D5" w:rsidR="00AC39CC" w:rsidRDefault="001C5461" w:rsidP="002D0C91">
      <w:pPr>
        <w:tabs>
          <w:tab w:val="num" w:pos="0"/>
        </w:tabs>
        <w:spacing w:after="120" w:line="240" w:lineRule="atLeast"/>
        <w:jc w:val="both"/>
        <w:rPr>
          <w:rFonts w:asciiTheme="minorHAnsi" w:hAnsiTheme="minorHAnsi"/>
          <w:sz w:val="24"/>
          <w:szCs w:val="24"/>
        </w:rPr>
      </w:pPr>
      <w:r>
        <w:rPr>
          <w:rFonts w:asciiTheme="minorHAnsi" w:hAnsiTheme="minorHAnsi"/>
          <w:sz w:val="24"/>
          <w:szCs w:val="24"/>
        </w:rPr>
        <w:t>Provision is made in the ProDoc for best practices and lessons learned to be documented, along with guidelines</w:t>
      </w:r>
      <w:r w:rsidR="00AC39CC">
        <w:rPr>
          <w:rFonts w:asciiTheme="minorHAnsi" w:hAnsiTheme="minorHAnsi"/>
          <w:sz w:val="24"/>
          <w:szCs w:val="24"/>
        </w:rPr>
        <w:t xml:space="preserve"> to facilitate their wide</w:t>
      </w:r>
      <w:r w:rsidR="00964388">
        <w:rPr>
          <w:rFonts w:asciiTheme="minorHAnsi" w:hAnsiTheme="minorHAnsi"/>
          <w:sz w:val="24"/>
          <w:szCs w:val="24"/>
        </w:rPr>
        <w:t>r</w:t>
      </w:r>
      <w:r w:rsidR="00AC39CC">
        <w:rPr>
          <w:rFonts w:asciiTheme="minorHAnsi" w:hAnsiTheme="minorHAnsi"/>
          <w:sz w:val="24"/>
          <w:szCs w:val="24"/>
        </w:rPr>
        <w:t xml:space="preserve"> replication and upscaling. </w:t>
      </w:r>
      <w:r w:rsidR="00964388">
        <w:rPr>
          <w:rFonts w:asciiTheme="minorHAnsi" w:hAnsiTheme="minorHAnsi"/>
          <w:sz w:val="24"/>
          <w:szCs w:val="24"/>
        </w:rPr>
        <w:t>Such p</w:t>
      </w:r>
      <w:r w:rsidR="00AC39CC">
        <w:rPr>
          <w:rFonts w:asciiTheme="minorHAnsi" w:hAnsiTheme="minorHAnsi"/>
          <w:sz w:val="24"/>
          <w:szCs w:val="24"/>
        </w:rPr>
        <w:t xml:space="preserve">lans include financial provision for such information to be published and disseminated in </w:t>
      </w:r>
      <w:r w:rsidR="00017630">
        <w:rPr>
          <w:rFonts w:asciiTheme="minorHAnsi" w:hAnsiTheme="minorHAnsi"/>
          <w:sz w:val="24"/>
          <w:szCs w:val="24"/>
        </w:rPr>
        <w:t>printed</w:t>
      </w:r>
      <w:r w:rsidR="00AC39CC">
        <w:rPr>
          <w:rFonts w:asciiTheme="minorHAnsi" w:hAnsiTheme="minorHAnsi"/>
          <w:sz w:val="24"/>
          <w:szCs w:val="24"/>
        </w:rPr>
        <w:t xml:space="preserve"> and digital format.</w:t>
      </w:r>
      <w:r w:rsidR="006407EB">
        <w:rPr>
          <w:rFonts w:asciiTheme="minorHAnsi" w:hAnsiTheme="minorHAnsi"/>
          <w:sz w:val="24"/>
          <w:szCs w:val="24"/>
        </w:rPr>
        <w:t xml:space="preserve"> Refer </w:t>
      </w:r>
      <w:r w:rsidR="006407EB" w:rsidRPr="00E45C1B">
        <w:rPr>
          <w:rFonts w:asciiTheme="minorHAnsi" w:hAnsiTheme="minorHAnsi"/>
          <w:sz w:val="24"/>
          <w:szCs w:val="24"/>
        </w:rPr>
        <w:t xml:space="preserve">to </w:t>
      </w:r>
      <w:r w:rsidR="006407EB" w:rsidRPr="00E45C1B">
        <w:rPr>
          <w:rFonts w:asciiTheme="minorHAnsi" w:hAnsiTheme="minorHAnsi"/>
          <w:b/>
          <w:sz w:val="24"/>
          <w:szCs w:val="24"/>
        </w:rPr>
        <w:t xml:space="preserve">Section </w:t>
      </w:r>
      <w:r w:rsidR="00E45C1B" w:rsidRPr="00E45C1B">
        <w:rPr>
          <w:rFonts w:asciiTheme="minorHAnsi" w:hAnsiTheme="minorHAnsi"/>
          <w:b/>
          <w:sz w:val="24"/>
          <w:szCs w:val="24"/>
        </w:rPr>
        <w:t>3.</w:t>
      </w:r>
      <w:r w:rsidR="000C7C78">
        <w:rPr>
          <w:rFonts w:asciiTheme="minorHAnsi" w:hAnsiTheme="minorHAnsi"/>
          <w:b/>
          <w:sz w:val="24"/>
          <w:szCs w:val="24"/>
        </w:rPr>
        <w:t>3.</w:t>
      </w:r>
      <w:r w:rsidR="00E45C1B" w:rsidRPr="00E45C1B">
        <w:rPr>
          <w:rFonts w:asciiTheme="minorHAnsi" w:hAnsiTheme="minorHAnsi"/>
          <w:b/>
          <w:sz w:val="24"/>
          <w:szCs w:val="24"/>
        </w:rPr>
        <w:t xml:space="preserve">7 </w:t>
      </w:r>
      <w:r w:rsidR="006407EB" w:rsidRPr="00E45C1B">
        <w:rPr>
          <w:rFonts w:asciiTheme="minorHAnsi" w:hAnsiTheme="minorHAnsi"/>
          <w:sz w:val="24"/>
          <w:szCs w:val="24"/>
        </w:rPr>
        <w:t xml:space="preserve">for </w:t>
      </w:r>
      <w:r w:rsidR="00E45C1B" w:rsidRPr="00E45C1B">
        <w:rPr>
          <w:rFonts w:asciiTheme="minorHAnsi" w:hAnsiTheme="minorHAnsi"/>
          <w:sz w:val="24"/>
          <w:szCs w:val="24"/>
        </w:rPr>
        <w:t>further</w:t>
      </w:r>
      <w:r w:rsidR="00E45C1B">
        <w:rPr>
          <w:rFonts w:asciiTheme="minorHAnsi" w:hAnsiTheme="minorHAnsi"/>
          <w:sz w:val="24"/>
          <w:szCs w:val="24"/>
        </w:rPr>
        <w:t xml:space="preserve"> details</w:t>
      </w:r>
      <w:r w:rsidR="00C77440">
        <w:rPr>
          <w:rFonts w:asciiTheme="minorHAnsi" w:hAnsiTheme="minorHAnsi"/>
          <w:sz w:val="24"/>
          <w:szCs w:val="24"/>
        </w:rPr>
        <w:t xml:space="preserve"> about the project’s catalytic role.</w:t>
      </w:r>
    </w:p>
    <w:p w14:paraId="25B0B760" w14:textId="43FA8590" w:rsidR="00F002DA" w:rsidRPr="00E22EBA" w:rsidRDefault="001B6DDC" w:rsidP="00E92F3E">
      <w:pPr>
        <w:pStyle w:val="Heading2"/>
        <w:numPr>
          <w:ilvl w:val="2"/>
          <w:numId w:val="3"/>
        </w:numPr>
        <w:spacing w:before="240" w:after="120"/>
        <w:ind w:left="504"/>
        <w:rPr>
          <w:rFonts w:asciiTheme="minorHAnsi" w:hAnsiTheme="minorHAnsi" w:cs="Calibri"/>
          <w:b/>
          <w:caps w:val="0"/>
        </w:rPr>
      </w:pPr>
      <w:bookmarkStart w:id="136" w:name="_Toc414745323"/>
      <w:r>
        <w:rPr>
          <w:rFonts w:asciiTheme="minorHAnsi" w:hAnsiTheme="minorHAnsi" w:cs="Calibri"/>
          <w:b/>
          <w:caps w:val="0"/>
        </w:rPr>
        <w:t>UNDP comparative a</w:t>
      </w:r>
      <w:r w:rsidR="00F002DA" w:rsidRPr="00E22EBA">
        <w:rPr>
          <w:rFonts w:asciiTheme="minorHAnsi" w:hAnsiTheme="minorHAnsi" w:cs="Calibri"/>
          <w:b/>
          <w:caps w:val="0"/>
        </w:rPr>
        <w:t>dvantage</w:t>
      </w:r>
      <w:bookmarkEnd w:id="136"/>
    </w:p>
    <w:p w14:paraId="5C9465C8" w14:textId="3054B86A" w:rsidR="00FE32B3" w:rsidRDefault="0017228F" w:rsidP="001478D7">
      <w:pPr>
        <w:overflowPunct/>
        <w:spacing w:after="120" w:line="240" w:lineRule="atLeast"/>
        <w:jc w:val="both"/>
        <w:textAlignment w:val="auto"/>
        <w:rPr>
          <w:rFonts w:asciiTheme="minorHAnsi" w:hAnsiTheme="minorHAnsi" w:cs="Times-Roman"/>
          <w:sz w:val="24"/>
          <w:szCs w:val="24"/>
          <w:lang w:val="en-US"/>
        </w:rPr>
      </w:pPr>
      <w:r w:rsidRPr="00E22EBA">
        <w:rPr>
          <w:rFonts w:asciiTheme="minorHAnsi" w:hAnsiTheme="minorHAnsi" w:cs="Times-Roman"/>
          <w:sz w:val="24"/>
          <w:szCs w:val="24"/>
          <w:lang w:val="en-US"/>
        </w:rPr>
        <w:t xml:space="preserve">The comparative advantage </w:t>
      </w:r>
      <w:r w:rsidR="004F234E">
        <w:rPr>
          <w:rFonts w:asciiTheme="minorHAnsi" w:hAnsiTheme="minorHAnsi" w:cs="Times-Roman"/>
          <w:sz w:val="24"/>
          <w:szCs w:val="24"/>
          <w:lang w:val="en-US"/>
        </w:rPr>
        <w:t xml:space="preserve">of </w:t>
      </w:r>
      <w:r w:rsidR="004F234E" w:rsidRPr="00E22EBA">
        <w:rPr>
          <w:rFonts w:asciiTheme="minorHAnsi" w:hAnsiTheme="minorHAnsi" w:cs="Times-Roman"/>
          <w:sz w:val="24"/>
          <w:szCs w:val="24"/>
          <w:lang w:val="en-US"/>
        </w:rPr>
        <w:t xml:space="preserve">UNDP </w:t>
      </w:r>
      <w:r w:rsidRPr="00E22EBA">
        <w:rPr>
          <w:rFonts w:asciiTheme="minorHAnsi" w:hAnsiTheme="minorHAnsi" w:cs="Times-Roman"/>
          <w:sz w:val="24"/>
          <w:szCs w:val="24"/>
          <w:lang w:val="en-US"/>
        </w:rPr>
        <w:t xml:space="preserve">in the </w:t>
      </w:r>
      <w:r w:rsidR="001D19D5" w:rsidRPr="00E22EBA">
        <w:rPr>
          <w:rFonts w:asciiTheme="minorHAnsi" w:hAnsiTheme="minorHAnsi" w:cs="Times-Roman"/>
          <w:sz w:val="24"/>
          <w:szCs w:val="24"/>
          <w:lang w:val="en-US"/>
        </w:rPr>
        <w:t>design</w:t>
      </w:r>
      <w:r w:rsidRPr="00E22EBA">
        <w:rPr>
          <w:rFonts w:asciiTheme="minorHAnsi" w:hAnsiTheme="minorHAnsi" w:cs="Times-Roman"/>
          <w:sz w:val="24"/>
          <w:szCs w:val="24"/>
          <w:lang w:val="en-US"/>
        </w:rPr>
        <w:t xml:space="preserve"> </w:t>
      </w:r>
      <w:r w:rsidR="004F234E">
        <w:rPr>
          <w:rFonts w:asciiTheme="minorHAnsi" w:hAnsiTheme="minorHAnsi" w:cs="Times-Roman"/>
          <w:sz w:val="24"/>
          <w:szCs w:val="24"/>
          <w:lang w:val="en-US"/>
        </w:rPr>
        <w:t xml:space="preserve">and implementation of the </w:t>
      </w:r>
      <w:r w:rsidRPr="00E22EBA">
        <w:rPr>
          <w:rFonts w:asciiTheme="minorHAnsi" w:hAnsiTheme="minorHAnsi" w:cs="Times-Roman"/>
          <w:sz w:val="24"/>
          <w:szCs w:val="24"/>
          <w:lang w:val="en-US"/>
        </w:rPr>
        <w:t xml:space="preserve">Project </w:t>
      </w:r>
      <w:r w:rsidR="004F234E">
        <w:rPr>
          <w:rFonts w:asciiTheme="minorHAnsi" w:hAnsiTheme="minorHAnsi" w:cs="Times-Roman"/>
          <w:sz w:val="24"/>
          <w:szCs w:val="24"/>
          <w:lang w:val="en-US"/>
        </w:rPr>
        <w:t xml:space="preserve">is not </w:t>
      </w:r>
      <w:r w:rsidR="00FE32B3">
        <w:rPr>
          <w:rFonts w:asciiTheme="minorHAnsi" w:hAnsiTheme="minorHAnsi" w:cs="Times-Roman"/>
          <w:sz w:val="24"/>
          <w:szCs w:val="24"/>
          <w:lang w:val="en-US"/>
        </w:rPr>
        <w:t>described</w:t>
      </w:r>
      <w:r w:rsidR="004F234E">
        <w:rPr>
          <w:rFonts w:asciiTheme="minorHAnsi" w:hAnsiTheme="minorHAnsi" w:cs="Times-Roman"/>
          <w:sz w:val="24"/>
          <w:szCs w:val="24"/>
          <w:lang w:val="en-US"/>
        </w:rPr>
        <w:t xml:space="preserve"> in the ProDoc. </w:t>
      </w:r>
    </w:p>
    <w:p w14:paraId="07779E64" w14:textId="2CB986D7" w:rsidR="001F3198" w:rsidRDefault="004F234E" w:rsidP="001478D7">
      <w:pPr>
        <w:overflowPunct/>
        <w:spacing w:after="120" w:line="240" w:lineRule="atLeast"/>
        <w:jc w:val="both"/>
        <w:textAlignment w:val="auto"/>
        <w:rPr>
          <w:rFonts w:asciiTheme="minorHAnsi" w:hAnsiTheme="minorHAnsi" w:cs="Times-Roman"/>
          <w:sz w:val="24"/>
          <w:szCs w:val="24"/>
          <w:lang w:val="en-US"/>
        </w:rPr>
      </w:pPr>
      <w:r>
        <w:rPr>
          <w:rFonts w:asciiTheme="minorHAnsi" w:hAnsiTheme="minorHAnsi" w:cs="Times-Roman"/>
          <w:sz w:val="24"/>
          <w:szCs w:val="24"/>
          <w:lang w:val="en-US"/>
        </w:rPr>
        <w:t xml:space="preserve">Clearly, UNDP has </w:t>
      </w:r>
      <w:r w:rsidR="0017228F" w:rsidRPr="00E22EBA">
        <w:rPr>
          <w:rFonts w:asciiTheme="minorHAnsi" w:hAnsiTheme="minorHAnsi" w:cs="Times-Roman"/>
          <w:sz w:val="24"/>
          <w:szCs w:val="24"/>
          <w:lang w:val="en-US"/>
        </w:rPr>
        <w:t xml:space="preserve">extensive experience </w:t>
      </w:r>
      <w:r>
        <w:rPr>
          <w:rFonts w:asciiTheme="minorHAnsi" w:hAnsiTheme="minorHAnsi" w:cs="Times-Roman"/>
          <w:sz w:val="24"/>
          <w:szCs w:val="24"/>
          <w:lang w:val="en-US"/>
        </w:rPr>
        <w:t xml:space="preserve">of </w:t>
      </w:r>
      <w:r w:rsidR="0017228F" w:rsidRPr="00E22EBA">
        <w:rPr>
          <w:rFonts w:asciiTheme="minorHAnsi" w:hAnsiTheme="minorHAnsi" w:cs="Times-Roman"/>
          <w:sz w:val="24"/>
          <w:szCs w:val="24"/>
          <w:lang w:val="en-US"/>
        </w:rPr>
        <w:t>working</w:t>
      </w:r>
      <w:r w:rsidR="00B00A7D" w:rsidRPr="00E22EBA">
        <w:rPr>
          <w:rFonts w:asciiTheme="minorHAnsi" w:hAnsiTheme="minorHAnsi" w:cs="Times-Roman"/>
          <w:sz w:val="24"/>
          <w:szCs w:val="24"/>
          <w:lang w:val="en-US"/>
        </w:rPr>
        <w:t xml:space="preserve"> </w:t>
      </w:r>
      <w:r w:rsidR="00FD1534">
        <w:rPr>
          <w:rFonts w:asciiTheme="minorHAnsi" w:hAnsiTheme="minorHAnsi" w:cs="Times-Roman"/>
          <w:sz w:val="24"/>
          <w:szCs w:val="24"/>
          <w:lang w:val="en-US"/>
        </w:rPr>
        <w:t xml:space="preserve">in </w:t>
      </w:r>
      <w:r>
        <w:rPr>
          <w:rFonts w:asciiTheme="minorHAnsi" w:hAnsiTheme="minorHAnsi" w:cs="Times-Roman"/>
          <w:sz w:val="24"/>
          <w:szCs w:val="24"/>
          <w:lang w:val="en-US"/>
        </w:rPr>
        <w:t>Georgia</w:t>
      </w:r>
      <w:r w:rsidR="0086196A">
        <w:rPr>
          <w:rFonts w:asciiTheme="minorHAnsi" w:hAnsiTheme="minorHAnsi" w:cs="Times-Roman"/>
          <w:sz w:val="24"/>
          <w:szCs w:val="24"/>
          <w:lang w:val="en-US"/>
        </w:rPr>
        <w:t xml:space="preserve"> that dates back to 1999 in the case of its GEF portfolio of </w:t>
      </w:r>
      <w:r w:rsidR="00FE32B3">
        <w:rPr>
          <w:rFonts w:asciiTheme="minorHAnsi" w:hAnsiTheme="minorHAnsi" w:cs="Times-Roman"/>
          <w:sz w:val="24"/>
          <w:szCs w:val="24"/>
          <w:lang w:val="en-US"/>
        </w:rPr>
        <w:t>seven</w:t>
      </w:r>
      <w:r w:rsidR="00E76FC5">
        <w:rPr>
          <w:rFonts w:asciiTheme="minorHAnsi" w:hAnsiTheme="minorHAnsi" w:cs="Times-Roman"/>
          <w:sz w:val="24"/>
          <w:szCs w:val="24"/>
          <w:lang w:val="en-US"/>
        </w:rPr>
        <w:t xml:space="preserve"> </w:t>
      </w:r>
      <w:r w:rsidR="0086196A">
        <w:rPr>
          <w:rFonts w:asciiTheme="minorHAnsi" w:hAnsiTheme="minorHAnsi" w:cs="Times-Roman"/>
          <w:sz w:val="24"/>
          <w:szCs w:val="24"/>
          <w:lang w:val="en-US"/>
        </w:rPr>
        <w:t>biodiversity projects</w:t>
      </w:r>
      <w:r w:rsidR="00FE32B3">
        <w:rPr>
          <w:rFonts w:asciiTheme="minorHAnsi" w:hAnsiTheme="minorHAnsi" w:cs="Times-Roman"/>
          <w:sz w:val="24"/>
          <w:szCs w:val="24"/>
          <w:lang w:val="en-US"/>
        </w:rPr>
        <w:t xml:space="preserve"> to date</w:t>
      </w:r>
      <w:r w:rsidR="00E76FC5">
        <w:rPr>
          <w:rFonts w:asciiTheme="minorHAnsi" w:hAnsiTheme="minorHAnsi" w:cs="Times-Roman"/>
          <w:sz w:val="24"/>
          <w:szCs w:val="24"/>
          <w:lang w:val="en-US"/>
        </w:rPr>
        <w:t>. Several of these relate to the establishment and strengthening of Georgia’s PAs system under</w:t>
      </w:r>
      <w:r w:rsidR="00FE32B3">
        <w:rPr>
          <w:rFonts w:asciiTheme="minorHAnsi" w:hAnsiTheme="minorHAnsi" w:cs="Times-Roman"/>
          <w:sz w:val="24"/>
          <w:szCs w:val="24"/>
          <w:lang w:val="en-US"/>
        </w:rPr>
        <w:t xml:space="preserve"> GEF-4 and GEF-5 (this project), resulting in</w:t>
      </w:r>
      <w:r w:rsidR="00E76FC5">
        <w:rPr>
          <w:rFonts w:asciiTheme="minorHAnsi" w:hAnsiTheme="minorHAnsi" w:cs="Times-Roman"/>
          <w:sz w:val="24"/>
          <w:szCs w:val="24"/>
          <w:lang w:val="en-US"/>
        </w:rPr>
        <w:t xml:space="preserve"> UNDP</w:t>
      </w:r>
      <w:r w:rsidR="00FE32B3">
        <w:rPr>
          <w:rFonts w:asciiTheme="minorHAnsi" w:hAnsiTheme="minorHAnsi" w:cs="Times-Roman"/>
          <w:sz w:val="24"/>
          <w:szCs w:val="24"/>
          <w:lang w:val="en-US"/>
        </w:rPr>
        <w:t>’s</w:t>
      </w:r>
      <w:r w:rsidR="00E76FC5">
        <w:rPr>
          <w:rFonts w:asciiTheme="minorHAnsi" w:hAnsiTheme="minorHAnsi" w:cs="Times-Roman"/>
          <w:sz w:val="24"/>
          <w:szCs w:val="24"/>
          <w:lang w:val="en-US"/>
        </w:rPr>
        <w:t xml:space="preserve"> </w:t>
      </w:r>
      <w:r w:rsidR="00E9266B" w:rsidRPr="00E22EBA">
        <w:rPr>
          <w:rFonts w:asciiTheme="minorHAnsi" w:hAnsiTheme="minorHAnsi" w:cs="Times-Roman"/>
          <w:sz w:val="24"/>
          <w:szCs w:val="24"/>
          <w:lang w:val="en-US"/>
        </w:rPr>
        <w:t>favo</w:t>
      </w:r>
      <w:r w:rsidR="00E76FC5">
        <w:rPr>
          <w:rFonts w:asciiTheme="minorHAnsi" w:hAnsiTheme="minorHAnsi" w:cs="Times-Roman"/>
          <w:sz w:val="24"/>
          <w:szCs w:val="24"/>
          <w:lang w:val="en-US"/>
        </w:rPr>
        <w:t>u</w:t>
      </w:r>
      <w:r w:rsidR="00B00A7D" w:rsidRPr="00E22EBA">
        <w:rPr>
          <w:rFonts w:asciiTheme="minorHAnsi" w:hAnsiTheme="minorHAnsi" w:cs="Times-Roman"/>
          <w:sz w:val="24"/>
          <w:szCs w:val="24"/>
          <w:lang w:val="en-US"/>
        </w:rPr>
        <w:t>rable standing</w:t>
      </w:r>
      <w:r w:rsidR="00FE32B3">
        <w:rPr>
          <w:rFonts w:asciiTheme="minorHAnsi" w:hAnsiTheme="minorHAnsi" w:cs="Times-Roman"/>
          <w:sz w:val="24"/>
          <w:szCs w:val="24"/>
          <w:lang w:val="en-US"/>
        </w:rPr>
        <w:t xml:space="preserve"> within</w:t>
      </w:r>
      <w:r w:rsidR="00FD1534">
        <w:rPr>
          <w:rFonts w:asciiTheme="minorHAnsi" w:hAnsiTheme="minorHAnsi" w:cs="Times-Roman"/>
          <w:sz w:val="24"/>
          <w:szCs w:val="24"/>
          <w:lang w:val="en-US"/>
        </w:rPr>
        <w:t xml:space="preserve"> the Ministry of </w:t>
      </w:r>
      <w:r w:rsidR="00E76FC5" w:rsidRPr="00E76FC5">
        <w:rPr>
          <w:rFonts w:asciiTheme="minorHAnsi" w:hAnsiTheme="minorHAnsi" w:cs="Times-Roman"/>
          <w:sz w:val="24"/>
          <w:szCs w:val="24"/>
          <w:lang w:val="en-US"/>
        </w:rPr>
        <w:t>Environment Protection</w:t>
      </w:r>
      <w:r w:rsidR="00194929">
        <w:rPr>
          <w:rFonts w:asciiTheme="minorHAnsi" w:hAnsiTheme="minorHAnsi" w:cs="Times-Roman"/>
          <w:sz w:val="24"/>
          <w:szCs w:val="24"/>
          <w:lang w:val="en-US"/>
        </w:rPr>
        <w:t xml:space="preserve"> and Agriculture (MEPA)</w:t>
      </w:r>
      <w:r w:rsidR="00E76FC5">
        <w:rPr>
          <w:rFonts w:asciiTheme="minorHAnsi" w:hAnsiTheme="minorHAnsi" w:cs="Times-Roman"/>
          <w:sz w:val="24"/>
          <w:szCs w:val="24"/>
          <w:lang w:val="en-US"/>
        </w:rPr>
        <w:t xml:space="preserve"> and its Agency for Prot</w:t>
      </w:r>
      <w:r w:rsidR="00FE32B3">
        <w:rPr>
          <w:rFonts w:asciiTheme="minorHAnsi" w:hAnsiTheme="minorHAnsi" w:cs="Times-Roman"/>
          <w:sz w:val="24"/>
          <w:szCs w:val="24"/>
          <w:lang w:val="en-US"/>
        </w:rPr>
        <w:t>ected Areas</w:t>
      </w:r>
      <w:r w:rsidR="00FD1534">
        <w:rPr>
          <w:rFonts w:asciiTheme="minorHAnsi" w:hAnsiTheme="minorHAnsi" w:cs="Times-Roman"/>
          <w:sz w:val="24"/>
          <w:szCs w:val="24"/>
          <w:lang w:val="en-US"/>
        </w:rPr>
        <w:t>, formed in 20</w:t>
      </w:r>
      <w:r w:rsidR="00FE32B3">
        <w:rPr>
          <w:rFonts w:asciiTheme="minorHAnsi" w:hAnsiTheme="minorHAnsi" w:cs="Times-Roman"/>
          <w:sz w:val="24"/>
          <w:szCs w:val="24"/>
          <w:lang w:val="en-US"/>
        </w:rPr>
        <w:t>08</w:t>
      </w:r>
      <w:r w:rsidR="00B00A7D" w:rsidRPr="00E22EBA">
        <w:rPr>
          <w:rFonts w:asciiTheme="minorHAnsi" w:hAnsiTheme="minorHAnsi" w:cs="Times-Roman"/>
          <w:sz w:val="24"/>
          <w:szCs w:val="24"/>
          <w:lang w:val="en-US"/>
        </w:rPr>
        <w:t>.</w:t>
      </w:r>
      <w:r w:rsidR="001478D7" w:rsidRPr="00E22EBA">
        <w:rPr>
          <w:rFonts w:asciiTheme="minorHAnsi" w:hAnsiTheme="minorHAnsi" w:cs="Times-Roman"/>
          <w:sz w:val="24"/>
          <w:szCs w:val="24"/>
          <w:lang w:val="en-US"/>
        </w:rPr>
        <w:t xml:space="preserve"> </w:t>
      </w:r>
    </w:p>
    <w:p w14:paraId="00522ECC" w14:textId="695C7893" w:rsidR="00F002DA" w:rsidRPr="00E22EBA" w:rsidRDefault="001B6DDC" w:rsidP="00AF3BB6">
      <w:pPr>
        <w:pStyle w:val="Heading2"/>
        <w:numPr>
          <w:ilvl w:val="2"/>
          <w:numId w:val="3"/>
        </w:numPr>
        <w:spacing w:before="240" w:after="120"/>
        <w:ind w:left="505" w:hanging="505"/>
        <w:rPr>
          <w:rFonts w:asciiTheme="minorHAnsi" w:hAnsiTheme="minorHAnsi" w:cs="Calibri"/>
          <w:b/>
          <w:caps w:val="0"/>
        </w:rPr>
      </w:pPr>
      <w:bookmarkStart w:id="137" w:name="_Toc414745324"/>
      <w:r>
        <w:rPr>
          <w:rFonts w:asciiTheme="minorHAnsi" w:hAnsiTheme="minorHAnsi" w:cs="Calibri"/>
          <w:b/>
          <w:caps w:val="0"/>
        </w:rPr>
        <w:t>Linkages between project and other i</w:t>
      </w:r>
      <w:r w:rsidR="00F002DA" w:rsidRPr="00E22EBA">
        <w:rPr>
          <w:rFonts w:asciiTheme="minorHAnsi" w:hAnsiTheme="minorHAnsi" w:cs="Calibri"/>
          <w:b/>
          <w:caps w:val="0"/>
        </w:rPr>
        <w:t>nterventions</w:t>
      </w:r>
      <w:bookmarkEnd w:id="137"/>
    </w:p>
    <w:p w14:paraId="4A480F99" w14:textId="77777777" w:rsidR="00C42D61" w:rsidRDefault="00515887" w:rsidP="00515887">
      <w:pPr>
        <w:pStyle w:val="BodyText"/>
        <w:rPr>
          <w:rFonts w:ascii="Calibri" w:hAnsi="Calibri"/>
        </w:rPr>
      </w:pPr>
      <w:r>
        <w:rPr>
          <w:rFonts w:ascii="Calibri" w:hAnsi="Calibri"/>
        </w:rPr>
        <w:t xml:space="preserve">There are strong linkages between this project and interventions </w:t>
      </w:r>
      <w:r w:rsidR="00256CB5">
        <w:rPr>
          <w:rFonts w:ascii="Calibri" w:hAnsi="Calibri"/>
        </w:rPr>
        <w:t xml:space="preserve">led </w:t>
      </w:r>
      <w:r>
        <w:rPr>
          <w:rFonts w:ascii="Calibri" w:hAnsi="Calibri"/>
        </w:rPr>
        <w:t>by other donors</w:t>
      </w:r>
      <w:r w:rsidR="00256CB5">
        <w:rPr>
          <w:rFonts w:ascii="Calibri" w:hAnsi="Calibri"/>
        </w:rPr>
        <w:t>,</w:t>
      </w:r>
      <w:r>
        <w:rPr>
          <w:rFonts w:ascii="Calibri" w:hAnsi="Calibri"/>
        </w:rPr>
        <w:t xml:space="preserve"> such as CNF, EU, KFW</w:t>
      </w:r>
      <w:r w:rsidR="00256CB5">
        <w:rPr>
          <w:rFonts w:ascii="Calibri" w:hAnsi="Calibri"/>
        </w:rPr>
        <w:t xml:space="preserve">, US DoI and WWF, with respect to Colchic Forests. Some </w:t>
      </w:r>
      <w:r w:rsidR="00C42D61">
        <w:rPr>
          <w:rFonts w:ascii="Calibri" w:hAnsi="Calibri"/>
        </w:rPr>
        <w:t xml:space="preserve">of these linkages </w:t>
      </w:r>
      <w:r w:rsidR="00372953">
        <w:rPr>
          <w:rFonts w:ascii="Calibri" w:hAnsi="Calibri"/>
        </w:rPr>
        <w:t>have already been</w:t>
      </w:r>
      <w:r w:rsidR="00256CB5">
        <w:rPr>
          <w:rFonts w:ascii="Calibri" w:hAnsi="Calibri"/>
        </w:rPr>
        <w:t xml:space="preserve"> </w:t>
      </w:r>
      <w:r w:rsidR="00C42D61">
        <w:rPr>
          <w:rFonts w:ascii="Calibri" w:hAnsi="Calibri"/>
        </w:rPr>
        <w:t>described</w:t>
      </w:r>
      <w:r w:rsidR="00256CB5">
        <w:rPr>
          <w:rFonts w:ascii="Calibri" w:hAnsi="Calibri"/>
        </w:rPr>
        <w:t xml:space="preserve"> in </w:t>
      </w:r>
      <w:r w:rsidR="00256CB5" w:rsidRPr="00372953">
        <w:rPr>
          <w:rFonts w:ascii="Calibri" w:hAnsi="Calibri"/>
          <w:b/>
        </w:rPr>
        <w:t>Section 3.1.3</w:t>
      </w:r>
      <w:r w:rsidR="00256CB5">
        <w:rPr>
          <w:rFonts w:ascii="Calibri" w:hAnsi="Calibri"/>
        </w:rPr>
        <w:t xml:space="preserve">. </w:t>
      </w:r>
    </w:p>
    <w:p w14:paraId="11F99726" w14:textId="17A33DDF" w:rsidR="00515887" w:rsidRPr="00AA0166" w:rsidRDefault="00372953" w:rsidP="00515887">
      <w:pPr>
        <w:pStyle w:val="BodyText"/>
        <w:rPr>
          <w:rFonts w:ascii="Calibri" w:hAnsi="Calibri"/>
        </w:rPr>
      </w:pPr>
      <w:r>
        <w:rPr>
          <w:rFonts w:ascii="Calibri" w:hAnsi="Calibri"/>
        </w:rPr>
        <w:t xml:space="preserve">It is also important to note that all of these ongoing interventions have contributed valuable knowledge and information to the dossier </w:t>
      </w:r>
      <w:r w:rsidR="00111DCE">
        <w:rPr>
          <w:rFonts w:ascii="Calibri" w:hAnsi="Calibri"/>
        </w:rPr>
        <w:t xml:space="preserve">that will be submitted by Government to the </w:t>
      </w:r>
      <w:r w:rsidR="00C42D61">
        <w:rPr>
          <w:rFonts w:ascii="Calibri" w:hAnsi="Calibri"/>
        </w:rPr>
        <w:t xml:space="preserve">UNESCO </w:t>
      </w:r>
      <w:r w:rsidR="00111DCE">
        <w:rPr>
          <w:rFonts w:ascii="Calibri" w:hAnsi="Calibri"/>
        </w:rPr>
        <w:t>World Heritage Centre</w:t>
      </w:r>
      <w:r w:rsidR="00C42D61" w:rsidRPr="00C42D61">
        <w:rPr>
          <w:rFonts w:ascii="Calibri" w:hAnsi="Calibri"/>
        </w:rPr>
        <w:t xml:space="preserve"> </w:t>
      </w:r>
      <w:r w:rsidR="00C42D61">
        <w:rPr>
          <w:rFonts w:ascii="Calibri" w:hAnsi="Calibri"/>
        </w:rPr>
        <w:t>early in 2019</w:t>
      </w:r>
      <w:r w:rsidR="00EF7E27">
        <w:rPr>
          <w:rFonts w:ascii="Calibri" w:hAnsi="Calibri"/>
        </w:rPr>
        <w:t>,</w:t>
      </w:r>
      <w:r w:rsidR="00111DCE">
        <w:rPr>
          <w:rFonts w:ascii="Calibri" w:hAnsi="Calibri"/>
        </w:rPr>
        <w:t xml:space="preserve"> </w:t>
      </w:r>
      <w:r>
        <w:rPr>
          <w:rFonts w:ascii="Calibri" w:hAnsi="Calibri"/>
        </w:rPr>
        <w:t xml:space="preserve">nominating </w:t>
      </w:r>
      <w:r w:rsidR="00EF7E27">
        <w:rPr>
          <w:rFonts w:ascii="Calibri" w:hAnsi="Calibri"/>
        </w:rPr>
        <w:t xml:space="preserve">Georgia’s </w:t>
      </w:r>
      <w:r>
        <w:rPr>
          <w:rFonts w:ascii="Calibri" w:hAnsi="Calibri"/>
        </w:rPr>
        <w:t xml:space="preserve">Colchic Forests for inscription on the World Heritage List of natural properties. </w:t>
      </w:r>
    </w:p>
    <w:p w14:paraId="4701CE8B" w14:textId="531496E6" w:rsidR="00646F76" w:rsidRPr="00E22EBA" w:rsidRDefault="008A3064" w:rsidP="00D77F3A">
      <w:pPr>
        <w:pStyle w:val="Heading2"/>
        <w:numPr>
          <w:ilvl w:val="2"/>
          <w:numId w:val="3"/>
        </w:numPr>
        <w:spacing w:before="240" w:after="120"/>
        <w:ind w:left="504"/>
        <w:rPr>
          <w:rFonts w:asciiTheme="minorHAnsi" w:hAnsiTheme="minorHAnsi" w:cs="Calibri"/>
          <w:b/>
          <w:caps w:val="0"/>
        </w:rPr>
      </w:pPr>
      <w:bookmarkStart w:id="138" w:name="_Toc414745325"/>
      <w:r>
        <w:rPr>
          <w:rFonts w:asciiTheme="minorHAnsi" w:hAnsiTheme="minorHAnsi" w:cs="Calibri"/>
          <w:b/>
          <w:caps w:val="0"/>
        </w:rPr>
        <w:lastRenderedPageBreak/>
        <w:t>Management a</w:t>
      </w:r>
      <w:r w:rsidR="00F002DA" w:rsidRPr="00E22EBA">
        <w:rPr>
          <w:rFonts w:asciiTheme="minorHAnsi" w:hAnsiTheme="minorHAnsi" w:cs="Calibri"/>
          <w:b/>
          <w:caps w:val="0"/>
        </w:rPr>
        <w:t>rrangements</w:t>
      </w:r>
      <w:bookmarkEnd w:id="138"/>
    </w:p>
    <w:p w14:paraId="227BB937" w14:textId="48D64DED" w:rsidR="00401AD7" w:rsidRDefault="002D2840" w:rsidP="00DD15BC">
      <w:pPr>
        <w:overflowPunct/>
        <w:spacing w:after="120" w:line="240" w:lineRule="atLeast"/>
        <w:jc w:val="both"/>
        <w:textAlignment w:val="auto"/>
        <w:rPr>
          <w:rFonts w:asciiTheme="minorHAnsi" w:hAnsiTheme="minorHAnsi"/>
          <w:sz w:val="24"/>
          <w:szCs w:val="24"/>
          <w:lang w:val="en-US"/>
        </w:rPr>
      </w:pPr>
      <w:bookmarkStart w:id="139" w:name="_Toc194346285"/>
      <w:r>
        <w:rPr>
          <w:rFonts w:asciiTheme="minorHAnsi" w:hAnsiTheme="minorHAnsi"/>
          <w:sz w:val="24"/>
          <w:szCs w:val="24"/>
          <w:lang w:val="en-US"/>
        </w:rPr>
        <w:t xml:space="preserve">The project is </w:t>
      </w:r>
      <w:r w:rsidR="00534123">
        <w:rPr>
          <w:rFonts w:asciiTheme="minorHAnsi" w:hAnsiTheme="minorHAnsi"/>
          <w:sz w:val="24"/>
          <w:szCs w:val="24"/>
          <w:lang w:val="en-US"/>
        </w:rPr>
        <w:t>designed in accordance</w:t>
      </w:r>
      <w:r>
        <w:rPr>
          <w:rFonts w:asciiTheme="minorHAnsi" w:hAnsiTheme="minorHAnsi"/>
          <w:sz w:val="24"/>
          <w:szCs w:val="24"/>
          <w:lang w:val="en-US"/>
        </w:rPr>
        <w:t xml:space="preserve"> </w:t>
      </w:r>
      <w:r w:rsidR="009A10F7">
        <w:rPr>
          <w:rFonts w:asciiTheme="minorHAnsi" w:hAnsiTheme="minorHAnsi"/>
          <w:sz w:val="24"/>
          <w:szCs w:val="24"/>
          <w:lang w:val="en-US"/>
        </w:rPr>
        <w:t>with</w:t>
      </w:r>
      <w:r w:rsidR="00534123">
        <w:rPr>
          <w:rFonts w:asciiTheme="minorHAnsi" w:hAnsiTheme="minorHAnsi"/>
          <w:sz w:val="24"/>
          <w:szCs w:val="24"/>
          <w:lang w:val="en-US"/>
        </w:rPr>
        <w:t xml:space="preserve"> the</w:t>
      </w:r>
      <w:r>
        <w:rPr>
          <w:rFonts w:asciiTheme="minorHAnsi" w:hAnsiTheme="minorHAnsi"/>
          <w:sz w:val="24"/>
          <w:szCs w:val="24"/>
          <w:lang w:val="en-US"/>
        </w:rPr>
        <w:t xml:space="preserve"> National</w:t>
      </w:r>
      <w:r w:rsidR="00065E4E">
        <w:rPr>
          <w:rFonts w:asciiTheme="minorHAnsi" w:hAnsiTheme="minorHAnsi"/>
          <w:sz w:val="24"/>
          <w:szCs w:val="24"/>
          <w:lang w:val="en-US"/>
        </w:rPr>
        <w:t xml:space="preserve"> Implementation Modality (NIM), the Implementing Partner being APA</w:t>
      </w:r>
      <w:r w:rsidR="009A10F7">
        <w:rPr>
          <w:rFonts w:asciiTheme="minorHAnsi" w:hAnsiTheme="minorHAnsi"/>
          <w:sz w:val="24"/>
          <w:szCs w:val="24"/>
          <w:lang w:val="en-US"/>
        </w:rPr>
        <w:t xml:space="preserve"> on behalf of</w:t>
      </w:r>
      <w:r w:rsidR="00065E4E">
        <w:rPr>
          <w:rFonts w:asciiTheme="minorHAnsi" w:hAnsiTheme="minorHAnsi"/>
          <w:sz w:val="24"/>
          <w:szCs w:val="24"/>
          <w:lang w:val="en-US"/>
        </w:rPr>
        <w:t xml:space="preserve"> the Ministry of Environment Protection and Agriculture (M</w:t>
      </w:r>
      <w:r w:rsidR="009A10F7">
        <w:rPr>
          <w:rFonts w:asciiTheme="minorHAnsi" w:hAnsiTheme="minorHAnsi"/>
          <w:sz w:val="24"/>
          <w:szCs w:val="24"/>
          <w:lang w:val="en-US"/>
        </w:rPr>
        <w:t>o</w:t>
      </w:r>
      <w:r w:rsidR="00065E4E">
        <w:rPr>
          <w:rFonts w:asciiTheme="minorHAnsi" w:hAnsiTheme="minorHAnsi"/>
          <w:sz w:val="24"/>
          <w:szCs w:val="24"/>
          <w:lang w:val="en-US"/>
        </w:rPr>
        <w:t xml:space="preserve">EPA). </w:t>
      </w:r>
      <w:r w:rsidR="003217CD">
        <w:rPr>
          <w:rFonts w:asciiTheme="minorHAnsi" w:hAnsiTheme="minorHAnsi"/>
          <w:sz w:val="24"/>
          <w:szCs w:val="24"/>
          <w:lang w:val="en-US"/>
        </w:rPr>
        <w:t>Plan</w:t>
      </w:r>
      <w:r w:rsidR="00401AD7">
        <w:rPr>
          <w:rFonts w:asciiTheme="minorHAnsi" w:hAnsiTheme="minorHAnsi"/>
          <w:sz w:val="24"/>
          <w:szCs w:val="24"/>
          <w:lang w:val="en-US"/>
        </w:rPr>
        <w:t>n</w:t>
      </w:r>
      <w:r w:rsidR="003217CD">
        <w:rPr>
          <w:rFonts w:asciiTheme="minorHAnsi" w:hAnsiTheme="minorHAnsi"/>
          <w:sz w:val="24"/>
          <w:szCs w:val="24"/>
          <w:lang w:val="en-US"/>
        </w:rPr>
        <w:t>ed m</w:t>
      </w:r>
      <w:r w:rsidR="0040443E">
        <w:rPr>
          <w:rFonts w:asciiTheme="minorHAnsi" w:hAnsiTheme="minorHAnsi"/>
          <w:sz w:val="24"/>
          <w:szCs w:val="24"/>
          <w:lang w:val="en-US"/>
        </w:rPr>
        <w:t xml:space="preserve">anagement arrangements are </w:t>
      </w:r>
      <w:r w:rsidR="000E5849">
        <w:rPr>
          <w:rFonts w:asciiTheme="minorHAnsi" w:hAnsiTheme="minorHAnsi"/>
          <w:sz w:val="24"/>
          <w:szCs w:val="24"/>
          <w:lang w:val="en-US"/>
        </w:rPr>
        <w:t xml:space="preserve">illustrated in the organizational </w:t>
      </w:r>
      <w:r w:rsidR="0040443E">
        <w:rPr>
          <w:rFonts w:asciiTheme="minorHAnsi" w:hAnsiTheme="minorHAnsi"/>
          <w:sz w:val="24"/>
          <w:szCs w:val="24"/>
          <w:lang w:val="en-US"/>
        </w:rPr>
        <w:t xml:space="preserve">chart shown </w:t>
      </w:r>
      <w:r w:rsidR="005B38E1">
        <w:rPr>
          <w:rFonts w:asciiTheme="minorHAnsi" w:hAnsiTheme="minorHAnsi"/>
          <w:sz w:val="24"/>
          <w:szCs w:val="24"/>
          <w:lang w:val="en-US"/>
        </w:rPr>
        <w:t xml:space="preserve">in </w:t>
      </w:r>
      <w:r w:rsidR="005B38E1" w:rsidRPr="005B38E1">
        <w:rPr>
          <w:rFonts w:asciiTheme="minorHAnsi" w:hAnsiTheme="minorHAnsi"/>
          <w:b/>
          <w:sz w:val="24"/>
          <w:szCs w:val="24"/>
          <w:lang w:val="en-US"/>
        </w:rPr>
        <w:t>Figure 3.1</w:t>
      </w:r>
      <w:r w:rsidR="005B38E1">
        <w:rPr>
          <w:rFonts w:asciiTheme="minorHAnsi" w:hAnsiTheme="minorHAnsi"/>
          <w:sz w:val="24"/>
          <w:szCs w:val="24"/>
          <w:lang w:val="en-US"/>
        </w:rPr>
        <w:t>.</w:t>
      </w:r>
      <w:r w:rsidR="00401AD7">
        <w:rPr>
          <w:rFonts w:asciiTheme="minorHAnsi" w:hAnsiTheme="minorHAnsi"/>
          <w:sz w:val="24"/>
          <w:szCs w:val="24"/>
          <w:lang w:val="en-US"/>
        </w:rPr>
        <w:t xml:space="preserve"> The governance structure </w:t>
      </w:r>
      <w:r w:rsidR="00065E4E">
        <w:rPr>
          <w:rFonts w:asciiTheme="minorHAnsi" w:hAnsiTheme="minorHAnsi"/>
          <w:sz w:val="24"/>
          <w:szCs w:val="24"/>
          <w:lang w:val="en-US"/>
        </w:rPr>
        <w:t>is</w:t>
      </w:r>
      <w:r w:rsidR="00401AD7">
        <w:rPr>
          <w:rFonts w:asciiTheme="minorHAnsi" w:hAnsiTheme="minorHAnsi"/>
          <w:sz w:val="24"/>
          <w:szCs w:val="24"/>
          <w:lang w:val="en-US"/>
        </w:rPr>
        <w:t xml:space="preserve"> based on the new rules for results-based management introduced by UNDP at the time of </w:t>
      </w:r>
      <w:r w:rsidR="00C42D61">
        <w:rPr>
          <w:rFonts w:asciiTheme="minorHAnsi" w:hAnsiTheme="minorHAnsi"/>
          <w:sz w:val="24"/>
          <w:szCs w:val="24"/>
          <w:lang w:val="en-US"/>
        </w:rPr>
        <w:t xml:space="preserve">project </w:t>
      </w:r>
      <w:r w:rsidR="00401AD7">
        <w:rPr>
          <w:rFonts w:asciiTheme="minorHAnsi" w:hAnsiTheme="minorHAnsi"/>
          <w:sz w:val="24"/>
          <w:szCs w:val="24"/>
          <w:lang w:val="en-US"/>
        </w:rPr>
        <w:t>formulation, comprising:</w:t>
      </w:r>
    </w:p>
    <w:p w14:paraId="5892CE10" w14:textId="2ED0E700" w:rsidR="00BA6465" w:rsidRDefault="00401AD7" w:rsidP="0067558E">
      <w:pPr>
        <w:pStyle w:val="ListParagraph"/>
        <w:numPr>
          <w:ilvl w:val="0"/>
          <w:numId w:val="10"/>
        </w:numPr>
        <w:spacing w:after="60" w:line="240" w:lineRule="atLeast"/>
        <w:ind w:left="567" w:hanging="425"/>
        <w:contextualSpacing w:val="0"/>
        <w:rPr>
          <w:rFonts w:asciiTheme="minorHAnsi" w:hAnsiTheme="minorHAnsi"/>
          <w:szCs w:val="24"/>
        </w:rPr>
      </w:pPr>
      <w:r>
        <w:rPr>
          <w:rFonts w:asciiTheme="minorHAnsi" w:hAnsiTheme="minorHAnsi"/>
          <w:szCs w:val="24"/>
        </w:rPr>
        <w:t>Project Executive Board</w:t>
      </w:r>
      <w:r w:rsidR="005E0ADC">
        <w:rPr>
          <w:rFonts w:asciiTheme="minorHAnsi" w:hAnsiTheme="minorHAnsi"/>
          <w:szCs w:val="24"/>
        </w:rPr>
        <w:t xml:space="preserve"> (PEB)</w:t>
      </w:r>
      <w:r>
        <w:rPr>
          <w:rFonts w:asciiTheme="minorHAnsi" w:hAnsiTheme="minorHAnsi"/>
          <w:szCs w:val="24"/>
        </w:rPr>
        <w:t xml:space="preserve"> – chaired by the National Project Director (NPD), </w:t>
      </w:r>
      <w:r w:rsidR="002D2840">
        <w:rPr>
          <w:rFonts w:asciiTheme="minorHAnsi" w:hAnsiTheme="minorHAnsi"/>
          <w:szCs w:val="24"/>
        </w:rPr>
        <w:t xml:space="preserve">who is nominated by APA and </w:t>
      </w:r>
      <w:r>
        <w:rPr>
          <w:rFonts w:asciiTheme="minorHAnsi" w:hAnsiTheme="minorHAnsi"/>
          <w:szCs w:val="24"/>
        </w:rPr>
        <w:t xml:space="preserve">appointed by </w:t>
      </w:r>
      <w:r w:rsidR="00065E4E">
        <w:rPr>
          <w:rFonts w:asciiTheme="minorHAnsi" w:hAnsiTheme="minorHAnsi"/>
          <w:szCs w:val="24"/>
        </w:rPr>
        <w:t>the Ministry</w:t>
      </w:r>
      <w:r w:rsidR="00BA6465">
        <w:rPr>
          <w:rFonts w:asciiTheme="minorHAnsi" w:hAnsiTheme="minorHAnsi"/>
          <w:szCs w:val="24"/>
        </w:rPr>
        <w:t xml:space="preserve"> (Executing Agency)</w:t>
      </w:r>
      <w:r w:rsidR="00065E4E">
        <w:rPr>
          <w:rFonts w:asciiTheme="minorHAnsi" w:hAnsiTheme="minorHAnsi"/>
          <w:szCs w:val="24"/>
        </w:rPr>
        <w:t>,</w:t>
      </w:r>
      <w:r w:rsidR="002D2840">
        <w:rPr>
          <w:rFonts w:asciiTheme="minorHAnsi" w:hAnsiTheme="minorHAnsi"/>
          <w:szCs w:val="24"/>
        </w:rPr>
        <w:t xml:space="preserve"> and </w:t>
      </w:r>
      <w:r w:rsidR="00065E4E">
        <w:rPr>
          <w:rFonts w:asciiTheme="minorHAnsi" w:hAnsiTheme="minorHAnsi"/>
          <w:szCs w:val="24"/>
        </w:rPr>
        <w:t xml:space="preserve">a membership comprising </w:t>
      </w:r>
      <w:r w:rsidR="00BA6465">
        <w:rPr>
          <w:rFonts w:asciiTheme="minorHAnsi" w:hAnsiTheme="minorHAnsi"/>
          <w:szCs w:val="24"/>
        </w:rPr>
        <w:t>the Senior Supplier (UNDP as the Implementing Agency) and the Senior Beneficiaries (comprising representatives of national and local government as well as CBOs)</w:t>
      </w:r>
      <w:r w:rsidR="00730D26">
        <w:rPr>
          <w:rFonts w:asciiTheme="minorHAnsi" w:hAnsiTheme="minorHAnsi"/>
          <w:szCs w:val="24"/>
        </w:rPr>
        <w:t>.</w:t>
      </w:r>
      <w:r w:rsidR="00A24F73">
        <w:rPr>
          <w:rStyle w:val="FootnoteReference"/>
          <w:rFonts w:asciiTheme="minorHAnsi" w:hAnsiTheme="minorHAnsi"/>
          <w:szCs w:val="24"/>
        </w:rPr>
        <w:footnoteReference w:id="19"/>
      </w:r>
    </w:p>
    <w:p w14:paraId="56AD87F0" w14:textId="5A32ECC5" w:rsidR="00BA6465" w:rsidRDefault="00BA6465" w:rsidP="0067558E">
      <w:pPr>
        <w:pStyle w:val="ListParagraph"/>
        <w:numPr>
          <w:ilvl w:val="0"/>
          <w:numId w:val="10"/>
        </w:numPr>
        <w:spacing w:after="60" w:line="240" w:lineRule="atLeast"/>
        <w:ind w:left="567" w:hanging="425"/>
        <w:contextualSpacing w:val="0"/>
        <w:rPr>
          <w:rFonts w:asciiTheme="minorHAnsi" w:hAnsiTheme="minorHAnsi"/>
          <w:szCs w:val="24"/>
        </w:rPr>
      </w:pPr>
      <w:r>
        <w:rPr>
          <w:rFonts w:asciiTheme="minorHAnsi" w:hAnsiTheme="minorHAnsi"/>
          <w:szCs w:val="24"/>
        </w:rPr>
        <w:t xml:space="preserve">Project Assurance – </w:t>
      </w:r>
      <w:r w:rsidR="00C52A1B">
        <w:rPr>
          <w:rFonts w:asciiTheme="minorHAnsi" w:hAnsiTheme="minorHAnsi"/>
          <w:szCs w:val="24"/>
        </w:rPr>
        <w:t xml:space="preserve">independent oversight and monitoring of the project </w:t>
      </w:r>
      <w:r>
        <w:rPr>
          <w:rFonts w:asciiTheme="minorHAnsi" w:hAnsiTheme="minorHAnsi"/>
          <w:szCs w:val="24"/>
        </w:rPr>
        <w:t>provided by UNDP</w:t>
      </w:r>
      <w:r w:rsidR="005E0ADC">
        <w:rPr>
          <w:rFonts w:asciiTheme="minorHAnsi" w:hAnsiTheme="minorHAnsi"/>
          <w:szCs w:val="24"/>
        </w:rPr>
        <w:t>.</w:t>
      </w:r>
    </w:p>
    <w:p w14:paraId="4C75A985" w14:textId="11F534D3" w:rsidR="005E0ADC" w:rsidRDefault="005E0ADC" w:rsidP="00195D6F">
      <w:pPr>
        <w:pStyle w:val="ListParagraph"/>
        <w:numPr>
          <w:ilvl w:val="0"/>
          <w:numId w:val="10"/>
        </w:numPr>
        <w:spacing w:after="360" w:line="240" w:lineRule="atLeast"/>
        <w:ind w:left="567" w:hanging="425"/>
        <w:contextualSpacing w:val="0"/>
        <w:rPr>
          <w:rFonts w:asciiTheme="minorHAnsi" w:hAnsiTheme="minorHAnsi"/>
          <w:szCs w:val="24"/>
        </w:rPr>
      </w:pPr>
      <w:r>
        <w:rPr>
          <w:rFonts w:asciiTheme="minorHAnsi" w:hAnsiTheme="minorHAnsi"/>
          <w:szCs w:val="24"/>
        </w:rPr>
        <w:t xml:space="preserve">Project Support – provided by a Project Management Unit (PMU), which is responsible for project execution through working with partners and hiring consultants for specific works and services as needed. </w:t>
      </w:r>
      <w:r w:rsidR="00C52A1B">
        <w:rPr>
          <w:rFonts w:asciiTheme="minorHAnsi" w:hAnsiTheme="minorHAnsi"/>
          <w:szCs w:val="24"/>
        </w:rPr>
        <w:t xml:space="preserve">PMU also services the needs of the PEB. </w:t>
      </w:r>
      <w:r>
        <w:rPr>
          <w:rFonts w:asciiTheme="minorHAnsi" w:hAnsiTheme="minorHAnsi"/>
          <w:szCs w:val="24"/>
        </w:rPr>
        <w:t>The Project Manager (PM)</w:t>
      </w:r>
      <w:r w:rsidR="00C52A1B">
        <w:rPr>
          <w:rFonts w:asciiTheme="minorHAnsi" w:hAnsiTheme="minorHAnsi"/>
          <w:szCs w:val="24"/>
        </w:rPr>
        <w:t xml:space="preserve"> is</w:t>
      </w:r>
      <w:r w:rsidR="00BC1E9C">
        <w:rPr>
          <w:rFonts w:asciiTheme="minorHAnsi" w:hAnsiTheme="minorHAnsi"/>
          <w:szCs w:val="24"/>
        </w:rPr>
        <w:t xml:space="preserve"> supported by a part-time Chief</w:t>
      </w:r>
      <w:r w:rsidR="00C52A1B">
        <w:rPr>
          <w:rFonts w:asciiTheme="minorHAnsi" w:hAnsiTheme="minorHAnsi"/>
          <w:szCs w:val="24"/>
        </w:rPr>
        <w:t xml:space="preserve"> T</w:t>
      </w:r>
      <w:r w:rsidR="00BC1E9C">
        <w:rPr>
          <w:rFonts w:asciiTheme="minorHAnsi" w:hAnsiTheme="minorHAnsi"/>
          <w:szCs w:val="24"/>
        </w:rPr>
        <w:t xml:space="preserve">echnical Advisor (CTA), </w:t>
      </w:r>
      <w:r w:rsidR="00C52A1B">
        <w:rPr>
          <w:rFonts w:asciiTheme="minorHAnsi" w:hAnsiTheme="minorHAnsi"/>
          <w:szCs w:val="24"/>
        </w:rPr>
        <w:t>Nat</w:t>
      </w:r>
      <w:r w:rsidR="00BC1E9C">
        <w:rPr>
          <w:rFonts w:asciiTheme="minorHAnsi" w:hAnsiTheme="minorHAnsi"/>
          <w:szCs w:val="24"/>
        </w:rPr>
        <w:t>ional Technical Coordinator (NTC) and part-time Administration &amp; Finance Assi</w:t>
      </w:r>
      <w:r w:rsidR="00C52A1B">
        <w:rPr>
          <w:rFonts w:asciiTheme="minorHAnsi" w:hAnsiTheme="minorHAnsi"/>
          <w:szCs w:val="24"/>
        </w:rPr>
        <w:t>s</w:t>
      </w:r>
      <w:r w:rsidR="00D170BB">
        <w:rPr>
          <w:rFonts w:asciiTheme="minorHAnsi" w:hAnsiTheme="minorHAnsi"/>
          <w:szCs w:val="24"/>
        </w:rPr>
        <w:t>tant.</w:t>
      </w:r>
    </w:p>
    <w:p w14:paraId="38C259F2" w14:textId="598DD393" w:rsidR="00111DCE" w:rsidRDefault="00111DCE" w:rsidP="00DD15BC">
      <w:pPr>
        <w:overflowPunct/>
        <w:spacing w:after="120" w:line="240" w:lineRule="atLeast"/>
        <w:jc w:val="both"/>
        <w:textAlignment w:val="auto"/>
        <w:rPr>
          <w:rFonts w:asciiTheme="minorHAnsi" w:hAnsiTheme="minorHAnsi"/>
          <w:sz w:val="24"/>
          <w:szCs w:val="24"/>
          <w:lang w:val="en-US"/>
        </w:rPr>
      </w:pPr>
      <w:r>
        <w:rPr>
          <w:rFonts w:asciiTheme="minorHAnsi" w:hAnsiTheme="minorHAnsi"/>
          <w:noProof/>
          <w:sz w:val="24"/>
          <w:szCs w:val="24"/>
          <w:lang w:val="en-US"/>
        </w:rPr>
        <w:drawing>
          <wp:inline distT="0" distB="0" distL="0" distR="0" wp14:anchorId="30FA9189" wp14:editId="7BE3F316">
            <wp:extent cx="5720080" cy="4393676"/>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2-30 at 23.24.01.png"/>
                    <pic:cNvPicPr/>
                  </pic:nvPicPr>
                  <pic:blipFill>
                    <a:blip r:embed="rId19">
                      <a:extLst>
                        <a:ext uri="{28A0092B-C50C-407E-A947-70E740481C1C}">
                          <a14:useLocalDpi xmlns:a14="http://schemas.microsoft.com/office/drawing/2010/main" val="0"/>
                        </a:ext>
                      </a:extLst>
                    </a:blip>
                    <a:stretch>
                      <a:fillRect/>
                    </a:stretch>
                  </pic:blipFill>
                  <pic:spPr>
                    <a:xfrm>
                      <a:off x="0" y="0"/>
                      <a:ext cx="5720405" cy="4393926"/>
                    </a:xfrm>
                    <a:prstGeom prst="rect">
                      <a:avLst/>
                    </a:prstGeom>
                  </pic:spPr>
                </pic:pic>
              </a:graphicData>
            </a:graphic>
          </wp:inline>
        </w:drawing>
      </w:r>
    </w:p>
    <w:p w14:paraId="6DFC0CA9" w14:textId="1D98EB4B" w:rsidR="00111DCE" w:rsidRDefault="00111DCE" w:rsidP="009A10F7">
      <w:pPr>
        <w:pStyle w:val="BodyText2"/>
        <w:tabs>
          <w:tab w:val="left" w:pos="1134"/>
        </w:tabs>
        <w:spacing w:after="120"/>
        <w:ind w:left="1134" w:hanging="1134"/>
        <w:rPr>
          <w:rFonts w:ascii="Calibri" w:hAnsi="Calibri" w:cs="Arial"/>
          <w:sz w:val="22"/>
          <w:szCs w:val="22"/>
        </w:rPr>
      </w:pPr>
      <w:r w:rsidRPr="00B73351">
        <w:rPr>
          <w:rFonts w:ascii="Calibri" w:hAnsi="Calibri" w:cs="Arial"/>
          <w:b/>
          <w:sz w:val="22"/>
          <w:szCs w:val="22"/>
        </w:rPr>
        <w:t xml:space="preserve">Figure </w:t>
      </w:r>
      <w:r>
        <w:rPr>
          <w:rFonts w:ascii="Calibri" w:hAnsi="Calibri" w:cs="Arial"/>
          <w:b/>
          <w:sz w:val="22"/>
          <w:szCs w:val="22"/>
        </w:rPr>
        <w:t>3.1</w:t>
      </w:r>
      <w:r w:rsidRPr="00B73351">
        <w:rPr>
          <w:rFonts w:ascii="Calibri" w:hAnsi="Calibri" w:cs="Arial"/>
          <w:b/>
          <w:sz w:val="22"/>
          <w:szCs w:val="22"/>
        </w:rPr>
        <w:tab/>
      </w:r>
      <w:r w:rsidRPr="00111DCE">
        <w:rPr>
          <w:rFonts w:ascii="Calibri" w:hAnsi="Calibri" w:cs="Arial"/>
          <w:sz w:val="22"/>
          <w:szCs w:val="22"/>
        </w:rPr>
        <w:t>P</w:t>
      </w:r>
      <w:r w:rsidR="00C42D61">
        <w:rPr>
          <w:rFonts w:ascii="Calibri" w:hAnsi="Calibri" w:cs="Arial"/>
          <w:sz w:val="22"/>
          <w:szCs w:val="22"/>
        </w:rPr>
        <w:t>roject organizational structure</w:t>
      </w:r>
      <w:r w:rsidRPr="00111DCE">
        <w:rPr>
          <w:rFonts w:ascii="Calibri" w:hAnsi="Calibri" w:cs="Arial"/>
          <w:sz w:val="22"/>
          <w:szCs w:val="22"/>
        </w:rPr>
        <w:t xml:space="preserve"> as </w:t>
      </w:r>
      <w:r w:rsidR="00C42D61">
        <w:rPr>
          <w:rFonts w:ascii="Calibri" w:hAnsi="Calibri" w:cs="Arial"/>
          <w:sz w:val="22"/>
          <w:szCs w:val="22"/>
        </w:rPr>
        <w:t>planned in the Project Document</w:t>
      </w:r>
      <w:r w:rsidR="009A10F7">
        <w:rPr>
          <w:rFonts w:ascii="Calibri" w:hAnsi="Calibri" w:cs="Arial"/>
          <w:sz w:val="22"/>
          <w:szCs w:val="22"/>
        </w:rPr>
        <w:t xml:space="preserve">. Note that the Ministry of Environment has </w:t>
      </w:r>
      <w:r w:rsidR="00662666">
        <w:rPr>
          <w:rFonts w:ascii="Calibri" w:hAnsi="Calibri" w:cs="Arial"/>
          <w:sz w:val="22"/>
          <w:szCs w:val="22"/>
        </w:rPr>
        <w:t>since</w:t>
      </w:r>
      <w:r w:rsidR="009A10F7">
        <w:rPr>
          <w:rFonts w:ascii="Calibri" w:hAnsi="Calibri" w:cs="Arial"/>
          <w:sz w:val="22"/>
          <w:szCs w:val="22"/>
        </w:rPr>
        <w:t xml:space="preserve"> merged with Ag</w:t>
      </w:r>
      <w:r w:rsidR="00662666">
        <w:rPr>
          <w:rFonts w:ascii="Calibri" w:hAnsi="Calibri" w:cs="Arial"/>
          <w:sz w:val="22"/>
          <w:szCs w:val="22"/>
        </w:rPr>
        <w:t>r</w:t>
      </w:r>
      <w:r w:rsidR="009A10F7">
        <w:rPr>
          <w:rFonts w:ascii="Calibri" w:hAnsi="Calibri" w:cs="Arial"/>
          <w:sz w:val="22"/>
          <w:szCs w:val="22"/>
        </w:rPr>
        <w:t>iculture</w:t>
      </w:r>
      <w:r w:rsidR="00662666">
        <w:rPr>
          <w:rFonts w:ascii="Calibri" w:hAnsi="Calibri" w:cs="Arial"/>
          <w:sz w:val="22"/>
          <w:szCs w:val="22"/>
        </w:rPr>
        <w:t xml:space="preserve"> to become MoEPA.</w:t>
      </w:r>
    </w:p>
    <w:p w14:paraId="67770BD8" w14:textId="77777777" w:rsidR="00195D6F" w:rsidRPr="00E22EBA" w:rsidRDefault="00195D6F" w:rsidP="00195D6F">
      <w:pPr>
        <w:overflowPunct/>
        <w:spacing w:after="120" w:line="240" w:lineRule="atLeast"/>
        <w:jc w:val="both"/>
        <w:textAlignment w:val="auto"/>
        <w:rPr>
          <w:rFonts w:asciiTheme="minorHAnsi" w:hAnsiTheme="minorHAnsi"/>
          <w:sz w:val="24"/>
          <w:szCs w:val="24"/>
          <w:lang w:val="en-US"/>
        </w:rPr>
      </w:pPr>
      <w:r>
        <w:rPr>
          <w:rFonts w:asciiTheme="minorHAnsi" w:hAnsiTheme="minorHAnsi"/>
          <w:sz w:val="24"/>
          <w:szCs w:val="24"/>
          <w:lang w:val="en-US"/>
        </w:rPr>
        <w:lastRenderedPageBreak/>
        <w:t xml:space="preserve">These planned measures were put in place during project inception, with the exception of the NTC appointment due to the lack of suitable applicants. In the case of the CTA, a temporary international Inception Phase Advisor was recruited to expedite start up. </w:t>
      </w:r>
    </w:p>
    <w:p w14:paraId="5D0E5EB8" w14:textId="77777777" w:rsidR="00195D6F" w:rsidRDefault="00195D6F" w:rsidP="00195D6F">
      <w:pPr>
        <w:overflowPunct/>
        <w:spacing w:before="120" w:after="120" w:line="240" w:lineRule="atLeast"/>
        <w:jc w:val="both"/>
        <w:textAlignment w:val="auto"/>
        <w:rPr>
          <w:rFonts w:asciiTheme="minorHAnsi" w:hAnsiTheme="minorHAnsi"/>
          <w:sz w:val="24"/>
          <w:szCs w:val="24"/>
          <w:lang w:val="en-US"/>
        </w:rPr>
      </w:pPr>
      <w:r>
        <w:rPr>
          <w:rFonts w:asciiTheme="minorHAnsi" w:hAnsiTheme="minorHAnsi"/>
          <w:sz w:val="24"/>
          <w:szCs w:val="24"/>
          <w:lang w:val="en-US"/>
        </w:rPr>
        <w:t>The TCG was also set up during project inception to ensure coordination between the different donors investing in Colchic Forests and maximize opportunities for synergies. This Group met four times (twice in 2015, once in 2016 and again in 2018) and comprised:</w:t>
      </w:r>
      <w:r w:rsidRPr="00364C85">
        <w:rPr>
          <w:rFonts w:asciiTheme="minorHAnsi" w:hAnsiTheme="minorHAnsi"/>
          <w:sz w:val="24"/>
          <w:szCs w:val="24"/>
          <w:lang w:val="en-US"/>
        </w:rPr>
        <w:t xml:space="preserve"> </w:t>
      </w:r>
      <w:r>
        <w:rPr>
          <w:rFonts w:asciiTheme="minorHAnsi" w:hAnsiTheme="minorHAnsi"/>
          <w:sz w:val="24"/>
          <w:szCs w:val="24"/>
          <w:lang w:val="en-US"/>
        </w:rPr>
        <w:t>APA, CNF, EU Twinning Project</w:t>
      </w:r>
      <w:bookmarkStart w:id="140" w:name="_Ref408867940"/>
      <w:r>
        <w:rPr>
          <w:rStyle w:val="FootnoteReference"/>
          <w:rFonts w:asciiTheme="minorHAnsi" w:hAnsiTheme="minorHAnsi"/>
          <w:sz w:val="24"/>
          <w:szCs w:val="24"/>
          <w:lang w:val="en-US"/>
        </w:rPr>
        <w:footnoteReference w:id="20"/>
      </w:r>
      <w:bookmarkEnd w:id="140"/>
      <w:r>
        <w:rPr>
          <w:rFonts w:asciiTheme="minorHAnsi" w:hAnsiTheme="minorHAnsi"/>
          <w:sz w:val="24"/>
          <w:szCs w:val="24"/>
          <w:lang w:val="en-US"/>
        </w:rPr>
        <w:t>, UNDP and GEF Achara PAs Project, KFW Support Program for Protected Areas (SPPA)</w:t>
      </w:r>
      <w:r w:rsidRPr="00B758AC">
        <w:rPr>
          <w:rFonts w:asciiTheme="minorHAnsi" w:hAnsiTheme="minorHAnsi"/>
          <w:sz w:val="24"/>
          <w:szCs w:val="24"/>
          <w:vertAlign w:val="superscript"/>
          <w:lang w:val="en-US"/>
        </w:rPr>
        <w:fldChar w:fldCharType="begin"/>
      </w:r>
      <w:r w:rsidRPr="00B758AC">
        <w:rPr>
          <w:rFonts w:asciiTheme="minorHAnsi" w:hAnsiTheme="minorHAnsi"/>
          <w:sz w:val="24"/>
          <w:szCs w:val="24"/>
          <w:vertAlign w:val="superscript"/>
          <w:lang w:val="en-US"/>
        </w:rPr>
        <w:instrText xml:space="preserve"> NOTEREF _Ref408867940 \h </w:instrText>
      </w:r>
      <w:r w:rsidRPr="00B758AC">
        <w:rPr>
          <w:rFonts w:asciiTheme="minorHAnsi" w:hAnsiTheme="minorHAnsi"/>
          <w:sz w:val="24"/>
          <w:szCs w:val="24"/>
          <w:vertAlign w:val="superscript"/>
          <w:lang w:val="en-US"/>
        </w:rPr>
      </w:r>
      <w:r w:rsidRPr="00B758AC">
        <w:rPr>
          <w:rFonts w:asciiTheme="minorHAnsi" w:hAnsiTheme="minorHAnsi"/>
          <w:sz w:val="24"/>
          <w:szCs w:val="24"/>
          <w:vertAlign w:val="superscript"/>
          <w:lang w:val="en-US"/>
        </w:rPr>
        <w:fldChar w:fldCharType="separate"/>
      </w:r>
      <w:r w:rsidR="001E2C7B">
        <w:rPr>
          <w:rFonts w:asciiTheme="minorHAnsi" w:hAnsiTheme="minorHAnsi"/>
          <w:sz w:val="24"/>
          <w:szCs w:val="24"/>
          <w:vertAlign w:val="superscript"/>
          <w:lang w:val="en-US"/>
        </w:rPr>
        <w:t>20</w:t>
      </w:r>
      <w:r w:rsidRPr="00B758AC">
        <w:rPr>
          <w:rFonts w:asciiTheme="minorHAnsi" w:hAnsiTheme="minorHAnsi"/>
          <w:sz w:val="24"/>
          <w:szCs w:val="24"/>
          <w:vertAlign w:val="superscript"/>
          <w:lang w:val="en-US"/>
        </w:rPr>
        <w:fldChar w:fldCharType="end"/>
      </w:r>
      <w:r>
        <w:rPr>
          <w:rFonts w:asciiTheme="minorHAnsi" w:hAnsiTheme="minorHAnsi"/>
          <w:sz w:val="24"/>
          <w:szCs w:val="24"/>
          <w:lang w:val="en-US"/>
        </w:rPr>
        <w:t xml:space="preserve"> with GFA Consulting Group, Eco-corridor Programme in the Caucasus and WWF Caucasus Programme (see</w:t>
      </w:r>
      <w:r w:rsidRPr="00645FDA">
        <w:rPr>
          <w:rFonts w:asciiTheme="minorHAnsi" w:hAnsiTheme="minorHAnsi"/>
          <w:b/>
          <w:sz w:val="24"/>
          <w:szCs w:val="24"/>
          <w:lang w:val="en-US"/>
        </w:rPr>
        <w:t xml:space="preserve"> MTR</w:t>
      </w:r>
      <w:r>
        <w:rPr>
          <w:rFonts w:asciiTheme="minorHAnsi" w:hAnsiTheme="minorHAnsi"/>
          <w:b/>
          <w:sz w:val="24"/>
          <w:szCs w:val="24"/>
          <w:lang w:val="en-US"/>
        </w:rPr>
        <w:t>,</w:t>
      </w:r>
      <w:r>
        <w:rPr>
          <w:rFonts w:asciiTheme="minorHAnsi" w:hAnsiTheme="minorHAnsi"/>
          <w:sz w:val="24"/>
          <w:szCs w:val="24"/>
          <w:lang w:val="en-US"/>
        </w:rPr>
        <w:t xml:space="preserve"> </w:t>
      </w:r>
      <w:r w:rsidRPr="00645FDA">
        <w:rPr>
          <w:rFonts w:asciiTheme="minorHAnsi" w:hAnsiTheme="minorHAnsi"/>
          <w:b/>
          <w:sz w:val="24"/>
          <w:szCs w:val="24"/>
          <w:lang w:val="en-US"/>
        </w:rPr>
        <w:t xml:space="preserve">Annex 4 </w:t>
      </w:r>
      <w:r>
        <w:rPr>
          <w:rFonts w:asciiTheme="minorHAnsi" w:hAnsiTheme="minorHAnsi"/>
          <w:sz w:val="24"/>
          <w:szCs w:val="24"/>
          <w:lang w:val="en-US"/>
        </w:rPr>
        <w:t>for full details).</w:t>
      </w:r>
    </w:p>
    <w:p w14:paraId="0B549F59" w14:textId="77777777" w:rsidR="00195D6F" w:rsidRDefault="00195D6F" w:rsidP="00195D6F">
      <w:pPr>
        <w:overflowPunct/>
        <w:spacing w:after="120" w:line="240" w:lineRule="atLeast"/>
        <w:jc w:val="both"/>
        <w:textAlignment w:val="auto"/>
        <w:rPr>
          <w:rFonts w:ascii="Calibri" w:hAnsi="Calibri" w:cs="Calibri"/>
          <w:color w:val="000000"/>
          <w:sz w:val="24"/>
          <w:szCs w:val="24"/>
          <w:lang w:val="en-US"/>
        </w:rPr>
      </w:pPr>
      <w:r>
        <w:rPr>
          <w:rFonts w:asciiTheme="minorHAnsi" w:hAnsiTheme="minorHAnsi"/>
          <w:sz w:val="24"/>
          <w:szCs w:val="24"/>
          <w:lang w:val="en-US"/>
        </w:rPr>
        <w:t>Following project inception</w:t>
      </w:r>
      <w:r>
        <w:rPr>
          <w:rFonts w:ascii="Calibri" w:hAnsi="Calibri" w:cs="Calibri"/>
          <w:color w:val="000000"/>
          <w:sz w:val="24"/>
          <w:szCs w:val="24"/>
          <w:lang w:val="en-US"/>
        </w:rPr>
        <w:t>, the Inception Phase Advisor was appointed as CTA on a part-time basis for the duration of the project; and the NTC post was decided to be unnecessary. Subsequently, towards mid-term, a technical consultant was hired to support the PM.</w:t>
      </w:r>
    </w:p>
    <w:p w14:paraId="3225FF33" w14:textId="77777777" w:rsidR="00A9249A" w:rsidRPr="00E22EBA" w:rsidRDefault="00A9249A" w:rsidP="0067558E">
      <w:pPr>
        <w:pStyle w:val="Heading2"/>
        <w:numPr>
          <w:ilvl w:val="1"/>
          <w:numId w:val="17"/>
        </w:numPr>
        <w:spacing w:before="240" w:after="120" w:line="240" w:lineRule="auto"/>
        <w:ind w:left="567" w:hanging="567"/>
        <w:rPr>
          <w:rFonts w:asciiTheme="minorHAnsi" w:hAnsiTheme="minorHAnsi" w:cs="Calibri"/>
          <w:b/>
          <w:caps w:val="0"/>
          <w:sz w:val="28"/>
        </w:rPr>
      </w:pPr>
      <w:bookmarkStart w:id="141" w:name="_Toc414745326"/>
      <w:bookmarkEnd w:id="139"/>
      <w:r w:rsidRPr="00E22EBA">
        <w:rPr>
          <w:rFonts w:asciiTheme="minorHAnsi" w:hAnsiTheme="minorHAnsi" w:cs="Calibri"/>
          <w:b/>
          <w:caps w:val="0"/>
          <w:sz w:val="28"/>
        </w:rPr>
        <w:t>Project Implementation</w:t>
      </w:r>
      <w:bookmarkEnd w:id="141"/>
      <w:r w:rsidRPr="00E22EBA">
        <w:rPr>
          <w:rFonts w:asciiTheme="minorHAnsi" w:hAnsiTheme="minorHAnsi" w:cs="Calibri"/>
          <w:b/>
          <w:caps w:val="0"/>
          <w:sz w:val="28"/>
        </w:rPr>
        <w:t xml:space="preserve"> </w:t>
      </w:r>
    </w:p>
    <w:p w14:paraId="76BC04D1" w14:textId="6124D19F" w:rsidR="0008670E" w:rsidRPr="00E22EBA" w:rsidRDefault="00F12160" w:rsidP="0067558E">
      <w:pPr>
        <w:pStyle w:val="Heading2"/>
        <w:numPr>
          <w:ilvl w:val="2"/>
          <w:numId w:val="19"/>
        </w:numPr>
        <w:spacing w:before="240" w:after="120"/>
        <w:ind w:left="709" w:hanging="709"/>
        <w:rPr>
          <w:rFonts w:asciiTheme="minorHAnsi" w:hAnsiTheme="minorHAnsi" w:cs="Calibri"/>
          <w:b/>
          <w:caps w:val="0"/>
        </w:rPr>
      </w:pPr>
      <w:bookmarkStart w:id="142" w:name="_Toc414745327"/>
      <w:r>
        <w:rPr>
          <w:rFonts w:asciiTheme="minorHAnsi" w:hAnsiTheme="minorHAnsi" w:cs="Calibri"/>
          <w:b/>
          <w:caps w:val="0"/>
        </w:rPr>
        <w:t>Adaptive m</w:t>
      </w:r>
      <w:r w:rsidR="0008670E" w:rsidRPr="00E22EBA">
        <w:rPr>
          <w:rFonts w:asciiTheme="minorHAnsi" w:hAnsiTheme="minorHAnsi" w:cs="Calibri"/>
          <w:b/>
          <w:caps w:val="0"/>
        </w:rPr>
        <w:t>anagement</w:t>
      </w:r>
      <w:bookmarkEnd w:id="142"/>
    </w:p>
    <w:p w14:paraId="14745A73" w14:textId="5F459D20" w:rsidR="009F5680" w:rsidRPr="009F5680" w:rsidRDefault="00B5458B" w:rsidP="009F5680">
      <w:pPr>
        <w:pStyle w:val="BodyText"/>
        <w:rPr>
          <w:rFonts w:asciiTheme="minorHAnsi" w:hAnsiTheme="minorHAnsi"/>
        </w:rPr>
      </w:pPr>
      <w:r>
        <w:rPr>
          <w:rFonts w:asciiTheme="minorHAnsi" w:hAnsiTheme="minorHAnsi"/>
        </w:rPr>
        <w:t>The project has demonstrated considerable initiative in its execution of the ProDoc</w:t>
      </w:r>
      <w:r w:rsidR="004E0493">
        <w:rPr>
          <w:rFonts w:asciiTheme="minorHAnsi" w:hAnsiTheme="minorHAnsi"/>
        </w:rPr>
        <w:t xml:space="preserve">, enabling the PA administrations responsible for much of ARA’s remaining Colchic Forests to achieve much more in terms of participatory engagement with </w:t>
      </w:r>
      <w:r w:rsidR="00196FA7">
        <w:rPr>
          <w:rFonts w:asciiTheme="minorHAnsi" w:hAnsiTheme="minorHAnsi"/>
        </w:rPr>
        <w:t>their stakeholders in such matters as governance, planning and management of PAs than would have been otherwise possible, given the centralized approach that continues to be applied by APA</w:t>
      </w:r>
      <w:r w:rsidR="00B61D26">
        <w:rPr>
          <w:rFonts w:asciiTheme="minorHAnsi" w:hAnsiTheme="minorHAnsi"/>
        </w:rPr>
        <w:t xml:space="preserve"> – to the extent that PA directors do not even manage their own budgets</w:t>
      </w:r>
      <w:r w:rsidR="006732BD" w:rsidRPr="006732BD">
        <w:rPr>
          <w:rFonts w:asciiTheme="minorHAnsi" w:hAnsiTheme="minorHAnsi"/>
        </w:rPr>
        <w:t xml:space="preserve"> </w:t>
      </w:r>
      <w:r w:rsidR="006732BD">
        <w:rPr>
          <w:rFonts w:asciiTheme="minorHAnsi" w:hAnsiTheme="minorHAnsi"/>
        </w:rPr>
        <w:t>on account of prevailing laws and protocols</w:t>
      </w:r>
      <w:r w:rsidR="00196FA7">
        <w:rPr>
          <w:rFonts w:asciiTheme="minorHAnsi" w:hAnsiTheme="minorHAnsi"/>
        </w:rPr>
        <w:t xml:space="preserve">. </w:t>
      </w:r>
      <w:r w:rsidR="00A03E29">
        <w:rPr>
          <w:rFonts w:asciiTheme="minorHAnsi" w:hAnsiTheme="minorHAnsi"/>
        </w:rPr>
        <w:t>One of the key assumptions in the SRF is: “That APA will allow sufficient ‘de-c</w:t>
      </w:r>
      <w:r w:rsidR="00422408">
        <w:rPr>
          <w:rFonts w:asciiTheme="minorHAnsi" w:hAnsiTheme="minorHAnsi"/>
        </w:rPr>
        <w:t>o</w:t>
      </w:r>
      <w:r w:rsidR="00A03E29">
        <w:rPr>
          <w:rFonts w:asciiTheme="minorHAnsi" w:hAnsiTheme="minorHAnsi"/>
        </w:rPr>
        <w:t xml:space="preserve">ncentration’ of management to allow more adaptive management. “ </w:t>
      </w:r>
      <w:r w:rsidR="00422408">
        <w:rPr>
          <w:rFonts w:asciiTheme="minorHAnsi" w:hAnsiTheme="minorHAnsi"/>
        </w:rPr>
        <w:t>It is this institutional straight-jacket approach, whereby PA administrat</w:t>
      </w:r>
      <w:r w:rsidR="00BD2AD5">
        <w:rPr>
          <w:rFonts w:asciiTheme="minorHAnsi" w:hAnsiTheme="minorHAnsi"/>
        </w:rPr>
        <w:t xml:space="preserve">ions have little or no </w:t>
      </w:r>
      <w:r w:rsidR="000D0A56">
        <w:rPr>
          <w:rFonts w:asciiTheme="minorHAnsi" w:hAnsiTheme="minorHAnsi"/>
        </w:rPr>
        <w:t>devolved powers</w:t>
      </w:r>
      <w:r w:rsidR="00422408">
        <w:rPr>
          <w:rFonts w:asciiTheme="minorHAnsi" w:hAnsiTheme="minorHAnsi"/>
        </w:rPr>
        <w:t>, that stifles initiative</w:t>
      </w:r>
      <w:r w:rsidR="00B70509">
        <w:rPr>
          <w:rFonts w:asciiTheme="minorHAnsi" w:hAnsiTheme="minorHAnsi"/>
        </w:rPr>
        <w:t>,</w:t>
      </w:r>
      <w:r w:rsidR="00422408">
        <w:rPr>
          <w:rFonts w:asciiTheme="minorHAnsi" w:hAnsiTheme="minorHAnsi"/>
        </w:rPr>
        <w:t xml:space="preserve"> enthusiasm </w:t>
      </w:r>
      <w:r w:rsidR="00B70509">
        <w:rPr>
          <w:rFonts w:asciiTheme="minorHAnsi" w:hAnsiTheme="minorHAnsi"/>
        </w:rPr>
        <w:t xml:space="preserve">and commitment </w:t>
      </w:r>
      <w:r w:rsidR="00BD2AD5">
        <w:rPr>
          <w:rFonts w:asciiTheme="minorHAnsi" w:hAnsiTheme="minorHAnsi"/>
        </w:rPr>
        <w:t xml:space="preserve">among those </w:t>
      </w:r>
      <w:r w:rsidR="00B70509">
        <w:rPr>
          <w:rFonts w:asciiTheme="minorHAnsi" w:hAnsiTheme="minorHAnsi"/>
        </w:rPr>
        <w:t xml:space="preserve">who </w:t>
      </w:r>
      <w:r w:rsidR="00BD2AD5">
        <w:rPr>
          <w:rFonts w:asciiTheme="minorHAnsi" w:hAnsiTheme="minorHAnsi"/>
        </w:rPr>
        <w:t xml:space="preserve">actually </w:t>
      </w:r>
      <w:r w:rsidR="006732BD">
        <w:rPr>
          <w:rFonts w:asciiTheme="minorHAnsi" w:hAnsiTheme="minorHAnsi"/>
        </w:rPr>
        <w:t>manage PAs</w:t>
      </w:r>
      <w:r w:rsidR="000C1C0D">
        <w:rPr>
          <w:rStyle w:val="FootnoteReference"/>
          <w:rFonts w:asciiTheme="minorHAnsi" w:hAnsiTheme="minorHAnsi"/>
        </w:rPr>
        <w:footnoteReference w:id="21"/>
      </w:r>
      <w:r w:rsidR="00BD2AD5">
        <w:rPr>
          <w:rFonts w:asciiTheme="minorHAnsi" w:hAnsiTheme="minorHAnsi"/>
        </w:rPr>
        <w:t>.</w:t>
      </w:r>
      <w:r w:rsidR="00D51FA8">
        <w:rPr>
          <w:rFonts w:asciiTheme="minorHAnsi" w:hAnsiTheme="minorHAnsi"/>
        </w:rPr>
        <w:t xml:space="preserve"> This will continue to be a challenge beyond the project’s duration </w:t>
      </w:r>
      <w:r w:rsidR="00BF307E">
        <w:rPr>
          <w:rFonts w:asciiTheme="minorHAnsi" w:hAnsiTheme="minorHAnsi"/>
        </w:rPr>
        <w:t xml:space="preserve">but is </w:t>
      </w:r>
      <w:r w:rsidR="00582AF5">
        <w:rPr>
          <w:rFonts w:asciiTheme="minorHAnsi" w:hAnsiTheme="minorHAnsi"/>
        </w:rPr>
        <w:t>being</w:t>
      </w:r>
      <w:r w:rsidR="00BF307E">
        <w:rPr>
          <w:rFonts w:asciiTheme="minorHAnsi" w:hAnsiTheme="minorHAnsi"/>
        </w:rPr>
        <w:t xml:space="preserve"> picked up by the GIZ </w:t>
      </w:r>
      <w:r w:rsidR="009F5680" w:rsidRPr="009F5680">
        <w:rPr>
          <w:rFonts w:asciiTheme="minorHAnsi" w:hAnsiTheme="minorHAnsi"/>
        </w:rPr>
        <w:t>IBiS</w:t>
      </w:r>
      <w:r w:rsidR="009F5680">
        <w:rPr>
          <w:rFonts w:asciiTheme="minorHAnsi" w:hAnsiTheme="minorHAnsi"/>
        </w:rPr>
        <w:t xml:space="preserve"> </w:t>
      </w:r>
      <w:r w:rsidR="00BF307E">
        <w:rPr>
          <w:rFonts w:asciiTheme="minorHAnsi" w:hAnsiTheme="minorHAnsi"/>
        </w:rPr>
        <w:t xml:space="preserve">project </w:t>
      </w:r>
      <w:r w:rsidR="009F5680">
        <w:rPr>
          <w:rFonts w:asciiTheme="minorHAnsi" w:hAnsiTheme="minorHAnsi"/>
        </w:rPr>
        <w:t>(</w:t>
      </w:r>
      <w:r w:rsidR="009F5680" w:rsidRPr="009F5680">
        <w:rPr>
          <w:rFonts w:asciiTheme="minorHAnsi" w:hAnsiTheme="minorHAnsi"/>
        </w:rPr>
        <w:t>Integrated Biodiversity Management in the South Caucasus</w:t>
      </w:r>
      <w:r w:rsidR="00B57037">
        <w:rPr>
          <w:rFonts w:asciiTheme="minorHAnsi" w:hAnsiTheme="minorHAnsi"/>
        </w:rPr>
        <w:t>, 2015-2019</w:t>
      </w:r>
      <w:r w:rsidR="009F5680">
        <w:rPr>
          <w:rFonts w:asciiTheme="minorHAnsi" w:hAnsiTheme="minorHAnsi"/>
        </w:rPr>
        <w:t>)</w:t>
      </w:r>
      <w:r w:rsidR="00582AF5">
        <w:rPr>
          <w:rFonts w:asciiTheme="minorHAnsi" w:hAnsiTheme="minorHAnsi"/>
        </w:rPr>
        <w:t xml:space="preserve"> that is supporting PA policy development prior to revision of PA legislation.</w:t>
      </w:r>
    </w:p>
    <w:p w14:paraId="3CC4FB97" w14:textId="77777777" w:rsidR="001021B9" w:rsidRDefault="00B70509" w:rsidP="00B077B5">
      <w:pPr>
        <w:pStyle w:val="BodyText"/>
        <w:rPr>
          <w:rFonts w:asciiTheme="minorHAnsi" w:hAnsiTheme="minorHAnsi"/>
        </w:rPr>
      </w:pPr>
      <w:r>
        <w:rPr>
          <w:rFonts w:asciiTheme="minorHAnsi" w:hAnsiTheme="minorHAnsi"/>
        </w:rPr>
        <w:t>Such a</w:t>
      </w:r>
      <w:r w:rsidR="00BD2AD5">
        <w:rPr>
          <w:rFonts w:asciiTheme="minorHAnsi" w:hAnsiTheme="minorHAnsi"/>
        </w:rPr>
        <w:t xml:space="preserve"> scenario </w:t>
      </w:r>
      <w:r>
        <w:rPr>
          <w:rFonts w:asciiTheme="minorHAnsi" w:hAnsiTheme="minorHAnsi"/>
        </w:rPr>
        <w:t xml:space="preserve">is </w:t>
      </w:r>
      <w:r w:rsidR="006732BD">
        <w:rPr>
          <w:rFonts w:asciiTheme="minorHAnsi" w:hAnsiTheme="minorHAnsi"/>
        </w:rPr>
        <w:t xml:space="preserve">currently </w:t>
      </w:r>
      <w:r>
        <w:rPr>
          <w:rFonts w:asciiTheme="minorHAnsi" w:hAnsiTheme="minorHAnsi"/>
        </w:rPr>
        <w:t>being</w:t>
      </w:r>
      <w:r w:rsidR="00BD2AD5">
        <w:rPr>
          <w:rFonts w:asciiTheme="minorHAnsi" w:hAnsiTheme="minorHAnsi"/>
        </w:rPr>
        <w:t xml:space="preserve"> played out </w:t>
      </w:r>
      <w:r w:rsidR="00D052F6">
        <w:rPr>
          <w:rFonts w:asciiTheme="minorHAnsi" w:hAnsiTheme="minorHAnsi"/>
        </w:rPr>
        <w:t xml:space="preserve">at macro-level in </w:t>
      </w:r>
      <w:r w:rsidR="00BD2AD5">
        <w:rPr>
          <w:rFonts w:asciiTheme="minorHAnsi" w:hAnsiTheme="minorHAnsi"/>
        </w:rPr>
        <w:t>Machakhela</w:t>
      </w:r>
      <w:r w:rsidR="003A7127">
        <w:rPr>
          <w:rStyle w:val="FootnoteReference"/>
          <w:rFonts w:asciiTheme="minorHAnsi" w:hAnsiTheme="minorHAnsi"/>
        </w:rPr>
        <w:footnoteReference w:id="22"/>
      </w:r>
      <w:r w:rsidR="00D052F6">
        <w:rPr>
          <w:rFonts w:asciiTheme="minorHAnsi" w:hAnsiTheme="minorHAnsi"/>
        </w:rPr>
        <w:t xml:space="preserve">. A sense of disappointment </w:t>
      </w:r>
      <w:r w:rsidR="00A41242">
        <w:rPr>
          <w:rFonts w:asciiTheme="minorHAnsi" w:hAnsiTheme="minorHAnsi"/>
        </w:rPr>
        <w:t>is</w:t>
      </w:r>
      <w:r w:rsidR="00D052F6">
        <w:rPr>
          <w:rFonts w:asciiTheme="minorHAnsi" w:hAnsiTheme="minorHAnsi"/>
        </w:rPr>
        <w:t xml:space="preserve"> </w:t>
      </w:r>
      <w:r w:rsidR="00BD2AD5">
        <w:rPr>
          <w:rFonts w:asciiTheme="minorHAnsi" w:hAnsiTheme="minorHAnsi"/>
        </w:rPr>
        <w:t xml:space="preserve">reported in the MTR </w:t>
      </w:r>
      <w:r w:rsidR="00D052F6">
        <w:rPr>
          <w:rFonts w:asciiTheme="minorHAnsi" w:hAnsiTheme="minorHAnsi"/>
        </w:rPr>
        <w:t>about the institutional reluctance to protect the entire area</w:t>
      </w:r>
      <w:r w:rsidR="00163109">
        <w:rPr>
          <w:rFonts w:asciiTheme="minorHAnsi" w:hAnsiTheme="minorHAnsi"/>
        </w:rPr>
        <w:t xml:space="preserve"> under the 1996 </w:t>
      </w:r>
      <w:r w:rsidR="00163109">
        <w:rPr>
          <w:rFonts w:asciiTheme="minorHAnsi" w:hAnsiTheme="minorHAnsi"/>
          <w:i/>
        </w:rPr>
        <w:t>Law on the System of P</w:t>
      </w:r>
      <w:r w:rsidR="00163109" w:rsidRPr="00163109">
        <w:rPr>
          <w:rFonts w:asciiTheme="minorHAnsi" w:hAnsiTheme="minorHAnsi"/>
          <w:i/>
        </w:rPr>
        <w:t xml:space="preserve">rotected </w:t>
      </w:r>
      <w:r w:rsidR="006349E1">
        <w:rPr>
          <w:rFonts w:asciiTheme="minorHAnsi" w:hAnsiTheme="minorHAnsi"/>
          <w:i/>
        </w:rPr>
        <w:t>Territories</w:t>
      </w:r>
      <w:r w:rsidR="00D052F6">
        <w:rPr>
          <w:rFonts w:asciiTheme="minorHAnsi" w:hAnsiTheme="minorHAnsi"/>
        </w:rPr>
        <w:t>, with the lower valleys designated as Protected Landscape</w:t>
      </w:r>
      <w:r w:rsidR="00916313">
        <w:rPr>
          <w:rStyle w:val="FootnoteReference"/>
          <w:rFonts w:asciiTheme="minorHAnsi" w:hAnsiTheme="minorHAnsi"/>
        </w:rPr>
        <w:footnoteReference w:id="23"/>
      </w:r>
      <w:r w:rsidR="00D052F6">
        <w:rPr>
          <w:rFonts w:asciiTheme="minorHAnsi" w:hAnsiTheme="minorHAnsi"/>
        </w:rPr>
        <w:t xml:space="preserve">, falling under the jurisdiction of the municipality, and </w:t>
      </w:r>
      <w:r w:rsidR="00357EF4">
        <w:rPr>
          <w:rFonts w:asciiTheme="minorHAnsi" w:hAnsiTheme="minorHAnsi"/>
        </w:rPr>
        <w:t>the proclaimed NP remaining as such (subject to the various agreed boundary amendments</w:t>
      </w:r>
      <w:r w:rsidR="00A41242">
        <w:rPr>
          <w:rFonts w:asciiTheme="minorHAnsi" w:hAnsiTheme="minorHAnsi"/>
        </w:rPr>
        <w:t xml:space="preserve"> regarding access to agricultural lands</w:t>
      </w:r>
      <w:r w:rsidR="00357EF4">
        <w:rPr>
          <w:rFonts w:asciiTheme="minorHAnsi" w:hAnsiTheme="minorHAnsi"/>
        </w:rPr>
        <w:t xml:space="preserve">). </w:t>
      </w:r>
      <w:r w:rsidR="00AF11E0">
        <w:rPr>
          <w:rFonts w:asciiTheme="minorHAnsi" w:hAnsiTheme="minorHAnsi"/>
        </w:rPr>
        <w:t>An</w:t>
      </w:r>
      <w:r w:rsidR="00357EF4">
        <w:rPr>
          <w:rFonts w:asciiTheme="minorHAnsi" w:hAnsiTheme="minorHAnsi"/>
        </w:rPr>
        <w:t xml:space="preserve"> expectation was for the whole area to be jointly or co-managed by APA and </w:t>
      </w:r>
      <w:r w:rsidR="006732BD" w:rsidRPr="00357EF4">
        <w:rPr>
          <w:rFonts w:asciiTheme="minorHAnsi" w:hAnsiTheme="minorHAnsi"/>
        </w:rPr>
        <w:t xml:space="preserve">Khelvachauri </w:t>
      </w:r>
      <w:r w:rsidR="00357EF4" w:rsidRPr="00357EF4">
        <w:rPr>
          <w:rFonts w:asciiTheme="minorHAnsi" w:hAnsiTheme="minorHAnsi"/>
        </w:rPr>
        <w:t>Municipality</w:t>
      </w:r>
      <w:r w:rsidR="00BE4AAF">
        <w:rPr>
          <w:rFonts w:asciiTheme="minorHAnsi" w:hAnsiTheme="minorHAnsi"/>
        </w:rPr>
        <w:t xml:space="preserve">, perhaps </w:t>
      </w:r>
      <w:r w:rsidR="006732BD">
        <w:rPr>
          <w:rFonts w:asciiTheme="minorHAnsi" w:hAnsiTheme="minorHAnsi"/>
        </w:rPr>
        <w:t>under the auspices of a single Advisory B</w:t>
      </w:r>
      <w:r w:rsidR="00BE4AAF">
        <w:rPr>
          <w:rFonts w:asciiTheme="minorHAnsi" w:hAnsiTheme="minorHAnsi"/>
        </w:rPr>
        <w:t>o</w:t>
      </w:r>
      <w:r w:rsidR="006732BD">
        <w:rPr>
          <w:rFonts w:asciiTheme="minorHAnsi" w:hAnsiTheme="minorHAnsi"/>
        </w:rPr>
        <w:t>ard</w:t>
      </w:r>
      <w:r w:rsidR="00BE4AAF">
        <w:rPr>
          <w:rFonts w:asciiTheme="minorHAnsi" w:hAnsiTheme="minorHAnsi"/>
        </w:rPr>
        <w:t>. However, this also require</w:t>
      </w:r>
      <w:r w:rsidR="00BF307E">
        <w:rPr>
          <w:rFonts w:asciiTheme="minorHAnsi" w:hAnsiTheme="minorHAnsi"/>
        </w:rPr>
        <w:t>s</w:t>
      </w:r>
      <w:r w:rsidR="00BE4AAF">
        <w:rPr>
          <w:rFonts w:asciiTheme="minorHAnsi" w:hAnsiTheme="minorHAnsi"/>
        </w:rPr>
        <w:t xml:space="preserve"> </w:t>
      </w:r>
      <w:r w:rsidR="00163109">
        <w:rPr>
          <w:rFonts w:asciiTheme="minorHAnsi" w:hAnsiTheme="minorHAnsi"/>
        </w:rPr>
        <w:t>agreement</w:t>
      </w:r>
      <w:r w:rsidR="00BE4AAF">
        <w:rPr>
          <w:rFonts w:asciiTheme="minorHAnsi" w:hAnsiTheme="minorHAnsi"/>
        </w:rPr>
        <w:t xml:space="preserve"> </w:t>
      </w:r>
      <w:r w:rsidR="00BF307E">
        <w:rPr>
          <w:rFonts w:asciiTheme="minorHAnsi" w:hAnsiTheme="minorHAnsi"/>
        </w:rPr>
        <w:t>with</w:t>
      </w:r>
      <w:r w:rsidR="003A7127">
        <w:rPr>
          <w:rFonts w:asciiTheme="minorHAnsi" w:hAnsiTheme="minorHAnsi"/>
        </w:rPr>
        <w:t xml:space="preserve"> </w:t>
      </w:r>
      <w:r w:rsidR="006732BD" w:rsidRPr="006732BD">
        <w:rPr>
          <w:rFonts w:asciiTheme="minorHAnsi" w:hAnsiTheme="minorHAnsi"/>
        </w:rPr>
        <w:t>Achara Forestry Agency</w:t>
      </w:r>
      <w:r w:rsidR="00AF11E0">
        <w:rPr>
          <w:rFonts w:asciiTheme="minorHAnsi" w:hAnsiTheme="minorHAnsi"/>
        </w:rPr>
        <w:t xml:space="preserve">, who </w:t>
      </w:r>
      <w:r w:rsidR="00163109">
        <w:rPr>
          <w:rFonts w:asciiTheme="minorHAnsi" w:hAnsiTheme="minorHAnsi"/>
        </w:rPr>
        <w:t>currently have jurisdiction over state forest in the lower valleys</w:t>
      </w:r>
      <w:r w:rsidR="00BF307E">
        <w:rPr>
          <w:rFonts w:asciiTheme="minorHAnsi" w:hAnsiTheme="minorHAnsi"/>
        </w:rPr>
        <w:t>,</w:t>
      </w:r>
      <w:r w:rsidR="009E743F">
        <w:rPr>
          <w:rFonts w:asciiTheme="minorHAnsi" w:hAnsiTheme="minorHAnsi"/>
        </w:rPr>
        <w:t xml:space="preserve"> expertise to manage them</w:t>
      </w:r>
      <w:r w:rsidR="00BF307E">
        <w:rPr>
          <w:rFonts w:asciiTheme="minorHAnsi" w:hAnsiTheme="minorHAnsi"/>
        </w:rPr>
        <w:t xml:space="preserve"> and a certain accountability to meet communities’</w:t>
      </w:r>
      <w:r w:rsidR="009E743F">
        <w:rPr>
          <w:rFonts w:asciiTheme="minorHAnsi" w:hAnsiTheme="minorHAnsi"/>
        </w:rPr>
        <w:t xml:space="preserve"> fuel </w:t>
      </w:r>
      <w:r w:rsidR="009E743F">
        <w:rPr>
          <w:rFonts w:asciiTheme="minorHAnsi" w:hAnsiTheme="minorHAnsi"/>
        </w:rPr>
        <w:lastRenderedPageBreak/>
        <w:t xml:space="preserve">wood needs. </w:t>
      </w:r>
      <w:r w:rsidR="00504C18">
        <w:rPr>
          <w:rFonts w:asciiTheme="minorHAnsi" w:hAnsiTheme="minorHAnsi"/>
        </w:rPr>
        <w:t>Such expertise does no</w:t>
      </w:r>
      <w:r w:rsidR="00A41242">
        <w:rPr>
          <w:rFonts w:asciiTheme="minorHAnsi" w:hAnsiTheme="minorHAnsi"/>
        </w:rPr>
        <w:t>t exist within the Municipality</w:t>
      </w:r>
      <w:r w:rsidR="00504C18">
        <w:rPr>
          <w:rFonts w:asciiTheme="minorHAnsi" w:hAnsiTheme="minorHAnsi"/>
        </w:rPr>
        <w:t xml:space="preserve"> nor</w:t>
      </w:r>
      <w:r w:rsidR="00A41242">
        <w:rPr>
          <w:rFonts w:asciiTheme="minorHAnsi" w:hAnsiTheme="minorHAnsi"/>
        </w:rPr>
        <w:t>,</w:t>
      </w:r>
      <w:r w:rsidR="00504C18">
        <w:rPr>
          <w:rFonts w:asciiTheme="minorHAnsi" w:hAnsiTheme="minorHAnsi"/>
        </w:rPr>
        <w:t xml:space="preserve"> indeed</w:t>
      </w:r>
      <w:r w:rsidR="00A41242">
        <w:rPr>
          <w:rFonts w:asciiTheme="minorHAnsi" w:hAnsiTheme="minorHAnsi"/>
        </w:rPr>
        <w:t>, within APA</w:t>
      </w:r>
      <w:r w:rsidR="00504C18">
        <w:rPr>
          <w:rFonts w:asciiTheme="minorHAnsi" w:hAnsiTheme="minorHAnsi"/>
        </w:rPr>
        <w:t xml:space="preserve"> but </w:t>
      </w:r>
      <w:r w:rsidR="001D6CEF">
        <w:rPr>
          <w:rFonts w:asciiTheme="minorHAnsi" w:hAnsiTheme="minorHAnsi"/>
        </w:rPr>
        <w:t>the necessary</w:t>
      </w:r>
      <w:r w:rsidR="00504C18">
        <w:rPr>
          <w:rFonts w:asciiTheme="minorHAnsi" w:hAnsiTheme="minorHAnsi"/>
        </w:rPr>
        <w:t xml:space="preserve"> capacity can be developed</w:t>
      </w:r>
      <w:r w:rsidR="000C63C7">
        <w:rPr>
          <w:rFonts w:asciiTheme="minorHAnsi" w:hAnsiTheme="minorHAnsi"/>
        </w:rPr>
        <w:t xml:space="preserve">. </w:t>
      </w:r>
      <w:r w:rsidR="00504C18">
        <w:rPr>
          <w:rFonts w:asciiTheme="minorHAnsi" w:hAnsiTheme="minorHAnsi"/>
        </w:rPr>
        <w:t>Kintrishi Protected Landscape</w:t>
      </w:r>
      <w:r w:rsidR="000C63C7">
        <w:rPr>
          <w:rFonts w:asciiTheme="minorHAnsi" w:hAnsiTheme="minorHAnsi"/>
        </w:rPr>
        <w:t>,</w:t>
      </w:r>
      <w:r w:rsidR="00D82AD0">
        <w:rPr>
          <w:rFonts w:asciiTheme="minorHAnsi" w:hAnsiTheme="minorHAnsi"/>
        </w:rPr>
        <w:t xml:space="preserve"> designated in 2007</w:t>
      </w:r>
      <w:r w:rsidR="000C63C7">
        <w:rPr>
          <w:rFonts w:asciiTheme="minorHAnsi" w:hAnsiTheme="minorHAnsi"/>
        </w:rPr>
        <w:t xml:space="preserve">, is a case in point </w:t>
      </w:r>
      <w:r w:rsidR="00BF307E">
        <w:rPr>
          <w:rFonts w:asciiTheme="minorHAnsi" w:hAnsiTheme="minorHAnsi"/>
        </w:rPr>
        <w:t>that</w:t>
      </w:r>
      <w:r w:rsidR="000C63C7">
        <w:rPr>
          <w:rFonts w:asciiTheme="minorHAnsi" w:hAnsiTheme="minorHAnsi"/>
        </w:rPr>
        <w:t xml:space="preserve"> is managed by APA</w:t>
      </w:r>
      <w:r w:rsidR="00BF307E">
        <w:rPr>
          <w:rStyle w:val="FootnoteReference"/>
          <w:rFonts w:asciiTheme="minorHAnsi" w:hAnsiTheme="minorHAnsi"/>
        </w:rPr>
        <w:footnoteReference w:id="24"/>
      </w:r>
      <w:r w:rsidR="001021B9">
        <w:rPr>
          <w:rFonts w:asciiTheme="minorHAnsi" w:hAnsiTheme="minorHAnsi"/>
        </w:rPr>
        <w:t>.</w:t>
      </w:r>
      <w:r w:rsidR="000C63C7">
        <w:rPr>
          <w:rFonts w:asciiTheme="minorHAnsi" w:hAnsiTheme="minorHAnsi"/>
        </w:rPr>
        <w:t xml:space="preserve"> </w:t>
      </w:r>
    </w:p>
    <w:p w14:paraId="1F543AC0" w14:textId="458F167C" w:rsidR="006E210F" w:rsidRPr="006E210F" w:rsidRDefault="001021B9" w:rsidP="006E210F">
      <w:pPr>
        <w:pStyle w:val="BodyText"/>
        <w:rPr>
          <w:rFonts w:asciiTheme="minorHAnsi" w:hAnsiTheme="minorHAnsi"/>
        </w:rPr>
      </w:pPr>
      <w:r>
        <w:rPr>
          <w:rFonts w:asciiTheme="minorHAnsi" w:hAnsiTheme="minorHAnsi"/>
        </w:rPr>
        <w:t>T</w:t>
      </w:r>
      <w:r w:rsidR="006349E1">
        <w:rPr>
          <w:rFonts w:asciiTheme="minorHAnsi" w:hAnsiTheme="minorHAnsi"/>
        </w:rPr>
        <w:t xml:space="preserve">he PAs legislation </w:t>
      </w:r>
      <w:r>
        <w:rPr>
          <w:rFonts w:asciiTheme="minorHAnsi" w:hAnsiTheme="minorHAnsi"/>
        </w:rPr>
        <w:t xml:space="preserve">currently </w:t>
      </w:r>
      <w:r w:rsidR="006232B5">
        <w:rPr>
          <w:rFonts w:asciiTheme="minorHAnsi" w:hAnsiTheme="minorHAnsi"/>
        </w:rPr>
        <w:t xml:space="preserve">mandates APA to manage PAs </w:t>
      </w:r>
      <w:r w:rsidR="006E210F">
        <w:rPr>
          <w:rFonts w:asciiTheme="minorHAnsi" w:hAnsiTheme="minorHAnsi"/>
        </w:rPr>
        <w:t>but</w:t>
      </w:r>
      <w:r w:rsidR="006232B5">
        <w:rPr>
          <w:rFonts w:asciiTheme="minorHAnsi" w:hAnsiTheme="minorHAnsi"/>
        </w:rPr>
        <w:t xml:space="preserve"> in the case of protected landscapes</w:t>
      </w:r>
      <w:r w:rsidR="006E210F">
        <w:rPr>
          <w:rFonts w:asciiTheme="minorHAnsi" w:hAnsiTheme="minorHAnsi"/>
        </w:rPr>
        <w:t xml:space="preserve"> it should</w:t>
      </w:r>
      <w:r w:rsidR="006232B5">
        <w:rPr>
          <w:rFonts w:asciiTheme="minorHAnsi" w:hAnsiTheme="minorHAnsi"/>
        </w:rPr>
        <w:t xml:space="preserve"> </w:t>
      </w:r>
      <w:r w:rsidR="006349E1">
        <w:rPr>
          <w:rFonts w:asciiTheme="minorHAnsi" w:hAnsiTheme="minorHAnsi"/>
        </w:rPr>
        <w:t xml:space="preserve">collaborate with </w:t>
      </w:r>
      <w:r w:rsidR="006232B5">
        <w:rPr>
          <w:rFonts w:asciiTheme="minorHAnsi" w:hAnsiTheme="minorHAnsi"/>
        </w:rPr>
        <w:t xml:space="preserve">the respective </w:t>
      </w:r>
      <w:r w:rsidR="006349E1">
        <w:rPr>
          <w:rFonts w:asciiTheme="minorHAnsi" w:hAnsiTheme="minorHAnsi"/>
        </w:rPr>
        <w:t>municipalities</w:t>
      </w:r>
      <w:r w:rsidR="006E210F">
        <w:rPr>
          <w:rFonts w:asciiTheme="minorHAnsi" w:hAnsiTheme="minorHAnsi"/>
        </w:rPr>
        <w:t xml:space="preserve"> because APA has no jurisdication over residential areas</w:t>
      </w:r>
      <w:r w:rsidR="006232B5">
        <w:rPr>
          <w:rFonts w:asciiTheme="minorHAnsi" w:hAnsiTheme="minorHAnsi"/>
        </w:rPr>
        <w:t xml:space="preserve">. </w:t>
      </w:r>
      <w:r w:rsidR="006232B5" w:rsidRPr="006E210F">
        <w:rPr>
          <w:rFonts w:asciiTheme="minorHAnsi" w:hAnsiTheme="minorHAnsi"/>
        </w:rPr>
        <w:t>In practice</w:t>
      </w:r>
      <w:r w:rsidR="001F2808" w:rsidRPr="006E210F">
        <w:rPr>
          <w:rFonts w:asciiTheme="minorHAnsi" w:hAnsiTheme="minorHAnsi"/>
        </w:rPr>
        <w:t xml:space="preserve">, </w:t>
      </w:r>
      <w:r w:rsidR="00E43C92" w:rsidRPr="006E210F">
        <w:rPr>
          <w:rFonts w:asciiTheme="minorHAnsi" w:hAnsiTheme="minorHAnsi"/>
        </w:rPr>
        <w:t xml:space="preserve">Khelvachauri Municipality </w:t>
      </w:r>
      <w:r w:rsidR="006232B5" w:rsidRPr="006E210F">
        <w:rPr>
          <w:rFonts w:asciiTheme="minorHAnsi" w:hAnsiTheme="minorHAnsi"/>
        </w:rPr>
        <w:t>woul</w:t>
      </w:r>
      <w:r w:rsidR="001F2808" w:rsidRPr="006E210F">
        <w:rPr>
          <w:rFonts w:asciiTheme="minorHAnsi" w:hAnsiTheme="minorHAnsi"/>
        </w:rPr>
        <w:t xml:space="preserve">d allocate funds </w:t>
      </w:r>
      <w:r w:rsidR="0063733D" w:rsidRPr="006E210F">
        <w:rPr>
          <w:rFonts w:asciiTheme="minorHAnsi" w:hAnsiTheme="minorHAnsi"/>
        </w:rPr>
        <w:t>for Machakhela</w:t>
      </w:r>
      <w:r w:rsidR="006E210F" w:rsidRPr="006E210F">
        <w:rPr>
          <w:rFonts w:asciiTheme="minorHAnsi" w:hAnsiTheme="minorHAnsi"/>
        </w:rPr>
        <w:t>’s management</w:t>
      </w:r>
      <w:r w:rsidR="0063733D" w:rsidRPr="006E210F">
        <w:rPr>
          <w:rFonts w:asciiTheme="minorHAnsi" w:hAnsiTheme="minorHAnsi"/>
        </w:rPr>
        <w:t xml:space="preserve"> </w:t>
      </w:r>
      <w:r w:rsidR="006E210F">
        <w:rPr>
          <w:rFonts w:asciiTheme="minorHAnsi" w:hAnsiTheme="minorHAnsi"/>
        </w:rPr>
        <w:t>if it became</w:t>
      </w:r>
      <w:r w:rsidR="0063733D" w:rsidRPr="006E210F">
        <w:rPr>
          <w:rFonts w:asciiTheme="minorHAnsi" w:hAnsiTheme="minorHAnsi"/>
        </w:rPr>
        <w:t xml:space="preserve"> a protected landscape</w:t>
      </w:r>
      <w:r w:rsidR="006E210F">
        <w:rPr>
          <w:rFonts w:asciiTheme="minorHAnsi" w:hAnsiTheme="minorHAnsi"/>
        </w:rPr>
        <w:t>.</w:t>
      </w:r>
      <w:r w:rsidR="006E210F" w:rsidRPr="006E210F">
        <w:rPr>
          <w:rFonts w:asciiTheme="minorHAnsi" w:hAnsiTheme="minorHAnsi"/>
        </w:rPr>
        <w:t> </w:t>
      </w:r>
    </w:p>
    <w:p w14:paraId="087CF090" w14:textId="104E1DA5" w:rsidR="00FC1191" w:rsidRPr="006E210F" w:rsidRDefault="0063733D" w:rsidP="00FC1191">
      <w:pPr>
        <w:pStyle w:val="BodyText"/>
        <w:rPr>
          <w:rFonts w:asciiTheme="minorHAnsi" w:hAnsiTheme="minorHAnsi"/>
        </w:rPr>
      </w:pPr>
      <w:r>
        <w:rPr>
          <w:rFonts w:asciiTheme="minorHAnsi" w:hAnsiTheme="minorHAnsi"/>
        </w:rPr>
        <w:t>At</w:t>
      </w:r>
      <w:r w:rsidR="00916313">
        <w:rPr>
          <w:rFonts w:asciiTheme="minorHAnsi" w:hAnsiTheme="minorHAnsi"/>
        </w:rPr>
        <w:t xml:space="preserve"> the time of the MTR, </w:t>
      </w:r>
      <w:r>
        <w:rPr>
          <w:rFonts w:asciiTheme="minorHAnsi" w:hAnsiTheme="minorHAnsi"/>
        </w:rPr>
        <w:t xml:space="preserve">the future designation of the lower valleys was very much in dispute, hence the concerns expressed in the MTR. Following further </w:t>
      </w:r>
      <w:r w:rsidR="007A2F48">
        <w:rPr>
          <w:rFonts w:asciiTheme="minorHAnsi" w:hAnsiTheme="minorHAnsi"/>
        </w:rPr>
        <w:t xml:space="preserve">extensive research (technical and legal) and engagement with partners and other </w:t>
      </w:r>
      <w:r>
        <w:rPr>
          <w:rFonts w:asciiTheme="minorHAnsi" w:hAnsiTheme="minorHAnsi"/>
        </w:rPr>
        <w:t>stakeholder</w:t>
      </w:r>
      <w:r w:rsidR="007A2F48">
        <w:rPr>
          <w:rFonts w:asciiTheme="minorHAnsi" w:hAnsiTheme="minorHAnsi"/>
        </w:rPr>
        <w:t xml:space="preserve">s, especially communities, </w:t>
      </w:r>
      <w:r w:rsidR="008D0580">
        <w:rPr>
          <w:rFonts w:asciiTheme="minorHAnsi" w:hAnsiTheme="minorHAnsi"/>
        </w:rPr>
        <w:t xml:space="preserve">a considerable degree of </w:t>
      </w:r>
      <w:r w:rsidR="007A2F48">
        <w:rPr>
          <w:rFonts w:asciiTheme="minorHAnsi" w:hAnsiTheme="minorHAnsi"/>
        </w:rPr>
        <w:t xml:space="preserve">consensus </w:t>
      </w:r>
      <w:r w:rsidR="008D0580">
        <w:rPr>
          <w:rFonts w:asciiTheme="minorHAnsi" w:hAnsiTheme="minorHAnsi"/>
        </w:rPr>
        <w:t>ha</w:t>
      </w:r>
      <w:r w:rsidR="006E210F">
        <w:rPr>
          <w:rFonts w:asciiTheme="minorHAnsi" w:hAnsiTheme="minorHAnsi"/>
        </w:rPr>
        <w:t>d</w:t>
      </w:r>
      <w:r w:rsidR="008D0580">
        <w:rPr>
          <w:rFonts w:asciiTheme="minorHAnsi" w:hAnsiTheme="minorHAnsi"/>
        </w:rPr>
        <w:t xml:space="preserve"> been generated by late 2017 </w:t>
      </w:r>
      <w:r w:rsidR="007A2F48">
        <w:rPr>
          <w:rFonts w:asciiTheme="minorHAnsi" w:hAnsiTheme="minorHAnsi"/>
        </w:rPr>
        <w:t>to apply the protected landscape model</w:t>
      </w:r>
      <w:r w:rsidR="008D0580">
        <w:rPr>
          <w:rStyle w:val="FootnoteReference"/>
          <w:rFonts w:asciiTheme="minorHAnsi" w:hAnsiTheme="minorHAnsi"/>
        </w:rPr>
        <w:footnoteReference w:id="25"/>
      </w:r>
      <w:r w:rsidR="007A2F48">
        <w:rPr>
          <w:rFonts w:asciiTheme="minorHAnsi" w:hAnsiTheme="minorHAnsi"/>
        </w:rPr>
        <w:t xml:space="preserve">. </w:t>
      </w:r>
      <w:r w:rsidR="00FC1191">
        <w:rPr>
          <w:rFonts w:asciiTheme="minorHAnsi" w:hAnsiTheme="minorHAnsi"/>
        </w:rPr>
        <w:t>The c</w:t>
      </w:r>
      <w:r w:rsidR="00FC1191" w:rsidRPr="006E210F">
        <w:rPr>
          <w:rFonts w:asciiTheme="minorHAnsi" w:hAnsiTheme="minorHAnsi"/>
        </w:rPr>
        <w:t xml:space="preserve">urrent scenario is that the Machakhela PL will be managed by </w:t>
      </w:r>
      <w:r w:rsidR="00FC1191">
        <w:rPr>
          <w:rFonts w:asciiTheme="minorHAnsi" w:hAnsiTheme="minorHAnsi"/>
        </w:rPr>
        <w:t>Khelvachauri Municipality</w:t>
      </w:r>
      <w:r w:rsidR="00FC1191" w:rsidRPr="006E210F">
        <w:rPr>
          <w:rFonts w:asciiTheme="minorHAnsi" w:hAnsiTheme="minorHAnsi"/>
        </w:rPr>
        <w:t xml:space="preserve"> and the NP by APA. </w:t>
      </w:r>
      <w:r w:rsidR="00FC1191">
        <w:rPr>
          <w:rFonts w:asciiTheme="minorHAnsi" w:hAnsiTheme="minorHAnsi"/>
        </w:rPr>
        <w:t>Ach</w:t>
      </w:r>
      <w:r w:rsidR="00FC1191" w:rsidRPr="006E210F">
        <w:rPr>
          <w:rFonts w:asciiTheme="minorHAnsi" w:hAnsiTheme="minorHAnsi"/>
        </w:rPr>
        <w:t>ar</w:t>
      </w:r>
      <w:r w:rsidR="00FC1191">
        <w:rPr>
          <w:rFonts w:asciiTheme="minorHAnsi" w:hAnsiTheme="minorHAnsi"/>
        </w:rPr>
        <w:t>a</w:t>
      </w:r>
      <w:r w:rsidR="00FC1191" w:rsidRPr="006E210F">
        <w:rPr>
          <w:rFonts w:asciiTheme="minorHAnsi" w:hAnsiTheme="minorHAnsi"/>
        </w:rPr>
        <w:t xml:space="preserve"> Forestry Agency is familiar with this management option, </w:t>
      </w:r>
      <w:r w:rsidR="00FC1191">
        <w:rPr>
          <w:rFonts w:asciiTheme="minorHAnsi" w:hAnsiTheme="minorHAnsi"/>
        </w:rPr>
        <w:t xml:space="preserve">having </w:t>
      </w:r>
      <w:r w:rsidR="00FC1191" w:rsidRPr="006E210F">
        <w:rPr>
          <w:rFonts w:asciiTheme="minorHAnsi" w:hAnsiTheme="minorHAnsi"/>
        </w:rPr>
        <w:t xml:space="preserve">attended all </w:t>
      </w:r>
      <w:r w:rsidR="00FC1191">
        <w:rPr>
          <w:rFonts w:asciiTheme="minorHAnsi" w:hAnsiTheme="minorHAnsi"/>
        </w:rPr>
        <w:t xml:space="preserve">of the project’s </w:t>
      </w:r>
      <w:r w:rsidR="00FC1191" w:rsidRPr="006E210F">
        <w:rPr>
          <w:rFonts w:asciiTheme="minorHAnsi" w:hAnsiTheme="minorHAnsi"/>
        </w:rPr>
        <w:t xml:space="preserve">discussions </w:t>
      </w:r>
      <w:r w:rsidR="00FC1191">
        <w:rPr>
          <w:rFonts w:asciiTheme="minorHAnsi" w:hAnsiTheme="minorHAnsi"/>
        </w:rPr>
        <w:t>on this matter, including</w:t>
      </w:r>
      <w:r w:rsidR="00FC1191" w:rsidRPr="006E210F">
        <w:rPr>
          <w:rFonts w:asciiTheme="minorHAnsi" w:hAnsiTheme="minorHAnsi"/>
        </w:rPr>
        <w:t xml:space="preserve"> practical discussions on how to manage th</w:t>
      </w:r>
      <w:r w:rsidR="00FC1191">
        <w:rPr>
          <w:rFonts w:asciiTheme="minorHAnsi" w:hAnsiTheme="minorHAnsi"/>
        </w:rPr>
        <w:t>e</w:t>
      </w:r>
      <w:r w:rsidR="00FC1191" w:rsidRPr="006E210F">
        <w:rPr>
          <w:rFonts w:asciiTheme="minorHAnsi" w:hAnsiTheme="minorHAnsi"/>
        </w:rPr>
        <w:t xml:space="preserve"> forests</w:t>
      </w:r>
      <w:r w:rsidR="00FC1191">
        <w:rPr>
          <w:rFonts w:asciiTheme="minorHAnsi" w:hAnsiTheme="minorHAnsi"/>
        </w:rPr>
        <w:t>.</w:t>
      </w:r>
    </w:p>
    <w:p w14:paraId="1EBD33A4" w14:textId="1FD3EC01" w:rsidR="007A2F48" w:rsidRDefault="007A2F48" w:rsidP="00B077B5">
      <w:pPr>
        <w:pStyle w:val="BodyText"/>
        <w:rPr>
          <w:rFonts w:asciiTheme="minorHAnsi" w:hAnsiTheme="minorHAnsi"/>
        </w:rPr>
      </w:pPr>
      <w:r>
        <w:rPr>
          <w:rFonts w:asciiTheme="minorHAnsi" w:hAnsiTheme="minorHAnsi"/>
        </w:rPr>
        <w:t>Th</w:t>
      </w:r>
      <w:r w:rsidR="008D0580">
        <w:rPr>
          <w:rFonts w:asciiTheme="minorHAnsi" w:hAnsiTheme="minorHAnsi"/>
        </w:rPr>
        <w:t xml:space="preserve">is </w:t>
      </w:r>
      <w:r w:rsidR="00FC1191">
        <w:rPr>
          <w:rFonts w:asciiTheme="minorHAnsi" w:hAnsiTheme="minorHAnsi"/>
        </w:rPr>
        <w:t xml:space="preserve">scenario </w:t>
      </w:r>
      <w:r w:rsidR="008D0580">
        <w:rPr>
          <w:rFonts w:asciiTheme="minorHAnsi" w:hAnsiTheme="minorHAnsi"/>
        </w:rPr>
        <w:t>is being progressed</w:t>
      </w:r>
      <w:r w:rsidR="00FC1191">
        <w:rPr>
          <w:rFonts w:asciiTheme="minorHAnsi" w:hAnsiTheme="minorHAnsi"/>
        </w:rPr>
        <w:t xml:space="preserve"> further</w:t>
      </w:r>
      <w:r w:rsidR="008D0580">
        <w:rPr>
          <w:rFonts w:asciiTheme="minorHAnsi" w:hAnsiTheme="minorHAnsi"/>
        </w:rPr>
        <w:t>, with the formulation of</w:t>
      </w:r>
      <w:r>
        <w:rPr>
          <w:rFonts w:asciiTheme="minorHAnsi" w:hAnsiTheme="minorHAnsi"/>
        </w:rPr>
        <w:t xml:space="preserve"> a management plan for the proposed M</w:t>
      </w:r>
      <w:r w:rsidR="008D0580">
        <w:rPr>
          <w:rFonts w:asciiTheme="minorHAnsi" w:hAnsiTheme="minorHAnsi"/>
        </w:rPr>
        <w:t>achakhela Protected Landscape</w:t>
      </w:r>
      <w:r w:rsidR="00582AF5">
        <w:rPr>
          <w:rFonts w:asciiTheme="minorHAnsi" w:hAnsiTheme="minorHAnsi"/>
        </w:rPr>
        <w:t>,</w:t>
      </w:r>
      <w:r w:rsidR="00E05595">
        <w:rPr>
          <w:rStyle w:val="FootnoteReference"/>
          <w:rFonts w:asciiTheme="minorHAnsi" w:hAnsiTheme="minorHAnsi"/>
        </w:rPr>
        <w:footnoteReference w:id="26"/>
      </w:r>
      <w:r>
        <w:rPr>
          <w:rFonts w:asciiTheme="minorHAnsi" w:hAnsiTheme="minorHAnsi"/>
        </w:rPr>
        <w:t xml:space="preserve"> </w:t>
      </w:r>
      <w:r w:rsidR="008D0580">
        <w:rPr>
          <w:rFonts w:asciiTheme="minorHAnsi" w:hAnsiTheme="minorHAnsi"/>
        </w:rPr>
        <w:t xml:space="preserve">now </w:t>
      </w:r>
      <w:r>
        <w:rPr>
          <w:rFonts w:asciiTheme="minorHAnsi" w:hAnsiTheme="minorHAnsi"/>
        </w:rPr>
        <w:t xml:space="preserve">scheduled </w:t>
      </w:r>
      <w:r w:rsidR="00FC1191">
        <w:rPr>
          <w:rFonts w:asciiTheme="minorHAnsi" w:hAnsiTheme="minorHAnsi"/>
        </w:rPr>
        <w:t>to start early in</w:t>
      </w:r>
      <w:r>
        <w:rPr>
          <w:rFonts w:asciiTheme="minorHAnsi" w:hAnsiTheme="minorHAnsi"/>
        </w:rPr>
        <w:t xml:space="preserve"> 2019 as part of the project’s exit strategy. Arguably, this is the project’s most significant example of adapting its implementation of the ProDoc to the prevailing situation</w:t>
      </w:r>
      <w:r w:rsidR="0038468E">
        <w:rPr>
          <w:rFonts w:asciiTheme="minorHAnsi" w:hAnsiTheme="minorHAnsi"/>
        </w:rPr>
        <w:t>; and it will have been a major achievement once realized, as anticipated by mid-2019.</w:t>
      </w:r>
    </w:p>
    <w:p w14:paraId="1194CA86" w14:textId="306F371C" w:rsidR="0038468E" w:rsidRDefault="0038468E" w:rsidP="00B077B5">
      <w:pPr>
        <w:pStyle w:val="BodyText"/>
        <w:rPr>
          <w:rFonts w:asciiTheme="minorHAnsi" w:hAnsiTheme="minorHAnsi"/>
        </w:rPr>
      </w:pPr>
      <w:r>
        <w:rPr>
          <w:rFonts w:asciiTheme="minorHAnsi" w:hAnsiTheme="minorHAnsi"/>
        </w:rPr>
        <w:t>Other good examples of adaptive management</w:t>
      </w:r>
      <w:r w:rsidR="001E4322">
        <w:rPr>
          <w:rFonts w:asciiTheme="minorHAnsi" w:hAnsiTheme="minorHAnsi"/>
        </w:rPr>
        <w:t>, reflecting changes to project design and outputs,</w:t>
      </w:r>
      <w:r>
        <w:rPr>
          <w:rFonts w:asciiTheme="minorHAnsi" w:hAnsiTheme="minorHAnsi"/>
        </w:rPr>
        <w:t xml:space="preserve"> include:</w:t>
      </w:r>
    </w:p>
    <w:p w14:paraId="4757EC85" w14:textId="4EDBE9C7" w:rsidR="00AC1E00" w:rsidRPr="00496B91" w:rsidRDefault="0038468E" w:rsidP="0067558E">
      <w:pPr>
        <w:pStyle w:val="ListParagraph"/>
        <w:numPr>
          <w:ilvl w:val="0"/>
          <w:numId w:val="10"/>
        </w:numPr>
        <w:spacing w:after="60" w:line="240" w:lineRule="atLeast"/>
        <w:ind w:left="567" w:hanging="425"/>
        <w:contextualSpacing w:val="0"/>
        <w:rPr>
          <w:rFonts w:asciiTheme="minorHAnsi" w:hAnsiTheme="minorHAnsi"/>
          <w:szCs w:val="24"/>
        </w:rPr>
      </w:pPr>
      <w:r w:rsidRPr="00496B91">
        <w:rPr>
          <w:rFonts w:asciiTheme="minorHAnsi" w:hAnsiTheme="minorHAnsi"/>
          <w:szCs w:val="24"/>
        </w:rPr>
        <w:t xml:space="preserve">The </w:t>
      </w:r>
      <w:r w:rsidR="00A26ACA" w:rsidRPr="00496B91">
        <w:rPr>
          <w:rFonts w:asciiTheme="minorHAnsi" w:hAnsiTheme="minorHAnsi"/>
          <w:szCs w:val="24"/>
        </w:rPr>
        <w:t>project was effectively and efficiently running within six months, having established a PMU and hired an IC to technically support and expedite the inception phase</w:t>
      </w:r>
      <w:r w:rsidR="00496B91" w:rsidRPr="00496B91">
        <w:rPr>
          <w:rFonts w:asciiTheme="minorHAnsi" w:hAnsiTheme="minorHAnsi"/>
          <w:szCs w:val="24"/>
        </w:rPr>
        <w:t xml:space="preserve">, delivered the Inception </w:t>
      </w:r>
      <w:r w:rsidR="005636A4">
        <w:rPr>
          <w:rFonts w:asciiTheme="minorHAnsi" w:hAnsiTheme="minorHAnsi"/>
          <w:szCs w:val="24"/>
        </w:rPr>
        <w:t xml:space="preserve">Workshop and finalized the Inception </w:t>
      </w:r>
      <w:r w:rsidR="00496B91" w:rsidRPr="00496B91">
        <w:rPr>
          <w:rFonts w:asciiTheme="minorHAnsi" w:hAnsiTheme="minorHAnsi"/>
          <w:szCs w:val="24"/>
        </w:rPr>
        <w:t>Report</w:t>
      </w:r>
      <w:r w:rsidR="005636A4">
        <w:rPr>
          <w:rFonts w:asciiTheme="minorHAnsi" w:hAnsiTheme="minorHAnsi"/>
          <w:szCs w:val="24"/>
        </w:rPr>
        <w:t xml:space="preserve"> (December 2014)</w:t>
      </w:r>
      <w:r w:rsidR="00496B91" w:rsidRPr="00496B91">
        <w:rPr>
          <w:rFonts w:asciiTheme="minorHAnsi" w:hAnsiTheme="minorHAnsi"/>
          <w:szCs w:val="24"/>
        </w:rPr>
        <w:t>, recruited the same IC to continue part-time as CTA,</w:t>
      </w:r>
      <w:r w:rsidR="00A26ACA" w:rsidRPr="00496B91">
        <w:rPr>
          <w:rFonts w:asciiTheme="minorHAnsi" w:hAnsiTheme="minorHAnsi"/>
          <w:szCs w:val="24"/>
        </w:rPr>
        <w:t xml:space="preserve"> </w:t>
      </w:r>
      <w:r w:rsidR="00496B91" w:rsidRPr="00496B91">
        <w:rPr>
          <w:rFonts w:asciiTheme="minorHAnsi" w:hAnsiTheme="minorHAnsi"/>
          <w:szCs w:val="24"/>
        </w:rPr>
        <w:t>established the TCG</w:t>
      </w:r>
      <w:r w:rsidR="00374C0B">
        <w:rPr>
          <w:rStyle w:val="FootnoteReference"/>
          <w:rFonts w:asciiTheme="minorHAnsi" w:hAnsiTheme="minorHAnsi"/>
          <w:szCs w:val="24"/>
        </w:rPr>
        <w:footnoteReference w:id="27"/>
      </w:r>
      <w:r w:rsidR="00496B91" w:rsidRPr="00496B91">
        <w:rPr>
          <w:rFonts w:asciiTheme="minorHAnsi" w:hAnsiTheme="minorHAnsi"/>
          <w:szCs w:val="24"/>
        </w:rPr>
        <w:t xml:space="preserve"> and </w:t>
      </w:r>
      <w:r w:rsidR="005636A4">
        <w:rPr>
          <w:rFonts w:asciiTheme="minorHAnsi" w:hAnsiTheme="minorHAnsi"/>
          <w:szCs w:val="24"/>
        </w:rPr>
        <w:t>positively decided</w:t>
      </w:r>
      <w:r w:rsidR="002277A6" w:rsidRPr="00496B91">
        <w:rPr>
          <w:rFonts w:asciiTheme="minorHAnsi" w:hAnsiTheme="minorHAnsi"/>
          <w:szCs w:val="24"/>
        </w:rPr>
        <w:t xml:space="preserve"> not to invest in a technical coordinator</w:t>
      </w:r>
      <w:r w:rsidR="003F2FD4" w:rsidRPr="00496B91">
        <w:rPr>
          <w:rFonts w:asciiTheme="minorHAnsi" w:hAnsiTheme="minorHAnsi"/>
          <w:szCs w:val="24"/>
        </w:rPr>
        <w:t>.</w:t>
      </w:r>
      <w:r w:rsidR="002277A6" w:rsidRPr="00496B91">
        <w:rPr>
          <w:rFonts w:asciiTheme="minorHAnsi" w:hAnsiTheme="minorHAnsi"/>
          <w:szCs w:val="24"/>
        </w:rPr>
        <w:t xml:space="preserve"> </w:t>
      </w:r>
      <w:r w:rsidR="00496B91">
        <w:rPr>
          <w:rFonts w:asciiTheme="minorHAnsi" w:hAnsiTheme="minorHAnsi"/>
          <w:szCs w:val="24"/>
        </w:rPr>
        <w:t>This set the tone and pace for subsequent delivery of the ProDoc, aided by</w:t>
      </w:r>
      <w:r w:rsidR="00B32770">
        <w:rPr>
          <w:rFonts w:asciiTheme="minorHAnsi" w:hAnsiTheme="minorHAnsi"/>
          <w:szCs w:val="24"/>
        </w:rPr>
        <w:t>:</w:t>
      </w:r>
      <w:r w:rsidR="00496B91">
        <w:rPr>
          <w:rFonts w:asciiTheme="minorHAnsi" w:hAnsiTheme="minorHAnsi"/>
          <w:szCs w:val="24"/>
        </w:rPr>
        <w:t xml:space="preserve"> the technical competence and commitment of </w:t>
      </w:r>
      <w:r w:rsidR="00B32770">
        <w:rPr>
          <w:rFonts w:asciiTheme="minorHAnsi" w:hAnsiTheme="minorHAnsi"/>
          <w:szCs w:val="24"/>
        </w:rPr>
        <w:t>PMU and it Board members, who met quarterly</w:t>
      </w:r>
      <w:r w:rsidR="00B32770">
        <w:rPr>
          <w:rStyle w:val="FootnoteReference"/>
          <w:rFonts w:asciiTheme="minorHAnsi" w:hAnsiTheme="minorHAnsi"/>
          <w:szCs w:val="24"/>
        </w:rPr>
        <w:footnoteReference w:id="28"/>
      </w:r>
      <w:r w:rsidR="00B32770">
        <w:rPr>
          <w:rFonts w:asciiTheme="minorHAnsi" w:hAnsiTheme="minorHAnsi"/>
          <w:szCs w:val="24"/>
        </w:rPr>
        <w:t xml:space="preserve">; and the continuity of </w:t>
      </w:r>
      <w:r w:rsidR="00496B91">
        <w:rPr>
          <w:rFonts w:asciiTheme="minorHAnsi" w:hAnsiTheme="minorHAnsi"/>
          <w:szCs w:val="24"/>
        </w:rPr>
        <w:t>key players</w:t>
      </w:r>
      <w:r w:rsidR="00B32770">
        <w:rPr>
          <w:rFonts w:asciiTheme="minorHAnsi" w:hAnsiTheme="minorHAnsi"/>
          <w:szCs w:val="24"/>
        </w:rPr>
        <w:t xml:space="preserve"> (PM, CTA and UNDP project portfolio holder), who remained </w:t>
      </w:r>
      <w:r w:rsidR="009F59A2">
        <w:rPr>
          <w:rFonts w:asciiTheme="minorHAnsi" w:hAnsiTheme="minorHAnsi"/>
          <w:szCs w:val="24"/>
        </w:rPr>
        <w:t xml:space="preserve">in place throughout the </w:t>
      </w:r>
      <w:r w:rsidR="00B32770">
        <w:rPr>
          <w:rFonts w:asciiTheme="minorHAnsi" w:hAnsiTheme="minorHAnsi"/>
          <w:szCs w:val="24"/>
        </w:rPr>
        <w:t>project</w:t>
      </w:r>
      <w:r w:rsidR="009F59A2">
        <w:rPr>
          <w:rFonts w:asciiTheme="minorHAnsi" w:hAnsiTheme="minorHAnsi"/>
          <w:szCs w:val="24"/>
        </w:rPr>
        <w:t>’s duration, including its six-month extension</w:t>
      </w:r>
      <w:r w:rsidR="00B32770">
        <w:rPr>
          <w:rFonts w:asciiTheme="minorHAnsi" w:hAnsiTheme="minorHAnsi"/>
          <w:szCs w:val="24"/>
        </w:rPr>
        <w:t>.</w:t>
      </w:r>
    </w:p>
    <w:p w14:paraId="03DB2BF1" w14:textId="1D5E77C1" w:rsidR="0038468E" w:rsidRDefault="001D5456" w:rsidP="0067558E">
      <w:pPr>
        <w:pStyle w:val="ListParagraph"/>
        <w:numPr>
          <w:ilvl w:val="0"/>
          <w:numId w:val="10"/>
        </w:numPr>
        <w:spacing w:after="60" w:line="240" w:lineRule="atLeast"/>
        <w:ind w:left="567" w:hanging="425"/>
        <w:contextualSpacing w:val="0"/>
        <w:rPr>
          <w:rFonts w:asciiTheme="minorHAnsi" w:hAnsiTheme="minorHAnsi"/>
          <w:szCs w:val="24"/>
        </w:rPr>
      </w:pPr>
      <w:r>
        <w:rPr>
          <w:rFonts w:asciiTheme="minorHAnsi" w:hAnsiTheme="minorHAnsi"/>
          <w:szCs w:val="24"/>
        </w:rPr>
        <w:t>The establishment of CBOs was planned to be a key mechanism for i</w:t>
      </w:r>
      <w:r w:rsidR="0038468E">
        <w:rPr>
          <w:rFonts w:asciiTheme="minorHAnsi" w:hAnsiTheme="minorHAnsi"/>
          <w:szCs w:val="24"/>
        </w:rPr>
        <w:t xml:space="preserve">nvolving local </w:t>
      </w:r>
      <w:r>
        <w:rPr>
          <w:rFonts w:asciiTheme="minorHAnsi" w:hAnsiTheme="minorHAnsi"/>
          <w:szCs w:val="24"/>
        </w:rPr>
        <w:t>stakeholders in project implementation</w:t>
      </w:r>
      <w:r w:rsidR="00374C0B">
        <w:rPr>
          <w:rFonts w:asciiTheme="minorHAnsi" w:hAnsiTheme="minorHAnsi"/>
          <w:szCs w:val="24"/>
        </w:rPr>
        <w:t xml:space="preserve"> (</w:t>
      </w:r>
      <w:r w:rsidR="00374C0B" w:rsidRPr="00374C0B">
        <w:rPr>
          <w:rFonts w:asciiTheme="minorHAnsi" w:hAnsiTheme="minorHAnsi"/>
          <w:b/>
          <w:szCs w:val="24"/>
        </w:rPr>
        <w:t>Section 3.1.4</w:t>
      </w:r>
      <w:r w:rsidR="00374C0B">
        <w:rPr>
          <w:rFonts w:asciiTheme="minorHAnsi" w:hAnsiTheme="minorHAnsi"/>
          <w:szCs w:val="24"/>
        </w:rPr>
        <w:t>)</w:t>
      </w:r>
      <w:r w:rsidR="00964388">
        <w:rPr>
          <w:rFonts w:asciiTheme="minorHAnsi" w:hAnsiTheme="minorHAnsi"/>
          <w:szCs w:val="24"/>
        </w:rPr>
        <w:t xml:space="preserve">. </w:t>
      </w:r>
      <w:r w:rsidR="00F639F9">
        <w:rPr>
          <w:rFonts w:asciiTheme="minorHAnsi" w:hAnsiTheme="minorHAnsi"/>
          <w:szCs w:val="24"/>
        </w:rPr>
        <w:t xml:space="preserve">In practice, this did not gain much traction and, instead, the project focused on establishing the </w:t>
      </w:r>
      <w:r w:rsidR="00964388" w:rsidRPr="00964388">
        <w:rPr>
          <w:rFonts w:asciiTheme="minorHAnsi" w:hAnsiTheme="minorHAnsi"/>
          <w:szCs w:val="24"/>
        </w:rPr>
        <w:t>Mtirala and Machakhela N</w:t>
      </w:r>
      <w:r w:rsidR="00F639F9">
        <w:rPr>
          <w:rFonts w:asciiTheme="minorHAnsi" w:hAnsiTheme="minorHAnsi"/>
          <w:szCs w:val="24"/>
        </w:rPr>
        <w:t>ational Parks</w:t>
      </w:r>
      <w:r w:rsidR="00964388" w:rsidRPr="00964388">
        <w:rPr>
          <w:rFonts w:asciiTheme="minorHAnsi" w:hAnsiTheme="minorHAnsi"/>
          <w:szCs w:val="24"/>
        </w:rPr>
        <w:t xml:space="preserve"> Friends Association</w:t>
      </w:r>
      <w:r>
        <w:rPr>
          <w:rFonts w:asciiTheme="minorHAnsi" w:hAnsiTheme="minorHAnsi"/>
          <w:szCs w:val="24"/>
        </w:rPr>
        <w:t xml:space="preserve"> </w:t>
      </w:r>
      <w:r w:rsidR="00F639F9">
        <w:rPr>
          <w:rFonts w:asciiTheme="minorHAnsi" w:hAnsiTheme="minorHAnsi"/>
          <w:szCs w:val="24"/>
        </w:rPr>
        <w:t>in</w:t>
      </w:r>
      <w:r w:rsidR="00576B25">
        <w:rPr>
          <w:rFonts w:asciiTheme="minorHAnsi" w:hAnsiTheme="minorHAnsi"/>
          <w:szCs w:val="24"/>
        </w:rPr>
        <w:t xml:space="preserve"> August 2016 to</w:t>
      </w:r>
      <w:r w:rsidR="00F639F9">
        <w:rPr>
          <w:rFonts w:asciiTheme="minorHAnsi" w:hAnsiTheme="minorHAnsi"/>
          <w:szCs w:val="24"/>
        </w:rPr>
        <w:t xml:space="preserve"> support the two NPs and their respective buffer </w:t>
      </w:r>
      <w:r w:rsidR="00576B25">
        <w:rPr>
          <w:rFonts w:asciiTheme="minorHAnsi" w:hAnsiTheme="minorHAnsi"/>
          <w:szCs w:val="24"/>
        </w:rPr>
        <w:t xml:space="preserve">(support) </w:t>
      </w:r>
      <w:r w:rsidR="00F639F9">
        <w:rPr>
          <w:rFonts w:asciiTheme="minorHAnsi" w:hAnsiTheme="minorHAnsi"/>
          <w:szCs w:val="24"/>
        </w:rPr>
        <w:t>zones</w:t>
      </w:r>
      <w:r w:rsidR="00576B25">
        <w:rPr>
          <w:rFonts w:asciiTheme="minorHAnsi" w:hAnsiTheme="minorHAnsi"/>
          <w:szCs w:val="24"/>
        </w:rPr>
        <w:t xml:space="preserve">. Key initiatives include the establishing of Community Rangers in both NPs and Junior Rangers in Machakhela, working with municipalities on waste management and tourism, and </w:t>
      </w:r>
      <w:r w:rsidR="002D1FCA">
        <w:rPr>
          <w:rFonts w:asciiTheme="minorHAnsi" w:hAnsiTheme="minorHAnsi"/>
          <w:szCs w:val="24"/>
        </w:rPr>
        <w:t xml:space="preserve">working with Eco-Clubs </w:t>
      </w:r>
      <w:r w:rsidR="00576B25">
        <w:rPr>
          <w:rFonts w:asciiTheme="minorHAnsi" w:hAnsiTheme="minorHAnsi"/>
          <w:szCs w:val="24"/>
        </w:rPr>
        <w:t>in schools</w:t>
      </w:r>
      <w:r w:rsidR="002D1FCA">
        <w:rPr>
          <w:rFonts w:asciiTheme="minorHAnsi" w:hAnsiTheme="minorHAnsi"/>
          <w:szCs w:val="24"/>
        </w:rPr>
        <w:t>.</w:t>
      </w:r>
      <w:r w:rsidR="00E05595">
        <w:rPr>
          <w:rFonts w:asciiTheme="minorHAnsi" w:hAnsiTheme="minorHAnsi"/>
          <w:szCs w:val="24"/>
        </w:rPr>
        <w:t xml:space="preserve"> This Friends Association has </w:t>
      </w:r>
      <w:r w:rsidR="00B960B3">
        <w:rPr>
          <w:rFonts w:asciiTheme="minorHAnsi" w:hAnsiTheme="minorHAnsi"/>
          <w:szCs w:val="24"/>
        </w:rPr>
        <w:t>proved</w:t>
      </w:r>
      <w:r w:rsidR="00E05595">
        <w:rPr>
          <w:rFonts w:asciiTheme="minorHAnsi" w:hAnsiTheme="minorHAnsi"/>
          <w:szCs w:val="24"/>
        </w:rPr>
        <w:t xml:space="preserve"> </w:t>
      </w:r>
      <w:r w:rsidR="00B960B3">
        <w:rPr>
          <w:rFonts w:asciiTheme="minorHAnsi" w:hAnsiTheme="minorHAnsi"/>
          <w:szCs w:val="24"/>
        </w:rPr>
        <w:t>very effective</w:t>
      </w:r>
      <w:r w:rsidR="00E05595">
        <w:rPr>
          <w:rFonts w:asciiTheme="minorHAnsi" w:hAnsiTheme="minorHAnsi"/>
          <w:szCs w:val="24"/>
        </w:rPr>
        <w:t xml:space="preserve"> </w:t>
      </w:r>
      <w:r w:rsidR="00B960B3">
        <w:rPr>
          <w:rFonts w:asciiTheme="minorHAnsi" w:hAnsiTheme="minorHAnsi"/>
          <w:szCs w:val="24"/>
        </w:rPr>
        <w:t xml:space="preserve">in securing the trust of </w:t>
      </w:r>
      <w:r w:rsidR="00E05595">
        <w:rPr>
          <w:rFonts w:asciiTheme="minorHAnsi" w:hAnsiTheme="minorHAnsi"/>
          <w:szCs w:val="24"/>
        </w:rPr>
        <w:t xml:space="preserve">local communities and NP staff in </w:t>
      </w:r>
      <w:r w:rsidR="00B960B3">
        <w:rPr>
          <w:rFonts w:asciiTheme="minorHAnsi" w:hAnsiTheme="minorHAnsi"/>
          <w:szCs w:val="24"/>
        </w:rPr>
        <w:t>working together, as well as raising the profile of these two NPs among visitors, tourism operators and businesses more widely in Batumi.</w:t>
      </w:r>
      <w:r w:rsidR="00E05595">
        <w:rPr>
          <w:rFonts w:asciiTheme="minorHAnsi" w:hAnsiTheme="minorHAnsi"/>
          <w:szCs w:val="24"/>
        </w:rPr>
        <w:t xml:space="preserve"> </w:t>
      </w:r>
    </w:p>
    <w:p w14:paraId="7199363C" w14:textId="4F05F8D6" w:rsidR="0008670E" w:rsidRPr="00E22EBA" w:rsidRDefault="00F12160" w:rsidP="0067558E">
      <w:pPr>
        <w:pStyle w:val="Heading2"/>
        <w:numPr>
          <w:ilvl w:val="2"/>
          <w:numId w:val="19"/>
        </w:numPr>
        <w:spacing w:before="240" w:after="120"/>
        <w:ind w:left="709" w:hanging="709"/>
        <w:rPr>
          <w:rFonts w:asciiTheme="minorHAnsi" w:hAnsiTheme="minorHAnsi" w:cs="Calibri"/>
          <w:b/>
          <w:caps w:val="0"/>
        </w:rPr>
      </w:pPr>
      <w:bookmarkStart w:id="143" w:name="_Toc414745328"/>
      <w:r>
        <w:rPr>
          <w:rFonts w:asciiTheme="minorHAnsi" w:hAnsiTheme="minorHAnsi" w:cs="Calibri"/>
          <w:b/>
          <w:caps w:val="0"/>
        </w:rPr>
        <w:lastRenderedPageBreak/>
        <w:t>Partnership a</w:t>
      </w:r>
      <w:r w:rsidR="00476EE4" w:rsidRPr="00E22EBA">
        <w:rPr>
          <w:rFonts w:asciiTheme="minorHAnsi" w:hAnsiTheme="minorHAnsi" w:cs="Calibri"/>
          <w:b/>
          <w:caps w:val="0"/>
        </w:rPr>
        <w:t>rrangements</w:t>
      </w:r>
      <w:bookmarkEnd w:id="143"/>
    </w:p>
    <w:p w14:paraId="5F7CE6CE" w14:textId="77777777" w:rsidR="0042422F" w:rsidRDefault="00534123" w:rsidP="00503C5F">
      <w:pPr>
        <w:pStyle w:val="BodyText"/>
        <w:rPr>
          <w:rFonts w:asciiTheme="minorHAnsi" w:hAnsiTheme="minorHAnsi"/>
        </w:rPr>
      </w:pPr>
      <w:r>
        <w:rPr>
          <w:rFonts w:asciiTheme="minorHAnsi" w:hAnsiTheme="minorHAnsi"/>
        </w:rPr>
        <w:t>T</w:t>
      </w:r>
      <w:r w:rsidR="00E514CE">
        <w:rPr>
          <w:rFonts w:asciiTheme="minorHAnsi" w:hAnsiTheme="minorHAnsi"/>
        </w:rPr>
        <w:t xml:space="preserve">he </w:t>
      </w:r>
      <w:r>
        <w:rPr>
          <w:rFonts w:asciiTheme="minorHAnsi" w:hAnsiTheme="minorHAnsi"/>
        </w:rPr>
        <w:t>lead implementing partner was APA, based on</w:t>
      </w:r>
      <w:r w:rsidR="00E514CE">
        <w:rPr>
          <w:rFonts w:asciiTheme="minorHAnsi" w:hAnsiTheme="minorHAnsi"/>
        </w:rPr>
        <w:t xml:space="preserve"> </w:t>
      </w:r>
      <w:r>
        <w:rPr>
          <w:rFonts w:asciiTheme="minorHAnsi" w:hAnsiTheme="minorHAnsi"/>
        </w:rPr>
        <w:t>the</w:t>
      </w:r>
      <w:r w:rsidR="00E514CE">
        <w:rPr>
          <w:rFonts w:asciiTheme="minorHAnsi" w:hAnsiTheme="minorHAnsi"/>
        </w:rPr>
        <w:t xml:space="preserve"> NIM, </w:t>
      </w:r>
      <w:r>
        <w:rPr>
          <w:rFonts w:asciiTheme="minorHAnsi" w:hAnsiTheme="minorHAnsi"/>
        </w:rPr>
        <w:t xml:space="preserve">with the full cooperation of relevant government sector agencies and municipalities within ARA providing technical and financial support. Protected Area administrations for Kintrishi, Mtirala and Machakhela </w:t>
      </w:r>
      <w:r w:rsidR="0042422F">
        <w:rPr>
          <w:rFonts w:asciiTheme="minorHAnsi" w:hAnsiTheme="minorHAnsi"/>
        </w:rPr>
        <w:t>and their respective local communities were the main beneficiaries and, therefore, were delivering many of the project outputs, facilitated and supported by PMU and consultants (mostly national and a few international) recruited for specific technical services.</w:t>
      </w:r>
    </w:p>
    <w:p w14:paraId="77FC30B7" w14:textId="6C243AAD" w:rsidR="00A955CA" w:rsidRDefault="0042422F" w:rsidP="00503C5F">
      <w:pPr>
        <w:pStyle w:val="BodyText"/>
        <w:rPr>
          <w:rFonts w:asciiTheme="minorHAnsi" w:hAnsiTheme="minorHAnsi"/>
        </w:rPr>
      </w:pPr>
      <w:r>
        <w:rPr>
          <w:rFonts w:asciiTheme="minorHAnsi" w:hAnsiTheme="minorHAnsi"/>
        </w:rPr>
        <w:t>The TCG established by the project proved crucial</w:t>
      </w:r>
      <w:r w:rsidR="00BD06EA">
        <w:rPr>
          <w:rFonts w:asciiTheme="minorHAnsi" w:hAnsiTheme="minorHAnsi"/>
        </w:rPr>
        <w:t>, as anticipated (</w:t>
      </w:r>
      <w:r w:rsidR="00BD06EA" w:rsidRPr="00BD06EA">
        <w:rPr>
          <w:rFonts w:asciiTheme="minorHAnsi" w:hAnsiTheme="minorHAnsi"/>
          <w:b/>
        </w:rPr>
        <w:t>Secti</w:t>
      </w:r>
      <w:r w:rsidR="00BD06EA">
        <w:rPr>
          <w:rFonts w:asciiTheme="minorHAnsi" w:hAnsiTheme="minorHAnsi"/>
          <w:b/>
        </w:rPr>
        <w:t>o</w:t>
      </w:r>
      <w:r w:rsidR="00BD06EA" w:rsidRPr="00BD06EA">
        <w:rPr>
          <w:rFonts w:asciiTheme="minorHAnsi" w:hAnsiTheme="minorHAnsi"/>
          <w:b/>
        </w:rPr>
        <w:t>n 3.1.8</w:t>
      </w:r>
      <w:r w:rsidR="00BD06EA">
        <w:rPr>
          <w:rFonts w:asciiTheme="minorHAnsi" w:hAnsiTheme="minorHAnsi"/>
        </w:rPr>
        <w:t>)</w:t>
      </w:r>
      <w:r w:rsidR="004F4C07">
        <w:rPr>
          <w:rFonts w:asciiTheme="minorHAnsi" w:hAnsiTheme="minorHAnsi"/>
        </w:rPr>
        <w:t>,</w:t>
      </w:r>
      <w:r>
        <w:rPr>
          <w:rFonts w:asciiTheme="minorHAnsi" w:hAnsiTheme="minorHAnsi"/>
        </w:rPr>
        <w:t xml:space="preserve"> in ensuring that the donor community knew what about each others</w:t>
      </w:r>
      <w:r w:rsidR="006D0957">
        <w:rPr>
          <w:rFonts w:asciiTheme="minorHAnsi" w:hAnsiTheme="minorHAnsi"/>
        </w:rPr>
        <w:t>’</w:t>
      </w:r>
      <w:r>
        <w:rPr>
          <w:rFonts w:asciiTheme="minorHAnsi" w:hAnsiTheme="minorHAnsi"/>
        </w:rPr>
        <w:t xml:space="preserve"> investments</w:t>
      </w:r>
      <w:r w:rsidR="00BD06EA">
        <w:rPr>
          <w:rFonts w:asciiTheme="minorHAnsi" w:hAnsiTheme="minorHAnsi"/>
        </w:rPr>
        <w:t>,</w:t>
      </w:r>
      <w:r>
        <w:rPr>
          <w:rFonts w:asciiTheme="minorHAnsi" w:hAnsiTheme="minorHAnsi"/>
        </w:rPr>
        <w:t xml:space="preserve"> activities</w:t>
      </w:r>
      <w:r w:rsidR="00BD06EA">
        <w:rPr>
          <w:rFonts w:asciiTheme="minorHAnsi" w:hAnsiTheme="minorHAnsi"/>
        </w:rPr>
        <w:t xml:space="preserve"> and work plans. This enabled the project to fine-tune its own work plan</w:t>
      </w:r>
      <w:r w:rsidR="006D0957">
        <w:rPr>
          <w:rFonts w:asciiTheme="minorHAnsi" w:hAnsiTheme="minorHAnsi"/>
        </w:rPr>
        <w:t xml:space="preserve">, in relation to time-frames and budgets, </w:t>
      </w:r>
      <w:r w:rsidR="002E7470">
        <w:rPr>
          <w:rFonts w:asciiTheme="minorHAnsi" w:hAnsiTheme="minorHAnsi"/>
        </w:rPr>
        <w:t xml:space="preserve">deploy consultants most effectively in relation to training events and capacity building activities, </w:t>
      </w:r>
      <w:r w:rsidR="006D0957">
        <w:rPr>
          <w:rFonts w:asciiTheme="minorHAnsi" w:hAnsiTheme="minorHAnsi"/>
        </w:rPr>
        <w:t>and</w:t>
      </w:r>
      <w:r w:rsidR="00A955CA">
        <w:rPr>
          <w:rFonts w:asciiTheme="minorHAnsi" w:hAnsiTheme="minorHAnsi"/>
        </w:rPr>
        <w:t xml:space="preserve"> be mindful of potential</w:t>
      </w:r>
      <w:r w:rsidR="006D0957">
        <w:rPr>
          <w:rFonts w:asciiTheme="minorHAnsi" w:hAnsiTheme="minorHAnsi"/>
        </w:rPr>
        <w:t xml:space="preserve"> </w:t>
      </w:r>
      <w:r w:rsidR="00A955CA">
        <w:rPr>
          <w:rFonts w:asciiTheme="minorHAnsi" w:hAnsiTheme="minorHAnsi"/>
        </w:rPr>
        <w:t>stakeholder fatigue when scheduling activities.</w:t>
      </w:r>
    </w:p>
    <w:p w14:paraId="622CD2CB" w14:textId="78377444" w:rsidR="003D55C0" w:rsidRDefault="00A955CA" w:rsidP="00503C5F">
      <w:pPr>
        <w:pStyle w:val="BodyText"/>
        <w:rPr>
          <w:rFonts w:asciiTheme="minorHAnsi" w:hAnsiTheme="minorHAnsi"/>
        </w:rPr>
      </w:pPr>
      <w:r>
        <w:rPr>
          <w:rFonts w:asciiTheme="minorHAnsi" w:hAnsiTheme="minorHAnsi"/>
        </w:rPr>
        <w:t>Other important partnerships that emerged during implementation was the Friends Association for Mtira</w:t>
      </w:r>
      <w:r w:rsidR="00A04998">
        <w:rPr>
          <w:rFonts w:asciiTheme="minorHAnsi" w:hAnsiTheme="minorHAnsi"/>
        </w:rPr>
        <w:t>la and Machakhela NPs and the PA</w:t>
      </w:r>
      <w:r>
        <w:rPr>
          <w:rFonts w:asciiTheme="minorHAnsi" w:hAnsiTheme="minorHAnsi"/>
        </w:rPr>
        <w:t xml:space="preserve"> Advisory Councils. Reference has already been made to the former (</w:t>
      </w:r>
      <w:r w:rsidRPr="00A955CA">
        <w:rPr>
          <w:rFonts w:asciiTheme="minorHAnsi" w:hAnsiTheme="minorHAnsi"/>
          <w:b/>
        </w:rPr>
        <w:t>Section 3.2.1</w:t>
      </w:r>
      <w:r>
        <w:rPr>
          <w:rFonts w:asciiTheme="minorHAnsi" w:hAnsiTheme="minorHAnsi"/>
        </w:rPr>
        <w:t xml:space="preserve">). The latter were established </w:t>
      </w:r>
      <w:r w:rsidR="00C810A8">
        <w:rPr>
          <w:rFonts w:asciiTheme="minorHAnsi" w:hAnsiTheme="minorHAnsi"/>
        </w:rPr>
        <w:t>for Mtirala and Machakhela in 2017</w:t>
      </w:r>
      <w:r w:rsidR="00A1474E">
        <w:rPr>
          <w:rFonts w:asciiTheme="minorHAnsi" w:hAnsiTheme="minorHAnsi"/>
        </w:rPr>
        <w:t xml:space="preserve"> </w:t>
      </w:r>
      <w:r w:rsidR="00C810A8">
        <w:rPr>
          <w:rFonts w:asciiTheme="minorHAnsi" w:hAnsiTheme="minorHAnsi"/>
        </w:rPr>
        <w:t>comprising 1</w:t>
      </w:r>
      <w:r w:rsidR="00A1474E">
        <w:rPr>
          <w:rFonts w:asciiTheme="minorHAnsi" w:hAnsiTheme="minorHAnsi"/>
        </w:rPr>
        <w:t>0 and 13</w:t>
      </w:r>
      <w:r w:rsidR="00C810A8">
        <w:rPr>
          <w:rFonts w:asciiTheme="minorHAnsi" w:hAnsiTheme="minorHAnsi"/>
        </w:rPr>
        <w:t xml:space="preserve"> members, respectively. These new councils replaced the former Scientific Advisory Councils in the case of Mtirala and other NPs elsewhere in Georgia, which were felt to be </w:t>
      </w:r>
      <w:r w:rsidR="00A1474E">
        <w:rPr>
          <w:rFonts w:asciiTheme="minorHAnsi" w:hAnsiTheme="minorHAnsi"/>
        </w:rPr>
        <w:t>too science-focused</w:t>
      </w:r>
      <w:r w:rsidR="008F2980">
        <w:rPr>
          <w:rStyle w:val="FootnoteReference"/>
          <w:rFonts w:asciiTheme="minorHAnsi" w:hAnsiTheme="minorHAnsi"/>
        </w:rPr>
        <w:footnoteReference w:id="29"/>
      </w:r>
      <w:r w:rsidR="00C810A8">
        <w:rPr>
          <w:rFonts w:asciiTheme="minorHAnsi" w:hAnsiTheme="minorHAnsi"/>
        </w:rPr>
        <w:t xml:space="preserve"> and lacked representation from local communities</w:t>
      </w:r>
      <w:r w:rsidR="00A1474E" w:rsidRPr="00A1474E">
        <w:rPr>
          <w:rFonts w:asciiTheme="minorHAnsi" w:hAnsiTheme="minorHAnsi"/>
        </w:rPr>
        <w:t xml:space="preserve"> </w:t>
      </w:r>
      <w:r w:rsidR="00A1474E">
        <w:rPr>
          <w:rFonts w:asciiTheme="minorHAnsi" w:hAnsiTheme="minorHAnsi"/>
        </w:rPr>
        <w:t>and municipalities</w:t>
      </w:r>
      <w:r w:rsidR="00C810A8">
        <w:rPr>
          <w:rFonts w:asciiTheme="minorHAnsi" w:hAnsiTheme="minorHAnsi"/>
        </w:rPr>
        <w:t>.</w:t>
      </w:r>
      <w:r w:rsidR="006C69F3">
        <w:rPr>
          <w:rFonts w:asciiTheme="minorHAnsi" w:hAnsiTheme="minorHAnsi"/>
        </w:rPr>
        <w:t xml:space="preserve"> While these shortcomings have now been address to a significant extent, </w:t>
      </w:r>
      <w:r w:rsidR="001749E4">
        <w:rPr>
          <w:rFonts w:asciiTheme="minorHAnsi" w:hAnsiTheme="minorHAnsi"/>
        </w:rPr>
        <w:t xml:space="preserve">feedback </w:t>
      </w:r>
      <w:r w:rsidR="006C69F3">
        <w:rPr>
          <w:rFonts w:asciiTheme="minorHAnsi" w:hAnsiTheme="minorHAnsi"/>
        </w:rPr>
        <w:t xml:space="preserve">from both NP administrations and their stakeholders </w:t>
      </w:r>
      <w:r w:rsidR="0065587D">
        <w:rPr>
          <w:rFonts w:asciiTheme="minorHAnsi" w:hAnsiTheme="minorHAnsi"/>
        </w:rPr>
        <w:t>suggests that their role needs to clarified, with clear ToRs, and capacities strengthened in or</w:t>
      </w:r>
      <w:r w:rsidR="008F2980">
        <w:rPr>
          <w:rFonts w:asciiTheme="minorHAnsi" w:hAnsiTheme="minorHAnsi"/>
        </w:rPr>
        <w:t xml:space="preserve">der for them to become dynamic forces for changing/modernizing the way in which PAs carry out their business. </w:t>
      </w:r>
    </w:p>
    <w:p w14:paraId="3B9EB3E4" w14:textId="211C2230" w:rsidR="00DA5A01" w:rsidRDefault="008F2980" w:rsidP="00503C5F">
      <w:pPr>
        <w:pStyle w:val="BodyText"/>
        <w:rPr>
          <w:rFonts w:asciiTheme="minorHAnsi" w:hAnsiTheme="minorHAnsi"/>
        </w:rPr>
      </w:pPr>
      <w:r>
        <w:rPr>
          <w:rFonts w:asciiTheme="minorHAnsi" w:hAnsiTheme="minorHAnsi"/>
        </w:rPr>
        <w:t>Currently</w:t>
      </w:r>
      <w:r w:rsidR="004E28DE">
        <w:rPr>
          <w:rFonts w:asciiTheme="minorHAnsi" w:hAnsiTheme="minorHAnsi"/>
        </w:rPr>
        <w:t xml:space="preserve">, Advisory Councils meet irregularly, as and when requested by the respective </w:t>
      </w:r>
      <w:r w:rsidR="00A04998">
        <w:rPr>
          <w:rFonts w:asciiTheme="minorHAnsi" w:hAnsiTheme="minorHAnsi"/>
        </w:rPr>
        <w:t>PA</w:t>
      </w:r>
      <w:r w:rsidR="004E28DE">
        <w:rPr>
          <w:rFonts w:asciiTheme="minorHAnsi" w:hAnsiTheme="minorHAnsi"/>
        </w:rPr>
        <w:t xml:space="preserve"> Administrations,</w:t>
      </w:r>
      <w:r w:rsidR="004E495C">
        <w:rPr>
          <w:rFonts w:asciiTheme="minorHAnsi" w:hAnsiTheme="minorHAnsi"/>
        </w:rPr>
        <w:t xml:space="preserve"> agendas are NP-centric and attendance is not always good. Such short-comings are indicative of </w:t>
      </w:r>
      <w:r w:rsidR="003D55C0">
        <w:rPr>
          <w:rFonts w:asciiTheme="minorHAnsi" w:hAnsiTheme="minorHAnsi"/>
        </w:rPr>
        <w:t xml:space="preserve">the mixed messages from </w:t>
      </w:r>
      <w:r w:rsidR="004E495C">
        <w:rPr>
          <w:rFonts w:asciiTheme="minorHAnsi" w:hAnsiTheme="minorHAnsi"/>
        </w:rPr>
        <w:t xml:space="preserve">APA and its NP Administrations, </w:t>
      </w:r>
      <w:r w:rsidR="003D55C0">
        <w:rPr>
          <w:rFonts w:asciiTheme="minorHAnsi" w:hAnsiTheme="minorHAnsi"/>
        </w:rPr>
        <w:t xml:space="preserve">that: NPs are for nature and not to be used by people, including tourists; tourists should be encouraged to visit NPs, as this generates much needed revenue, but they should be limited to visiting the buffer/support zones; </w:t>
      </w:r>
      <w:r w:rsidR="00DA5A01">
        <w:rPr>
          <w:rFonts w:asciiTheme="minorHAnsi" w:hAnsiTheme="minorHAnsi"/>
        </w:rPr>
        <w:t xml:space="preserve">and the main role of </w:t>
      </w:r>
      <w:r w:rsidR="003D55C0">
        <w:rPr>
          <w:rFonts w:asciiTheme="minorHAnsi" w:hAnsiTheme="minorHAnsi"/>
        </w:rPr>
        <w:t xml:space="preserve">rangers is </w:t>
      </w:r>
      <w:r w:rsidR="00281E8D">
        <w:rPr>
          <w:rFonts w:asciiTheme="minorHAnsi" w:hAnsiTheme="minorHAnsi"/>
        </w:rPr>
        <w:t xml:space="preserve">to </w:t>
      </w:r>
      <w:r w:rsidR="00DA5A01">
        <w:rPr>
          <w:rFonts w:asciiTheme="minorHAnsi" w:hAnsiTheme="minorHAnsi"/>
        </w:rPr>
        <w:t>stop</w:t>
      </w:r>
      <w:r w:rsidR="003D55C0">
        <w:rPr>
          <w:rFonts w:asciiTheme="minorHAnsi" w:hAnsiTheme="minorHAnsi"/>
        </w:rPr>
        <w:t xml:space="preserve"> illegal activities</w:t>
      </w:r>
      <w:r w:rsidR="00DA5A01">
        <w:rPr>
          <w:rFonts w:asciiTheme="minorHAnsi" w:hAnsiTheme="minorHAnsi"/>
        </w:rPr>
        <w:t xml:space="preserve">. What seems to be fundamentally lacking in the awareness raising is the ‘Parks for People’ principle: only by being able to ‘quietly enjoy’ the natural beauty of PAs will societies continue to support their conservation. </w:t>
      </w:r>
      <w:r w:rsidR="00DB1F65">
        <w:rPr>
          <w:rFonts w:asciiTheme="minorHAnsi" w:hAnsiTheme="minorHAnsi"/>
        </w:rPr>
        <w:t xml:space="preserve">Arguably, it this </w:t>
      </w:r>
      <w:r w:rsidR="00DA5A01">
        <w:rPr>
          <w:rFonts w:asciiTheme="minorHAnsi" w:hAnsiTheme="minorHAnsi"/>
        </w:rPr>
        <w:t xml:space="preserve">principle </w:t>
      </w:r>
      <w:r w:rsidR="00DB1F65">
        <w:rPr>
          <w:rFonts w:asciiTheme="minorHAnsi" w:hAnsiTheme="minorHAnsi"/>
        </w:rPr>
        <w:t xml:space="preserve">that should underpin the role of the Advisory Councils – advising on how quiet enjoyment might be reconciled with safeguarding natural heritage both within </w:t>
      </w:r>
      <w:r w:rsidR="00A04998">
        <w:rPr>
          <w:rFonts w:asciiTheme="minorHAnsi" w:hAnsiTheme="minorHAnsi"/>
        </w:rPr>
        <w:t>PA</w:t>
      </w:r>
      <w:r w:rsidR="00DB1F65">
        <w:rPr>
          <w:rFonts w:asciiTheme="minorHAnsi" w:hAnsiTheme="minorHAnsi"/>
        </w:rPr>
        <w:t xml:space="preserve">s and their adjoining buffer areas, beginning with pilots and then upscaling and/or replicating as appropriate. Another important part of the role concerns the improvement of local livelihoods </w:t>
      </w:r>
      <w:r w:rsidR="00F40F24">
        <w:rPr>
          <w:rFonts w:asciiTheme="minorHAnsi" w:hAnsiTheme="minorHAnsi"/>
        </w:rPr>
        <w:t xml:space="preserve">through </w:t>
      </w:r>
      <w:r w:rsidR="00DB1F65">
        <w:rPr>
          <w:rFonts w:asciiTheme="minorHAnsi" w:hAnsiTheme="minorHAnsi"/>
        </w:rPr>
        <w:t xml:space="preserve">sustainable harvesting of natural resources </w:t>
      </w:r>
      <w:r w:rsidR="00F40F24">
        <w:rPr>
          <w:rFonts w:asciiTheme="minorHAnsi" w:hAnsiTheme="minorHAnsi"/>
        </w:rPr>
        <w:t xml:space="preserve">and other alternatives </w:t>
      </w:r>
      <w:r w:rsidR="00DB1F65">
        <w:rPr>
          <w:rFonts w:asciiTheme="minorHAnsi" w:hAnsiTheme="minorHAnsi"/>
        </w:rPr>
        <w:t>within the buffer/support zones.</w:t>
      </w:r>
    </w:p>
    <w:p w14:paraId="4B079EDB" w14:textId="769725BC" w:rsidR="0008670E" w:rsidRPr="00E22EBA" w:rsidRDefault="00F12160" w:rsidP="0067558E">
      <w:pPr>
        <w:pStyle w:val="Heading2"/>
        <w:numPr>
          <w:ilvl w:val="2"/>
          <w:numId w:val="19"/>
        </w:numPr>
        <w:spacing w:before="240" w:after="120"/>
        <w:ind w:left="709" w:hanging="709"/>
        <w:rPr>
          <w:rFonts w:asciiTheme="minorHAnsi" w:hAnsiTheme="minorHAnsi" w:cs="Calibri"/>
          <w:b/>
          <w:caps w:val="0"/>
        </w:rPr>
      </w:pPr>
      <w:bookmarkStart w:id="144" w:name="_Toc414745329"/>
      <w:r>
        <w:rPr>
          <w:rFonts w:asciiTheme="minorHAnsi" w:hAnsiTheme="minorHAnsi" w:cs="Calibri"/>
          <w:b/>
          <w:caps w:val="0"/>
        </w:rPr>
        <w:t>Feedback from M&amp;E activities used for adaptive m</w:t>
      </w:r>
      <w:r w:rsidR="00476EE4" w:rsidRPr="00E22EBA">
        <w:rPr>
          <w:rFonts w:asciiTheme="minorHAnsi" w:hAnsiTheme="minorHAnsi" w:cs="Calibri"/>
          <w:b/>
          <w:caps w:val="0"/>
        </w:rPr>
        <w:t>anagement</w:t>
      </w:r>
      <w:bookmarkEnd w:id="144"/>
    </w:p>
    <w:p w14:paraId="1167CF31" w14:textId="5AD32536" w:rsidR="00DC7C81" w:rsidRPr="00B46C7F" w:rsidRDefault="005B11FA" w:rsidP="00DC7C81">
      <w:pPr>
        <w:pStyle w:val="BodyText"/>
        <w:rPr>
          <w:rFonts w:asciiTheme="minorHAnsi" w:hAnsiTheme="minorHAnsi"/>
        </w:rPr>
      </w:pPr>
      <w:r w:rsidRPr="00B46C7F">
        <w:rPr>
          <w:rFonts w:asciiTheme="minorHAnsi" w:hAnsiTheme="minorHAnsi"/>
        </w:rPr>
        <w:t>The M&amp;E framework</w:t>
      </w:r>
      <w:r w:rsidR="00634517">
        <w:rPr>
          <w:rFonts w:asciiTheme="minorHAnsi" w:hAnsiTheme="minorHAnsi"/>
        </w:rPr>
        <w:t xml:space="preserve"> </w:t>
      </w:r>
      <w:r w:rsidRPr="00B46C7F">
        <w:rPr>
          <w:rFonts w:asciiTheme="minorHAnsi" w:hAnsiTheme="minorHAnsi"/>
        </w:rPr>
        <w:t>is outlined in the Pro</w:t>
      </w:r>
      <w:r w:rsidR="00634517">
        <w:rPr>
          <w:rFonts w:asciiTheme="minorHAnsi" w:hAnsiTheme="minorHAnsi"/>
        </w:rPr>
        <w:t>Doc</w:t>
      </w:r>
      <w:r w:rsidRPr="00B46C7F">
        <w:rPr>
          <w:rFonts w:asciiTheme="minorHAnsi" w:hAnsiTheme="minorHAnsi"/>
        </w:rPr>
        <w:t xml:space="preserve"> (Part </w:t>
      </w:r>
      <w:r w:rsidR="00634517">
        <w:rPr>
          <w:rFonts w:asciiTheme="minorHAnsi" w:hAnsiTheme="minorHAnsi"/>
        </w:rPr>
        <w:t>IV pp. 5</w:t>
      </w:r>
      <w:r w:rsidRPr="00B46C7F">
        <w:rPr>
          <w:rFonts w:asciiTheme="minorHAnsi" w:hAnsiTheme="minorHAnsi"/>
        </w:rPr>
        <w:t>2-</w:t>
      </w:r>
      <w:r w:rsidR="00634517">
        <w:rPr>
          <w:rFonts w:asciiTheme="minorHAnsi" w:hAnsiTheme="minorHAnsi"/>
        </w:rPr>
        <w:t>5</w:t>
      </w:r>
      <w:r w:rsidRPr="00B46C7F">
        <w:rPr>
          <w:rFonts w:asciiTheme="minorHAnsi" w:hAnsiTheme="minorHAnsi"/>
        </w:rPr>
        <w:t>7)</w:t>
      </w:r>
      <w:r w:rsidR="00634517">
        <w:rPr>
          <w:rFonts w:asciiTheme="minorHAnsi" w:hAnsiTheme="minorHAnsi"/>
        </w:rPr>
        <w:t>, with a budget allocation of US$ 43,000</w:t>
      </w:r>
      <w:r w:rsidRPr="00B46C7F">
        <w:rPr>
          <w:rFonts w:asciiTheme="minorHAnsi" w:hAnsiTheme="minorHAnsi"/>
        </w:rPr>
        <w:t xml:space="preserve">. </w:t>
      </w:r>
      <w:r w:rsidR="0013078E">
        <w:rPr>
          <w:rFonts w:asciiTheme="minorHAnsi" w:hAnsiTheme="minorHAnsi"/>
        </w:rPr>
        <w:t xml:space="preserve">This comprises: </w:t>
      </w:r>
      <w:r w:rsidR="00DC7C81" w:rsidRPr="00B46C7F">
        <w:rPr>
          <w:rFonts w:asciiTheme="minorHAnsi" w:hAnsiTheme="minorHAnsi"/>
        </w:rPr>
        <w:t xml:space="preserve">Inception </w:t>
      </w:r>
      <w:r w:rsidR="00DC7C81">
        <w:rPr>
          <w:rFonts w:asciiTheme="minorHAnsi" w:hAnsiTheme="minorHAnsi"/>
        </w:rPr>
        <w:t xml:space="preserve">Workshop and </w:t>
      </w:r>
      <w:r w:rsidR="00DC7C81" w:rsidRPr="00B46C7F">
        <w:rPr>
          <w:rFonts w:asciiTheme="minorHAnsi" w:hAnsiTheme="minorHAnsi"/>
        </w:rPr>
        <w:t>Report, Annual Project Report (APR)</w:t>
      </w:r>
      <w:r w:rsidR="00DC7C81">
        <w:rPr>
          <w:rFonts w:asciiTheme="minorHAnsi" w:hAnsiTheme="minorHAnsi"/>
        </w:rPr>
        <w:t xml:space="preserve"> for</w:t>
      </w:r>
      <w:r w:rsidR="00DC7C81" w:rsidRPr="00B46C7F">
        <w:rPr>
          <w:rFonts w:asciiTheme="minorHAnsi" w:hAnsiTheme="minorHAnsi"/>
        </w:rPr>
        <w:t xml:space="preserve"> UNDP</w:t>
      </w:r>
      <w:r w:rsidR="00DC7C81">
        <w:rPr>
          <w:rFonts w:asciiTheme="minorHAnsi" w:hAnsiTheme="minorHAnsi"/>
        </w:rPr>
        <w:t xml:space="preserve"> and</w:t>
      </w:r>
      <w:r w:rsidR="00DC7C81" w:rsidRPr="00B46C7F">
        <w:rPr>
          <w:rFonts w:asciiTheme="minorHAnsi" w:hAnsiTheme="minorHAnsi"/>
        </w:rPr>
        <w:t xml:space="preserve"> </w:t>
      </w:r>
      <w:r w:rsidR="00DC7C81">
        <w:rPr>
          <w:rFonts w:asciiTheme="minorHAnsi" w:hAnsiTheme="minorHAnsi"/>
        </w:rPr>
        <w:t xml:space="preserve">annual </w:t>
      </w:r>
      <w:r w:rsidR="00DC7C81" w:rsidRPr="00B46C7F">
        <w:rPr>
          <w:rFonts w:asciiTheme="minorHAnsi" w:hAnsiTheme="minorHAnsi"/>
        </w:rPr>
        <w:t>Project Implementation Report (PIR)</w:t>
      </w:r>
      <w:r w:rsidR="00DC7C81">
        <w:rPr>
          <w:rFonts w:asciiTheme="minorHAnsi" w:hAnsiTheme="minorHAnsi"/>
        </w:rPr>
        <w:t xml:space="preserve"> for </w:t>
      </w:r>
      <w:r w:rsidR="00DC7C81" w:rsidRPr="00B46C7F">
        <w:rPr>
          <w:rFonts w:asciiTheme="minorHAnsi" w:hAnsiTheme="minorHAnsi"/>
        </w:rPr>
        <w:t>GEF</w:t>
      </w:r>
      <w:r w:rsidR="00DC7C81">
        <w:rPr>
          <w:rFonts w:asciiTheme="minorHAnsi" w:hAnsiTheme="minorHAnsi"/>
        </w:rPr>
        <w:t xml:space="preserve">, </w:t>
      </w:r>
      <w:r w:rsidR="00DC7C81" w:rsidRPr="00B46C7F">
        <w:rPr>
          <w:rFonts w:asciiTheme="minorHAnsi" w:hAnsiTheme="minorHAnsi"/>
        </w:rPr>
        <w:t>Quarterly Progress Reports</w:t>
      </w:r>
      <w:r w:rsidR="00DC7C81">
        <w:rPr>
          <w:rFonts w:asciiTheme="minorHAnsi" w:hAnsiTheme="minorHAnsi"/>
        </w:rPr>
        <w:t xml:space="preserve"> and Combined Delivery Reports for UNDP (including, updated issues, risks and </w:t>
      </w:r>
      <w:r w:rsidR="00DC7C81">
        <w:rPr>
          <w:rFonts w:asciiTheme="minorHAnsi" w:hAnsiTheme="minorHAnsi"/>
        </w:rPr>
        <w:lastRenderedPageBreak/>
        <w:t xml:space="preserve">lessons learned logs), </w:t>
      </w:r>
      <w:r w:rsidR="00D23300">
        <w:rPr>
          <w:rFonts w:asciiTheme="minorHAnsi" w:hAnsiTheme="minorHAnsi"/>
        </w:rPr>
        <w:t xml:space="preserve">independent </w:t>
      </w:r>
      <w:r w:rsidR="00DC7C81">
        <w:rPr>
          <w:rFonts w:asciiTheme="minorHAnsi" w:hAnsiTheme="minorHAnsi"/>
        </w:rPr>
        <w:t>Mid-Term Review</w:t>
      </w:r>
      <w:r w:rsidR="00D23300">
        <w:rPr>
          <w:rFonts w:asciiTheme="minorHAnsi" w:hAnsiTheme="minorHAnsi"/>
        </w:rPr>
        <w:t xml:space="preserve"> and</w:t>
      </w:r>
      <w:r w:rsidR="00DC7C81">
        <w:rPr>
          <w:rFonts w:asciiTheme="minorHAnsi" w:hAnsiTheme="minorHAnsi"/>
        </w:rPr>
        <w:t xml:space="preserve"> Terminal Evaluation, </w:t>
      </w:r>
      <w:r w:rsidR="004F78EC">
        <w:rPr>
          <w:rFonts w:asciiTheme="minorHAnsi" w:hAnsiTheme="minorHAnsi"/>
        </w:rPr>
        <w:t xml:space="preserve">audit, </w:t>
      </w:r>
      <w:r w:rsidR="00DC7C81">
        <w:rPr>
          <w:rFonts w:asciiTheme="minorHAnsi" w:hAnsiTheme="minorHAnsi"/>
        </w:rPr>
        <w:t>Termina</w:t>
      </w:r>
      <w:r w:rsidR="00D23300">
        <w:rPr>
          <w:rFonts w:asciiTheme="minorHAnsi" w:hAnsiTheme="minorHAnsi"/>
        </w:rPr>
        <w:t>l Report (with lessons learned) and</w:t>
      </w:r>
      <w:r w:rsidR="00DC7C81">
        <w:rPr>
          <w:rFonts w:asciiTheme="minorHAnsi" w:hAnsiTheme="minorHAnsi"/>
        </w:rPr>
        <w:t xml:space="preserve"> visits to field sites. The framework remains unchanged in the Inception Report, as does the SRF</w:t>
      </w:r>
      <w:r w:rsidR="00D23300">
        <w:rPr>
          <w:rFonts w:asciiTheme="minorHAnsi" w:hAnsiTheme="minorHAnsi"/>
        </w:rPr>
        <w:t>.</w:t>
      </w:r>
    </w:p>
    <w:p w14:paraId="586D4E8D" w14:textId="77A876C8" w:rsidR="005B11FA" w:rsidRPr="00B46C7F" w:rsidRDefault="005B11FA" w:rsidP="00B46C7F">
      <w:pPr>
        <w:pStyle w:val="BodyText"/>
        <w:rPr>
          <w:rFonts w:asciiTheme="minorHAnsi" w:hAnsiTheme="minorHAnsi"/>
        </w:rPr>
      </w:pPr>
      <w:r w:rsidRPr="00B46C7F">
        <w:rPr>
          <w:rFonts w:asciiTheme="minorHAnsi" w:hAnsiTheme="minorHAnsi"/>
        </w:rPr>
        <w:t xml:space="preserve">The </w:t>
      </w:r>
      <w:r w:rsidR="00D23300">
        <w:rPr>
          <w:rFonts w:asciiTheme="minorHAnsi" w:hAnsiTheme="minorHAnsi"/>
        </w:rPr>
        <w:t>SRF</w:t>
      </w:r>
      <w:r w:rsidRPr="00B46C7F">
        <w:rPr>
          <w:rFonts w:asciiTheme="minorHAnsi" w:hAnsiTheme="minorHAnsi"/>
        </w:rPr>
        <w:t xml:space="preserve"> provides a results-based methodology for monitoring progress against targets, using a suite of supposedly SMART indicators that track the project’s objective and outcomes. </w:t>
      </w:r>
      <w:r w:rsidR="00D23300">
        <w:rPr>
          <w:rFonts w:asciiTheme="minorHAnsi" w:hAnsiTheme="minorHAnsi"/>
        </w:rPr>
        <w:t>B</w:t>
      </w:r>
      <w:r w:rsidRPr="00B46C7F">
        <w:rPr>
          <w:rFonts w:asciiTheme="minorHAnsi" w:hAnsiTheme="minorHAnsi"/>
        </w:rPr>
        <w:t xml:space="preserve">aselines </w:t>
      </w:r>
      <w:r w:rsidR="00D23300">
        <w:rPr>
          <w:rFonts w:asciiTheme="minorHAnsi" w:hAnsiTheme="minorHAnsi"/>
        </w:rPr>
        <w:t>for</w:t>
      </w:r>
      <w:r w:rsidRPr="00B46C7F">
        <w:rPr>
          <w:rFonts w:asciiTheme="minorHAnsi" w:hAnsiTheme="minorHAnsi"/>
        </w:rPr>
        <w:t xml:space="preserve"> </w:t>
      </w:r>
      <w:r w:rsidR="00D23300">
        <w:rPr>
          <w:rFonts w:asciiTheme="minorHAnsi" w:hAnsiTheme="minorHAnsi"/>
        </w:rPr>
        <w:t xml:space="preserve">all of </w:t>
      </w:r>
      <w:r w:rsidRPr="00B46C7F">
        <w:rPr>
          <w:rFonts w:asciiTheme="minorHAnsi" w:hAnsiTheme="minorHAnsi"/>
        </w:rPr>
        <w:t xml:space="preserve">the indicators </w:t>
      </w:r>
      <w:r w:rsidR="00D23300">
        <w:rPr>
          <w:rFonts w:asciiTheme="minorHAnsi" w:hAnsiTheme="minorHAnsi"/>
        </w:rPr>
        <w:t xml:space="preserve">had been </w:t>
      </w:r>
      <w:r w:rsidRPr="00B46C7F">
        <w:rPr>
          <w:rFonts w:asciiTheme="minorHAnsi" w:hAnsiTheme="minorHAnsi"/>
        </w:rPr>
        <w:t xml:space="preserve">established </w:t>
      </w:r>
      <w:r w:rsidR="00D23300">
        <w:rPr>
          <w:rFonts w:asciiTheme="minorHAnsi" w:hAnsiTheme="minorHAnsi"/>
        </w:rPr>
        <w:t xml:space="preserve">prior to project </w:t>
      </w:r>
      <w:r w:rsidRPr="00B46C7F">
        <w:rPr>
          <w:rFonts w:asciiTheme="minorHAnsi" w:hAnsiTheme="minorHAnsi"/>
        </w:rPr>
        <w:t>onset</w:t>
      </w:r>
      <w:r w:rsidR="00D23300">
        <w:rPr>
          <w:rFonts w:asciiTheme="minorHAnsi" w:hAnsiTheme="minorHAnsi"/>
        </w:rPr>
        <w:t xml:space="preserve"> and updated at mid- and end of term</w:t>
      </w:r>
      <w:r w:rsidRPr="00B46C7F">
        <w:rPr>
          <w:rFonts w:asciiTheme="minorHAnsi" w:hAnsiTheme="minorHAnsi"/>
        </w:rPr>
        <w:t xml:space="preserve">. </w:t>
      </w:r>
    </w:p>
    <w:p w14:paraId="7E6604BB" w14:textId="2F1A0CFC" w:rsidR="00744B04" w:rsidRDefault="00060506" w:rsidP="0008670E">
      <w:pPr>
        <w:pStyle w:val="BodyText"/>
        <w:spacing w:line="240" w:lineRule="auto"/>
        <w:rPr>
          <w:rFonts w:asciiTheme="minorHAnsi" w:hAnsiTheme="minorHAnsi"/>
          <w:szCs w:val="24"/>
        </w:rPr>
      </w:pPr>
      <w:r>
        <w:rPr>
          <w:rFonts w:asciiTheme="minorHAnsi" w:hAnsiTheme="minorHAnsi"/>
          <w:szCs w:val="24"/>
        </w:rPr>
        <w:t xml:space="preserve">PEB </w:t>
      </w:r>
      <w:r w:rsidR="00D23300">
        <w:rPr>
          <w:rFonts w:asciiTheme="minorHAnsi" w:hAnsiTheme="minorHAnsi"/>
          <w:szCs w:val="24"/>
        </w:rPr>
        <w:t xml:space="preserve">provided </w:t>
      </w:r>
      <w:r w:rsidR="001C0BAF" w:rsidRPr="00E22EBA">
        <w:rPr>
          <w:rFonts w:asciiTheme="minorHAnsi" w:hAnsiTheme="minorHAnsi"/>
          <w:szCs w:val="24"/>
        </w:rPr>
        <w:t>the main decision-making mechanism used</w:t>
      </w:r>
      <w:r>
        <w:rPr>
          <w:rFonts w:asciiTheme="minorHAnsi" w:hAnsiTheme="minorHAnsi"/>
          <w:szCs w:val="24"/>
        </w:rPr>
        <w:t xml:space="preserve"> for adaptive management. </w:t>
      </w:r>
      <w:r w:rsidR="003F6721" w:rsidRPr="00EC3477">
        <w:rPr>
          <w:rFonts w:asciiTheme="minorHAnsi" w:hAnsiTheme="minorHAnsi"/>
          <w:szCs w:val="24"/>
        </w:rPr>
        <w:t>The B</w:t>
      </w:r>
      <w:r w:rsidR="00F43B55" w:rsidRPr="00EC3477">
        <w:rPr>
          <w:rFonts w:asciiTheme="minorHAnsi" w:hAnsiTheme="minorHAnsi"/>
          <w:szCs w:val="24"/>
        </w:rPr>
        <w:t xml:space="preserve">oard met </w:t>
      </w:r>
      <w:r w:rsidR="003F6721" w:rsidRPr="00EC3477">
        <w:rPr>
          <w:rFonts w:asciiTheme="minorHAnsi" w:hAnsiTheme="minorHAnsi"/>
          <w:szCs w:val="24"/>
        </w:rPr>
        <w:t xml:space="preserve">regularly in Batumi every six months </w:t>
      </w:r>
      <w:r w:rsidR="00F43B55" w:rsidRPr="00EC3477">
        <w:rPr>
          <w:rFonts w:asciiTheme="minorHAnsi" w:hAnsiTheme="minorHAnsi"/>
          <w:szCs w:val="24"/>
        </w:rPr>
        <w:t>throughout the four</w:t>
      </w:r>
      <w:r w:rsidRPr="00EC3477">
        <w:rPr>
          <w:rFonts w:asciiTheme="minorHAnsi" w:hAnsiTheme="minorHAnsi"/>
          <w:szCs w:val="24"/>
        </w:rPr>
        <w:t xml:space="preserve"> and a half</w:t>
      </w:r>
      <w:r w:rsidR="00F43B55" w:rsidRPr="00EC3477">
        <w:rPr>
          <w:rFonts w:asciiTheme="minorHAnsi" w:hAnsiTheme="minorHAnsi"/>
          <w:szCs w:val="24"/>
        </w:rPr>
        <w:t xml:space="preserve"> years of implementation</w:t>
      </w:r>
      <w:r w:rsidRPr="00EC3477">
        <w:rPr>
          <w:rFonts w:asciiTheme="minorHAnsi" w:hAnsiTheme="minorHAnsi"/>
          <w:szCs w:val="24"/>
        </w:rPr>
        <w:t>. R</w:t>
      </w:r>
      <w:r w:rsidR="00F43B55" w:rsidRPr="00EC3477">
        <w:rPr>
          <w:rFonts w:asciiTheme="minorHAnsi" w:hAnsiTheme="minorHAnsi"/>
          <w:szCs w:val="24"/>
        </w:rPr>
        <w:t>eview of the meeting minutes</w:t>
      </w:r>
      <w:r w:rsidRPr="00EC3477">
        <w:rPr>
          <w:rFonts w:asciiTheme="minorHAnsi" w:hAnsiTheme="minorHAnsi"/>
          <w:szCs w:val="24"/>
        </w:rPr>
        <w:t xml:space="preserve"> indicates that</w:t>
      </w:r>
      <w:r w:rsidR="00F43B55" w:rsidRPr="00EC3477">
        <w:rPr>
          <w:rFonts w:asciiTheme="minorHAnsi" w:hAnsiTheme="minorHAnsi"/>
          <w:szCs w:val="24"/>
        </w:rPr>
        <w:t xml:space="preserve"> participation</w:t>
      </w:r>
      <w:r w:rsidR="00EC3477" w:rsidRPr="00EC3477">
        <w:rPr>
          <w:rFonts w:asciiTheme="minorHAnsi" w:hAnsiTheme="minorHAnsi"/>
          <w:szCs w:val="24"/>
        </w:rPr>
        <w:t xml:space="preserve"> by senior officials from APA, UNDP, PA Administrations in ARA, Achara regional government and municipalities </w:t>
      </w:r>
      <w:r w:rsidR="00F43B55" w:rsidRPr="00EC3477">
        <w:rPr>
          <w:rFonts w:asciiTheme="minorHAnsi" w:hAnsiTheme="minorHAnsi"/>
          <w:szCs w:val="24"/>
        </w:rPr>
        <w:t xml:space="preserve">was consistently good, </w:t>
      </w:r>
      <w:r w:rsidR="003F6721" w:rsidRPr="00EC3477">
        <w:rPr>
          <w:rFonts w:asciiTheme="minorHAnsi" w:hAnsiTheme="minorHAnsi"/>
          <w:szCs w:val="24"/>
        </w:rPr>
        <w:t xml:space="preserve">progress was reported, plans shared, issues </w:t>
      </w:r>
      <w:r w:rsidR="00F43B55" w:rsidRPr="00EC3477">
        <w:rPr>
          <w:rFonts w:asciiTheme="minorHAnsi" w:hAnsiTheme="minorHAnsi"/>
          <w:szCs w:val="24"/>
        </w:rPr>
        <w:t>constructively discussed</w:t>
      </w:r>
      <w:r w:rsidR="003F6721" w:rsidRPr="00EC3477">
        <w:rPr>
          <w:rFonts w:asciiTheme="minorHAnsi" w:hAnsiTheme="minorHAnsi"/>
          <w:szCs w:val="24"/>
        </w:rPr>
        <w:t xml:space="preserve"> and, as appropriate, decisions taken</w:t>
      </w:r>
      <w:r w:rsidR="00F43B55" w:rsidRPr="00EC3477">
        <w:rPr>
          <w:rFonts w:asciiTheme="minorHAnsi" w:hAnsiTheme="minorHAnsi"/>
          <w:szCs w:val="24"/>
        </w:rPr>
        <w:t>.</w:t>
      </w:r>
      <w:r w:rsidR="003F6721" w:rsidRPr="00EC3477">
        <w:rPr>
          <w:rFonts w:asciiTheme="minorHAnsi" w:hAnsiTheme="minorHAnsi"/>
          <w:szCs w:val="24"/>
        </w:rPr>
        <w:t xml:space="preserve"> </w:t>
      </w:r>
      <w:r w:rsidR="003F6721" w:rsidRPr="00BF4AB5">
        <w:rPr>
          <w:rFonts w:asciiTheme="minorHAnsi" w:hAnsiTheme="minorHAnsi"/>
          <w:szCs w:val="24"/>
          <w:u w:val="single"/>
        </w:rPr>
        <w:t>Matters arising from previous meetings</w:t>
      </w:r>
      <w:r w:rsidR="00EC3477" w:rsidRPr="00BF4AB5">
        <w:rPr>
          <w:rFonts w:asciiTheme="minorHAnsi" w:hAnsiTheme="minorHAnsi"/>
          <w:szCs w:val="24"/>
          <w:u w:val="single"/>
        </w:rPr>
        <w:t>,</w:t>
      </w:r>
      <w:r w:rsidR="003F6721" w:rsidRPr="00BF4AB5">
        <w:rPr>
          <w:rFonts w:asciiTheme="minorHAnsi" w:hAnsiTheme="minorHAnsi"/>
          <w:szCs w:val="24"/>
          <w:u w:val="single"/>
        </w:rPr>
        <w:t xml:space="preserve"> by way of following up on earlier </w:t>
      </w:r>
      <w:r w:rsidR="00EC3477" w:rsidRPr="00BF4AB5">
        <w:rPr>
          <w:rFonts w:asciiTheme="minorHAnsi" w:hAnsiTheme="minorHAnsi"/>
          <w:szCs w:val="24"/>
          <w:u w:val="single"/>
        </w:rPr>
        <w:t xml:space="preserve">decisions and agreed actions, </w:t>
      </w:r>
      <w:r w:rsidR="003F6721" w:rsidRPr="00BF4AB5">
        <w:rPr>
          <w:rFonts w:asciiTheme="minorHAnsi" w:hAnsiTheme="minorHAnsi"/>
          <w:szCs w:val="24"/>
          <w:u w:val="single"/>
        </w:rPr>
        <w:t xml:space="preserve">would be an appropriate </w:t>
      </w:r>
      <w:r w:rsidR="00EC3477" w:rsidRPr="00BF4AB5">
        <w:rPr>
          <w:rFonts w:asciiTheme="minorHAnsi" w:hAnsiTheme="minorHAnsi"/>
          <w:szCs w:val="24"/>
          <w:u w:val="single"/>
        </w:rPr>
        <w:t>addition to the agenda structure to help ensure continuity between meetings</w:t>
      </w:r>
      <w:r w:rsidR="00EC3477" w:rsidRPr="00EC3477">
        <w:rPr>
          <w:rFonts w:asciiTheme="minorHAnsi" w:hAnsiTheme="minorHAnsi"/>
          <w:szCs w:val="24"/>
        </w:rPr>
        <w:t xml:space="preserve">. </w:t>
      </w:r>
    </w:p>
    <w:p w14:paraId="254187AD" w14:textId="68AE602A" w:rsidR="00060506" w:rsidRDefault="00060506" w:rsidP="0008670E">
      <w:pPr>
        <w:pStyle w:val="BodyText"/>
        <w:spacing w:line="240" w:lineRule="auto"/>
        <w:rPr>
          <w:rFonts w:asciiTheme="minorHAnsi" w:hAnsiTheme="minorHAnsi"/>
          <w:szCs w:val="24"/>
        </w:rPr>
      </w:pPr>
      <w:r>
        <w:rPr>
          <w:rFonts w:asciiTheme="minorHAnsi" w:hAnsiTheme="minorHAnsi"/>
          <w:szCs w:val="24"/>
        </w:rPr>
        <w:t xml:space="preserve">The TCG </w:t>
      </w:r>
      <w:r w:rsidR="00BF4AB5">
        <w:rPr>
          <w:rFonts w:asciiTheme="minorHAnsi" w:hAnsiTheme="minorHAnsi"/>
          <w:szCs w:val="24"/>
        </w:rPr>
        <w:t>served</w:t>
      </w:r>
      <w:r>
        <w:rPr>
          <w:rFonts w:asciiTheme="minorHAnsi" w:hAnsiTheme="minorHAnsi"/>
          <w:szCs w:val="24"/>
        </w:rPr>
        <w:t xml:space="preserve"> a</w:t>
      </w:r>
      <w:r w:rsidR="00BF4AB5">
        <w:rPr>
          <w:rFonts w:asciiTheme="minorHAnsi" w:hAnsiTheme="minorHAnsi"/>
          <w:szCs w:val="24"/>
        </w:rPr>
        <w:t>s a</w:t>
      </w:r>
      <w:r>
        <w:rPr>
          <w:rFonts w:asciiTheme="minorHAnsi" w:hAnsiTheme="minorHAnsi"/>
          <w:szCs w:val="24"/>
        </w:rPr>
        <w:t xml:space="preserve"> </w:t>
      </w:r>
      <w:r w:rsidR="00BF4AB5">
        <w:rPr>
          <w:rFonts w:asciiTheme="minorHAnsi" w:hAnsiTheme="minorHAnsi"/>
          <w:szCs w:val="24"/>
        </w:rPr>
        <w:t xml:space="preserve">regional </w:t>
      </w:r>
      <w:r>
        <w:rPr>
          <w:rFonts w:asciiTheme="minorHAnsi" w:hAnsiTheme="minorHAnsi"/>
          <w:szCs w:val="24"/>
        </w:rPr>
        <w:t xml:space="preserve">coordinating </w:t>
      </w:r>
      <w:r w:rsidR="00BF4AB5">
        <w:rPr>
          <w:rFonts w:asciiTheme="minorHAnsi" w:hAnsiTheme="minorHAnsi"/>
          <w:szCs w:val="24"/>
        </w:rPr>
        <w:t xml:space="preserve">vehicle to share </w:t>
      </w:r>
      <w:r>
        <w:rPr>
          <w:rFonts w:asciiTheme="minorHAnsi" w:hAnsiTheme="minorHAnsi"/>
          <w:szCs w:val="24"/>
        </w:rPr>
        <w:t>and fine-tun</w:t>
      </w:r>
      <w:r w:rsidR="00BF4AB5">
        <w:rPr>
          <w:rFonts w:asciiTheme="minorHAnsi" w:hAnsiTheme="minorHAnsi"/>
          <w:szCs w:val="24"/>
        </w:rPr>
        <w:t>e</w:t>
      </w:r>
      <w:r>
        <w:rPr>
          <w:rFonts w:asciiTheme="minorHAnsi" w:hAnsiTheme="minorHAnsi"/>
          <w:szCs w:val="24"/>
        </w:rPr>
        <w:t xml:space="preserve"> work plans and implementation of activities, sometime</w:t>
      </w:r>
      <w:r w:rsidR="00D626C5">
        <w:rPr>
          <w:rFonts w:asciiTheme="minorHAnsi" w:hAnsiTheme="minorHAnsi"/>
          <w:szCs w:val="24"/>
        </w:rPr>
        <w:t>s</w:t>
      </w:r>
      <w:r>
        <w:rPr>
          <w:rFonts w:asciiTheme="minorHAnsi" w:hAnsiTheme="minorHAnsi"/>
          <w:szCs w:val="24"/>
        </w:rPr>
        <w:t xml:space="preserve"> resulting in pragmatic adaptive management </w:t>
      </w:r>
      <w:r w:rsidR="00D626C5">
        <w:rPr>
          <w:rFonts w:asciiTheme="minorHAnsi" w:hAnsiTheme="minorHAnsi"/>
          <w:szCs w:val="24"/>
        </w:rPr>
        <w:t>of</w:t>
      </w:r>
      <w:r>
        <w:rPr>
          <w:rFonts w:asciiTheme="minorHAnsi" w:hAnsiTheme="minorHAnsi"/>
          <w:szCs w:val="24"/>
        </w:rPr>
        <w:t xml:space="preserve"> schedules, logistics and resource allocation.</w:t>
      </w:r>
      <w:r w:rsidR="004F4C07">
        <w:rPr>
          <w:rFonts w:asciiTheme="minorHAnsi" w:hAnsiTheme="minorHAnsi"/>
          <w:szCs w:val="24"/>
        </w:rPr>
        <w:t xml:space="preserve"> This was particularly true in the initial years.</w:t>
      </w:r>
    </w:p>
    <w:p w14:paraId="1BCCD311" w14:textId="37264BF7" w:rsidR="00C44F5D" w:rsidRPr="0081542A" w:rsidRDefault="00F47F2B" w:rsidP="0081542A">
      <w:pPr>
        <w:pStyle w:val="BodyText"/>
        <w:spacing w:line="240" w:lineRule="auto"/>
        <w:rPr>
          <w:rFonts w:asciiTheme="minorHAnsi" w:hAnsiTheme="minorHAnsi"/>
          <w:szCs w:val="24"/>
        </w:rPr>
      </w:pPr>
      <w:r w:rsidRPr="0081542A">
        <w:rPr>
          <w:rFonts w:asciiTheme="minorHAnsi" w:hAnsiTheme="minorHAnsi"/>
          <w:szCs w:val="24"/>
        </w:rPr>
        <w:t xml:space="preserve">The MTR provides </w:t>
      </w:r>
      <w:r w:rsidR="00B351ED" w:rsidRPr="0081542A">
        <w:rPr>
          <w:rFonts w:asciiTheme="minorHAnsi" w:hAnsiTheme="minorHAnsi"/>
          <w:szCs w:val="24"/>
        </w:rPr>
        <w:t>a critical</w:t>
      </w:r>
      <w:r w:rsidRPr="0081542A">
        <w:rPr>
          <w:rFonts w:asciiTheme="minorHAnsi" w:hAnsiTheme="minorHAnsi"/>
          <w:szCs w:val="24"/>
        </w:rPr>
        <w:t xml:space="preserve"> opportunity for </w:t>
      </w:r>
      <w:r w:rsidR="00B351ED" w:rsidRPr="0081542A">
        <w:rPr>
          <w:rFonts w:asciiTheme="minorHAnsi" w:hAnsiTheme="minorHAnsi"/>
          <w:szCs w:val="24"/>
        </w:rPr>
        <w:t xml:space="preserve">adapting management, given its scope, depth of analysis and independence. In this case, the MTR concluded that: “… the project is broadly on track and should make a good contribution to the conservation of globally important biodiversity.” </w:t>
      </w:r>
      <w:r w:rsidR="00693A62" w:rsidRPr="0081542A">
        <w:rPr>
          <w:rFonts w:asciiTheme="minorHAnsi" w:hAnsiTheme="minorHAnsi"/>
          <w:szCs w:val="24"/>
        </w:rPr>
        <w:t xml:space="preserve">All aspects of the project were rated as </w:t>
      </w:r>
      <w:r w:rsidR="00890F6C" w:rsidRPr="0081542A">
        <w:rPr>
          <w:rFonts w:asciiTheme="minorHAnsi" w:hAnsiTheme="minorHAnsi"/>
          <w:szCs w:val="24"/>
        </w:rPr>
        <w:t xml:space="preserve">‘satisfactory’ </w:t>
      </w:r>
      <w:r w:rsidR="00693A62" w:rsidRPr="0081542A">
        <w:rPr>
          <w:rFonts w:asciiTheme="minorHAnsi" w:hAnsiTheme="minorHAnsi"/>
          <w:szCs w:val="24"/>
        </w:rPr>
        <w:t xml:space="preserve">(i.e. </w:t>
      </w:r>
      <w:r w:rsidR="00890F6C" w:rsidRPr="0081542A">
        <w:rPr>
          <w:rFonts w:asciiTheme="minorHAnsi" w:hAnsiTheme="minorHAnsi"/>
          <w:szCs w:val="24"/>
        </w:rPr>
        <w:t xml:space="preserve">project objective </w:t>
      </w:r>
      <w:r w:rsidR="00693A62" w:rsidRPr="0081542A">
        <w:rPr>
          <w:rFonts w:asciiTheme="minorHAnsi" w:hAnsiTheme="minorHAnsi"/>
          <w:szCs w:val="24"/>
        </w:rPr>
        <w:t>and</w:t>
      </w:r>
      <w:r w:rsidR="00890F6C" w:rsidRPr="0081542A">
        <w:rPr>
          <w:rFonts w:asciiTheme="minorHAnsi" w:hAnsiTheme="minorHAnsi"/>
          <w:szCs w:val="24"/>
        </w:rPr>
        <w:t xml:space="preserve"> outcomes</w:t>
      </w:r>
      <w:r w:rsidR="00693A62" w:rsidRPr="0081542A">
        <w:rPr>
          <w:rFonts w:asciiTheme="minorHAnsi" w:hAnsiTheme="minorHAnsi"/>
          <w:szCs w:val="24"/>
        </w:rPr>
        <w:t>,</w:t>
      </w:r>
      <w:r w:rsidR="00890F6C" w:rsidRPr="0081542A">
        <w:rPr>
          <w:rFonts w:asciiTheme="minorHAnsi" w:hAnsiTheme="minorHAnsi"/>
          <w:szCs w:val="24"/>
        </w:rPr>
        <w:t xml:space="preserve"> </w:t>
      </w:r>
      <w:r w:rsidR="00693A62" w:rsidRPr="0081542A">
        <w:rPr>
          <w:rFonts w:asciiTheme="minorHAnsi" w:hAnsiTheme="minorHAnsi"/>
          <w:szCs w:val="24"/>
        </w:rPr>
        <w:t>project implementation and adaptive management, and sustainability</w:t>
      </w:r>
      <w:r w:rsidR="00693A62" w:rsidRPr="0087699B">
        <w:rPr>
          <w:rFonts w:asciiTheme="minorHAnsi" w:hAnsiTheme="minorHAnsi"/>
          <w:szCs w:val="24"/>
          <w:vertAlign w:val="superscript"/>
        </w:rPr>
        <w:footnoteReference w:id="30"/>
      </w:r>
      <w:r w:rsidR="004E7988">
        <w:rPr>
          <w:rFonts w:asciiTheme="minorHAnsi" w:hAnsiTheme="minorHAnsi"/>
          <w:szCs w:val="24"/>
        </w:rPr>
        <w:t>)</w:t>
      </w:r>
      <w:r w:rsidR="00890F6C" w:rsidRPr="0081542A">
        <w:rPr>
          <w:rFonts w:asciiTheme="minorHAnsi" w:hAnsiTheme="minorHAnsi"/>
          <w:szCs w:val="24"/>
        </w:rPr>
        <w:t xml:space="preserve">. </w:t>
      </w:r>
      <w:r w:rsidR="00151D64" w:rsidRPr="0081542A">
        <w:rPr>
          <w:rFonts w:asciiTheme="minorHAnsi" w:hAnsiTheme="minorHAnsi"/>
          <w:szCs w:val="24"/>
        </w:rPr>
        <w:t xml:space="preserve">The 12 most critical recommendations were summarized, while other suggestions were distributed throughout the report. Management responded </w:t>
      </w:r>
      <w:r w:rsidR="00E7435A" w:rsidRPr="0081542A">
        <w:rPr>
          <w:rFonts w:asciiTheme="minorHAnsi" w:hAnsiTheme="minorHAnsi"/>
          <w:szCs w:val="24"/>
        </w:rPr>
        <w:t xml:space="preserve">comprehensively </w:t>
      </w:r>
      <w:r w:rsidR="00151D64" w:rsidRPr="0081542A">
        <w:rPr>
          <w:rFonts w:asciiTheme="minorHAnsi" w:hAnsiTheme="minorHAnsi"/>
          <w:szCs w:val="24"/>
        </w:rPr>
        <w:t>t</w:t>
      </w:r>
      <w:r w:rsidR="00A16882" w:rsidRPr="0081542A">
        <w:rPr>
          <w:rFonts w:asciiTheme="minorHAnsi" w:hAnsiTheme="minorHAnsi"/>
          <w:szCs w:val="24"/>
        </w:rPr>
        <w:t>o a total of 17 recommendations</w:t>
      </w:r>
      <w:bookmarkStart w:id="145" w:name="_Ref408656953"/>
      <w:r w:rsidR="00E7435A" w:rsidRPr="00642F76">
        <w:rPr>
          <w:rFonts w:asciiTheme="minorHAnsi" w:hAnsiTheme="minorHAnsi"/>
          <w:szCs w:val="24"/>
          <w:vertAlign w:val="superscript"/>
        </w:rPr>
        <w:footnoteReference w:id="31"/>
      </w:r>
      <w:bookmarkEnd w:id="145"/>
      <w:r w:rsidR="00A16882" w:rsidRPr="0081542A">
        <w:rPr>
          <w:rFonts w:asciiTheme="minorHAnsi" w:hAnsiTheme="minorHAnsi"/>
          <w:szCs w:val="24"/>
        </w:rPr>
        <w:t xml:space="preserve">, many of which lacked specificity </w:t>
      </w:r>
      <w:r w:rsidR="00E7435A" w:rsidRPr="0081542A">
        <w:rPr>
          <w:rFonts w:asciiTheme="minorHAnsi" w:hAnsiTheme="minorHAnsi"/>
          <w:szCs w:val="24"/>
        </w:rPr>
        <w:t xml:space="preserve">(e.g. Work to seek mechanisms that will enhance the likelihood of achieving sustainability) or were somewhat simplistic  </w:t>
      </w:r>
      <w:r w:rsidR="00A16882" w:rsidRPr="0081542A">
        <w:rPr>
          <w:rFonts w:asciiTheme="minorHAnsi" w:hAnsiTheme="minorHAnsi"/>
          <w:szCs w:val="24"/>
        </w:rPr>
        <w:t xml:space="preserve">(e.g. </w:t>
      </w:r>
      <w:r w:rsidR="00C44F5D" w:rsidRPr="0081542A">
        <w:rPr>
          <w:rFonts w:asciiTheme="minorHAnsi" w:hAnsiTheme="minorHAnsi"/>
          <w:szCs w:val="24"/>
        </w:rPr>
        <w:t>Keep implementation efficient and effective: there is much to do and only 20 mo</w:t>
      </w:r>
      <w:r w:rsidR="00E7435A" w:rsidRPr="0081542A">
        <w:rPr>
          <w:rFonts w:asciiTheme="minorHAnsi" w:hAnsiTheme="minorHAnsi"/>
          <w:szCs w:val="24"/>
        </w:rPr>
        <w:t xml:space="preserve">[n]ths of project life remaining!). Only a few of these </w:t>
      </w:r>
      <w:r w:rsidR="00C93E72" w:rsidRPr="0081542A">
        <w:rPr>
          <w:rFonts w:asciiTheme="minorHAnsi" w:hAnsiTheme="minorHAnsi"/>
          <w:szCs w:val="24"/>
        </w:rPr>
        <w:t>recommendations led to</w:t>
      </w:r>
      <w:r w:rsidR="00E7435A" w:rsidRPr="0081542A">
        <w:rPr>
          <w:rFonts w:asciiTheme="minorHAnsi" w:hAnsiTheme="minorHAnsi"/>
          <w:szCs w:val="24"/>
        </w:rPr>
        <w:t xml:space="preserve"> significant adaptive management</w:t>
      </w:r>
      <w:r w:rsidR="00C51ACE" w:rsidRPr="0081542A">
        <w:rPr>
          <w:rFonts w:asciiTheme="minorHAnsi" w:hAnsiTheme="minorHAnsi"/>
          <w:szCs w:val="24"/>
        </w:rPr>
        <w:t xml:space="preserve">, such </w:t>
      </w:r>
      <w:r w:rsidR="00633251" w:rsidRPr="0081542A">
        <w:rPr>
          <w:rFonts w:asciiTheme="minorHAnsi" w:hAnsiTheme="minorHAnsi"/>
          <w:szCs w:val="24"/>
        </w:rPr>
        <w:t xml:space="preserve">as </w:t>
      </w:r>
      <w:r w:rsidR="00C93E72" w:rsidRPr="0081542A">
        <w:rPr>
          <w:rFonts w:asciiTheme="minorHAnsi" w:hAnsiTheme="minorHAnsi"/>
          <w:szCs w:val="24"/>
        </w:rPr>
        <w:t>patrolling with</w:t>
      </w:r>
      <w:r w:rsidR="00633251" w:rsidRPr="0081542A">
        <w:rPr>
          <w:rFonts w:asciiTheme="minorHAnsi" w:hAnsiTheme="minorHAnsi"/>
          <w:szCs w:val="24"/>
        </w:rPr>
        <w:t xml:space="preserve"> SMART (Spatial Monitoring &amp; Reporting Tool)</w:t>
      </w:r>
      <w:r w:rsidR="00C93E72" w:rsidRPr="0081542A">
        <w:rPr>
          <w:rFonts w:asciiTheme="minorHAnsi" w:hAnsiTheme="minorHAnsi"/>
          <w:szCs w:val="24"/>
        </w:rPr>
        <w:t>.</w:t>
      </w:r>
      <w:r w:rsidR="006B41DD" w:rsidRPr="0081542A">
        <w:rPr>
          <w:rFonts w:asciiTheme="minorHAnsi" w:hAnsiTheme="minorHAnsi"/>
          <w:szCs w:val="24"/>
        </w:rPr>
        <w:t xml:space="preserve"> This technology has now been introduced by the project for NPs to apply. </w:t>
      </w:r>
    </w:p>
    <w:p w14:paraId="2AD07D96" w14:textId="620D5B18" w:rsidR="00476EE4" w:rsidRPr="00E22EBA" w:rsidRDefault="00F12160" w:rsidP="0067558E">
      <w:pPr>
        <w:pStyle w:val="Heading2"/>
        <w:numPr>
          <w:ilvl w:val="2"/>
          <w:numId w:val="19"/>
        </w:numPr>
        <w:spacing w:before="240" w:after="120"/>
        <w:ind w:left="709" w:hanging="709"/>
        <w:rPr>
          <w:rFonts w:asciiTheme="minorHAnsi" w:hAnsiTheme="minorHAnsi" w:cs="Calibri"/>
          <w:b/>
          <w:caps w:val="0"/>
        </w:rPr>
      </w:pPr>
      <w:bookmarkStart w:id="146" w:name="_Toc414745330"/>
      <w:r>
        <w:rPr>
          <w:rFonts w:asciiTheme="minorHAnsi" w:hAnsiTheme="minorHAnsi" w:cs="Calibri"/>
          <w:b/>
          <w:caps w:val="0"/>
        </w:rPr>
        <w:t>Project f</w:t>
      </w:r>
      <w:r w:rsidR="00476EE4" w:rsidRPr="00E22EBA">
        <w:rPr>
          <w:rFonts w:asciiTheme="minorHAnsi" w:hAnsiTheme="minorHAnsi" w:cs="Calibri"/>
          <w:b/>
          <w:caps w:val="0"/>
        </w:rPr>
        <w:t>inance</w:t>
      </w:r>
      <w:bookmarkEnd w:id="146"/>
    </w:p>
    <w:p w14:paraId="42646B05" w14:textId="568BE0F9" w:rsidR="00C93E72" w:rsidRPr="0081542A" w:rsidRDefault="00C93E72" w:rsidP="0081542A">
      <w:pPr>
        <w:pStyle w:val="BodyText"/>
        <w:spacing w:line="240" w:lineRule="auto"/>
        <w:rPr>
          <w:rFonts w:asciiTheme="minorHAnsi" w:hAnsiTheme="minorHAnsi"/>
          <w:szCs w:val="24"/>
        </w:rPr>
      </w:pPr>
      <w:r w:rsidRPr="0081542A">
        <w:rPr>
          <w:rFonts w:asciiTheme="minorHAnsi" w:hAnsiTheme="minorHAnsi"/>
          <w:szCs w:val="24"/>
        </w:rPr>
        <w:t>The total budget in the Pro</w:t>
      </w:r>
      <w:r w:rsidR="000B7B06" w:rsidRPr="0081542A">
        <w:rPr>
          <w:rFonts w:asciiTheme="minorHAnsi" w:hAnsiTheme="minorHAnsi"/>
          <w:szCs w:val="24"/>
        </w:rPr>
        <w:t>Doc</w:t>
      </w:r>
      <w:r w:rsidRPr="0081542A">
        <w:rPr>
          <w:rFonts w:asciiTheme="minorHAnsi" w:hAnsiTheme="minorHAnsi"/>
          <w:szCs w:val="24"/>
        </w:rPr>
        <w:t xml:space="preserve"> is US$ </w:t>
      </w:r>
      <w:r w:rsidR="000B7B06" w:rsidRPr="0081542A">
        <w:rPr>
          <w:rFonts w:asciiTheme="minorHAnsi" w:hAnsiTheme="minorHAnsi"/>
          <w:szCs w:val="24"/>
        </w:rPr>
        <w:t xml:space="preserve">14,998,778, </w:t>
      </w:r>
      <w:r w:rsidRPr="0081542A">
        <w:rPr>
          <w:rFonts w:asciiTheme="minorHAnsi" w:hAnsiTheme="minorHAnsi"/>
          <w:szCs w:val="24"/>
        </w:rPr>
        <w:t xml:space="preserve">of which US$ </w:t>
      </w:r>
      <w:r w:rsidR="000B7B06" w:rsidRPr="0081542A">
        <w:rPr>
          <w:rFonts w:asciiTheme="minorHAnsi" w:hAnsiTheme="minorHAnsi"/>
          <w:szCs w:val="24"/>
        </w:rPr>
        <w:t>1,28</w:t>
      </w:r>
      <w:r w:rsidRPr="0081542A">
        <w:rPr>
          <w:rFonts w:asciiTheme="minorHAnsi" w:hAnsiTheme="minorHAnsi"/>
          <w:szCs w:val="24"/>
        </w:rPr>
        <w:t>3</w:t>
      </w:r>
      <w:r w:rsidR="000B7B06" w:rsidRPr="0081542A">
        <w:rPr>
          <w:rFonts w:asciiTheme="minorHAnsi" w:hAnsiTheme="minorHAnsi"/>
          <w:szCs w:val="24"/>
        </w:rPr>
        <w:t>,</w:t>
      </w:r>
      <w:r w:rsidRPr="0081542A">
        <w:rPr>
          <w:rFonts w:asciiTheme="minorHAnsi" w:hAnsiTheme="minorHAnsi"/>
          <w:szCs w:val="24"/>
        </w:rPr>
        <w:t>6</w:t>
      </w:r>
      <w:r w:rsidR="000B7B06" w:rsidRPr="0081542A">
        <w:rPr>
          <w:rFonts w:asciiTheme="minorHAnsi" w:hAnsiTheme="minorHAnsi"/>
          <w:szCs w:val="24"/>
        </w:rPr>
        <w:t>36</w:t>
      </w:r>
      <w:r w:rsidRPr="0081542A">
        <w:rPr>
          <w:rFonts w:asciiTheme="minorHAnsi" w:hAnsiTheme="minorHAnsi"/>
          <w:szCs w:val="24"/>
        </w:rPr>
        <w:t xml:space="preserve"> (</w:t>
      </w:r>
      <w:r w:rsidR="000B7B06" w:rsidRPr="0081542A">
        <w:rPr>
          <w:rFonts w:asciiTheme="minorHAnsi" w:hAnsiTheme="minorHAnsi"/>
          <w:szCs w:val="24"/>
        </w:rPr>
        <w:t>8.6</w:t>
      </w:r>
      <w:r w:rsidRPr="0081542A">
        <w:rPr>
          <w:rFonts w:asciiTheme="minorHAnsi" w:hAnsiTheme="minorHAnsi"/>
          <w:szCs w:val="24"/>
        </w:rPr>
        <w:t xml:space="preserve">%) is grant-aided by GEF, US$ </w:t>
      </w:r>
      <w:r w:rsidR="00862390" w:rsidRPr="0081542A">
        <w:rPr>
          <w:rFonts w:asciiTheme="minorHAnsi" w:hAnsiTheme="minorHAnsi"/>
          <w:szCs w:val="24"/>
        </w:rPr>
        <w:t>40</w:t>
      </w:r>
      <w:r w:rsidR="000B7B06" w:rsidRPr="0081542A">
        <w:rPr>
          <w:rFonts w:asciiTheme="minorHAnsi" w:hAnsiTheme="minorHAnsi"/>
          <w:szCs w:val="24"/>
        </w:rPr>
        <w:t>,000</w:t>
      </w:r>
      <w:r w:rsidRPr="0081542A">
        <w:rPr>
          <w:rFonts w:asciiTheme="minorHAnsi" w:hAnsiTheme="minorHAnsi"/>
          <w:szCs w:val="24"/>
        </w:rPr>
        <w:t xml:space="preserve"> (</w:t>
      </w:r>
      <w:r w:rsidR="00862390" w:rsidRPr="0081542A">
        <w:rPr>
          <w:rFonts w:asciiTheme="minorHAnsi" w:hAnsiTheme="minorHAnsi"/>
          <w:szCs w:val="24"/>
        </w:rPr>
        <w:t>0</w:t>
      </w:r>
      <w:r w:rsidR="00D54E6A" w:rsidRPr="0081542A">
        <w:rPr>
          <w:rFonts w:asciiTheme="minorHAnsi" w:hAnsiTheme="minorHAnsi"/>
          <w:szCs w:val="24"/>
        </w:rPr>
        <w:t>.</w:t>
      </w:r>
      <w:r w:rsidR="00862390" w:rsidRPr="0081542A">
        <w:rPr>
          <w:rFonts w:asciiTheme="minorHAnsi" w:hAnsiTheme="minorHAnsi"/>
          <w:szCs w:val="24"/>
        </w:rPr>
        <w:t>3</w:t>
      </w:r>
      <w:r w:rsidRPr="0081542A">
        <w:rPr>
          <w:rFonts w:asciiTheme="minorHAnsi" w:hAnsiTheme="minorHAnsi"/>
          <w:szCs w:val="24"/>
        </w:rPr>
        <w:t>%) is TRAC funding (grant) from UNDP and the rest is co</w:t>
      </w:r>
      <w:r w:rsidR="00A9240A" w:rsidRPr="0081542A">
        <w:rPr>
          <w:rFonts w:asciiTheme="minorHAnsi" w:hAnsiTheme="minorHAnsi"/>
          <w:szCs w:val="24"/>
        </w:rPr>
        <w:t>-financing from national and regional g</w:t>
      </w:r>
      <w:r w:rsidRPr="0081542A">
        <w:rPr>
          <w:rFonts w:asciiTheme="minorHAnsi" w:hAnsiTheme="minorHAnsi"/>
          <w:szCs w:val="24"/>
        </w:rPr>
        <w:t>overnment</w:t>
      </w:r>
      <w:r w:rsidR="00A9240A" w:rsidRPr="0081542A">
        <w:rPr>
          <w:rFonts w:asciiTheme="minorHAnsi" w:hAnsiTheme="minorHAnsi"/>
          <w:szCs w:val="24"/>
        </w:rPr>
        <w:t>s</w:t>
      </w:r>
      <w:r w:rsidR="0054655C" w:rsidRPr="0081542A">
        <w:rPr>
          <w:rFonts w:asciiTheme="minorHAnsi" w:hAnsiTheme="minorHAnsi"/>
          <w:szCs w:val="24"/>
        </w:rPr>
        <w:t>, US$ 10,791,079</w:t>
      </w:r>
      <w:r w:rsidRPr="0081542A">
        <w:rPr>
          <w:rFonts w:asciiTheme="minorHAnsi" w:hAnsiTheme="minorHAnsi"/>
          <w:szCs w:val="24"/>
        </w:rPr>
        <w:t xml:space="preserve"> (</w:t>
      </w:r>
      <w:r w:rsidR="0054655C" w:rsidRPr="0081542A">
        <w:rPr>
          <w:rFonts w:asciiTheme="minorHAnsi" w:hAnsiTheme="minorHAnsi"/>
          <w:szCs w:val="24"/>
        </w:rPr>
        <w:t>7</w:t>
      </w:r>
      <w:r w:rsidRPr="0081542A">
        <w:rPr>
          <w:rFonts w:asciiTheme="minorHAnsi" w:hAnsiTheme="minorHAnsi"/>
          <w:szCs w:val="24"/>
        </w:rPr>
        <w:t>1.</w:t>
      </w:r>
      <w:r w:rsidR="0054655C" w:rsidRPr="0081542A">
        <w:rPr>
          <w:rFonts w:asciiTheme="minorHAnsi" w:hAnsiTheme="minorHAnsi"/>
          <w:szCs w:val="24"/>
        </w:rPr>
        <w:t>9</w:t>
      </w:r>
      <w:r w:rsidRPr="0081542A">
        <w:rPr>
          <w:rFonts w:asciiTheme="minorHAnsi" w:hAnsiTheme="minorHAnsi"/>
          <w:szCs w:val="24"/>
        </w:rPr>
        <w:t>%)</w:t>
      </w:r>
      <w:r w:rsidR="004020FB">
        <w:rPr>
          <w:rFonts w:asciiTheme="minorHAnsi" w:hAnsiTheme="minorHAnsi"/>
          <w:szCs w:val="24"/>
        </w:rPr>
        <w:t>,</w:t>
      </w:r>
      <w:r w:rsidRPr="0081542A">
        <w:rPr>
          <w:rFonts w:asciiTheme="minorHAnsi" w:hAnsiTheme="minorHAnsi"/>
          <w:szCs w:val="24"/>
        </w:rPr>
        <w:t xml:space="preserve"> </w:t>
      </w:r>
      <w:r w:rsidR="00A9240A" w:rsidRPr="0081542A">
        <w:rPr>
          <w:rFonts w:asciiTheme="minorHAnsi" w:hAnsiTheme="minorHAnsi"/>
          <w:szCs w:val="24"/>
        </w:rPr>
        <w:t>and other sources,</w:t>
      </w:r>
      <w:r w:rsidRPr="0081542A">
        <w:rPr>
          <w:rFonts w:asciiTheme="minorHAnsi" w:hAnsiTheme="minorHAnsi"/>
          <w:szCs w:val="24"/>
        </w:rPr>
        <w:t xml:space="preserve"> US$ 2</w:t>
      </w:r>
      <w:r w:rsidR="0076754B" w:rsidRPr="0081542A">
        <w:rPr>
          <w:rFonts w:asciiTheme="minorHAnsi" w:hAnsiTheme="minorHAnsi"/>
          <w:szCs w:val="24"/>
        </w:rPr>
        <w:t>,884,063</w:t>
      </w:r>
      <w:r w:rsidRPr="0081542A">
        <w:rPr>
          <w:rFonts w:asciiTheme="minorHAnsi" w:hAnsiTheme="minorHAnsi"/>
          <w:szCs w:val="24"/>
        </w:rPr>
        <w:t xml:space="preserve"> (</w:t>
      </w:r>
      <w:r w:rsidR="0076754B" w:rsidRPr="0081542A">
        <w:rPr>
          <w:rFonts w:asciiTheme="minorHAnsi" w:hAnsiTheme="minorHAnsi"/>
          <w:szCs w:val="24"/>
        </w:rPr>
        <w:t>19.2</w:t>
      </w:r>
      <w:r w:rsidRPr="0081542A">
        <w:rPr>
          <w:rFonts w:asciiTheme="minorHAnsi" w:hAnsiTheme="minorHAnsi"/>
          <w:szCs w:val="24"/>
        </w:rPr>
        <w:t>%) (</w:t>
      </w:r>
      <w:r w:rsidRPr="0081542A">
        <w:rPr>
          <w:rFonts w:asciiTheme="minorHAnsi" w:hAnsiTheme="minorHAnsi"/>
          <w:b/>
          <w:szCs w:val="24"/>
        </w:rPr>
        <w:t>Table 3.</w:t>
      </w:r>
      <w:r w:rsidR="0076754B" w:rsidRPr="0081542A">
        <w:rPr>
          <w:rFonts w:asciiTheme="minorHAnsi" w:hAnsiTheme="minorHAnsi"/>
          <w:b/>
          <w:szCs w:val="24"/>
        </w:rPr>
        <w:t>3</w:t>
      </w:r>
      <w:r w:rsidRPr="0081542A">
        <w:rPr>
          <w:rFonts w:asciiTheme="minorHAnsi" w:hAnsiTheme="minorHAnsi"/>
          <w:szCs w:val="24"/>
        </w:rPr>
        <w:t>).</w:t>
      </w:r>
    </w:p>
    <w:p w14:paraId="4DA94E90" w14:textId="443F1FDE" w:rsidR="00293BDC" w:rsidRDefault="0081542A" w:rsidP="00093F09">
      <w:pPr>
        <w:pStyle w:val="BodyText"/>
        <w:spacing w:line="240" w:lineRule="auto"/>
        <w:rPr>
          <w:rFonts w:asciiTheme="minorHAnsi" w:hAnsiTheme="minorHAnsi"/>
          <w:szCs w:val="24"/>
        </w:rPr>
      </w:pPr>
      <w:r>
        <w:rPr>
          <w:rFonts w:asciiTheme="minorHAnsi" w:hAnsiTheme="minorHAnsi"/>
          <w:szCs w:val="24"/>
        </w:rPr>
        <w:t>Pledged funds did not change significantly during the intervening 13 months between CEO endorsement and completion of the project inception period, the only apparent change being a slight reduction of $995 in APA’s contribution (</w:t>
      </w:r>
      <w:r w:rsidRPr="001220CC">
        <w:rPr>
          <w:rFonts w:asciiTheme="minorHAnsi" w:hAnsiTheme="minorHAnsi"/>
          <w:b/>
          <w:szCs w:val="24"/>
        </w:rPr>
        <w:t>Table 3.3</w:t>
      </w:r>
      <w:r>
        <w:rPr>
          <w:rFonts w:asciiTheme="minorHAnsi" w:hAnsiTheme="minorHAnsi"/>
          <w:szCs w:val="24"/>
        </w:rPr>
        <w:t>)</w:t>
      </w:r>
      <w:r w:rsidR="00C16416">
        <w:rPr>
          <w:rFonts w:asciiTheme="minorHAnsi" w:hAnsiTheme="minorHAnsi"/>
          <w:szCs w:val="24"/>
        </w:rPr>
        <w:t xml:space="preserve"> but this is thought to have </w:t>
      </w:r>
      <w:r w:rsidR="00C16416">
        <w:rPr>
          <w:rFonts w:asciiTheme="minorHAnsi" w:hAnsiTheme="minorHAnsi"/>
          <w:szCs w:val="24"/>
        </w:rPr>
        <w:lastRenderedPageBreak/>
        <w:t>been a clerical error in the Inception Report</w:t>
      </w:r>
      <w:r>
        <w:rPr>
          <w:rFonts w:asciiTheme="minorHAnsi" w:hAnsiTheme="minorHAnsi"/>
          <w:szCs w:val="24"/>
        </w:rPr>
        <w:t xml:space="preserve">. </w:t>
      </w:r>
      <w:r w:rsidR="00964FF1">
        <w:rPr>
          <w:rFonts w:asciiTheme="minorHAnsi" w:hAnsiTheme="minorHAnsi"/>
          <w:szCs w:val="24"/>
        </w:rPr>
        <w:t xml:space="preserve">The </w:t>
      </w:r>
      <w:r w:rsidR="004020FB">
        <w:rPr>
          <w:rFonts w:asciiTheme="minorHAnsi" w:hAnsiTheme="minorHAnsi"/>
          <w:szCs w:val="24"/>
        </w:rPr>
        <w:t>significant</w:t>
      </w:r>
      <w:r w:rsidR="00964FF1">
        <w:rPr>
          <w:rFonts w:asciiTheme="minorHAnsi" w:hAnsiTheme="minorHAnsi"/>
          <w:szCs w:val="24"/>
        </w:rPr>
        <w:t xml:space="preserve"> point is that the small GEF grant of just under US$ 1.3 million leveraged </w:t>
      </w:r>
      <w:r w:rsidR="004020FB">
        <w:rPr>
          <w:rFonts w:asciiTheme="minorHAnsi" w:hAnsiTheme="minorHAnsi"/>
          <w:szCs w:val="24"/>
        </w:rPr>
        <w:t>tenfold in co-financing (</w:t>
      </w:r>
      <w:r w:rsidR="00964FF1">
        <w:rPr>
          <w:rFonts w:asciiTheme="minorHAnsi" w:hAnsiTheme="minorHAnsi"/>
          <w:szCs w:val="24"/>
        </w:rPr>
        <w:t>almost US$ 13.7 million</w:t>
      </w:r>
      <w:r w:rsidR="004020FB">
        <w:rPr>
          <w:rFonts w:asciiTheme="minorHAnsi" w:hAnsiTheme="minorHAnsi"/>
          <w:szCs w:val="24"/>
        </w:rPr>
        <w:t>).</w:t>
      </w:r>
    </w:p>
    <w:p w14:paraId="216A675A" w14:textId="735AA465" w:rsidR="00C93E72" w:rsidRPr="00EE0572" w:rsidRDefault="00C93E72" w:rsidP="005A273B">
      <w:pPr>
        <w:pStyle w:val="BodyText"/>
        <w:spacing w:line="240" w:lineRule="auto"/>
        <w:ind w:left="1276" w:hanging="1276"/>
        <w:rPr>
          <w:rFonts w:asciiTheme="minorHAnsi" w:hAnsiTheme="minorHAnsi"/>
        </w:rPr>
      </w:pPr>
      <w:r w:rsidRPr="00EE0572">
        <w:rPr>
          <w:rFonts w:asciiTheme="minorHAnsi" w:hAnsiTheme="minorHAnsi" w:cs="Arial"/>
          <w:b/>
          <w:szCs w:val="24"/>
        </w:rPr>
        <w:t>Table 3.</w:t>
      </w:r>
      <w:r w:rsidR="00A77F88" w:rsidRPr="00EE0572">
        <w:rPr>
          <w:rFonts w:asciiTheme="minorHAnsi" w:hAnsiTheme="minorHAnsi" w:cs="Arial"/>
          <w:b/>
          <w:szCs w:val="24"/>
        </w:rPr>
        <w:t>3</w:t>
      </w:r>
      <w:r w:rsidRPr="00EE0572">
        <w:rPr>
          <w:rFonts w:asciiTheme="minorHAnsi" w:hAnsiTheme="minorHAnsi" w:cs="Arial"/>
          <w:b/>
          <w:szCs w:val="24"/>
        </w:rPr>
        <w:tab/>
      </w:r>
      <w:r w:rsidR="00911EB4" w:rsidRPr="00EE0572">
        <w:rPr>
          <w:rFonts w:asciiTheme="minorHAnsi" w:hAnsiTheme="minorHAnsi"/>
          <w:szCs w:val="24"/>
        </w:rPr>
        <w:t>Budget s</w:t>
      </w:r>
      <w:r w:rsidRPr="00EE0572">
        <w:rPr>
          <w:rFonts w:asciiTheme="minorHAnsi" w:hAnsiTheme="minorHAnsi"/>
          <w:szCs w:val="24"/>
        </w:rPr>
        <w:t xml:space="preserve">tatus by fund source at </w:t>
      </w:r>
      <w:r w:rsidR="00911EB4" w:rsidRPr="00EE0572">
        <w:rPr>
          <w:rFonts w:asciiTheme="minorHAnsi" w:hAnsiTheme="minorHAnsi"/>
          <w:szCs w:val="24"/>
        </w:rPr>
        <w:t xml:space="preserve">project </w:t>
      </w:r>
      <w:r w:rsidRPr="00EE0572">
        <w:rPr>
          <w:rFonts w:asciiTheme="minorHAnsi" w:hAnsiTheme="minorHAnsi"/>
          <w:szCs w:val="24"/>
        </w:rPr>
        <w:t>endorsement, start, mid-term and end</w:t>
      </w:r>
    </w:p>
    <w:tbl>
      <w:tblPr>
        <w:tblW w:w="5000" w:type="pct"/>
        <w:jc w:val="center"/>
        <w:tblLook w:val="0000" w:firstRow="0" w:lastRow="0" w:firstColumn="0" w:lastColumn="0" w:noHBand="0" w:noVBand="0"/>
      </w:tblPr>
      <w:tblGrid>
        <w:gridCol w:w="1446"/>
        <w:gridCol w:w="1133"/>
        <w:gridCol w:w="1844"/>
        <w:gridCol w:w="1671"/>
        <w:gridCol w:w="1448"/>
        <w:gridCol w:w="1540"/>
      </w:tblGrid>
      <w:tr w:rsidR="00226545" w:rsidRPr="005A273B" w14:paraId="1027AED9" w14:textId="77777777" w:rsidTr="005A273B">
        <w:trPr>
          <w:trHeight w:val="642"/>
          <w:jc w:val="center"/>
        </w:trPr>
        <w:tc>
          <w:tcPr>
            <w:tcW w:w="796" w:type="pct"/>
            <w:tcBorders>
              <w:top w:val="single" w:sz="18" w:space="0" w:color="auto"/>
              <w:left w:val="single" w:sz="18" w:space="0" w:color="auto"/>
              <w:bottom w:val="single" w:sz="12" w:space="0" w:color="auto"/>
              <w:right w:val="single" w:sz="6" w:space="0" w:color="auto"/>
            </w:tcBorders>
            <w:shd w:val="clear" w:color="969696" w:fill="000000"/>
            <w:tcMar>
              <w:top w:w="28" w:type="dxa"/>
              <w:left w:w="28" w:type="dxa"/>
              <w:bottom w:w="28" w:type="dxa"/>
              <w:right w:w="28" w:type="dxa"/>
            </w:tcMar>
            <w:vAlign w:val="center"/>
          </w:tcPr>
          <w:p w14:paraId="5D71FB7F" w14:textId="77777777" w:rsidR="00A9240A" w:rsidRPr="005A273B" w:rsidRDefault="00A9240A" w:rsidP="00A9240A">
            <w:pPr>
              <w:keepNext/>
              <w:rPr>
                <w:rFonts w:ascii="Calibri" w:hAnsi="Calibri" w:cs="Calibri"/>
                <w:b/>
                <w:bCs/>
                <w:color w:val="FFFFFF" w:themeColor="background1"/>
                <w:sz w:val="20"/>
                <w:lang w:val="en-US"/>
              </w:rPr>
            </w:pPr>
            <w:r w:rsidRPr="005A273B">
              <w:rPr>
                <w:rFonts w:ascii="Calibri" w:hAnsi="Calibri" w:cs="Calibri"/>
                <w:b/>
                <w:bCs/>
                <w:color w:val="FFFFFF" w:themeColor="background1"/>
                <w:sz w:val="20"/>
                <w:lang w:val="en-US"/>
              </w:rPr>
              <w:t>Fund source</w:t>
            </w:r>
          </w:p>
        </w:tc>
        <w:tc>
          <w:tcPr>
            <w:tcW w:w="624" w:type="pct"/>
            <w:tcBorders>
              <w:top w:val="single" w:sz="18" w:space="0" w:color="auto"/>
              <w:left w:val="single" w:sz="6" w:space="0" w:color="auto"/>
              <w:bottom w:val="single" w:sz="12" w:space="0" w:color="auto"/>
              <w:right w:val="single" w:sz="6" w:space="0" w:color="auto"/>
            </w:tcBorders>
            <w:shd w:val="clear" w:color="969696" w:fill="000000"/>
            <w:tcMar>
              <w:top w:w="28" w:type="dxa"/>
              <w:left w:w="28" w:type="dxa"/>
              <w:bottom w:w="28" w:type="dxa"/>
              <w:right w:w="28" w:type="dxa"/>
            </w:tcMar>
            <w:vAlign w:val="center"/>
          </w:tcPr>
          <w:p w14:paraId="78CA3191" w14:textId="77777777" w:rsidR="00A9240A" w:rsidRPr="005A273B" w:rsidRDefault="00A9240A" w:rsidP="00A9240A">
            <w:pPr>
              <w:keepNext/>
              <w:jc w:val="center"/>
              <w:rPr>
                <w:rFonts w:ascii="Calibri" w:hAnsi="Calibri" w:cs="Calibri"/>
                <w:b/>
                <w:bCs/>
                <w:color w:val="FFFFFF" w:themeColor="background1"/>
                <w:sz w:val="20"/>
                <w:lang w:val="en-US"/>
              </w:rPr>
            </w:pPr>
            <w:r w:rsidRPr="005A273B">
              <w:rPr>
                <w:rFonts w:ascii="Calibri" w:hAnsi="Calibri" w:cs="Calibri"/>
                <w:b/>
                <w:bCs/>
                <w:color w:val="FFFFFF" w:themeColor="background1"/>
                <w:sz w:val="20"/>
                <w:lang w:val="en-US"/>
              </w:rPr>
              <w:t>Fund type</w:t>
            </w:r>
          </w:p>
        </w:tc>
        <w:tc>
          <w:tcPr>
            <w:tcW w:w="1015" w:type="pct"/>
            <w:tcBorders>
              <w:top w:val="single" w:sz="18" w:space="0" w:color="auto"/>
              <w:left w:val="single" w:sz="6" w:space="0" w:color="auto"/>
              <w:bottom w:val="single" w:sz="12" w:space="0" w:color="auto"/>
              <w:right w:val="single" w:sz="6" w:space="0" w:color="auto"/>
            </w:tcBorders>
            <w:shd w:val="clear" w:color="969696" w:fill="000000"/>
            <w:tcMar>
              <w:top w:w="28" w:type="dxa"/>
              <w:left w:w="28" w:type="dxa"/>
              <w:bottom w:w="28" w:type="dxa"/>
              <w:right w:w="28" w:type="dxa"/>
            </w:tcMar>
            <w:vAlign w:val="center"/>
          </w:tcPr>
          <w:p w14:paraId="7FDC803B" w14:textId="77777777" w:rsidR="00A9240A" w:rsidRPr="005A273B" w:rsidRDefault="00A9240A" w:rsidP="00A9240A">
            <w:pPr>
              <w:keepNext/>
              <w:jc w:val="center"/>
              <w:rPr>
                <w:rFonts w:ascii="Calibri" w:hAnsi="Calibri" w:cs="Calibri"/>
                <w:b/>
                <w:bCs/>
                <w:color w:val="FFFFFF" w:themeColor="background1"/>
                <w:sz w:val="20"/>
                <w:lang w:val="en-US"/>
              </w:rPr>
            </w:pPr>
            <w:r w:rsidRPr="005A273B">
              <w:rPr>
                <w:rFonts w:ascii="Calibri" w:hAnsi="Calibri" w:cs="Calibri"/>
                <w:b/>
                <w:bCs/>
                <w:color w:val="FFFFFF" w:themeColor="background1"/>
                <w:sz w:val="20"/>
                <w:lang w:val="en-US"/>
              </w:rPr>
              <w:t>Fund status at CEO endorsement (US$)</w:t>
            </w:r>
            <w:r w:rsidRPr="005A273B">
              <w:rPr>
                <w:rFonts w:ascii="Calibri" w:hAnsi="Calibri" w:cs="Calibri"/>
                <w:b/>
                <w:bCs/>
                <w:color w:val="FFFFFF" w:themeColor="background1"/>
                <w:sz w:val="20"/>
                <w:vertAlign w:val="superscript"/>
                <w:lang w:val="en-US"/>
              </w:rPr>
              <w:t>1</w:t>
            </w:r>
          </w:p>
        </w:tc>
        <w:tc>
          <w:tcPr>
            <w:tcW w:w="920" w:type="pct"/>
            <w:tcBorders>
              <w:top w:val="single" w:sz="18" w:space="0" w:color="auto"/>
              <w:left w:val="single" w:sz="6" w:space="0" w:color="auto"/>
              <w:bottom w:val="single" w:sz="12" w:space="0" w:color="auto"/>
              <w:right w:val="single" w:sz="6" w:space="0" w:color="auto"/>
            </w:tcBorders>
            <w:shd w:val="clear" w:color="969696" w:fill="000000"/>
            <w:vAlign w:val="center"/>
          </w:tcPr>
          <w:p w14:paraId="493061AD" w14:textId="77777777" w:rsidR="00A9240A" w:rsidRPr="005A273B" w:rsidRDefault="00A9240A" w:rsidP="00A9240A">
            <w:pPr>
              <w:keepNext/>
              <w:jc w:val="center"/>
              <w:rPr>
                <w:rFonts w:ascii="Calibri" w:hAnsi="Calibri" w:cs="Calibri"/>
                <w:b/>
                <w:bCs/>
                <w:color w:val="FFFFFF" w:themeColor="background1"/>
                <w:sz w:val="20"/>
                <w:lang w:val="en-US"/>
              </w:rPr>
            </w:pPr>
            <w:r w:rsidRPr="005A273B">
              <w:rPr>
                <w:rFonts w:ascii="Calibri" w:hAnsi="Calibri" w:cs="Calibri"/>
                <w:b/>
                <w:bCs/>
                <w:color w:val="FFFFFF" w:themeColor="background1"/>
                <w:sz w:val="20"/>
                <w:lang w:val="en-US"/>
              </w:rPr>
              <w:t>Fund status at inception (US$)</w:t>
            </w:r>
            <w:r w:rsidRPr="005A273B">
              <w:rPr>
                <w:rFonts w:ascii="Calibri" w:hAnsi="Calibri" w:cs="Calibri"/>
                <w:b/>
                <w:bCs/>
                <w:color w:val="FFFFFF" w:themeColor="background1"/>
                <w:sz w:val="20"/>
                <w:vertAlign w:val="superscript"/>
                <w:lang w:val="en-US"/>
              </w:rPr>
              <w:t>2</w:t>
            </w:r>
          </w:p>
        </w:tc>
        <w:tc>
          <w:tcPr>
            <w:tcW w:w="797" w:type="pct"/>
            <w:tcBorders>
              <w:top w:val="single" w:sz="18" w:space="0" w:color="auto"/>
              <w:left w:val="single" w:sz="6" w:space="0" w:color="auto"/>
              <w:bottom w:val="single" w:sz="12" w:space="0" w:color="auto"/>
              <w:right w:val="single" w:sz="6" w:space="0" w:color="auto"/>
            </w:tcBorders>
            <w:shd w:val="clear" w:color="969696" w:fill="000000"/>
            <w:tcMar>
              <w:top w:w="28" w:type="dxa"/>
              <w:left w:w="28" w:type="dxa"/>
              <w:bottom w:w="28" w:type="dxa"/>
              <w:right w:w="28" w:type="dxa"/>
            </w:tcMar>
            <w:vAlign w:val="center"/>
          </w:tcPr>
          <w:p w14:paraId="602008A1" w14:textId="2222B25D" w:rsidR="00A9240A" w:rsidRPr="005A273B" w:rsidRDefault="00A9240A" w:rsidP="00DB3529">
            <w:pPr>
              <w:keepNext/>
              <w:jc w:val="center"/>
              <w:rPr>
                <w:rFonts w:ascii="Calibri" w:hAnsi="Calibri" w:cs="Calibri"/>
                <w:b/>
                <w:bCs/>
                <w:color w:val="FFFFFF" w:themeColor="background1"/>
                <w:sz w:val="20"/>
                <w:lang w:val="en-US"/>
              </w:rPr>
            </w:pPr>
            <w:r w:rsidRPr="005A273B">
              <w:rPr>
                <w:rFonts w:ascii="Calibri" w:hAnsi="Calibri" w:cs="Calibri"/>
                <w:b/>
                <w:bCs/>
                <w:color w:val="FFFFFF" w:themeColor="background1"/>
                <w:sz w:val="20"/>
                <w:lang w:val="en-US"/>
              </w:rPr>
              <w:t>Fund</w:t>
            </w:r>
            <w:r w:rsidR="00DB3529" w:rsidRPr="005A273B">
              <w:rPr>
                <w:rFonts w:ascii="Calibri" w:hAnsi="Calibri" w:cs="Calibri"/>
                <w:b/>
                <w:bCs/>
                <w:color w:val="FFFFFF" w:themeColor="background1"/>
                <w:sz w:val="20"/>
                <w:lang w:val="en-US"/>
              </w:rPr>
              <w:t>s</w:t>
            </w:r>
            <w:r w:rsidRPr="005A273B">
              <w:rPr>
                <w:rFonts w:ascii="Calibri" w:hAnsi="Calibri" w:cs="Calibri"/>
                <w:b/>
                <w:bCs/>
                <w:color w:val="FFFFFF" w:themeColor="background1"/>
                <w:sz w:val="20"/>
                <w:lang w:val="en-US"/>
              </w:rPr>
              <w:t xml:space="preserve"> </w:t>
            </w:r>
            <w:r w:rsidR="00DB3529" w:rsidRPr="005A273B">
              <w:rPr>
                <w:rFonts w:ascii="Calibri" w:hAnsi="Calibri" w:cs="Calibri"/>
                <w:b/>
                <w:bCs/>
                <w:color w:val="FFFFFF" w:themeColor="background1"/>
                <w:sz w:val="20"/>
                <w:lang w:val="en-US"/>
              </w:rPr>
              <w:t>used by</w:t>
            </w:r>
            <w:r w:rsidRPr="005A273B">
              <w:rPr>
                <w:rFonts w:ascii="Calibri" w:hAnsi="Calibri" w:cs="Calibri"/>
                <w:b/>
                <w:bCs/>
                <w:color w:val="FFFFFF" w:themeColor="background1"/>
                <w:sz w:val="20"/>
                <w:lang w:val="en-US"/>
              </w:rPr>
              <w:t xml:space="preserve"> mid-term (US$)</w:t>
            </w:r>
            <w:r w:rsidRPr="005A273B">
              <w:rPr>
                <w:rFonts w:ascii="Calibri" w:hAnsi="Calibri" w:cs="Calibri"/>
                <w:b/>
                <w:bCs/>
                <w:color w:val="FFFFFF" w:themeColor="background1"/>
                <w:sz w:val="20"/>
                <w:vertAlign w:val="superscript"/>
                <w:lang w:val="en-US"/>
              </w:rPr>
              <w:t>3</w:t>
            </w:r>
          </w:p>
        </w:tc>
        <w:tc>
          <w:tcPr>
            <w:tcW w:w="848" w:type="pct"/>
            <w:tcBorders>
              <w:top w:val="single" w:sz="18" w:space="0" w:color="auto"/>
              <w:left w:val="single" w:sz="6" w:space="0" w:color="auto"/>
              <w:bottom w:val="single" w:sz="12" w:space="0" w:color="auto"/>
              <w:right w:val="single" w:sz="18" w:space="0" w:color="auto"/>
            </w:tcBorders>
            <w:shd w:val="clear" w:color="969696" w:fill="000000"/>
            <w:tcMar>
              <w:top w:w="28" w:type="dxa"/>
              <w:left w:w="28" w:type="dxa"/>
              <w:bottom w:w="28" w:type="dxa"/>
              <w:right w:w="28" w:type="dxa"/>
            </w:tcMar>
            <w:vAlign w:val="center"/>
          </w:tcPr>
          <w:p w14:paraId="47F80013" w14:textId="54E2F320" w:rsidR="00A9240A" w:rsidRPr="005A273B" w:rsidRDefault="00A9240A" w:rsidP="00DB3529">
            <w:pPr>
              <w:keepNext/>
              <w:jc w:val="center"/>
              <w:rPr>
                <w:rFonts w:ascii="Calibri" w:hAnsi="Calibri" w:cs="Calibri"/>
                <w:b/>
                <w:bCs/>
                <w:color w:val="FFFFFF" w:themeColor="background1"/>
                <w:sz w:val="20"/>
                <w:lang w:val="en-US"/>
              </w:rPr>
            </w:pPr>
            <w:r w:rsidRPr="005A273B">
              <w:rPr>
                <w:rFonts w:ascii="Calibri" w:hAnsi="Calibri" w:cs="Calibri"/>
                <w:b/>
                <w:bCs/>
                <w:color w:val="FFFFFF" w:themeColor="background1"/>
                <w:sz w:val="20"/>
                <w:lang w:val="en-US"/>
              </w:rPr>
              <w:t>Fund</w:t>
            </w:r>
            <w:r w:rsidR="00DB3529" w:rsidRPr="005A273B">
              <w:rPr>
                <w:rFonts w:ascii="Calibri" w:hAnsi="Calibri" w:cs="Calibri"/>
                <w:b/>
                <w:bCs/>
                <w:color w:val="FFFFFF" w:themeColor="background1"/>
                <w:sz w:val="20"/>
                <w:lang w:val="en-US"/>
              </w:rPr>
              <w:t>s used by</w:t>
            </w:r>
            <w:r w:rsidRPr="005A273B">
              <w:rPr>
                <w:rFonts w:ascii="Calibri" w:hAnsi="Calibri" w:cs="Calibri"/>
                <w:b/>
                <w:bCs/>
                <w:color w:val="FFFFFF" w:themeColor="background1"/>
                <w:sz w:val="20"/>
                <w:lang w:val="en-US"/>
              </w:rPr>
              <w:t xml:space="preserve"> end (US$)</w:t>
            </w:r>
            <w:r w:rsidRPr="005A273B">
              <w:rPr>
                <w:rFonts w:ascii="Calibri" w:hAnsi="Calibri" w:cs="Calibri"/>
                <w:b/>
                <w:bCs/>
                <w:color w:val="FFFFFF" w:themeColor="background1"/>
                <w:sz w:val="20"/>
                <w:vertAlign w:val="superscript"/>
                <w:lang w:val="en-US"/>
              </w:rPr>
              <w:t>4</w:t>
            </w:r>
          </w:p>
        </w:tc>
      </w:tr>
      <w:tr w:rsidR="00226545" w:rsidRPr="00226545" w14:paraId="7B3118CE" w14:textId="77777777" w:rsidTr="00911EB4">
        <w:trPr>
          <w:trHeight w:val="206"/>
          <w:jc w:val="center"/>
        </w:trPr>
        <w:tc>
          <w:tcPr>
            <w:tcW w:w="796" w:type="pct"/>
            <w:tcBorders>
              <w:top w:val="nil"/>
              <w:left w:val="single" w:sz="18" w:space="0" w:color="auto"/>
              <w:bottom w:val="single" w:sz="6" w:space="0" w:color="auto"/>
              <w:right w:val="single" w:sz="6" w:space="0" w:color="auto"/>
            </w:tcBorders>
            <w:tcMar>
              <w:top w:w="28" w:type="dxa"/>
              <w:left w:w="28" w:type="dxa"/>
              <w:bottom w:w="28" w:type="dxa"/>
              <w:right w:w="28" w:type="dxa"/>
            </w:tcMar>
            <w:vAlign w:val="center"/>
          </w:tcPr>
          <w:p w14:paraId="5D6B7B6B" w14:textId="77777777" w:rsidR="002574AE" w:rsidRPr="00226545" w:rsidRDefault="002574AE" w:rsidP="00A9240A">
            <w:pPr>
              <w:keepNext/>
              <w:rPr>
                <w:rFonts w:ascii="Calibri" w:hAnsi="Calibri" w:cs="Calibri"/>
                <w:color w:val="000000"/>
                <w:sz w:val="20"/>
                <w:lang w:val="en-US"/>
              </w:rPr>
            </w:pPr>
            <w:r w:rsidRPr="00226545">
              <w:rPr>
                <w:rFonts w:ascii="Calibri" w:hAnsi="Calibri" w:cs="Calibri"/>
                <w:color w:val="000000"/>
                <w:sz w:val="20"/>
                <w:lang w:val="en-US"/>
              </w:rPr>
              <w:t>GEF</w:t>
            </w:r>
          </w:p>
        </w:tc>
        <w:tc>
          <w:tcPr>
            <w:tcW w:w="624" w:type="pct"/>
            <w:tcBorders>
              <w:top w:val="nil"/>
              <w:left w:val="single" w:sz="6" w:space="0" w:color="auto"/>
              <w:bottom w:val="single" w:sz="6" w:space="0" w:color="auto"/>
              <w:right w:val="single" w:sz="6" w:space="0" w:color="auto"/>
            </w:tcBorders>
            <w:tcMar>
              <w:top w:w="28" w:type="dxa"/>
              <w:left w:w="28" w:type="dxa"/>
              <w:bottom w:w="28" w:type="dxa"/>
              <w:right w:w="28" w:type="dxa"/>
            </w:tcMar>
            <w:vAlign w:val="center"/>
          </w:tcPr>
          <w:p w14:paraId="7F6AA7BC" w14:textId="77777777" w:rsidR="002574AE" w:rsidRPr="00226545" w:rsidRDefault="002574AE" w:rsidP="00A9240A">
            <w:pPr>
              <w:keepNext/>
              <w:rPr>
                <w:rFonts w:ascii="Calibri" w:hAnsi="Calibri" w:cs="Calibri"/>
                <w:color w:val="000000"/>
                <w:sz w:val="20"/>
                <w:lang w:val="en-US"/>
              </w:rPr>
            </w:pPr>
            <w:r w:rsidRPr="00226545">
              <w:rPr>
                <w:rFonts w:ascii="Calibri" w:hAnsi="Calibri" w:cs="Calibri"/>
                <w:color w:val="000000"/>
                <w:sz w:val="20"/>
                <w:lang w:val="en-US"/>
              </w:rPr>
              <w:t>Grant</w:t>
            </w:r>
          </w:p>
        </w:tc>
        <w:tc>
          <w:tcPr>
            <w:tcW w:w="1015" w:type="pct"/>
            <w:tcBorders>
              <w:top w:val="nil"/>
              <w:left w:val="single" w:sz="6" w:space="0" w:color="auto"/>
              <w:bottom w:val="single" w:sz="6" w:space="0" w:color="auto"/>
              <w:right w:val="single" w:sz="6" w:space="0" w:color="auto"/>
            </w:tcBorders>
            <w:tcMar>
              <w:top w:w="28" w:type="dxa"/>
              <w:left w:w="28" w:type="dxa"/>
              <w:bottom w:w="28" w:type="dxa"/>
              <w:right w:w="28" w:type="dxa"/>
            </w:tcMar>
            <w:vAlign w:val="center"/>
          </w:tcPr>
          <w:p w14:paraId="39B1DEC5" w14:textId="031865BD" w:rsidR="002574AE" w:rsidRPr="00226545" w:rsidRDefault="002574AE" w:rsidP="00A9240A">
            <w:pPr>
              <w:keepNext/>
              <w:jc w:val="right"/>
              <w:rPr>
                <w:rFonts w:ascii="Calibri" w:hAnsi="Calibri" w:cs="Calibri"/>
                <w:color w:val="000000"/>
                <w:sz w:val="20"/>
                <w:lang w:val="en-US"/>
              </w:rPr>
            </w:pPr>
            <w:r w:rsidRPr="00226545">
              <w:rPr>
                <w:rFonts w:ascii="Calibri" w:hAnsi="Calibri"/>
                <w:color w:val="000000"/>
                <w:sz w:val="20"/>
              </w:rPr>
              <w:t>1,283,636</w:t>
            </w:r>
          </w:p>
        </w:tc>
        <w:tc>
          <w:tcPr>
            <w:tcW w:w="920" w:type="pct"/>
            <w:tcBorders>
              <w:top w:val="nil"/>
              <w:left w:val="single" w:sz="6" w:space="0" w:color="auto"/>
              <w:bottom w:val="single" w:sz="6" w:space="0" w:color="auto"/>
              <w:right w:val="single" w:sz="6" w:space="0" w:color="auto"/>
            </w:tcBorders>
            <w:vAlign w:val="center"/>
          </w:tcPr>
          <w:p w14:paraId="77BBEEA0" w14:textId="0E6300DC" w:rsidR="002574AE" w:rsidRPr="00226545" w:rsidRDefault="00964FF1" w:rsidP="00A9240A">
            <w:pPr>
              <w:keepNext/>
              <w:jc w:val="right"/>
              <w:rPr>
                <w:rFonts w:ascii="Calibri" w:hAnsi="Calibri" w:cs="Calibri"/>
                <w:color w:val="000000"/>
                <w:sz w:val="20"/>
                <w:lang w:val="en-US"/>
              </w:rPr>
            </w:pPr>
            <w:r w:rsidRPr="00226545">
              <w:rPr>
                <w:rFonts w:ascii="Calibri" w:hAnsi="Calibri"/>
                <w:color w:val="000000"/>
                <w:sz w:val="20"/>
              </w:rPr>
              <w:t>1,283,636</w:t>
            </w:r>
          </w:p>
        </w:tc>
        <w:tc>
          <w:tcPr>
            <w:tcW w:w="797" w:type="pct"/>
            <w:tcBorders>
              <w:top w:val="nil"/>
              <w:left w:val="single" w:sz="6" w:space="0" w:color="auto"/>
              <w:bottom w:val="single" w:sz="6" w:space="0" w:color="auto"/>
              <w:right w:val="single" w:sz="6" w:space="0" w:color="auto"/>
            </w:tcBorders>
            <w:tcMar>
              <w:top w:w="28" w:type="dxa"/>
              <w:left w:w="28" w:type="dxa"/>
              <w:bottom w:w="28" w:type="dxa"/>
              <w:right w:w="28" w:type="dxa"/>
            </w:tcMar>
            <w:vAlign w:val="center"/>
          </w:tcPr>
          <w:p w14:paraId="7FBE5FC4" w14:textId="6B85A97A" w:rsidR="002574AE" w:rsidRPr="00724D06" w:rsidRDefault="00724D06" w:rsidP="00724D06">
            <w:pPr>
              <w:overflowPunct/>
              <w:autoSpaceDE/>
              <w:autoSpaceDN/>
              <w:adjustRightInd/>
              <w:jc w:val="right"/>
              <w:textAlignment w:val="auto"/>
              <w:rPr>
                <w:rFonts w:ascii="Calibri" w:hAnsi="Calibri"/>
                <w:color w:val="000000"/>
                <w:sz w:val="20"/>
              </w:rPr>
            </w:pPr>
            <w:r w:rsidRPr="00724D06">
              <w:rPr>
                <w:rFonts w:ascii="Calibri" w:hAnsi="Calibri"/>
                <w:color w:val="000000"/>
                <w:sz w:val="20"/>
              </w:rPr>
              <w:t>534,138</w:t>
            </w:r>
          </w:p>
        </w:tc>
        <w:tc>
          <w:tcPr>
            <w:tcW w:w="848" w:type="pct"/>
            <w:tcBorders>
              <w:top w:val="nil"/>
              <w:left w:val="single" w:sz="6" w:space="0" w:color="auto"/>
              <w:bottom w:val="single" w:sz="6" w:space="0" w:color="auto"/>
              <w:right w:val="single" w:sz="18" w:space="0" w:color="auto"/>
            </w:tcBorders>
            <w:tcMar>
              <w:top w:w="28" w:type="dxa"/>
              <w:left w:w="28" w:type="dxa"/>
              <w:bottom w:w="28" w:type="dxa"/>
              <w:right w:w="28" w:type="dxa"/>
            </w:tcMar>
            <w:vAlign w:val="center"/>
          </w:tcPr>
          <w:p w14:paraId="456CD4EB" w14:textId="70922BCD" w:rsidR="002574AE" w:rsidRPr="00607852" w:rsidRDefault="00607852" w:rsidP="00607852">
            <w:pPr>
              <w:overflowPunct/>
              <w:autoSpaceDE/>
              <w:autoSpaceDN/>
              <w:adjustRightInd/>
              <w:jc w:val="right"/>
              <w:textAlignment w:val="auto"/>
              <w:rPr>
                <w:rFonts w:ascii="Calibri" w:hAnsi="Calibri"/>
                <w:color w:val="000000"/>
                <w:sz w:val="20"/>
              </w:rPr>
            </w:pPr>
            <w:r w:rsidRPr="00607852">
              <w:rPr>
                <w:rFonts w:ascii="Calibri" w:hAnsi="Calibri"/>
                <w:color w:val="000000"/>
                <w:sz w:val="20"/>
              </w:rPr>
              <w:t>1,246,528</w:t>
            </w:r>
          </w:p>
        </w:tc>
      </w:tr>
      <w:tr w:rsidR="00226545" w:rsidRPr="00226545" w14:paraId="7F3F86F4" w14:textId="77777777" w:rsidTr="00911EB4">
        <w:trPr>
          <w:trHeight w:val="206"/>
          <w:jc w:val="center"/>
        </w:trPr>
        <w:tc>
          <w:tcPr>
            <w:tcW w:w="796" w:type="pct"/>
            <w:tcBorders>
              <w:top w:val="nil"/>
              <w:left w:val="single" w:sz="18" w:space="0" w:color="auto"/>
              <w:bottom w:val="single" w:sz="6" w:space="0" w:color="auto"/>
              <w:right w:val="single" w:sz="6" w:space="0" w:color="auto"/>
            </w:tcBorders>
            <w:tcMar>
              <w:top w:w="28" w:type="dxa"/>
              <w:left w:w="28" w:type="dxa"/>
              <w:bottom w:w="28" w:type="dxa"/>
              <w:right w:w="28" w:type="dxa"/>
            </w:tcMar>
            <w:vAlign w:val="center"/>
          </w:tcPr>
          <w:p w14:paraId="25918415" w14:textId="77777777" w:rsidR="002574AE" w:rsidRPr="00226545" w:rsidRDefault="002574AE" w:rsidP="00A9240A">
            <w:pPr>
              <w:keepNext/>
              <w:rPr>
                <w:rFonts w:ascii="Calibri" w:hAnsi="Calibri" w:cs="Calibri"/>
                <w:color w:val="000000"/>
                <w:sz w:val="20"/>
                <w:lang w:val="en-US"/>
              </w:rPr>
            </w:pPr>
            <w:r w:rsidRPr="00226545">
              <w:rPr>
                <w:rFonts w:ascii="Calibri" w:hAnsi="Calibri" w:cs="Calibri"/>
                <w:color w:val="000000"/>
                <w:sz w:val="20"/>
                <w:lang w:val="en-US"/>
              </w:rPr>
              <w:t>UNDP</w:t>
            </w:r>
          </w:p>
        </w:tc>
        <w:tc>
          <w:tcPr>
            <w:tcW w:w="624" w:type="pct"/>
            <w:tcBorders>
              <w:top w:val="nil"/>
              <w:left w:val="single" w:sz="6" w:space="0" w:color="auto"/>
              <w:bottom w:val="single" w:sz="6" w:space="0" w:color="auto"/>
              <w:right w:val="single" w:sz="6" w:space="0" w:color="auto"/>
            </w:tcBorders>
            <w:tcMar>
              <w:top w:w="28" w:type="dxa"/>
              <w:left w:w="28" w:type="dxa"/>
              <w:bottom w:w="28" w:type="dxa"/>
              <w:right w:w="28" w:type="dxa"/>
            </w:tcMar>
            <w:vAlign w:val="center"/>
          </w:tcPr>
          <w:p w14:paraId="5A84ED2C" w14:textId="77777777" w:rsidR="002574AE" w:rsidRPr="00226545" w:rsidRDefault="002574AE" w:rsidP="00A9240A">
            <w:pPr>
              <w:keepNext/>
              <w:rPr>
                <w:rFonts w:ascii="Calibri" w:hAnsi="Calibri" w:cs="Calibri"/>
                <w:color w:val="000000"/>
                <w:sz w:val="20"/>
                <w:lang w:val="en-US"/>
              </w:rPr>
            </w:pPr>
            <w:r w:rsidRPr="00226545">
              <w:rPr>
                <w:rFonts w:ascii="Calibri" w:hAnsi="Calibri" w:cs="Calibri"/>
                <w:color w:val="000000"/>
                <w:sz w:val="20"/>
                <w:lang w:val="en-US"/>
              </w:rPr>
              <w:t>Grant (TRAC)</w:t>
            </w:r>
          </w:p>
        </w:tc>
        <w:tc>
          <w:tcPr>
            <w:tcW w:w="1015" w:type="pct"/>
            <w:tcBorders>
              <w:top w:val="nil"/>
              <w:left w:val="single" w:sz="6" w:space="0" w:color="auto"/>
              <w:bottom w:val="single" w:sz="6" w:space="0" w:color="auto"/>
              <w:right w:val="single" w:sz="6" w:space="0" w:color="auto"/>
            </w:tcBorders>
            <w:tcMar>
              <w:top w:w="28" w:type="dxa"/>
              <w:left w:w="28" w:type="dxa"/>
              <w:bottom w:w="28" w:type="dxa"/>
              <w:right w:w="28" w:type="dxa"/>
            </w:tcMar>
            <w:vAlign w:val="center"/>
          </w:tcPr>
          <w:p w14:paraId="388B9F21" w14:textId="6714287E" w:rsidR="002574AE" w:rsidRPr="00226545" w:rsidRDefault="0002673A" w:rsidP="00A9240A">
            <w:pPr>
              <w:keepNext/>
              <w:jc w:val="right"/>
              <w:rPr>
                <w:rFonts w:ascii="Calibri" w:hAnsi="Calibri" w:cs="Calibri"/>
                <w:color w:val="000000"/>
                <w:sz w:val="20"/>
                <w:lang w:val="en-US"/>
              </w:rPr>
            </w:pPr>
            <w:r>
              <w:rPr>
                <w:rFonts w:ascii="Calibri" w:hAnsi="Calibri"/>
                <w:color w:val="000000"/>
                <w:sz w:val="20"/>
              </w:rPr>
              <w:t>4</w:t>
            </w:r>
            <w:r w:rsidR="002574AE" w:rsidRPr="00226545">
              <w:rPr>
                <w:rFonts w:ascii="Calibri" w:hAnsi="Calibri"/>
                <w:color w:val="000000"/>
                <w:sz w:val="20"/>
              </w:rPr>
              <w:t>0,000</w:t>
            </w:r>
          </w:p>
        </w:tc>
        <w:tc>
          <w:tcPr>
            <w:tcW w:w="920" w:type="pct"/>
            <w:tcBorders>
              <w:top w:val="nil"/>
              <w:left w:val="single" w:sz="6" w:space="0" w:color="auto"/>
              <w:bottom w:val="single" w:sz="6" w:space="0" w:color="auto"/>
              <w:right w:val="single" w:sz="6" w:space="0" w:color="auto"/>
            </w:tcBorders>
            <w:vAlign w:val="center"/>
          </w:tcPr>
          <w:p w14:paraId="5F648F46" w14:textId="282CA544" w:rsidR="002574AE" w:rsidRPr="00226545" w:rsidRDefault="0002673A" w:rsidP="00A9240A">
            <w:pPr>
              <w:keepNext/>
              <w:jc w:val="right"/>
              <w:rPr>
                <w:rFonts w:ascii="Calibri" w:hAnsi="Calibri" w:cs="Calibri"/>
                <w:color w:val="000000"/>
                <w:sz w:val="20"/>
                <w:lang w:val="en-US"/>
              </w:rPr>
            </w:pPr>
            <w:r>
              <w:rPr>
                <w:rFonts w:ascii="Calibri" w:hAnsi="Calibri" w:cs="Calibri"/>
                <w:color w:val="000000"/>
                <w:sz w:val="20"/>
                <w:lang w:val="en-US"/>
              </w:rPr>
              <w:t>4</w:t>
            </w:r>
            <w:r w:rsidR="0021131D">
              <w:rPr>
                <w:rFonts w:ascii="Calibri" w:hAnsi="Calibri" w:cs="Calibri"/>
                <w:color w:val="000000"/>
                <w:sz w:val="20"/>
                <w:lang w:val="en-US"/>
              </w:rPr>
              <w:t>0,000</w:t>
            </w:r>
          </w:p>
        </w:tc>
        <w:tc>
          <w:tcPr>
            <w:tcW w:w="797" w:type="pct"/>
            <w:tcBorders>
              <w:top w:val="nil"/>
              <w:left w:val="single" w:sz="6" w:space="0" w:color="auto"/>
              <w:bottom w:val="single" w:sz="6" w:space="0" w:color="auto"/>
              <w:right w:val="single" w:sz="6" w:space="0" w:color="auto"/>
            </w:tcBorders>
            <w:tcMar>
              <w:top w:w="28" w:type="dxa"/>
              <w:left w:w="28" w:type="dxa"/>
              <w:bottom w:w="28" w:type="dxa"/>
              <w:right w:w="28" w:type="dxa"/>
            </w:tcMar>
            <w:vAlign w:val="center"/>
          </w:tcPr>
          <w:p w14:paraId="2FD96BEA" w14:textId="04061EF5" w:rsidR="002574AE" w:rsidRPr="00724D06" w:rsidRDefault="00724D06" w:rsidP="00A9240A">
            <w:pPr>
              <w:keepNext/>
              <w:jc w:val="right"/>
              <w:rPr>
                <w:rFonts w:ascii="Calibri" w:hAnsi="Calibri" w:cs="Calibri"/>
                <w:color w:val="000000"/>
                <w:sz w:val="20"/>
                <w:lang w:val="en-US"/>
              </w:rPr>
            </w:pPr>
            <w:r w:rsidRPr="00724D06">
              <w:rPr>
                <w:rFonts w:ascii="Calibri" w:hAnsi="Calibri" w:cs="Calibri"/>
                <w:color w:val="000000"/>
                <w:sz w:val="20"/>
                <w:lang w:val="en-US"/>
              </w:rPr>
              <w:t>No info</w:t>
            </w:r>
          </w:p>
        </w:tc>
        <w:tc>
          <w:tcPr>
            <w:tcW w:w="848" w:type="pct"/>
            <w:tcBorders>
              <w:top w:val="nil"/>
              <w:left w:val="single" w:sz="6" w:space="0" w:color="auto"/>
              <w:bottom w:val="single" w:sz="6" w:space="0" w:color="auto"/>
              <w:right w:val="single" w:sz="18" w:space="0" w:color="auto"/>
            </w:tcBorders>
            <w:tcMar>
              <w:top w:w="28" w:type="dxa"/>
              <w:left w:w="28" w:type="dxa"/>
              <w:bottom w:w="28" w:type="dxa"/>
              <w:right w:w="28" w:type="dxa"/>
            </w:tcMar>
            <w:vAlign w:val="center"/>
          </w:tcPr>
          <w:p w14:paraId="430DB0AC" w14:textId="44D47B3C" w:rsidR="002574AE" w:rsidRPr="00226545" w:rsidRDefault="00607852" w:rsidP="00A9240A">
            <w:pPr>
              <w:keepNext/>
              <w:jc w:val="right"/>
              <w:rPr>
                <w:rFonts w:ascii="Calibri" w:hAnsi="Calibri" w:cs="Calibri"/>
                <w:color w:val="000000"/>
                <w:sz w:val="20"/>
                <w:lang w:val="en-US"/>
              </w:rPr>
            </w:pPr>
            <w:r w:rsidRPr="00724D06">
              <w:rPr>
                <w:rFonts w:ascii="Calibri" w:hAnsi="Calibri" w:cs="Calibri"/>
                <w:color w:val="000000"/>
                <w:sz w:val="20"/>
                <w:lang w:val="en-US"/>
              </w:rPr>
              <w:t>No info</w:t>
            </w:r>
          </w:p>
        </w:tc>
      </w:tr>
      <w:tr w:rsidR="00226545" w:rsidRPr="00607852" w14:paraId="7DEF74BB" w14:textId="77777777" w:rsidTr="00911EB4">
        <w:trPr>
          <w:trHeight w:val="144"/>
          <w:jc w:val="center"/>
        </w:trPr>
        <w:tc>
          <w:tcPr>
            <w:tcW w:w="796" w:type="pct"/>
            <w:tcBorders>
              <w:top w:val="single" w:sz="6" w:space="0" w:color="auto"/>
              <w:left w:val="single" w:sz="18" w:space="0" w:color="auto"/>
              <w:bottom w:val="single" w:sz="6" w:space="0" w:color="auto"/>
              <w:right w:val="single" w:sz="6" w:space="0" w:color="auto"/>
            </w:tcBorders>
            <w:shd w:val="clear" w:color="auto" w:fill="E0E0E0"/>
            <w:tcMar>
              <w:top w:w="28" w:type="dxa"/>
              <w:left w:w="28" w:type="dxa"/>
              <w:bottom w:w="28" w:type="dxa"/>
              <w:right w:w="28" w:type="dxa"/>
            </w:tcMar>
            <w:vAlign w:val="center"/>
          </w:tcPr>
          <w:p w14:paraId="432941FD" w14:textId="77777777" w:rsidR="00A9240A" w:rsidRPr="00226545" w:rsidRDefault="00A9240A" w:rsidP="00A9240A">
            <w:pPr>
              <w:keepNext/>
              <w:rPr>
                <w:rFonts w:ascii="Calibri" w:hAnsi="Calibri" w:cs="Calibri"/>
                <w:b/>
                <w:color w:val="000000"/>
                <w:sz w:val="20"/>
                <w:lang w:val="en-US"/>
              </w:rPr>
            </w:pPr>
            <w:r w:rsidRPr="00226545">
              <w:rPr>
                <w:rFonts w:ascii="Calibri" w:hAnsi="Calibri" w:cs="Calibri"/>
                <w:b/>
                <w:color w:val="000000"/>
                <w:sz w:val="20"/>
                <w:lang w:val="en-US"/>
              </w:rPr>
              <w:t>Subtotal</w:t>
            </w:r>
          </w:p>
        </w:tc>
        <w:tc>
          <w:tcPr>
            <w:tcW w:w="624" w:type="pct"/>
            <w:tcBorders>
              <w:top w:val="single" w:sz="6" w:space="0" w:color="auto"/>
              <w:left w:val="single" w:sz="6" w:space="0" w:color="auto"/>
              <w:bottom w:val="single" w:sz="6" w:space="0" w:color="auto"/>
              <w:right w:val="single" w:sz="6" w:space="0" w:color="auto"/>
            </w:tcBorders>
            <w:shd w:val="clear" w:color="auto" w:fill="E0E0E0"/>
            <w:tcMar>
              <w:top w:w="28" w:type="dxa"/>
              <w:left w:w="28" w:type="dxa"/>
              <w:bottom w:w="28" w:type="dxa"/>
              <w:right w:w="28" w:type="dxa"/>
            </w:tcMar>
            <w:vAlign w:val="center"/>
          </w:tcPr>
          <w:p w14:paraId="20D570C9" w14:textId="77777777" w:rsidR="00A9240A" w:rsidRPr="00226545" w:rsidRDefault="00A9240A" w:rsidP="00A9240A">
            <w:pPr>
              <w:keepNext/>
              <w:rPr>
                <w:rFonts w:ascii="Calibri" w:hAnsi="Calibri" w:cs="Calibri"/>
                <w:b/>
                <w:color w:val="000000"/>
                <w:sz w:val="20"/>
                <w:lang w:val="en-US"/>
              </w:rPr>
            </w:pPr>
            <w:r w:rsidRPr="00226545">
              <w:rPr>
                <w:rFonts w:ascii="Calibri" w:hAnsi="Calibri" w:cs="Calibri"/>
                <w:b/>
                <w:color w:val="000000"/>
                <w:sz w:val="20"/>
                <w:lang w:val="en-US"/>
              </w:rPr>
              <w:t>Grant</w:t>
            </w:r>
          </w:p>
        </w:tc>
        <w:tc>
          <w:tcPr>
            <w:tcW w:w="1015" w:type="pct"/>
            <w:tcBorders>
              <w:top w:val="single" w:sz="6" w:space="0" w:color="auto"/>
              <w:left w:val="single" w:sz="6" w:space="0" w:color="auto"/>
              <w:bottom w:val="single" w:sz="6" w:space="0" w:color="auto"/>
              <w:right w:val="single" w:sz="6" w:space="0" w:color="auto"/>
            </w:tcBorders>
            <w:shd w:val="clear" w:color="auto" w:fill="E0E0E0"/>
            <w:tcMar>
              <w:top w:w="28" w:type="dxa"/>
              <w:left w:w="28" w:type="dxa"/>
              <w:bottom w:w="28" w:type="dxa"/>
              <w:right w:w="28" w:type="dxa"/>
            </w:tcMar>
            <w:vAlign w:val="center"/>
          </w:tcPr>
          <w:p w14:paraId="37549BBF" w14:textId="6B9FA060" w:rsidR="00A9240A" w:rsidRPr="00226545" w:rsidRDefault="0002673A" w:rsidP="002574AE">
            <w:pPr>
              <w:overflowPunct/>
              <w:autoSpaceDE/>
              <w:autoSpaceDN/>
              <w:adjustRightInd/>
              <w:jc w:val="right"/>
              <w:textAlignment w:val="auto"/>
              <w:rPr>
                <w:rFonts w:ascii="Calibri" w:hAnsi="Calibri"/>
                <w:b/>
                <w:bCs/>
                <w:color w:val="000000"/>
                <w:sz w:val="20"/>
              </w:rPr>
            </w:pPr>
            <w:r>
              <w:rPr>
                <w:rFonts w:ascii="Calibri" w:hAnsi="Calibri"/>
                <w:b/>
                <w:bCs/>
                <w:color w:val="000000"/>
                <w:sz w:val="20"/>
              </w:rPr>
              <w:t>1,32</w:t>
            </w:r>
            <w:r w:rsidR="002574AE" w:rsidRPr="00226545">
              <w:rPr>
                <w:rFonts w:ascii="Calibri" w:hAnsi="Calibri"/>
                <w:b/>
                <w:bCs/>
                <w:color w:val="000000"/>
                <w:sz w:val="20"/>
              </w:rPr>
              <w:t>3,636</w:t>
            </w:r>
          </w:p>
        </w:tc>
        <w:tc>
          <w:tcPr>
            <w:tcW w:w="920" w:type="pct"/>
            <w:tcBorders>
              <w:top w:val="single" w:sz="6" w:space="0" w:color="auto"/>
              <w:left w:val="single" w:sz="6" w:space="0" w:color="auto"/>
              <w:bottom w:val="single" w:sz="6" w:space="0" w:color="auto"/>
              <w:right w:val="single" w:sz="6" w:space="0" w:color="auto"/>
            </w:tcBorders>
            <w:shd w:val="clear" w:color="auto" w:fill="E0E0E0"/>
            <w:vAlign w:val="center"/>
          </w:tcPr>
          <w:p w14:paraId="43E7C83A" w14:textId="23998BE5" w:rsidR="00A9240A" w:rsidRPr="00226545" w:rsidRDefault="00964FF1" w:rsidP="003C7D64">
            <w:pPr>
              <w:keepNext/>
              <w:jc w:val="right"/>
              <w:rPr>
                <w:rFonts w:ascii="Calibri" w:hAnsi="Calibri" w:cs="Calibri"/>
                <w:b/>
                <w:color w:val="000000"/>
                <w:sz w:val="20"/>
                <w:lang w:val="en-US"/>
              </w:rPr>
            </w:pPr>
            <w:r>
              <w:rPr>
                <w:rFonts w:ascii="Calibri" w:hAnsi="Calibri"/>
                <w:b/>
                <w:bCs/>
                <w:color w:val="000000"/>
                <w:sz w:val="20"/>
              </w:rPr>
              <w:t>1,32</w:t>
            </w:r>
            <w:r w:rsidRPr="00226545">
              <w:rPr>
                <w:rFonts w:ascii="Calibri" w:hAnsi="Calibri"/>
                <w:b/>
                <w:bCs/>
                <w:color w:val="000000"/>
                <w:sz w:val="20"/>
              </w:rPr>
              <w:t>3,636</w:t>
            </w:r>
          </w:p>
        </w:tc>
        <w:tc>
          <w:tcPr>
            <w:tcW w:w="797" w:type="pct"/>
            <w:tcBorders>
              <w:top w:val="single" w:sz="6" w:space="0" w:color="auto"/>
              <w:left w:val="single" w:sz="6" w:space="0" w:color="auto"/>
              <w:bottom w:val="single" w:sz="6" w:space="0" w:color="auto"/>
              <w:right w:val="single" w:sz="6" w:space="0" w:color="auto"/>
            </w:tcBorders>
            <w:shd w:val="clear" w:color="auto" w:fill="E0E0E0"/>
            <w:tcMar>
              <w:top w:w="28" w:type="dxa"/>
              <w:left w:w="28" w:type="dxa"/>
              <w:bottom w:w="28" w:type="dxa"/>
              <w:right w:w="28" w:type="dxa"/>
            </w:tcMar>
            <w:vAlign w:val="center"/>
          </w:tcPr>
          <w:p w14:paraId="2DF92ABE" w14:textId="79DE3F78" w:rsidR="00A9240A" w:rsidRPr="00724D06" w:rsidRDefault="00724D06" w:rsidP="00A9240A">
            <w:pPr>
              <w:keepNext/>
              <w:jc w:val="right"/>
              <w:rPr>
                <w:rFonts w:ascii="Calibri" w:hAnsi="Calibri" w:cs="Calibri"/>
                <w:b/>
                <w:color w:val="000000"/>
                <w:sz w:val="20"/>
                <w:lang w:val="en-US"/>
              </w:rPr>
            </w:pPr>
            <w:r w:rsidRPr="00724D06">
              <w:rPr>
                <w:rFonts w:ascii="Calibri" w:hAnsi="Calibri" w:cs="Calibri"/>
                <w:b/>
                <w:color w:val="000000"/>
                <w:sz w:val="20"/>
                <w:lang w:val="en-US"/>
              </w:rPr>
              <w:t>534,138</w:t>
            </w:r>
          </w:p>
        </w:tc>
        <w:tc>
          <w:tcPr>
            <w:tcW w:w="848" w:type="pct"/>
            <w:tcBorders>
              <w:top w:val="single" w:sz="6" w:space="0" w:color="auto"/>
              <w:left w:val="single" w:sz="6" w:space="0" w:color="auto"/>
              <w:bottom w:val="single" w:sz="6" w:space="0" w:color="auto"/>
              <w:right w:val="single" w:sz="18" w:space="0" w:color="auto"/>
            </w:tcBorders>
            <w:shd w:val="clear" w:color="auto" w:fill="E0E0E0"/>
            <w:tcMar>
              <w:top w:w="28" w:type="dxa"/>
              <w:left w:w="28" w:type="dxa"/>
              <w:bottom w:w="28" w:type="dxa"/>
              <w:right w:w="28" w:type="dxa"/>
            </w:tcMar>
            <w:vAlign w:val="center"/>
          </w:tcPr>
          <w:p w14:paraId="4AE9946A" w14:textId="6F8AB624" w:rsidR="00A9240A" w:rsidRPr="00607852" w:rsidRDefault="00607852" w:rsidP="00A9240A">
            <w:pPr>
              <w:keepNext/>
              <w:jc w:val="right"/>
              <w:rPr>
                <w:rFonts w:ascii="Calibri" w:hAnsi="Calibri" w:cs="Calibri"/>
                <w:b/>
                <w:color w:val="000000"/>
                <w:sz w:val="20"/>
                <w:lang w:val="en-US"/>
              </w:rPr>
            </w:pPr>
            <w:r w:rsidRPr="00607852">
              <w:rPr>
                <w:rFonts w:ascii="Calibri" w:hAnsi="Calibri"/>
                <w:b/>
                <w:color w:val="000000"/>
                <w:sz w:val="20"/>
              </w:rPr>
              <w:t>1,246,528</w:t>
            </w:r>
          </w:p>
        </w:tc>
      </w:tr>
      <w:tr w:rsidR="00226545" w:rsidRPr="00226545" w14:paraId="27AE6289" w14:textId="77777777" w:rsidTr="00911EB4">
        <w:trPr>
          <w:trHeight w:val="135"/>
          <w:jc w:val="center"/>
        </w:trPr>
        <w:tc>
          <w:tcPr>
            <w:tcW w:w="796" w:type="pct"/>
            <w:tcBorders>
              <w:top w:val="nil"/>
              <w:left w:val="single" w:sz="18" w:space="0" w:color="auto"/>
              <w:bottom w:val="single" w:sz="6" w:space="0" w:color="auto"/>
              <w:right w:val="single" w:sz="6" w:space="0" w:color="auto"/>
            </w:tcBorders>
            <w:tcMar>
              <w:top w:w="28" w:type="dxa"/>
              <w:left w:w="28" w:type="dxa"/>
              <w:bottom w:w="28" w:type="dxa"/>
              <w:right w:w="28" w:type="dxa"/>
            </w:tcMar>
            <w:vAlign w:val="center"/>
          </w:tcPr>
          <w:p w14:paraId="01BA4B13" w14:textId="04572133" w:rsidR="002574AE" w:rsidRPr="00226545" w:rsidRDefault="002574AE" w:rsidP="0018042A">
            <w:pPr>
              <w:overflowPunct/>
              <w:autoSpaceDE/>
              <w:autoSpaceDN/>
              <w:adjustRightInd/>
              <w:textAlignment w:val="auto"/>
              <w:rPr>
                <w:rFonts w:ascii="Calibri" w:hAnsi="Calibri"/>
                <w:color w:val="000000"/>
                <w:sz w:val="20"/>
              </w:rPr>
            </w:pPr>
            <w:r w:rsidRPr="00226545">
              <w:rPr>
                <w:rFonts w:ascii="Calibri" w:hAnsi="Calibri"/>
                <w:color w:val="000000"/>
                <w:sz w:val="20"/>
              </w:rPr>
              <w:t>A</w:t>
            </w:r>
            <w:r w:rsidR="0018042A">
              <w:rPr>
                <w:rFonts w:ascii="Calibri" w:hAnsi="Calibri"/>
                <w:color w:val="000000"/>
                <w:sz w:val="20"/>
              </w:rPr>
              <w:t>PA</w:t>
            </w:r>
            <w:r w:rsidRPr="00226545">
              <w:rPr>
                <w:rFonts w:ascii="Calibri" w:hAnsi="Calibri"/>
                <w:color w:val="000000"/>
                <w:sz w:val="20"/>
              </w:rPr>
              <w:t xml:space="preserve"> </w:t>
            </w:r>
          </w:p>
        </w:tc>
        <w:tc>
          <w:tcPr>
            <w:tcW w:w="624" w:type="pct"/>
            <w:tcBorders>
              <w:top w:val="nil"/>
              <w:left w:val="single" w:sz="6" w:space="0" w:color="auto"/>
              <w:bottom w:val="single" w:sz="6" w:space="0" w:color="auto"/>
              <w:right w:val="single" w:sz="6" w:space="0" w:color="auto"/>
            </w:tcBorders>
            <w:tcMar>
              <w:top w:w="28" w:type="dxa"/>
              <w:left w:w="28" w:type="dxa"/>
              <w:bottom w:w="28" w:type="dxa"/>
              <w:right w:w="28" w:type="dxa"/>
            </w:tcMar>
            <w:vAlign w:val="center"/>
          </w:tcPr>
          <w:p w14:paraId="62DEC2FC" w14:textId="43C201ED" w:rsidR="002574AE" w:rsidRPr="00226545" w:rsidRDefault="00BD7452" w:rsidP="002574AE">
            <w:pPr>
              <w:keepNext/>
              <w:rPr>
                <w:rFonts w:ascii="Calibri" w:hAnsi="Calibri" w:cs="Calibri"/>
                <w:color w:val="000000"/>
                <w:sz w:val="20"/>
                <w:lang w:val="en-US"/>
              </w:rPr>
            </w:pPr>
            <w:r w:rsidRPr="00226545">
              <w:rPr>
                <w:rFonts w:ascii="Calibri" w:hAnsi="Calibri" w:cs="Calibri"/>
                <w:color w:val="000000"/>
                <w:sz w:val="20"/>
                <w:lang w:val="en-US"/>
              </w:rPr>
              <w:t>Co-finance</w:t>
            </w:r>
          </w:p>
        </w:tc>
        <w:tc>
          <w:tcPr>
            <w:tcW w:w="1015" w:type="pct"/>
            <w:tcBorders>
              <w:top w:val="nil"/>
              <w:left w:val="single" w:sz="6" w:space="0" w:color="auto"/>
              <w:bottom w:val="single" w:sz="6" w:space="0" w:color="auto"/>
              <w:right w:val="single" w:sz="6" w:space="0" w:color="auto"/>
            </w:tcBorders>
            <w:tcMar>
              <w:top w:w="28" w:type="dxa"/>
              <w:left w:w="28" w:type="dxa"/>
              <w:bottom w:w="28" w:type="dxa"/>
              <w:right w:w="28" w:type="dxa"/>
            </w:tcMar>
            <w:vAlign w:val="center"/>
          </w:tcPr>
          <w:p w14:paraId="16EB2866" w14:textId="7AD99975" w:rsidR="002574AE" w:rsidRPr="0081542A" w:rsidRDefault="00BD7452" w:rsidP="00BD7452">
            <w:pPr>
              <w:overflowPunct/>
              <w:autoSpaceDE/>
              <w:autoSpaceDN/>
              <w:adjustRightInd/>
              <w:jc w:val="right"/>
              <w:textAlignment w:val="auto"/>
              <w:rPr>
                <w:rFonts w:ascii="Calibri" w:hAnsi="Calibri"/>
                <w:color w:val="000000"/>
                <w:sz w:val="20"/>
                <w:highlight w:val="yellow"/>
              </w:rPr>
            </w:pPr>
            <w:r w:rsidRPr="00EB1061">
              <w:rPr>
                <w:rFonts w:ascii="Calibri" w:hAnsi="Calibri"/>
                <w:color w:val="000000"/>
                <w:sz w:val="20"/>
              </w:rPr>
              <w:t>1,395,490</w:t>
            </w:r>
          </w:p>
        </w:tc>
        <w:tc>
          <w:tcPr>
            <w:tcW w:w="920" w:type="pct"/>
            <w:tcBorders>
              <w:top w:val="nil"/>
              <w:left w:val="single" w:sz="6" w:space="0" w:color="auto"/>
              <w:bottom w:val="single" w:sz="6" w:space="0" w:color="auto"/>
              <w:right w:val="single" w:sz="6" w:space="0" w:color="auto"/>
            </w:tcBorders>
            <w:vAlign w:val="center"/>
          </w:tcPr>
          <w:p w14:paraId="56799C48" w14:textId="65387C62" w:rsidR="002574AE" w:rsidRPr="0081542A" w:rsidRDefault="003B58F1" w:rsidP="002574AE">
            <w:pPr>
              <w:keepNext/>
              <w:jc w:val="right"/>
              <w:rPr>
                <w:rFonts w:ascii="Calibri" w:hAnsi="Calibri" w:cs="Calibri"/>
                <w:color w:val="000000"/>
                <w:sz w:val="20"/>
                <w:highlight w:val="yellow"/>
                <w:lang w:val="en-US"/>
              </w:rPr>
            </w:pPr>
            <w:r>
              <w:rPr>
                <w:rFonts w:ascii="Calibri" w:hAnsi="Calibri" w:cs="Calibri"/>
                <w:color w:val="000000"/>
                <w:sz w:val="20"/>
                <w:highlight w:val="yellow"/>
                <w:lang w:val="en-US"/>
              </w:rPr>
              <w:t>*</w:t>
            </w:r>
            <w:r w:rsidR="00DB3529" w:rsidRPr="0081542A">
              <w:rPr>
                <w:rFonts w:ascii="Calibri" w:hAnsi="Calibri" w:cs="Calibri"/>
                <w:color w:val="000000"/>
                <w:sz w:val="20"/>
                <w:highlight w:val="yellow"/>
                <w:lang w:val="en-US"/>
              </w:rPr>
              <w:t>1,394,495</w:t>
            </w:r>
          </w:p>
        </w:tc>
        <w:tc>
          <w:tcPr>
            <w:tcW w:w="797" w:type="pct"/>
            <w:tcBorders>
              <w:top w:val="nil"/>
              <w:left w:val="single" w:sz="6" w:space="0" w:color="auto"/>
              <w:bottom w:val="single" w:sz="6" w:space="0" w:color="auto"/>
              <w:right w:val="single" w:sz="6" w:space="0" w:color="auto"/>
            </w:tcBorders>
            <w:tcMar>
              <w:top w:w="28" w:type="dxa"/>
              <w:left w:w="28" w:type="dxa"/>
              <w:bottom w:w="28" w:type="dxa"/>
              <w:right w:w="28" w:type="dxa"/>
            </w:tcMar>
            <w:vAlign w:val="center"/>
          </w:tcPr>
          <w:p w14:paraId="126D5E16" w14:textId="1FFFCFEB" w:rsidR="002574AE" w:rsidRPr="00724D06" w:rsidRDefault="009A04A0" w:rsidP="009A04A0">
            <w:pPr>
              <w:overflowPunct/>
              <w:autoSpaceDE/>
              <w:autoSpaceDN/>
              <w:adjustRightInd/>
              <w:jc w:val="right"/>
              <w:textAlignment w:val="auto"/>
              <w:rPr>
                <w:rFonts w:ascii="Calibri" w:hAnsi="Calibri"/>
                <w:color w:val="000000"/>
                <w:sz w:val="20"/>
              </w:rPr>
            </w:pPr>
            <w:r w:rsidRPr="00724D06">
              <w:rPr>
                <w:rFonts w:ascii="Calibri" w:hAnsi="Calibri"/>
                <w:color w:val="000000"/>
                <w:sz w:val="20"/>
              </w:rPr>
              <w:t>405,507</w:t>
            </w:r>
          </w:p>
        </w:tc>
        <w:tc>
          <w:tcPr>
            <w:tcW w:w="848" w:type="pct"/>
            <w:tcBorders>
              <w:top w:val="nil"/>
              <w:left w:val="single" w:sz="6" w:space="0" w:color="auto"/>
              <w:bottom w:val="single" w:sz="6" w:space="0" w:color="auto"/>
              <w:right w:val="single" w:sz="18" w:space="0" w:color="auto"/>
            </w:tcBorders>
            <w:tcMar>
              <w:top w:w="28" w:type="dxa"/>
              <w:left w:w="28" w:type="dxa"/>
              <w:bottom w:w="28" w:type="dxa"/>
              <w:right w:w="28" w:type="dxa"/>
            </w:tcMar>
            <w:vAlign w:val="center"/>
          </w:tcPr>
          <w:p w14:paraId="08BF2300" w14:textId="2FFFD5BA" w:rsidR="002574AE" w:rsidRPr="00911EB4" w:rsidRDefault="003C7D64" w:rsidP="00911EB4">
            <w:pPr>
              <w:overflowPunct/>
              <w:autoSpaceDE/>
              <w:autoSpaceDN/>
              <w:adjustRightInd/>
              <w:jc w:val="right"/>
              <w:textAlignment w:val="auto"/>
              <w:rPr>
                <w:rFonts w:ascii="Calibri" w:hAnsi="Calibri"/>
                <w:color w:val="000000"/>
                <w:sz w:val="20"/>
              </w:rPr>
            </w:pPr>
            <w:r w:rsidRPr="00226545">
              <w:rPr>
                <w:rFonts w:ascii="Calibri" w:hAnsi="Calibri"/>
                <w:color w:val="000000"/>
                <w:sz w:val="20"/>
              </w:rPr>
              <w:t>1,838,523</w:t>
            </w:r>
          </w:p>
        </w:tc>
      </w:tr>
      <w:tr w:rsidR="00226545" w:rsidRPr="00226545" w14:paraId="157EDFBC" w14:textId="77777777" w:rsidTr="00911EB4">
        <w:trPr>
          <w:trHeight w:val="135"/>
          <w:jc w:val="center"/>
        </w:trPr>
        <w:tc>
          <w:tcPr>
            <w:tcW w:w="796" w:type="pct"/>
            <w:tcBorders>
              <w:top w:val="nil"/>
              <w:left w:val="single" w:sz="18" w:space="0" w:color="auto"/>
              <w:bottom w:val="single" w:sz="6" w:space="0" w:color="auto"/>
              <w:right w:val="single" w:sz="6" w:space="0" w:color="auto"/>
            </w:tcBorders>
            <w:tcMar>
              <w:top w:w="28" w:type="dxa"/>
              <w:left w:w="28" w:type="dxa"/>
              <w:bottom w:w="28" w:type="dxa"/>
              <w:right w:w="28" w:type="dxa"/>
            </w:tcMar>
            <w:vAlign w:val="center"/>
          </w:tcPr>
          <w:p w14:paraId="6806E9B3" w14:textId="5219A263" w:rsidR="00BD7452" w:rsidRPr="00226545" w:rsidRDefault="00CB05D4" w:rsidP="0018042A">
            <w:pPr>
              <w:overflowPunct/>
              <w:autoSpaceDE/>
              <w:autoSpaceDN/>
              <w:adjustRightInd/>
              <w:textAlignment w:val="auto"/>
              <w:rPr>
                <w:rFonts w:ascii="Calibri" w:hAnsi="Calibri"/>
                <w:color w:val="000000"/>
                <w:sz w:val="20"/>
              </w:rPr>
            </w:pPr>
            <w:r w:rsidRPr="00226545">
              <w:rPr>
                <w:rFonts w:ascii="Calibri" w:hAnsi="Calibri"/>
                <w:color w:val="000000"/>
                <w:sz w:val="20"/>
              </w:rPr>
              <w:t>AR Achara</w:t>
            </w:r>
            <w:r w:rsidR="00BD7452" w:rsidRPr="00226545">
              <w:rPr>
                <w:rFonts w:ascii="Calibri" w:hAnsi="Calibri"/>
                <w:color w:val="000000"/>
                <w:sz w:val="20"/>
              </w:rPr>
              <w:t xml:space="preserve"> </w:t>
            </w:r>
          </w:p>
        </w:tc>
        <w:tc>
          <w:tcPr>
            <w:tcW w:w="624" w:type="pct"/>
            <w:tcBorders>
              <w:top w:val="nil"/>
              <w:left w:val="single" w:sz="6" w:space="0" w:color="auto"/>
              <w:bottom w:val="single" w:sz="6" w:space="0" w:color="auto"/>
              <w:right w:val="single" w:sz="6" w:space="0" w:color="auto"/>
            </w:tcBorders>
            <w:tcMar>
              <w:top w:w="28" w:type="dxa"/>
              <w:left w:w="28" w:type="dxa"/>
              <w:bottom w:w="28" w:type="dxa"/>
              <w:right w:w="28" w:type="dxa"/>
            </w:tcMar>
            <w:vAlign w:val="center"/>
          </w:tcPr>
          <w:p w14:paraId="6C406040" w14:textId="20AA36C8" w:rsidR="00BD7452" w:rsidRPr="00226545" w:rsidRDefault="00BD7452" w:rsidP="002574AE">
            <w:pPr>
              <w:keepNext/>
              <w:rPr>
                <w:rFonts w:ascii="Calibri" w:hAnsi="Calibri" w:cs="Calibri"/>
                <w:color w:val="000000"/>
                <w:sz w:val="20"/>
                <w:lang w:val="en-US"/>
              </w:rPr>
            </w:pPr>
            <w:r w:rsidRPr="00226545">
              <w:rPr>
                <w:rFonts w:ascii="Calibri" w:hAnsi="Calibri" w:cs="Calibri"/>
                <w:color w:val="000000"/>
                <w:sz w:val="20"/>
                <w:lang w:val="en-US"/>
              </w:rPr>
              <w:t>Co-finance</w:t>
            </w:r>
          </w:p>
        </w:tc>
        <w:tc>
          <w:tcPr>
            <w:tcW w:w="1015" w:type="pct"/>
            <w:tcBorders>
              <w:top w:val="nil"/>
              <w:left w:val="single" w:sz="6" w:space="0" w:color="auto"/>
              <w:bottom w:val="single" w:sz="6" w:space="0" w:color="auto"/>
              <w:right w:val="single" w:sz="6" w:space="0" w:color="auto"/>
            </w:tcBorders>
            <w:tcMar>
              <w:top w:w="28" w:type="dxa"/>
              <w:left w:w="28" w:type="dxa"/>
              <w:bottom w:w="28" w:type="dxa"/>
              <w:right w:w="28" w:type="dxa"/>
            </w:tcMar>
            <w:vAlign w:val="center"/>
          </w:tcPr>
          <w:p w14:paraId="7CB96A7D" w14:textId="5EC65DF2" w:rsidR="00BD7452" w:rsidRPr="00226545" w:rsidRDefault="00BD7452" w:rsidP="00BD7452">
            <w:pPr>
              <w:overflowPunct/>
              <w:autoSpaceDE/>
              <w:autoSpaceDN/>
              <w:adjustRightInd/>
              <w:jc w:val="right"/>
              <w:textAlignment w:val="auto"/>
              <w:rPr>
                <w:rFonts w:ascii="Calibri" w:hAnsi="Calibri"/>
                <w:color w:val="000000"/>
                <w:sz w:val="20"/>
              </w:rPr>
            </w:pPr>
            <w:r w:rsidRPr="00226545">
              <w:rPr>
                <w:rFonts w:ascii="Calibri" w:hAnsi="Calibri"/>
                <w:color w:val="000000"/>
                <w:sz w:val="20"/>
              </w:rPr>
              <w:t>7,638,036</w:t>
            </w:r>
          </w:p>
        </w:tc>
        <w:tc>
          <w:tcPr>
            <w:tcW w:w="920" w:type="pct"/>
            <w:tcBorders>
              <w:top w:val="nil"/>
              <w:left w:val="single" w:sz="6" w:space="0" w:color="auto"/>
              <w:bottom w:val="single" w:sz="6" w:space="0" w:color="auto"/>
              <w:right w:val="single" w:sz="6" w:space="0" w:color="auto"/>
            </w:tcBorders>
            <w:vAlign w:val="center"/>
          </w:tcPr>
          <w:p w14:paraId="70372555" w14:textId="5302D01F" w:rsidR="00BD7452" w:rsidRPr="00226545" w:rsidRDefault="00DB3529" w:rsidP="002574AE">
            <w:pPr>
              <w:keepNext/>
              <w:jc w:val="right"/>
              <w:rPr>
                <w:rFonts w:ascii="Calibri" w:hAnsi="Calibri" w:cs="Calibri"/>
                <w:color w:val="000000"/>
                <w:sz w:val="20"/>
                <w:lang w:val="en-US"/>
              </w:rPr>
            </w:pPr>
            <w:r w:rsidRPr="00226545">
              <w:rPr>
                <w:rFonts w:ascii="Calibri" w:hAnsi="Calibri"/>
                <w:color w:val="000000"/>
                <w:sz w:val="20"/>
              </w:rPr>
              <w:t>7,638,036</w:t>
            </w:r>
          </w:p>
        </w:tc>
        <w:tc>
          <w:tcPr>
            <w:tcW w:w="797" w:type="pct"/>
            <w:tcBorders>
              <w:top w:val="nil"/>
              <w:left w:val="single" w:sz="6" w:space="0" w:color="auto"/>
              <w:bottom w:val="single" w:sz="6" w:space="0" w:color="auto"/>
              <w:right w:val="single" w:sz="6" w:space="0" w:color="auto"/>
            </w:tcBorders>
            <w:tcMar>
              <w:top w:w="28" w:type="dxa"/>
              <w:left w:w="28" w:type="dxa"/>
              <w:bottom w:w="28" w:type="dxa"/>
              <w:right w:w="28" w:type="dxa"/>
            </w:tcMar>
            <w:vAlign w:val="center"/>
          </w:tcPr>
          <w:p w14:paraId="0EA02BB0" w14:textId="56632C0A" w:rsidR="00BD7452" w:rsidRPr="00724D06" w:rsidRDefault="00140472" w:rsidP="009A04A0">
            <w:pPr>
              <w:overflowPunct/>
              <w:autoSpaceDE/>
              <w:autoSpaceDN/>
              <w:adjustRightInd/>
              <w:jc w:val="right"/>
              <w:textAlignment w:val="auto"/>
              <w:rPr>
                <w:rFonts w:ascii="Calibri" w:hAnsi="Calibri"/>
                <w:color w:val="000000"/>
                <w:sz w:val="20"/>
              </w:rPr>
            </w:pPr>
            <w:r>
              <w:rPr>
                <w:rFonts w:ascii="Calibri" w:hAnsi="Calibri"/>
                <w:color w:val="000000"/>
                <w:sz w:val="20"/>
              </w:rPr>
              <w:t>**</w:t>
            </w:r>
            <w:r w:rsidR="004146ED">
              <w:rPr>
                <w:rFonts w:ascii="Calibri" w:hAnsi="Calibri"/>
                <w:color w:val="000000"/>
                <w:sz w:val="20"/>
              </w:rPr>
              <w:t>(</w:t>
            </w:r>
            <w:r w:rsidR="009A04A0" w:rsidRPr="00607852">
              <w:rPr>
                <w:rFonts w:ascii="Calibri" w:hAnsi="Calibri"/>
                <w:strike/>
                <w:color w:val="000000"/>
                <w:sz w:val="20"/>
              </w:rPr>
              <w:t>41,897,589</w:t>
            </w:r>
            <w:r w:rsidR="004146ED">
              <w:rPr>
                <w:rFonts w:ascii="Calibri" w:hAnsi="Calibri"/>
                <w:color w:val="000000"/>
                <w:sz w:val="20"/>
              </w:rPr>
              <w:t>)</w:t>
            </w:r>
          </w:p>
        </w:tc>
        <w:tc>
          <w:tcPr>
            <w:tcW w:w="848" w:type="pct"/>
            <w:tcBorders>
              <w:top w:val="nil"/>
              <w:left w:val="single" w:sz="6" w:space="0" w:color="auto"/>
              <w:bottom w:val="single" w:sz="6" w:space="0" w:color="auto"/>
              <w:right w:val="single" w:sz="18" w:space="0" w:color="auto"/>
            </w:tcBorders>
            <w:tcMar>
              <w:top w:w="28" w:type="dxa"/>
              <w:left w:w="28" w:type="dxa"/>
              <w:bottom w:w="28" w:type="dxa"/>
              <w:right w:w="28" w:type="dxa"/>
            </w:tcMar>
            <w:vAlign w:val="center"/>
          </w:tcPr>
          <w:p w14:paraId="31B8B184" w14:textId="359D5CAA" w:rsidR="00BD7452" w:rsidRPr="00226545" w:rsidRDefault="00140472" w:rsidP="003C7D64">
            <w:pPr>
              <w:overflowPunct/>
              <w:autoSpaceDE/>
              <w:autoSpaceDN/>
              <w:adjustRightInd/>
              <w:jc w:val="right"/>
              <w:textAlignment w:val="auto"/>
              <w:rPr>
                <w:rFonts w:ascii="Calibri" w:hAnsi="Calibri"/>
                <w:color w:val="000000"/>
                <w:sz w:val="20"/>
              </w:rPr>
            </w:pPr>
            <w:r>
              <w:rPr>
                <w:rFonts w:ascii="Calibri" w:hAnsi="Calibri"/>
                <w:color w:val="000000"/>
                <w:sz w:val="20"/>
              </w:rPr>
              <w:t>**</w:t>
            </w:r>
            <w:r w:rsidR="004146ED">
              <w:rPr>
                <w:rFonts w:ascii="Calibri" w:hAnsi="Calibri"/>
                <w:color w:val="000000"/>
                <w:sz w:val="20"/>
              </w:rPr>
              <w:t>(</w:t>
            </w:r>
            <w:r w:rsidR="003C7D64" w:rsidRPr="00607852">
              <w:rPr>
                <w:rFonts w:ascii="Calibri" w:hAnsi="Calibri"/>
                <w:strike/>
                <w:color w:val="000000"/>
                <w:sz w:val="20"/>
              </w:rPr>
              <w:t>43,416,588</w:t>
            </w:r>
            <w:r w:rsidR="004146ED">
              <w:rPr>
                <w:rFonts w:ascii="Calibri" w:hAnsi="Calibri"/>
                <w:color w:val="000000"/>
                <w:sz w:val="20"/>
              </w:rPr>
              <w:t>)</w:t>
            </w:r>
          </w:p>
        </w:tc>
      </w:tr>
      <w:tr w:rsidR="00226545" w:rsidRPr="00226545" w14:paraId="4587F3CB" w14:textId="77777777" w:rsidTr="00911EB4">
        <w:trPr>
          <w:trHeight w:val="135"/>
          <w:jc w:val="center"/>
        </w:trPr>
        <w:tc>
          <w:tcPr>
            <w:tcW w:w="796" w:type="pct"/>
            <w:tcBorders>
              <w:top w:val="nil"/>
              <w:left w:val="single" w:sz="18" w:space="0" w:color="auto"/>
              <w:bottom w:val="single" w:sz="6" w:space="0" w:color="auto"/>
              <w:right w:val="single" w:sz="6" w:space="0" w:color="auto"/>
            </w:tcBorders>
            <w:tcMar>
              <w:top w:w="28" w:type="dxa"/>
              <w:left w:w="28" w:type="dxa"/>
              <w:bottom w:w="28" w:type="dxa"/>
              <w:right w:w="28" w:type="dxa"/>
            </w:tcMar>
            <w:vAlign w:val="center"/>
          </w:tcPr>
          <w:p w14:paraId="3F59ED6A" w14:textId="443AFBB2" w:rsidR="00BD7452" w:rsidRPr="00226545" w:rsidRDefault="00CB05D4" w:rsidP="0018042A">
            <w:pPr>
              <w:overflowPunct/>
              <w:autoSpaceDE/>
              <w:autoSpaceDN/>
              <w:adjustRightInd/>
              <w:textAlignment w:val="auto"/>
              <w:rPr>
                <w:rFonts w:ascii="Calibri" w:hAnsi="Calibri"/>
                <w:color w:val="000000"/>
                <w:sz w:val="20"/>
              </w:rPr>
            </w:pPr>
            <w:r w:rsidRPr="00226545">
              <w:rPr>
                <w:rFonts w:ascii="Calibri" w:hAnsi="Calibri"/>
                <w:color w:val="000000"/>
                <w:sz w:val="20"/>
              </w:rPr>
              <w:t>Khelv</w:t>
            </w:r>
            <w:r w:rsidR="00BD7452" w:rsidRPr="00226545">
              <w:rPr>
                <w:rFonts w:ascii="Calibri" w:hAnsi="Calibri"/>
                <w:color w:val="000000"/>
                <w:sz w:val="20"/>
              </w:rPr>
              <w:t xml:space="preserve">achauri </w:t>
            </w:r>
            <w:r w:rsidR="0018042A">
              <w:rPr>
                <w:rFonts w:ascii="Calibri" w:hAnsi="Calibri"/>
                <w:color w:val="000000"/>
                <w:sz w:val="20"/>
              </w:rPr>
              <w:t>M.</w:t>
            </w:r>
          </w:p>
        </w:tc>
        <w:tc>
          <w:tcPr>
            <w:tcW w:w="624" w:type="pct"/>
            <w:tcBorders>
              <w:top w:val="nil"/>
              <w:left w:val="single" w:sz="6" w:space="0" w:color="auto"/>
              <w:bottom w:val="single" w:sz="6" w:space="0" w:color="auto"/>
              <w:right w:val="single" w:sz="6" w:space="0" w:color="auto"/>
            </w:tcBorders>
            <w:tcMar>
              <w:top w:w="28" w:type="dxa"/>
              <w:left w:w="28" w:type="dxa"/>
              <w:bottom w:w="28" w:type="dxa"/>
              <w:right w:w="28" w:type="dxa"/>
            </w:tcMar>
            <w:vAlign w:val="center"/>
          </w:tcPr>
          <w:p w14:paraId="77F5C53C" w14:textId="3D045FDD" w:rsidR="00BD7452" w:rsidRPr="00226545" w:rsidRDefault="00BD7452" w:rsidP="002574AE">
            <w:pPr>
              <w:keepNext/>
              <w:rPr>
                <w:rFonts w:ascii="Calibri" w:hAnsi="Calibri" w:cs="Calibri"/>
                <w:color w:val="000000"/>
                <w:sz w:val="20"/>
                <w:lang w:val="en-US"/>
              </w:rPr>
            </w:pPr>
            <w:r w:rsidRPr="00226545">
              <w:rPr>
                <w:rFonts w:ascii="Calibri" w:hAnsi="Calibri" w:cs="Calibri"/>
                <w:color w:val="000000"/>
                <w:sz w:val="20"/>
                <w:lang w:val="en-US"/>
              </w:rPr>
              <w:t>Co-finance</w:t>
            </w:r>
          </w:p>
        </w:tc>
        <w:tc>
          <w:tcPr>
            <w:tcW w:w="1015" w:type="pct"/>
            <w:tcBorders>
              <w:top w:val="nil"/>
              <w:left w:val="single" w:sz="6" w:space="0" w:color="auto"/>
              <w:bottom w:val="single" w:sz="6" w:space="0" w:color="auto"/>
              <w:right w:val="single" w:sz="6" w:space="0" w:color="auto"/>
            </w:tcBorders>
            <w:tcMar>
              <w:top w:w="28" w:type="dxa"/>
              <w:left w:w="28" w:type="dxa"/>
              <w:bottom w:w="28" w:type="dxa"/>
              <w:right w:w="28" w:type="dxa"/>
            </w:tcMar>
            <w:vAlign w:val="center"/>
          </w:tcPr>
          <w:p w14:paraId="2A9C84D0" w14:textId="5DCD75A4" w:rsidR="00BD7452" w:rsidRPr="00226545" w:rsidRDefault="00BD7452" w:rsidP="00BD7452">
            <w:pPr>
              <w:overflowPunct/>
              <w:autoSpaceDE/>
              <w:autoSpaceDN/>
              <w:adjustRightInd/>
              <w:jc w:val="right"/>
              <w:textAlignment w:val="auto"/>
              <w:rPr>
                <w:rFonts w:ascii="Calibri" w:hAnsi="Calibri"/>
                <w:color w:val="000000"/>
                <w:sz w:val="20"/>
              </w:rPr>
            </w:pPr>
            <w:r w:rsidRPr="00226545">
              <w:rPr>
                <w:rFonts w:ascii="Calibri" w:hAnsi="Calibri"/>
                <w:color w:val="000000"/>
                <w:sz w:val="20"/>
              </w:rPr>
              <w:t>1,757,553</w:t>
            </w:r>
          </w:p>
        </w:tc>
        <w:tc>
          <w:tcPr>
            <w:tcW w:w="920" w:type="pct"/>
            <w:tcBorders>
              <w:top w:val="nil"/>
              <w:left w:val="single" w:sz="6" w:space="0" w:color="auto"/>
              <w:bottom w:val="single" w:sz="6" w:space="0" w:color="auto"/>
              <w:right w:val="single" w:sz="6" w:space="0" w:color="auto"/>
            </w:tcBorders>
            <w:vAlign w:val="center"/>
          </w:tcPr>
          <w:p w14:paraId="519FD656" w14:textId="403F3750" w:rsidR="00BD7452" w:rsidRPr="00226545" w:rsidRDefault="00DB3529" w:rsidP="002574AE">
            <w:pPr>
              <w:keepNext/>
              <w:jc w:val="right"/>
              <w:rPr>
                <w:rFonts w:ascii="Calibri" w:hAnsi="Calibri" w:cs="Calibri"/>
                <w:color w:val="000000"/>
                <w:sz w:val="20"/>
                <w:lang w:val="en-US"/>
              </w:rPr>
            </w:pPr>
            <w:r w:rsidRPr="00226545">
              <w:rPr>
                <w:rFonts w:ascii="Calibri" w:hAnsi="Calibri"/>
                <w:color w:val="000000"/>
                <w:sz w:val="20"/>
              </w:rPr>
              <w:t>1,757,553</w:t>
            </w:r>
          </w:p>
        </w:tc>
        <w:tc>
          <w:tcPr>
            <w:tcW w:w="797" w:type="pct"/>
            <w:tcBorders>
              <w:top w:val="nil"/>
              <w:left w:val="single" w:sz="6" w:space="0" w:color="auto"/>
              <w:bottom w:val="single" w:sz="6" w:space="0" w:color="auto"/>
              <w:right w:val="single" w:sz="6" w:space="0" w:color="auto"/>
            </w:tcBorders>
            <w:tcMar>
              <w:top w:w="28" w:type="dxa"/>
              <w:left w:w="28" w:type="dxa"/>
              <w:bottom w:w="28" w:type="dxa"/>
              <w:right w:w="28" w:type="dxa"/>
            </w:tcMar>
            <w:vAlign w:val="center"/>
          </w:tcPr>
          <w:p w14:paraId="7BEE729C" w14:textId="66209A34" w:rsidR="00BD7452" w:rsidRPr="00724D06" w:rsidRDefault="009A04A0" w:rsidP="009A04A0">
            <w:pPr>
              <w:overflowPunct/>
              <w:autoSpaceDE/>
              <w:autoSpaceDN/>
              <w:adjustRightInd/>
              <w:jc w:val="right"/>
              <w:textAlignment w:val="auto"/>
              <w:rPr>
                <w:rFonts w:ascii="Calibri" w:hAnsi="Calibri"/>
                <w:color w:val="000000"/>
                <w:sz w:val="20"/>
              </w:rPr>
            </w:pPr>
            <w:r w:rsidRPr="00724D06">
              <w:rPr>
                <w:rFonts w:ascii="Calibri" w:hAnsi="Calibri"/>
                <w:color w:val="000000"/>
                <w:sz w:val="20"/>
              </w:rPr>
              <w:t>512,587</w:t>
            </w:r>
          </w:p>
        </w:tc>
        <w:tc>
          <w:tcPr>
            <w:tcW w:w="848" w:type="pct"/>
            <w:tcBorders>
              <w:top w:val="nil"/>
              <w:left w:val="single" w:sz="6" w:space="0" w:color="auto"/>
              <w:bottom w:val="single" w:sz="6" w:space="0" w:color="auto"/>
              <w:right w:val="single" w:sz="18" w:space="0" w:color="auto"/>
            </w:tcBorders>
            <w:tcMar>
              <w:top w:w="28" w:type="dxa"/>
              <w:left w:w="28" w:type="dxa"/>
              <w:bottom w:w="28" w:type="dxa"/>
              <w:right w:w="28" w:type="dxa"/>
            </w:tcMar>
            <w:vAlign w:val="center"/>
          </w:tcPr>
          <w:p w14:paraId="05AFD4EB" w14:textId="7FB1FB2D" w:rsidR="00BD7452" w:rsidRPr="00226545" w:rsidRDefault="003C7D64" w:rsidP="003C7D64">
            <w:pPr>
              <w:overflowPunct/>
              <w:autoSpaceDE/>
              <w:autoSpaceDN/>
              <w:adjustRightInd/>
              <w:jc w:val="right"/>
              <w:textAlignment w:val="auto"/>
              <w:rPr>
                <w:rFonts w:ascii="Calibri" w:hAnsi="Calibri"/>
                <w:color w:val="000000"/>
                <w:sz w:val="20"/>
              </w:rPr>
            </w:pPr>
            <w:r w:rsidRPr="00226545">
              <w:rPr>
                <w:rFonts w:ascii="Calibri" w:hAnsi="Calibri"/>
                <w:color w:val="000000"/>
                <w:sz w:val="20"/>
              </w:rPr>
              <w:t>912,587</w:t>
            </w:r>
          </w:p>
        </w:tc>
      </w:tr>
      <w:tr w:rsidR="00DB3529" w:rsidRPr="00226545" w14:paraId="3ADC0EC1" w14:textId="77777777" w:rsidTr="00911EB4">
        <w:trPr>
          <w:trHeight w:val="135"/>
          <w:jc w:val="center"/>
        </w:trPr>
        <w:tc>
          <w:tcPr>
            <w:tcW w:w="796" w:type="pct"/>
            <w:tcBorders>
              <w:top w:val="nil"/>
              <w:left w:val="single" w:sz="18" w:space="0" w:color="auto"/>
              <w:bottom w:val="single" w:sz="6" w:space="0" w:color="auto"/>
              <w:right w:val="single" w:sz="6" w:space="0" w:color="auto"/>
            </w:tcBorders>
            <w:tcMar>
              <w:top w:w="28" w:type="dxa"/>
              <w:left w:w="28" w:type="dxa"/>
              <w:bottom w:w="28" w:type="dxa"/>
              <w:right w:w="28" w:type="dxa"/>
            </w:tcMar>
            <w:vAlign w:val="center"/>
          </w:tcPr>
          <w:p w14:paraId="3EF32089" w14:textId="0AA1315A" w:rsidR="00DB3529" w:rsidRPr="00226545" w:rsidRDefault="00DB3529" w:rsidP="002574AE">
            <w:pPr>
              <w:keepNext/>
              <w:rPr>
                <w:rFonts w:ascii="Calibri" w:hAnsi="Calibri" w:cs="Calibri"/>
                <w:color w:val="000000"/>
                <w:sz w:val="20"/>
                <w:lang w:val="en-US"/>
              </w:rPr>
            </w:pPr>
            <w:r w:rsidRPr="00226545">
              <w:rPr>
                <w:rFonts w:ascii="Calibri" w:hAnsi="Calibri" w:cs="Calibri"/>
                <w:color w:val="000000"/>
                <w:sz w:val="20"/>
                <w:lang w:val="en-US"/>
              </w:rPr>
              <w:t>KfW</w:t>
            </w:r>
          </w:p>
        </w:tc>
        <w:tc>
          <w:tcPr>
            <w:tcW w:w="624" w:type="pct"/>
            <w:tcBorders>
              <w:top w:val="nil"/>
              <w:left w:val="single" w:sz="6" w:space="0" w:color="auto"/>
              <w:bottom w:val="single" w:sz="6" w:space="0" w:color="auto"/>
              <w:right w:val="single" w:sz="6" w:space="0" w:color="auto"/>
            </w:tcBorders>
            <w:tcMar>
              <w:top w:w="28" w:type="dxa"/>
              <w:left w:w="28" w:type="dxa"/>
              <w:bottom w:w="28" w:type="dxa"/>
              <w:right w:w="28" w:type="dxa"/>
            </w:tcMar>
            <w:vAlign w:val="center"/>
          </w:tcPr>
          <w:p w14:paraId="1033EE21" w14:textId="6BDE6684" w:rsidR="00DB3529" w:rsidRPr="00226545" w:rsidRDefault="00DB3529" w:rsidP="002574AE">
            <w:pPr>
              <w:keepNext/>
              <w:rPr>
                <w:rFonts w:ascii="Calibri" w:hAnsi="Calibri" w:cs="Calibri"/>
                <w:color w:val="000000"/>
                <w:sz w:val="20"/>
                <w:lang w:val="en-US"/>
              </w:rPr>
            </w:pPr>
            <w:r w:rsidRPr="00226545">
              <w:rPr>
                <w:rFonts w:ascii="Calibri" w:hAnsi="Calibri" w:cs="Calibri"/>
                <w:color w:val="000000"/>
                <w:sz w:val="20"/>
                <w:lang w:val="en-US"/>
              </w:rPr>
              <w:t>Co-finance</w:t>
            </w:r>
          </w:p>
        </w:tc>
        <w:tc>
          <w:tcPr>
            <w:tcW w:w="1015" w:type="pct"/>
            <w:tcBorders>
              <w:top w:val="nil"/>
              <w:left w:val="single" w:sz="6" w:space="0" w:color="auto"/>
              <w:bottom w:val="single" w:sz="6" w:space="0" w:color="auto"/>
              <w:right w:val="single" w:sz="6" w:space="0" w:color="auto"/>
            </w:tcBorders>
            <w:tcMar>
              <w:top w:w="28" w:type="dxa"/>
              <w:left w:w="28" w:type="dxa"/>
              <w:bottom w:w="28" w:type="dxa"/>
              <w:right w:w="28" w:type="dxa"/>
            </w:tcMar>
            <w:vAlign w:val="center"/>
          </w:tcPr>
          <w:p w14:paraId="334330F8" w14:textId="1DA5499B" w:rsidR="00DB3529" w:rsidRPr="00226545" w:rsidRDefault="00DB3529" w:rsidP="00BD7452">
            <w:pPr>
              <w:overflowPunct/>
              <w:autoSpaceDE/>
              <w:autoSpaceDN/>
              <w:adjustRightInd/>
              <w:jc w:val="right"/>
              <w:textAlignment w:val="auto"/>
              <w:rPr>
                <w:rFonts w:ascii="Calibri" w:hAnsi="Calibri"/>
                <w:color w:val="000000"/>
                <w:sz w:val="20"/>
              </w:rPr>
            </w:pPr>
            <w:r w:rsidRPr="00226545">
              <w:rPr>
                <w:rFonts w:ascii="Calibri" w:hAnsi="Calibri"/>
                <w:color w:val="000000"/>
                <w:sz w:val="20"/>
              </w:rPr>
              <w:t>2,317,063</w:t>
            </w:r>
          </w:p>
        </w:tc>
        <w:tc>
          <w:tcPr>
            <w:tcW w:w="920" w:type="pct"/>
            <w:tcBorders>
              <w:top w:val="nil"/>
              <w:left w:val="single" w:sz="6" w:space="0" w:color="auto"/>
              <w:bottom w:val="single" w:sz="6" w:space="0" w:color="auto"/>
              <w:right w:val="single" w:sz="6" w:space="0" w:color="auto"/>
            </w:tcBorders>
            <w:vAlign w:val="center"/>
          </w:tcPr>
          <w:p w14:paraId="33BA70C9" w14:textId="52D11921" w:rsidR="00DB3529" w:rsidRPr="00226545" w:rsidRDefault="00DB3529" w:rsidP="002574AE">
            <w:pPr>
              <w:keepNext/>
              <w:jc w:val="right"/>
              <w:rPr>
                <w:rFonts w:ascii="Calibri" w:hAnsi="Calibri" w:cs="Calibri"/>
                <w:color w:val="000000"/>
                <w:sz w:val="20"/>
                <w:lang w:val="en-US"/>
              </w:rPr>
            </w:pPr>
            <w:r w:rsidRPr="00226545">
              <w:rPr>
                <w:rFonts w:ascii="Calibri" w:hAnsi="Calibri"/>
                <w:color w:val="000000"/>
                <w:sz w:val="20"/>
              </w:rPr>
              <w:t>2,317,063</w:t>
            </w:r>
          </w:p>
        </w:tc>
        <w:tc>
          <w:tcPr>
            <w:tcW w:w="797" w:type="pct"/>
            <w:tcBorders>
              <w:top w:val="nil"/>
              <w:left w:val="single" w:sz="6" w:space="0" w:color="auto"/>
              <w:bottom w:val="single" w:sz="6" w:space="0" w:color="auto"/>
              <w:right w:val="single" w:sz="6" w:space="0" w:color="auto"/>
            </w:tcBorders>
            <w:tcMar>
              <w:top w:w="28" w:type="dxa"/>
              <w:left w:w="28" w:type="dxa"/>
              <w:bottom w:w="28" w:type="dxa"/>
              <w:right w:w="28" w:type="dxa"/>
            </w:tcMar>
            <w:vAlign w:val="center"/>
          </w:tcPr>
          <w:p w14:paraId="1285AEEE" w14:textId="155325F6" w:rsidR="00DB3529" w:rsidRPr="00724D06" w:rsidRDefault="00DB3529" w:rsidP="009A04A0">
            <w:pPr>
              <w:overflowPunct/>
              <w:autoSpaceDE/>
              <w:autoSpaceDN/>
              <w:adjustRightInd/>
              <w:jc w:val="right"/>
              <w:textAlignment w:val="auto"/>
              <w:rPr>
                <w:rFonts w:ascii="Calibri" w:hAnsi="Calibri"/>
                <w:color w:val="000000"/>
                <w:sz w:val="20"/>
              </w:rPr>
            </w:pPr>
            <w:r w:rsidRPr="00724D06">
              <w:rPr>
                <w:rFonts w:ascii="Calibri" w:hAnsi="Calibri"/>
                <w:color w:val="000000"/>
                <w:sz w:val="20"/>
              </w:rPr>
              <w:t>292,196</w:t>
            </w:r>
          </w:p>
        </w:tc>
        <w:tc>
          <w:tcPr>
            <w:tcW w:w="848" w:type="pct"/>
            <w:tcBorders>
              <w:top w:val="nil"/>
              <w:left w:val="single" w:sz="6" w:space="0" w:color="auto"/>
              <w:bottom w:val="single" w:sz="6" w:space="0" w:color="auto"/>
              <w:right w:val="single" w:sz="18" w:space="0" w:color="auto"/>
            </w:tcBorders>
            <w:tcMar>
              <w:top w:w="28" w:type="dxa"/>
              <w:left w:w="28" w:type="dxa"/>
              <w:bottom w:w="28" w:type="dxa"/>
              <w:right w:w="28" w:type="dxa"/>
            </w:tcMar>
            <w:vAlign w:val="center"/>
          </w:tcPr>
          <w:p w14:paraId="2D94A71F" w14:textId="7D122895" w:rsidR="00DB3529" w:rsidRPr="00226545" w:rsidRDefault="00DB3529" w:rsidP="003C7D64">
            <w:pPr>
              <w:overflowPunct/>
              <w:autoSpaceDE/>
              <w:autoSpaceDN/>
              <w:adjustRightInd/>
              <w:jc w:val="right"/>
              <w:textAlignment w:val="auto"/>
              <w:rPr>
                <w:rFonts w:ascii="Calibri" w:hAnsi="Calibri"/>
                <w:color w:val="000000"/>
                <w:sz w:val="20"/>
              </w:rPr>
            </w:pPr>
            <w:r w:rsidRPr="00226545">
              <w:rPr>
                <w:rFonts w:ascii="Calibri" w:hAnsi="Calibri"/>
                <w:color w:val="000000"/>
                <w:sz w:val="20"/>
              </w:rPr>
              <w:t>1,614,716</w:t>
            </w:r>
          </w:p>
        </w:tc>
      </w:tr>
      <w:tr w:rsidR="00DB3529" w:rsidRPr="00226545" w14:paraId="50A41A9B" w14:textId="77777777" w:rsidTr="0018042A">
        <w:trPr>
          <w:trHeight w:val="56"/>
          <w:jc w:val="center"/>
        </w:trPr>
        <w:tc>
          <w:tcPr>
            <w:tcW w:w="796" w:type="pct"/>
            <w:tcBorders>
              <w:top w:val="nil"/>
              <w:left w:val="single" w:sz="18" w:space="0" w:color="auto"/>
              <w:bottom w:val="single" w:sz="6" w:space="0" w:color="auto"/>
              <w:right w:val="single" w:sz="6" w:space="0" w:color="auto"/>
            </w:tcBorders>
            <w:tcMar>
              <w:top w:w="28" w:type="dxa"/>
              <w:left w:w="28" w:type="dxa"/>
              <w:bottom w:w="28" w:type="dxa"/>
              <w:right w:w="28" w:type="dxa"/>
            </w:tcMar>
            <w:vAlign w:val="center"/>
          </w:tcPr>
          <w:p w14:paraId="272EC853" w14:textId="6CB95083" w:rsidR="00DB3529" w:rsidRPr="00226545" w:rsidRDefault="00DB3529" w:rsidP="0018042A">
            <w:pPr>
              <w:keepNext/>
              <w:rPr>
                <w:rFonts w:ascii="Calibri" w:hAnsi="Calibri" w:cs="Calibri"/>
                <w:color w:val="000000"/>
                <w:sz w:val="20"/>
                <w:lang w:val="en-US"/>
              </w:rPr>
            </w:pPr>
            <w:r w:rsidRPr="00226545">
              <w:rPr>
                <w:rFonts w:ascii="Calibri" w:hAnsi="Calibri" w:cs="Calibri"/>
                <w:color w:val="000000"/>
                <w:sz w:val="20"/>
                <w:lang w:val="en-US"/>
              </w:rPr>
              <w:t>US D</w:t>
            </w:r>
            <w:r w:rsidR="0018042A">
              <w:rPr>
                <w:rFonts w:ascii="Calibri" w:hAnsi="Calibri" w:cs="Calibri"/>
                <w:color w:val="000000"/>
                <w:sz w:val="20"/>
                <w:lang w:val="en-US"/>
              </w:rPr>
              <w:t>oI</w:t>
            </w:r>
          </w:p>
        </w:tc>
        <w:tc>
          <w:tcPr>
            <w:tcW w:w="624" w:type="pct"/>
            <w:tcBorders>
              <w:top w:val="nil"/>
              <w:left w:val="single" w:sz="6" w:space="0" w:color="auto"/>
              <w:bottom w:val="single" w:sz="6" w:space="0" w:color="auto"/>
              <w:right w:val="single" w:sz="6" w:space="0" w:color="auto"/>
            </w:tcBorders>
            <w:tcMar>
              <w:top w:w="28" w:type="dxa"/>
              <w:left w:w="28" w:type="dxa"/>
              <w:bottom w:w="28" w:type="dxa"/>
              <w:right w:w="28" w:type="dxa"/>
            </w:tcMar>
            <w:vAlign w:val="center"/>
          </w:tcPr>
          <w:p w14:paraId="48C7D332" w14:textId="4E0FCFDC" w:rsidR="00DB3529" w:rsidRPr="00226545" w:rsidRDefault="00DB3529" w:rsidP="002574AE">
            <w:pPr>
              <w:keepNext/>
              <w:rPr>
                <w:rFonts w:ascii="Calibri" w:hAnsi="Calibri" w:cs="Calibri"/>
                <w:color w:val="000000"/>
                <w:sz w:val="20"/>
                <w:lang w:val="en-US"/>
              </w:rPr>
            </w:pPr>
            <w:r w:rsidRPr="00226545">
              <w:rPr>
                <w:rFonts w:ascii="Calibri" w:hAnsi="Calibri" w:cs="Calibri"/>
                <w:color w:val="000000"/>
                <w:sz w:val="20"/>
                <w:lang w:val="en-US"/>
              </w:rPr>
              <w:t>Co-finance</w:t>
            </w:r>
          </w:p>
        </w:tc>
        <w:tc>
          <w:tcPr>
            <w:tcW w:w="1015" w:type="pct"/>
            <w:tcBorders>
              <w:top w:val="nil"/>
              <w:left w:val="single" w:sz="6" w:space="0" w:color="auto"/>
              <w:bottom w:val="single" w:sz="6" w:space="0" w:color="auto"/>
              <w:right w:val="single" w:sz="6" w:space="0" w:color="auto"/>
            </w:tcBorders>
            <w:tcMar>
              <w:top w:w="28" w:type="dxa"/>
              <w:left w:w="28" w:type="dxa"/>
              <w:bottom w:w="28" w:type="dxa"/>
              <w:right w:w="28" w:type="dxa"/>
            </w:tcMar>
            <w:vAlign w:val="center"/>
          </w:tcPr>
          <w:p w14:paraId="34FE0419" w14:textId="69058DD5" w:rsidR="00DB3529" w:rsidRPr="00226545" w:rsidRDefault="00DB3529" w:rsidP="002574AE">
            <w:pPr>
              <w:keepNext/>
              <w:jc w:val="right"/>
              <w:rPr>
                <w:rFonts w:ascii="Calibri" w:hAnsi="Calibri" w:cs="Calibri"/>
                <w:color w:val="000000"/>
                <w:sz w:val="20"/>
                <w:lang w:val="en-US"/>
              </w:rPr>
            </w:pPr>
            <w:r w:rsidRPr="00226545">
              <w:rPr>
                <w:rFonts w:ascii="Calibri" w:hAnsi="Calibri" w:cs="Calibri"/>
                <w:color w:val="000000"/>
                <w:sz w:val="20"/>
                <w:lang w:val="en-US"/>
              </w:rPr>
              <w:t>40,000</w:t>
            </w:r>
          </w:p>
        </w:tc>
        <w:tc>
          <w:tcPr>
            <w:tcW w:w="920" w:type="pct"/>
            <w:tcBorders>
              <w:top w:val="nil"/>
              <w:left w:val="single" w:sz="6" w:space="0" w:color="auto"/>
              <w:bottom w:val="single" w:sz="6" w:space="0" w:color="auto"/>
              <w:right w:val="single" w:sz="6" w:space="0" w:color="auto"/>
            </w:tcBorders>
            <w:vAlign w:val="center"/>
          </w:tcPr>
          <w:p w14:paraId="0FF0123F" w14:textId="3ABDF8F4" w:rsidR="00DB3529" w:rsidRPr="00226545" w:rsidRDefault="00DB3529" w:rsidP="002574AE">
            <w:pPr>
              <w:keepNext/>
              <w:jc w:val="right"/>
              <w:rPr>
                <w:rFonts w:ascii="Calibri" w:hAnsi="Calibri" w:cs="Calibri"/>
                <w:color w:val="000000"/>
                <w:sz w:val="20"/>
                <w:lang w:val="en-US"/>
              </w:rPr>
            </w:pPr>
            <w:r w:rsidRPr="00226545">
              <w:rPr>
                <w:rFonts w:ascii="Calibri" w:hAnsi="Calibri" w:cs="Calibri"/>
                <w:color w:val="000000"/>
                <w:sz w:val="20"/>
                <w:lang w:val="en-US"/>
              </w:rPr>
              <w:t>40,000</w:t>
            </w:r>
          </w:p>
        </w:tc>
        <w:tc>
          <w:tcPr>
            <w:tcW w:w="797" w:type="pct"/>
            <w:tcBorders>
              <w:top w:val="nil"/>
              <w:left w:val="single" w:sz="6" w:space="0" w:color="auto"/>
              <w:bottom w:val="single" w:sz="6" w:space="0" w:color="auto"/>
              <w:right w:val="single" w:sz="6" w:space="0" w:color="auto"/>
            </w:tcBorders>
            <w:tcMar>
              <w:top w:w="28" w:type="dxa"/>
              <w:left w:w="28" w:type="dxa"/>
              <w:bottom w:w="28" w:type="dxa"/>
              <w:right w:w="28" w:type="dxa"/>
            </w:tcMar>
            <w:vAlign w:val="center"/>
          </w:tcPr>
          <w:p w14:paraId="07F8A23A" w14:textId="5E35CDB6" w:rsidR="00DB3529" w:rsidRPr="00724D06" w:rsidRDefault="00DB3529" w:rsidP="002574AE">
            <w:pPr>
              <w:keepNext/>
              <w:jc w:val="right"/>
              <w:rPr>
                <w:rFonts w:ascii="Calibri" w:hAnsi="Calibri" w:cs="Calibri"/>
                <w:color w:val="000000"/>
                <w:sz w:val="20"/>
                <w:lang w:val="en-US"/>
              </w:rPr>
            </w:pPr>
            <w:r>
              <w:rPr>
                <w:rFonts w:ascii="Calibri" w:hAnsi="Calibri" w:cs="Calibri"/>
                <w:color w:val="000000"/>
                <w:sz w:val="20"/>
                <w:lang w:val="en-US"/>
              </w:rPr>
              <w:t>0</w:t>
            </w:r>
          </w:p>
        </w:tc>
        <w:tc>
          <w:tcPr>
            <w:tcW w:w="848" w:type="pct"/>
            <w:tcBorders>
              <w:top w:val="nil"/>
              <w:left w:val="single" w:sz="6" w:space="0" w:color="auto"/>
              <w:bottom w:val="single" w:sz="6" w:space="0" w:color="auto"/>
              <w:right w:val="single" w:sz="18" w:space="0" w:color="auto"/>
            </w:tcBorders>
            <w:tcMar>
              <w:top w:w="28" w:type="dxa"/>
              <w:left w:w="28" w:type="dxa"/>
              <w:bottom w:w="28" w:type="dxa"/>
              <w:right w:w="28" w:type="dxa"/>
            </w:tcMar>
            <w:vAlign w:val="center"/>
          </w:tcPr>
          <w:p w14:paraId="68744C68" w14:textId="3CABE40D" w:rsidR="00DB3529" w:rsidRPr="00226545" w:rsidRDefault="00DB3529" w:rsidP="002574AE">
            <w:pPr>
              <w:keepNext/>
              <w:jc w:val="right"/>
              <w:rPr>
                <w:rFonts w:ascii="Calibri" w:hAnsi="Calibri" w:cs="Calibri"/>
                <w:color w:val="000000"/>
                <w:sz w:val="20"/>
                <w:lang w:val="en-US"/>
              </w:rPr>
            </w:pPr>
            <w:r w:rsidRPr="00226545">
              <w:rPr>
                <w:rFonts w:ascii="Calibri" w:hAnsi="Calibri" w:cs="Calibri"/>
                <w:color w:val="000000"/>
                <w:sz w:val="20"/>
                <w:lang w:val="en-US"/>
              </w:rPr>
              <w:t>0</w:t>
            </w:r>
          </w:p>
        </w:tc>
      </w:tr>
      <w:tr w:rsidR="00DB3529" w:rsidRPr="00226545" w14:paraId="197F7B9D" w14:textId="77777777" w:rsidTr="00911EB4">
        <w:trPr>
          <w:trHeight w:val="135"/>
          <w:jc w:val="center"/>
        </w:trPr>
        <w:tc>
          <w:tcPr>
            <w:tcW w:w="796" w:type="pct"/>
            <w:tcBorders>
              <w:top w:val="nil"/>
              <w:left w:val="single" w:sz="18" w:space="0" w:color="auto"/>
              <w:bottom w:val="single" w:sz="6" w:space="0" w:color="auto"/>
              <w:right w:val="single" w:sz="6" w:space="0" w:color="auto"/>
            </w:tcBorders>
            <w:tcMar>
              <w:top w:w="28" w:type="dxa"/>
              <w:left w:w="28" w:type="dxa"/>
              <w:bottom w:w="28" w:type="dxa"/>
              <w:right w:w="28" w:type="dxa"/>
            </w:tcMar>
            <w:vAlign w:val="center"/>
          </w:tcPr>
          <w:p w14:paraId="083535B7" w14:textId="4AB60396" w:rsidR="00DB3529" w:rsidRPr="00226545" w:rsidRDefault="00DB3529" w:rsidP="002574AE">
            <w:pPr>
              <w:keepNext/>
              <w:rPr>
                <w:rFonts w:ascii="Calibri" w:hAnsi="Calibri" w:cs="Calibri"/>
                <w:color w:val="000000"/>
                <w:sz w:val="20"/>
                <w:lang w:val="en-US"/>
              </w:rPr>
            </w:pPr>
            <w:r>
              <w:rPr>
                <w:rFonts w:ascii="Calibri" w:hAnsi="Calibri" w:cs="Calibri"/>
                <w:color w:val="000000"/>
                <w:sz w:val="20"/>
                <w:lang w:val="en-US"/>
              </w:rPr>
              <w:t>UNDP</w:t>
            </w:r>
          </w:p>
        </w:tc>
        <w:tc>
          <w:tcPr>
            <w:tcW w:w="624" w:type="pct"/>
            <w:tcBorders>
              <w:top w:val="nil"/>
              <w:left w:val="single" w:sz="6" w:space="0" w:color="auto"/>
              <w:bottom w:val="single" w:sz="6" w:space="0" w:color="auto"/>
              <w:right w:val="single" w:sz="6" w:space="0" w:color="auto"/>
            </w:tcBorders>
            <w:tcMar>
              <w:top w:w="28" w:type="dxa"/>
              <w:left w:w="28" w:type="dxa"/>
              <w:bottom w:w="28" w:type="dxa"/>
              <w:right w:w="28" w:type="dxa"/>
            </w:tcMar>
            <w:vAlign w:val="center"/>
          </w:tcPr>
          <w:p w14:paraId="7C5A5D82" w14:textId="43B46B42" w:rsidR="00DB3529" w:rsidRPr="00226545" w:rsidRDefault="00DB3529" w:rsidP="002574AE">
            <w:pPr>
              <w:keepNext/>
              <w:rPr>
                <w:rFonts w:ascii="Calibri" w:hAnsi="Calibri" w:cs="Calibri"/>
                <w:color w:val="000000"/>
                <w:sz w:val="20"/>
                <w:lang w:val="en-US"/>
              </w:rPr>
            </w:pPr>
            <w:r>
              <w:rPr>
                <w:rFonts w:ascii="Calibri" w:hAnsi="Calibri" w:cs="Calibri"/>
                <w:color w:val="000000"/>
                <w:sz w:val="20"/>
                <w:lang w:val="en-US"/>
              </w:rPr>
              <w:t>Co-finance</w:t>
            </w:r>
          </w:p>
        </w:tc>
        <w:tc>
          <w:tcPr>
            <w:tcW w:w="1015" w:type="pct"/>
            <w:tcBorders>
              <w:top w:val="nil"/>
              <w:left w:val="single" w:sz="6" w:space="0" w:color="auto"/>
              <w:bottom w:val="single" w:sz="6" w:space="0" w:color="auto"/>
              <w:right w:val="single" w:sz="6" w:space="0" w:color="auto"/>
            </w:tcBorders>
            <w:tcMar>
              <w:top w:w="28" w:type="dxa"/>
              <w:left w:w="28" w:type="dxa"/>
              <w:bottom w:w="28" w:type="dxa"/>
              <w:right w:w="28" w:type="dxa"/>
            </w:tcMar>
            <w:vAlign w:val="center"/>
          </w:tcPr>
          <w:p w14:paraId="31C2459F" w14:textId="7B838DAD" w:rsidR="00DB3529" w:rsidRPr="00226545" w:rsidRDefault="00DB3529" w:rsidP="002574AE">
            <w:pPr>
              <w:keepNext/>
              <w:jc w:val="right"/>
              <w:rPr>
                <w:rFonts w:ascii="Calibri" w:hAnsi="Calibri" w:cs="Calibri"/>
                <w:color w:val="000000"/>
                <w:sz w:val="20"/>
                <w:lang w:val="en-US"/>
              </w:rPr>
            </w:pPr>
            <w:r>
              <w:rPr>
                <w:rFonts w:ascii="Calibri" w:hAnsi="Calibri" w:cs="Calibri"/>
                <w:color w:val="000000"/>
                <w:sz w:val="20"/>
                <w:lang w:val="en-US"/>
              </w:rPr>
              <w:t>110,000</w:t>
            </w:r>
          </w:p>
        </w:tc>
        <w:tc>
          <w:tcPr>
            <w:tcW w:w="920" w:type="pct"/>
            <w:tcBorders>
              <w:top w:val="nil"/>
              <w:left w:val="single" w:sz="6" w:space="0" w:color="auto"/>
              <w:bottom w:val="single" w:sz="6" w:space="0" w:color="auto"/>
              <w:right w:val="single" w:sz="6" w:space="0" w:color="auto"/>
            </w:tcBorders>
            <w:vAlign w:val="center"/>
          </w:tcPr>
          <w:p w14:paraId="04F5A3A1" w14:textId="25048D0C" w:rsidR="00DB3529" w:rsidRPr="00226545" w:rsidRDefault="00DB3529" w:rsidP="002574AE">
            <w:pPr>
              <w:keepNext/>
              <w:jc w:val="right"/>
              <w:rPr>
                <w:rFonts w:ascii="Calibri" w:hAnsi="Calibri" w:cs="Calibri"/>
                <w:color w:val="000000"/>
                <w:sz w:val="20"/>
                <w:lang w:val="en-US"/>
              </w:rPr>
            </w:pPr>
            <w:r>
              <w:rPr>
                <w:rFonts w:ascii="Calibri" w:hAnsi="Calibri" w:cs="Calibri"/>
                <w:color w:val="000000"/>
                <w:sz w:val="20"/>
                <w:lang w:val="en-US"/>
              </w:rPr>
              <w:t>110,000</w:t>
            </w:r>
          </w:p>
        </w:tc>
        <w:tc>
          <w:tcPr>
            <w:tcW w:w="797" w:type="pct"/>
            <w:tcBorders>
              <w:top w:val="nil"/>
              <w:left w:val="single" w:sz="6" w:space="0" w:color="auto"/>
              <w:bottom w:val="single" w:sz="6" w:space="0" w:color="auto"/>
              <w:right w:val="single" w:sz="6" w:space="0" w:color="auto"/>
            </w:tcBorders>
            <w:tcMar>
              <w:top w:w="28" w:type="dxa"/>
              <w:left w:w="28" w:type="dxa"/>
              <w:bottom w:w="28" w:type="dxa"/>
              <w:right w:w="28" w:type="dxa"/>
            </w:tcMar>
            <w:vAlign w:val="center"/>
          </w:tcPr>
          <w:p w14:paraId="5E931A2C" w14:textId="28F25183" w:rsidR="00DB3529" w:rsidRPr="00724D06" w:rsidRDefault="00862390" w:rsidP="009A04A0">
            <w:pPr>
              <w:keepNext/>
              <w:jc w:val="right"/>
              <w:rPr>
                <w:rFonts w:ascii="Calibri" w:hAnsi="Calibri" w:cs="Calibri"/>
                <w:color w:val="000000"/>
                <w:sz w:val="20"/>
                <w:lang w:val="en-US"/>
              </w:rPr>
            </w:pPr>
            <w:r>
              <w:rPr>
                <w:rFonts w:ascii="Calibri" w:hAnsi="Calibri" w:cs="Calibri"/>
                <w:color w:val="000000"/>
                <w:sz w:val="20"/>
                <w:lang w:val="en-US"/>
              </w:rPr>
              <w:t>No info</w:t>
            </w:r>
          </w:p>
        </w:tc>
        <w:tc>
          <w:tcPr>
            <w:tcW w:w="848" w:type="pct"/>
            <w:tcBorders>
              <w:top w:val="nil"/>
              <w:left w:val="single" w:sz="6" w:space="0" w:color="auto"/>
              <w:bottom w:val="single" w:sz="6" w:space="0" w:color="auto"/>
              <w:right w:val="single" w:sz="18" w:space="0" w:color="auto"/>
            </w:tcBorders>
            <w:tcMar>
              <w:top w:w="28" w:type="dxa"/>
              <w:left w:w="28" w:type="dxa"/>
              <w:bottom w:w="28" w:type="dxa"/>
              <w:right w:w="28" w:type="dxa"/>
            </w:tcMar>
            <w:vAlign w:val="center"/>
          </w:tcPr>
          <w:p w14:paraId="4C5FFD26" w14:textId="41AA7797" w:rsidR="00DB3529" w:rsidRPr="00226545" w:rsidRDefault="00862390" w:rsidP="003C7D64">
            <w:pPr>
              <w:overflowPunct/>
              <w:autoSpaceDE/>
              <w:autoSpaceDN/>
              <w:adjustRightInd/>
              <w:jc w:val="right"/>
              <w:textAlignment w:val="auto"/>
              <w:rPr>
                <w:rFonts w:ascii="Calibri" w:hAnsi="Calibri"/>
                <w:color w:val="000000"/>
                <w:sz w:val="20"/>
              </w:rPr>
            </w:pPr>
            <w:r>
              <w:rPr>
                <w:rFonts w:ascii="Calibri" w:hAnsi="Calibri"/>
                <w:color w:val="000000"/>
                <w:sz w:val="20"/>
              </w:rPr>
              <w:t>No info</w:t>
            </w:r>
          </w:p>
        </w:tc>
      </w:tr>
      <w:tr w:rsidR="00DB3529" w:rsidRPr="00226545" w14:paraId="1EB2F495" w14:textId="77777777" w:rsidTr="00911EB4">
        <w:trPr>
          <w:trHeight w:val="135"/>
          <w:jc w:val="center"/>
        </w:trPr>
        <w:tc>
          <w:tcPr>
            <w:tcW w:w="796" w:type="pct"/>
            <w:tcBorders>
              <w:top w:val="nil"/>
              <w:left w:val="single" w:sz="18" w:space="0" w:color="auto"/>
              <w:bottom w:val="single" w:sz="6" w:space="0" w:color="auto"/>
              <w:right w:val="single" w:sz="6" w:space="0" w:color="auto"/>
            </w:tcBorders>
            <w:tcMar>
              <w:top w:w="28" w:type="dxa"/>
              <w:left w:w="28" w:type="dxa"/>
              <w:bottom w:w="28" w:type="dxa"/>
              <w:right w:w="28" w:type="dxa"/>
            </w:tcMar>
            <w:vAlign w:val="center"/>
          </w:tcPr>
          <w:p w14:paraId="4DFA73A9" w14:textId="3BF9AD76" w:rsidR="00DB3529" w:rsidRPr="00226545" w:rsidRDefault="00DB3529" w:rsidP="002574AE">
            <w:pPr>
              <w:keepNext/>
              <w:rPr>
                <w:rFonts w:ascii="Calibri" w:hAnsi="Calibri" w:cs="Calibri"/>
                <w:color w:val="000000"/>
                <w:sz w:val="20"/>
                <w:lang w:val="en-US"/>
              </w:rPr>
            </w:pPr>
            <w:r w:rsidRPr="00226545">
              <w:rPr>
                <w:rFonts w:ascii="Calibri" w:hAnsi="Calibri" w:cs="Calibri"/>
                <w:color w:val="000000"/>
                <w:sz w:val="20"/>
                <w:lang w:val="en-US"/>
              </w:rPr>
              <w:t>WWF</w:t>
            </w:r>
          </w:p>
        </w:tc>
        <w:tc>
          <w:tcPr>
            <w:tcW w:w="624" w:type="pct"/>
            <w:tcBorders>
              <w:top w:val="nil"/>
              <w:left w:val="single" w:sz="6" w:space="0" w:color="auto"/>
              <w:bottom w:val="single" w:sz="6" w:space="0" w:color="auto"/>
              <w:right w:val="single" w:sz="6" w:space="0" w:color="auto"/>
            </w:tcBorders>
            <w:tcMar>
              <w:top w:w="28" w:type="dxa"/>
              <w:left w:w="28" w:type="dxa"/>
              <w:bottom w:w="28" w:type="dxa"/>
              <w:right w:w="28" w:type="dxa"/>
            </w:tcMar>
            <w:vAlign w:val="center"/>
          </w:tcPr>
          <w:p w14:paraId="1C3401F3" w14:textId="4FA61924" w:rsidR="00DB3529" w:rsidRPr="00226545" w:rsidRDefault="00DB3529" w:rsidP="002574AE">
            <w:pPr>
              <w:keepNext/>
              <w:rPr>
                <w:rFonts w:ascii="Calibri" w:hAnsi="Calibri" w:cs="Calibri"/>
                <w:color w:val="000000"/>
                <w:sz w:val="20"/>
                <w:lang w:val="en-US"/>
              </w:rPr>
            </w:pPr>
            <w:r w:rsidRPr="00226545">
              <w:rPr>
                <w:rFonts w:ascii="Calibri" w:hAnsi="Calibri" w:cs="Calibri"/>
                <w:color w:val="000000"/>
                <w:sz w:val="20"/>
                <w:lang w:val="en-US"/>
              </w:rPr>
              <w:t>Co-finance</w:t>
            </w:r>
          </w:p>
        </w:tc>
        <w:tc>
          <w:tcPr>
            <w:tcW w:w="1015" w:type="pct"/>
            <w:tcBorders>
              <w:top w:val="nil"/>
              <w:left w:val="single" w:sz="6" w:space="0" w:color="auto"/>
              <w:bottom w:val="single" w:sz="6" w:space="0" w:color="auto"/>
              <w:right w:val="single" w:sz="6" w:space="0" w:color="auto"/>
            </w:tcBorders>
            <w:tcMar>
              <w:top w:w="28" w:type="dxa"/>
              <w:left w:w="28" w:type="dxa"/>
              <w:bottom w:w="28" w:type="dxa"/>
              <w:right w:w="28" w:type="dxa"/>
            </w:tcMar>
            <w:vAlign w:val="center"/>
          </w:tcPr>
          <w:p w14:paraId="123B7BCE" w14:textId="151F0C02" w:rsidR="00DB3529" w:rsidRPr="00226545" w:rsidRDefault="00DB3529" w:rsidP="002574AE">
            <w:pPr>
              <w:keepNext/>
              <w:jc w:val="right"/>
              <w:rPr>
                <w:rFonts w:ascii="Calibri" w:hAnsi="Calibri" w:cs="Calibri"/>
                <w:color w:val="000000"/>
                <w:sz w:val="20"/>
                <w:lang w:val="en-US"/>
              </w:rPr>
            </w:pPr>
            <w:r w:rsidRPr="00226545">
              <w:rPr>
                <w:rFonts w:ascii="Calibri" w:hAnsi="Calibri" w:cs="Calibri"/>
                <w:color w:val="000000"/>
                <w:sz w:val="20"/>
                <w:lang w:val="en-US"/>
              </w:rPr>
              <w:t>100,000</w:t>
            </w:r>
          </w:p>
        </w:tc>
        <w:tc>
          <w:tcPr>
            <w:tcW w:w="920" w:type="pct"/>
            <w:tcBorders>
              <w:top w:val="nil"/>
              <w:left w:val="single" w:sz="6" w:space="0" w:color="auto"/>
              <w:bottom w:val="single" w:sz="6" w:space="0" w:color="auto"/>
              <w:right w:val="single" w:sz="6" w:space="0" w:color="auto"/>
            </w:tcBorders>
            <w:vAlign w:val="center"/>
          </w:tcPr>
          <w:p w14:paraId="0F094DFA" w14:textId="3AA3C81F" w:rsidR="00DB3529" w:rsidRPr="00226545" w:rsidRDefault="00DB3529" w:rsidP="002574AE">
            <w:pPr>
              <w:keepNext/>
              <w:jc w:val="right"/>
              <w:rPr>
                <w:rFonts w:ascii="Calibri" w:hAnsi="Calibri" w:cs="Calibri"/>
                <w:color w:val="000000"/>
                <w:sz w:val="20"/>
                <w:lang w:val="en-US"/>
              </w:rPr>
            </w:pPr>
            <w:r w:rsidRPr="00226545">
              <w:rPr>
                <w:rFonts w:ascii="Calibri" w:hAnsi="Calibri" w:cs="Calibri"/>
                <w:color w:val="000000"/>
                <w:sz w:val="20"/>
                <w:lang w:val="en-US"/>
              </w:rPr>
              <w:t>100,000</w:t>
            </w:r>
          </w:p>
        </w:tc>
        <w:tc>
          <w:tcPr>
            <w:tcW w:w="797" w:type="pct"/>
            <w:tcBorders>
              <w:top w:val="nil"/>
              <w:left w:val="single" w:sz="6" w:space="0" w:color="auto"/>
              <w:bottom w:val="single" w:sz="6" w:space="0" w:color="auto"/>
              <w:right w:val="single" w:sz="6" w:space="0" w:color="auto"/>
            </w:tcBorders>
            <w:tcMar>
              <w:top w:w="28" w:type="dxa"/>
              <w:left w:w="28" w:type="dxa"/>
              <w:bottom w:w="28" w:type="dxa"/>
              <w:right w:w="28" w:type="dxa"/>
            </w:tcMar>
            <w:vAlign w:val="center"/>
          </w:tcPr>
          <w:p w14:paraId="730135E0" w14:textId="1F7B6A65" w:rsidR="00DB3529" w:rsidRPr="00724D06" w:rsidRDefault="00DB3529" w:rsidP="009A04A0">
            <w:pPr>
              <w:keepNext/>
              <w:jc w:val="right"/>
              <w:rPr>
                <w:rFonts w:ascii="Calibri" w:hAnsi="Calibri" w:cs="Calibri"/>
                <w:color w:val="000000"/>
                <w:sz w:val="20"/>
                <w:lang w:val="en-US"/>
              </w:rPr>
            </w:pPr>
            <w:r w:rsidRPr="00724D06">
              <w:rPr>
                <w:rFonts w:ascii="Calibri" w:hAnsi="Calibri" w:cs="Calibri"/>
                <w:color w:val="000000"/>
                <w:sz w:val="20"/>
                <w:lang w:val="en-US"/>
              </w:rPr>
              <w:t>135,000</w:t>
            </w:r>
          </w:p>
        </w:tc>
        <w:tc>
          <w:tcPr>
            <w:tcW w:w="848" w:type="pct"/>
            <w:tcBorders>
              <w:top w:val="nil"/>
              <w:left w:val="single" w:sz="6" w:space="0" w:color="auto"/>
              <w:bottom w:val="single" w:sz="6" w:space="0" w:color="auto"/>
              <w:right w:val="single" w:sz="18" w:space="0" w:color="auto"/>
            </w:tcBorders>
            <w:tcMar>
              <w:top w:w="28" w:type="dxa"/>
              <w:left w:w="28" w:type="dxa"/>
              <w:bottom w:w="28" w:type="dxa"/>
              <w:right w:w="28" w:type="dxa"/>
            </w:tcMar>
            <w:vAlign w:val="center"/>
          </w:tcPr>
          <w:p w14:paraId="107CCC36" w14:textId="16052D91" w:rsidR="00DB3529" w:rsidRPr="00226545" w:rsidRDefault="00DB3529" w:rsidP="003C7D64">
            <w:pPr>
              <w:overflowPunct/>
              <w:autoSpaceDE/>
              <w:autoSpaceDN/>
              <w:adjustRightInd/>
              <w:jc w:val="right"/>
              <w:textAlignment w:val="auto"/>
              <w:rPr>
                <w:rFonts w:ascii="Calibri" w:hAnsi="Calibri"/>
                <w:color w:val="000000"/>
                <w:sz w:val="20"/>
              </w:rPr>
            </w:pPr>
            <w:r w:rsidRPr="00226545">
              <w:rPr>
                <w:rFonts w:ascii="Calibri" w:hAnsi="Calibri"/>
                <w:color w:val="000000"/>
                <w:sz w:val="20"/>
              </w:rPr>
              <w:t>535,500</w:t>
            </w:r>
          </w:p>
        </w:tc>
      </w:tr>
      <w:tr w:rsidR="00DB3529" w:rsidRPr="00226545" w14:paraId="3F461EBE" w14:textId="77777777" w:rsidTr="00911EB4">
        <w:trPr>
          <w:trHeight w:val="135"/>
          <w:jc w:val="center"/>
        </w:trPr>
        <w:tc>
          <w:tcPr>
            <w:tcW w:w="796" w:type="pct"/>
            <w:tcBorders>
              <w:top w:val="nil"/>
              <w:left w:val="single" w:sz="18" w:space="0" w:color="auto"/>
              <w:bottom w:val="single" w:sz="6" w:space="0" w:color="auto"/>
              <w:right w:val="single" w:sz="6" w:space="0" w:color="auto"/>
            </w:tcBorders>
            <w:tcMar>
              <w:top w:w="28" w:type="dxa"/>
              <w:left w:w="28" w:type="dxa"/>
              <w:bottom w:w="28" w:type="dxa"/>
              <w:right w:w="28" w:type="dxa"/>
            </w:tcMar>
            <w:vAlign w:val="center"/>
          </w:tcPr>
          <w:p w14:paraId="3F4612DD" w14:textId="65F29B1E" w:rsidR="00DB3529" w:rsidRPr="00226545" w:rsidRDefault="00DB3529" w:rsidP="002574AE">
            <w:pPr>
              <w:keepNext/>
              <w:rPr>
                <w:rFonts w:ascii="Calibri" w:hAnsi="Calibri" w:cs="Calibri"/>
                <w:color w:val="000000"/>
                <w:sz w:val="20"/>
                <w:lang w:val="en-US"/>
              </w:rPr>
            </w:pPr>
            <w:r w:rsidRPr="00226545">
              <w:rPr>
                <w:rFonts w:ascii="Calibri" w:hAnsi="Calibri" w:cs="Calibri"/>
                <w:color w:val="000000"/>
                <w:sz w:val="20"/>
                <w:lang w:val="en-US"/>
              </w:rPr>
              <w:t>CNF</w:t>
            </w:r>
          </w:p>
        </w:tc>
        <w:tc>
          <w:tcPr>
            <w:tcW w:w="624" w:type="pct"/>
            <w:tcBorders>
              <w:top w:val="nil"/>
              <w:left w:val="single" w:sz="6" w:space="0" w:color="auto"/>
              <w:bottom w:val="single" w:sz="6" w:space="0" w:color="auto"/>
              <w:right w:val="single" w:sz="6" w:space="0" w:color="auto"/>
            </w:tcBorders>
            <w:tcMar>
              <w:top w:w="28" w:type="dxa"/>
              <w:left w:w="28" w:type="dxa"/>
              <w:bottom w:w="28" w:type="dxa"/>
              <w:right w:w="28" w:type="dxa"/>
            </w:tcMar>
            <w:vAlign w:val="center"/>
          </w:tcPr>
          <w:p w14:paraId="7E4E73BC" w14:textId="321F5B56" w:rsidR="00DB3529" w:rsidRPr="00226545" w:rsidRDefault="00DB3529" w:rsidP="002574AE">
            <w:pPr>
              <w:keepNext/>
              <w:rPr>
                <w:rFonts w:ascii="Calibri" w:hAnsi="Calibri" w:cs="Calibri"/>
                <w:color w:val="000000"/>
                <w:sz w:val="20"/>
                <w:lang w:val="en-US"/>
              </w:rPr>
            </w:pPr>
            <w:r w:rsidRPr="00226545">
              <w:rPr>
                <w:rFonts w:ascii="Calibri" w:hAnsi="Calibri" w:cs="Calibri"/>
                <w:color w:val="000000"/>
                <w:sz w:val="20"/>
                <w:lang w:val="en-US"/>
              </w:rPr>
              <w:t>Co-finance</w:t>
            </w:r>
          </w:p>
        </w:tc>
        <w:tc>
          <w:tcPr>
            <w:tcW w:w="1015" w:type="pct"/>
            <w:tcBorders>
              <w:top w:val="nil"/>
              <w:left w:val="single" w:sz="6" w:space="0" w:color="auto"/>
              <w:bottom w:val="single" w:sz="6" w:space="0" w:color="auto"/>
              <w:right w:val="single" w:sz="6" w:space="0" w:color="auto"/>
            </w:tcBorders>
            <w:tcMar>
              <w:top w:w="28" w:type="dxa"/>
              <w:left w:w="28" w:type="dxa"/>
              <w:bottom w:w="28" w:type="dxa"/>
              <w:right w:w="28" w:type="dxa"/>
            </w:tcMar>
            <w:vAlign w:val="center"/>
          </w:tcPr>
          <w:p w14:paraId="22BAF021" w14:textId="631C6438" w:rsidR="00DB3529" w:rsidRPr="00226545" w:rsidRDefault="00DB3529" w:rsidP="002574AE">
            <w:pPr>
              <w:keepNext/>
              <w:jc w:val="right"/>
              <w:rPr>
                <w:rFonts w:ascii="Calibri" w:hAnsi="Calibri" w:cs="Calibri"/>
                <w:color w:val="000000"/>
                <w:sz w:val="20"/>
                <w:lang w:val="en-US"/>
              </w:rPr>
            </w:pPr>
            <w:r w:rsidRPr="00226545">
              <w:rPr>
                <w:rFonts w:ascii="Calibri" w:hAnsi="Calibri" w:cs="Calibri"/>
                <w:color w:val="000000"/>
                <w:sz w:val="20"/>
                <w:lang w:val="en-US"/>
              </w:rPr>
              <w:t>317,000</w:t>
            </w:r>
          </w:p>
        </w:tc>
        <w:tc>
          <w:tcPr>
            <w:tcW w:w="920" w:type="pct"/>
            <w:tcBorders>
              <w:top w:val="nil"/>
              <w:left w:val="single" w:sz="6" w:space="0" w:color="auto"/>
              <w:bottom w:val="single" w:sz="6" w:space="0" w:color="auto"/>
              <w:right w:val="single" w:sz="6" w:space="0" w:color="auto"/>
            </w:tcBorders>
            <w:vAlign w:val="center"/>
          </w:tcPr>
          <w:p w14:paraId="789AED23" w14:textId="38412108" w:rsidR="00DB3529" w:rsidRPr="00226545" w:rsidRDefault="00DB3529" w:rsidP="002574AE">
            <w:pPr>
              <w:keepNext/>
              <w:jc w:val="right"/>
              <w:rPr>
                <w:rFonts w:ascii="Calibri" w:hAnsi="Calibri" w:cs="Calibri"/>
                <w:color w:val="000000"/>
                <w:sz w:val="20"/>
                <w:lang w:val="en-US"/>
              </w:rPr>
            </w:pPr>
            <w:r w:rsidRPr="00226545">
              <w:rPr>
                <w:rFonts w:ascii="Calibri" w:hAnsi="Calibri" w:cs="Calibri"/>
                <w:color w:val="000000"/>
                <w:sz w:val="20"/>
                <w:lang w:val="en-US"/>
              </w:rPr>
              <w:t>317,000</w:t>
            </w:r>
          </w:p>
        </w:tc>
        <w:tc>
          <w:tcPr>
            <w:tcW w:w="797" w:type="pct"/>
            <w:tcBorders>
              <w:top w:val="nil"/>
              <w:left w:val="single" w:sz="6" w:space="0" w:color="auto"/>
              <w:bottom w:val="single" w:sz="6" w:space="0" w:color="auto"/>
              <w:right w:val="single" w:sz="6" w:space="0" w:color="auto"/>
            </w:tcBorders>
            <w:tcMar>
              <w:top w:w="28" w:type="dxa"/>
              <w:left w:w="28" w:type="dxa"/>
              <w:bottom w:w="28" w:type="dxa"/>
              <w:right w:w="28" w:type="dxa"/>
            </w:tcMar>
            <w:vAlign w:val="center"/>
          </w:tcPr>
          <w:p w14:paraId="6A885F08" w14:textId="78FEA17D" w:rsidR="00DB3529" w:rsidRPr="00724D06" w:rsidRDefault="00DB3529" w:rsidP="009A04A0">
            <w:pPr>
              <w:overflowPunct/>
              <w:autoSpaceDE/>
              <w:autoSpaceDN/>
              <w:adjustRightInd/>
              <w:jc w:val="right"/>
              <w:textAlignment w:val="auto"/>
              <w:rPr>
                <w:rFonts w:ascii="Calibri" w:hAnsi="Calibri"/>
                <w:color w:val="000000"/>
                <w:sz w:val="20"/>
              </w:rPr>
            </w:pPr>
            <w:r w:rsidRPr="00724D06">
              <w:rPr>
                <w:rFonts w:ascii="Calibri" w:hAnsi="Calibri"/>
                <w:color w:val="000000"/>
                <w:sz w:val="20"/>
              </w:rPr>
              <w:t>116,271</w:t>
            </w:r>
          </w:p>
        </w:tc>
        <w:tc>
          <w:tcPr>
            <w:tcW w:w="848" w:type="pct"/>
            <w:tcBorders>
              <w:top w:val="nil"/>
              <w:left w:val="single" w:sz="6" w:space="0" w:color="auto"/>
              <w:bottom w:val="single" w:sz="6" w:space="0" w:color="auto"/>
              <w:right w:val="single" w:sz="18" w:space="0" w:color="auto"/>
            </w:tcBorders>
            <w:tcMar>
              <w:top w:w="28" w:type="dxa"/>
              <w:left w:w="28" w:type="dxa"/>
              <w:bottom w:w="28" w:type="dxa"/>
              <w:right w:w="28" w:type="dxa"/>
            </w:tcMar>
            <w:vAlign w:val="center"/>
          </w:tcPr>
          <w:p w14:paraId="0CB2B7E9" w14:textId="5206EF94" w:rsidR="00DB3529" w:rsidRPr="00226545" w:rsidRDefault="00DB3529" w:rsidP="003C7D64">
            <w:pPr>
              <w:overflowPunct/>
              <w:autoSpaceDE/>
              <w:autoSpaceDN/>
              <w:adjustRightInd/>
              <w:jc w:val="right"/>
              <w:textAlignment w:val="auto"/>
              <w:rPr>
                <w:rFonts w:ascii="Calibri" w:hAnsi="Calibri"/>
                <w:color w:val="000000"/>
                <w:sz w:val="20"/>
              </w:rPr>
            </w:pPr>
            <w:r w:rsidRPr="00226545">
              <w:rPr>
                <w:rFonts w:ascii="Calibri" w:hAnsi="Calibri"/>
                <w:color w:val="000000"/>
                <w:sz w:val="20"/>
              </w:rPr>
              <w:t>304,200</w:t>
            </w:r>
          </w:p>
        </w:tc>
      </w:tr>
      <w:tr w:rsidR="00226545" w:rsidRPr="00226545" w14:paraId="374191D2" w14:textId="77777777" w:rsidTr="00911EB4">
        <w:trPr>
          <w:trHeight w:val="98"/>
          <w:jc w:val="center"/>
        </w:trPr>
        <w:tc>
          <w:tcPr>
            <w:tcW w:w="796" w:type="pct"/>
            <w:tcBorders>
              <w:top w:val="single" w:sz="6" w:space="0" w:color="auto"/>
              <w:left w:val="single" w:sz="18" w:space="0" w:color="auto"/>
              <w:bottom w:val="single" w:sz="18" w:space="0" w:color="auto"/>
              <w:right w:val="single" w:sz="6" w:space="0" w:color="auto"/>
            </w:tcBorders>
            <w:shd w:val="clear" w:color="auto" w:fill="E0E0E0"/>
            <w:tcMar>
              <w:top w:w="28" w:type="dxa"/>
              <w:left w:w="28" w:type="dxa"/>
              <w:bottom w:w="28" w:type="dxa"/>
              <w:right w:w="28" w:type="dxa"/>
            </w:tcMar>
            <w:vAlign w:val="center"/>
          </w:tcPr>
          <w:p w14:paraId="6725FDC9" w14:textId="77777777" w:rsidR="00A9240A" w:rsidRPr="00226545" w:rsidRDefault="00A9240A" w:rsidP="00A9240A">
            <w:pPr>
              <w:keepNext/>
              <w:rPr>
                <w:rFonts w:ascii="Calibri" w:hAnsi="Calibri" w:cs="Calibri"/>
                <w:b/>
                <w:color w:val="000000"/>
                <w:sz w:val="20"/>
                <w:lang w:val="en-US"/>
              </w:rPr>
            </w:pPr>
            <w:r w:rsidRPr="00226545">
              <w:rPr>
                <w:rFonts w:ascii="Calibri" w:hAnsi="Calibri" w:cs="Calibri"/>
                <w:b/>
                <w:color w:val="000000"/>
                <w:sz w:val="20"/>
                <w:lang w:val="en-US"/>
              </w:rPr>
              <w:t>Subtotal</w:t>
            </w:r>
          </w:p>
        </w:tc>
        <w:tc>
          <w:tcPr>
            <w:tcW w:w="624" w:type="pct"/>
            <w:tcBorders>
              <w:top w:val="single" w:sz="6" w:space="0" w:color="auto"/>
              <w:left w:val="single" w:sz="6" w:space="0" w:color="auto"/>
              <w:bottom w:val="single" w:sz="18" w:space="0" w:color="auto"/>
              <w:right w:val="single" w:sz="6" w:space="0" w:color="auto"/>
            </w:tcBorders>
            <w:shd w:val="clear" w:color="auto" w:fill="E0E0E0"/>
            <w:tcMar>
              <w:top w:w="28" w:type="dxa"/>
              <w:left w:w="28" w:type="dxa"/>
              <w:bottom w:w="28" w:type="dxa"/>
              <w:right w:w="28" w:type="dxa"/>
            </w:tcMar>
            <w:vAlign w:val="center"/>
          </w:tcPr>
          <w:p w14:paraId="3785E827" w14:textId="5E5EB917" w:rsidR="00A9240A" w:rsidRPr="00226545" w:rsidRDefault="002574AE" w:rsidP="00A9240A">
            <w:pPr>
              <w:keepNext/>
              <w:rPr>
                <w:rFonts w:ascii="Calibri" w:hAnsi="Calibri" w:cs="Calibri"/>
                <w:b/>
                <w:color w:val="000000"/>
                <w:sz w:val="20"/>
                <w:lang w:val="en-US"/>
              </w:rPr>
            </w:pPr>
            <w:r w:rsidRPr="00226545">
              <w:rPr>
                <w:rFonts w:ascii="Calibri" w:hAnsi="Calibri" w:cs="Calibri"/>
                <w:b/>
                <w:color w:val="000000"/>
                <w:sz w:val="20"/>
                <w:lang w:val="en-US"/>
              </w:rPr>
              <w:t>Co-finance</w:t>
            </w:r>
          </w:p>
        </w:tc>
        <w:tc>
          <w:tcPr>
            <w:tcW w:w="1015" w:type="pct"/>
            <w:tcBorders>
              <w:top w:val="single" w:sz="6" w:space="0" w:color="auto"/>
              <w:left w:val="single" w:sz="6" w:space="0" w:color="auto"/>
              <w:bottom w:val="single" w:sz="6" w:space="0" w:color="auto"/>
              <w:right w:val="single" w:sz="6" w:space="0" w:color="auto"/>
            </w:tcBorders>
            <w:shd w:val="clear" w:color="auto" w:fill="E0E0E0"/>
            <w:tcMar>
              <w:top w:w="28" w:type="dxa"/>
              <w:left w:w="28" w:type="dxa"/>
              <w:bottom w:w="28" w:type="dxa"/>
              <w:right w:w="28" w:type="dxa"/>
            </w:tcMar>
            <w:vAlign w:val="center"/>
          </w:tcPr>
          <w:p w14:paraId="2727FBBB" w14:textId="308507A3" w:rsidR="00A9240A" w:rsidRPr="00226545" w:rsidRDefault="0002673A" w:rsidP="00BD7452">
            <w:pPr>
              <w:overflowPunct/>
              <w:autoSpaceDE/>
              <w:autoSpaceDN/>
              <w:adjustRightInd/>
              <w:jc w:val="right"/>
              <w:textAlignment w:val="auto"/>
              <w:rPr>
                <w:rFonts w:ascii="Calibri" w:hAnsi="Calibri"/>
                <w:b/>
                <w:bCs/>
                <w:color w:val="000000"/>
                <w:sz w:val="20"/>
              </w:rPr>
            </w:pPr>
            <w:r>
              <w:rPr>
                <w:rFonts w:ascii="Calibri" w:hAnsi="Calibri"/>
                <w:b/>
                <w:bCs/>
                <w:color w:val="000000"/>
                <w:sz w:val="20"/>
              </w:rPr>
              <w:t>13,</w:t>
            </w:r>
            <w:r w:rsidR="00BD7452" w:rsidRPr="00226545">
              <w:rPr>
                <w:rFonts w:ascii="Calibri" w:hAnsi="Calibri"/>
                <w:b/>
                <w:bCs/>
                <w:color w:val="000000"/>
                <w:sz w:val="20"/>
              </w:rPr>
              <w:t>6</w:t>
            </w:r>
            <w:r>
              <w:rPr>
                <w:rFonts w:ascii="Calibri" w:hAnsi="Calibri"/>
                <w:b/>
                <w:bCs/>
                <w:color w:val="000000"/>
                <w:sz w:val="20"/>
              </w:rPr>
              <w:t>7</w:t>
            </w:r>
            <w:r w:rsidR="00BD7452" w:rsidRPr="00226545">
              <w:rPr>
                <w:rFonts w:ascii="Calibri" w:hAnsi="Calibri"/>
                <w:b/>
                <w:bCs/>
                <w:color w:val="000000"/>
                <w:sz w:val="20"/>
              </w:rPr>
              <w:t>5,142</w:t>
            </w:r>
          </w:p>
        </w:tc>
        <w:tc>
          <w:tcPr>
            <w:tcW w:w="920" w:type="pct"/>
            <w:tcBorders>
              <w:top w:val="single" w:sz="6" w:space="0" w:color="auto"/>
              <w:left w:val="single" w:sz="6" w:space="0" w:color="auto"/>
              <w:bottom w:val="single" w:sz="6" w:space="0" w:color="auto"/>
              <w:right w:val="single" w:sz="6" w:space="0" w:color="auto"/>
            </w:tcBorders>
            <w:shd w:val="clear" w:color="auto" w:fill="E0E0E0"/>
            <w:vAlign w:val="center"/>
          </w:tcPr>
          <w:p w14:paraId="43F10D6D" w14:textId="62D5EA34" w:rsidR="00A9240A" w:rsidRPr="00226545" w:rsidRDefault="00AA0E53" w:rsidP="00A9240A">
            <w:pPr>
              <w:keepNext/>
              <w:jc w:val="right"/>
              <w:rPr>
                <w:rFonts w:ascii="Calibri" w:hAnsi="Calibri" w:cs="Calibri"/>
                <w:b/>
                <w:color w:val="000000"/>
                <w:sz w:val="20"/>
                <w:lang w:val="en-US"/>
              </w:rPr>
            </w:pPr>
            <w:r>
              <w:rPr>
                <w:rFonts w:ascii="Calibri" w:hAnsi="Calibri" w:cs="Calibri"/>
                <w:b/>
                <w:color w:val="000000"/>
                <w:sz w:val="20"/>
                <w:lang w:val="en-US"/>
              </w:rPr>
              <w:t>13,674,147</w:t>
            </w:r>
          </w:p>
        </w:tc>
        <w:tc>
          <w:tcPr>
            <w:tcW w:w="797" w:type="pct"/>
            <w:tcBorders>
              <w:top w:val="single" w:sz="6" w:space="0" w:color="auto"/>
              <w:left w:val="single" w:sz="6" w:space="0" w:color="auto"/>
              <w:bottom w:val="single" w:sz="6" w:space="0" w:color="auto"/>
              <w:right w:val="single" w:sz="6" w:space="0" w:color="auto"/>
            </w:tcBorders>
            <w:shd w:val="clear" w:color="auto" w:fill="E0E0E0"/>
            <w:tcMar>
              <w:top w:w="28" w:type="dxa"/>
              <w:left w:w="28" w:type="dxa"/>
              <w:bottom w:w="28" w:type="dxa"/>
              <w:right w:w="28" w:type="dxa"/>
            </w:tcMar>
            <w:vAlign w:val="center"/>
          </w:tcPr>
          <w:p w14:paraId="119CD5EF" w14:textId="7B8E473F" w:rsidR="00A9240A" w:rsidRPr="00724D06" w:rsidRDefault="009A04A0" w:rsidP="009A04A0">
            <w:pPr>
              <w:overflowPunct/>
              <w:autoSpaceDE/>
              <w:autoSpaceDN/>
              <w:adjustRightInd/>
              <w:jc w:val="right"/>
              <w:textAlignment w:val="auto"/>
              <w:rPr>
                <w:rFonts w:ascii="Calibri" w:hAnsi="Calibri"/>
                <w:b/>
                <w:bCs/>
                <w:color w:val="000000"/>
                <w:sz w:val="20"/>
              </w:rPr>
            </w:pPr>
            <w:r w:rsidRPr="00724D06">
              <w:rPr>
                <w:rFonts w:ascii="Calibri" w:hAnsi="Calibri"/>
                <w:b/>
                <w:bCs/>
                <w:color w:val="000000"/>
                <w:sz w:val="20"/>
              </w:rPr>
              <w:t>43,359,149</w:t>
            </w:r>
          </w:p>
        </w:tc>
        <w:tc>
          <w:tcPr>
            <w:tcW w:w="848" w:type="pct"/>
            <w:tcBorders>
              <w:top w:val="single" w:sz="6" w:space="0" w:color="auto"/>
              <w:left w:val="single" w:sz="6" w:space="0" w:color="auto"/>
              <w:bottom w:val="single" w:sz="6" w:space="0" w:color="auto"/>
              <w:right w:val="single" w:sz="18" w:space="0" w:color="auto"/>
            </w:tcBorders>
            <w:shd w:val="clear" w:color="auto" w:fill="E0E0E0"/>
            <w:tcMar>
              <w:top w:w="28" w:type="dxa"/>
              <w:left w:w="28" w:type="dxa"/>
              <w:bottom w:w="28" w:type="dxa"/>
              <w:right w:w="28" w:type="dxa"/>
            </w:tcMar>
            <w:vAlign w:val="center"/>
          </w:tcPr>
          <w:p w14:paraId="48C7E24D" w14:textId="76EA7F96" w:rsidR="00A9240A" w:rsidRPr="00226545" w:rsidRDefault="003C7D64" w:rsidP="003C7D64">
            <w:pPr>
              <w:overflowPunct/>
              <w:autoSpaceDE/>
              <w:autoSpaceDN/>
              <w:adjustRightInd/>
              <w:jc w:val="right"/>
              <w:textAlignment w:val="auto"/>
              <w:rPr>
                <w:rFonts w:ascii="Calibri" w:hAnsi="Calibri"/>
                <w:b/>
                <w:bCs/>
                <w:color w:val="000000"/>
                <w:sz w:val="20"/>
              </w:rPr>
            </w:pPr>
            <w:r w:rsidRPr="00226545">
              <w:rPr>
                <w:rFonts w:ascii="Calibri" w:hAnsi="Calibri"/>
                <w:b/>
                <w:bCs/>
                <w:color w:val="000000"/>
                <w:sz w:val="20"/>
              </w:rPr>
              <w:t>48,622,114</w:t>
            </w:r>
          </w:p>
        </w:tc>
      </w:tr>
      <w:tr w:rsidR="00226545" w:rsidRPr="00226545" w14:paraId="78022C0C" w14:textId="77777777" w:rsidTr="00911EB4">
        <w:trPr>
          <w:trHeight w:val="30"/>
          <w:jc w:val="center"/>
        </w:trPr>
        <w:tc>
          <w:tcPr>
            <w:tcW w:w="796" w:type="pct"/>
            <w:tcBorders>
              <w:top w:val="single" w:sz="18" w:space="0" w:color="auto"/>
              <w:left w:val="single" w:sz="18" w:space="0" w:color="auto"/>
              <w:bottom w:val="single" w:sz="18" w:space="0" w:color="auto"/>
            </w:tcBorders>
            <w:shd w:val="clear" w:color="auto" w:fill="E0E0E0"/>
            <w:tcMar>
              <w:top w:w="28" w:type="dxa"/>
              <w:left w:w="28" w:type="dxa"/>
              <w:bottom w:w="28" w:type="dxa"/>
              <w:right w:w="28" w:type="dxa"/>
            </w:tcMar>
            <w:vAlign w:val="center"/>
          </w:tcPr>
          <w:p w14:paraId="4D347067" w14:textId="77777777" w:rsidR="00A9240A" w:rsidRPr="00226545" w:rsidRDefault="00A9240A" w:rsidP="00BD7452">
            <w:pPr>
              <w:keepNext/>
              <w:jc w:val="right"/>
              <w:rPr>
                <w:rFonts w:ascii="Calibri" w:hAnsi="Calibri" w:cs="Calibri"/>
                <w:b/>
                <w:color w:val="000000"/>
                <w:sz w:val="20"/>
                <w:lang w:val="en-US"/>
              </w:rPr>
            </w:pPr>
            <w:r w:rsidRPr="00226545">
              <w:rPr>
                <w:rFonts w:ascii="Calibri" w:hAnsi="Calibri" w:cs="Calibri"/>
                <w:b/>
                <w:color w:val="000000"/>
                <w:sz w:val="20"/>
                <w:lang w:val="en-US"/>
              </w:rPr>
              <w:t>Total</w:t>
            </w:r>
          </w:p>
        </w:tc>
        <w:tc>
          <w:tcPr>
            <w:tcW w:w="624" w:type="pct"/>
            <w:tcBorders>
              <w:top w:val="single" w:sz="18" w:space="0" w:color="auto"/>
              <w:bottom w:val="single" w:sz="18" w:space="0" w:color="auto"/>
              <w:right w:val="single" w:sz="6" w:space="0" w:color="auto"/>
            </w:tcBorders>
            <w:shd w:val="clear" w:color="auto" w:fill="E0E0E0"/>
            <w:tcMar>
              <w:top w:w="28" w:type="dxa"/>
              <w:left w:w="28" w:type="dxa"/>
              <w:bottom w:w="28" w:type="dxa"/>
              <w:right w:w="28" w:type="dxa"/>
            </w:tcMar>
            <w:vAlign w:val="center"/>
          </w:tcPr>
          <w:p w14:paraId="6FC908D7" w14:textId="77777777" w:rsidR="00A9240A" w:rsidRPr="00226545" w:rsidRDefault="00A9240A" w:rsidP="00BD7452">
            <w:pPr>
              <w:keepNext/>
              <w:jc w:val="right"/>
              <w:rPr>
                <w:rFonts w:ascii="Calibri" w:hAnsi="Calibri" w:cs="Calibri"/>
                <w:b/>
                <w:color w:val="000000"/>
                <w:sz w:val="20"/>
                <w:lang w:val="en-US"/>
              </w:rPr>
            </w:pPr>
          </w:p>
        </w:tc>
        <w:tc>
          <w:tcPr>
            <w:tcW w:w="1015" w:type="pct"/>
            <w:tcBorders>
              <w:top w:val="single" w:sz="18" w:space="0" w:color="auto"/>
              <w:left w:val="single" w:sz="6" w:space="0" w:color="auto"/>
              <w:bottom w:val="single" w:sz="18" w:space="0" w:color="auto"/>
              <w:right w:val="single" w:sz="6" w:space="0" w:color="auto"/>
            </w:tcBorders>
            <w:shd w:val="clear" w:color="auto" w:fill="E0E0E0"/>
            <w:tcMar>
              <w:top w:w="28" w:type="dxa"/>
              <w:left w:w="28" w:type="dxa"/>
              <w:bottom w:w="28" w:type="dxa"/>
              <w:right w:w="28" w:type="dxa"/>
            </w:tcMar>
            <w:vAlign w:val="center"/>
          </w:tcPr>
          <w:p w14:paraId="0E650FC1" w14:textId="0141A98B" w:rsidR="00A9240A" w:rsidRPr="00226545" w:rsidRDefault="00BD7452" w:rsidP="00BD7452">
            <w:pPr>
              <w:overflowPunct/>
              <w:autoSpaceDE/>
              <w:autoSpaceDN/>
              <w:adjustRightInd/>
              <w:jc w:val="right"/>
              <w:textAlignment w:val="auto"/>
              <w:rPr>
                <w:rFonts w:ascii="Calibri" w:hAnsi="Calibri"/>
                <w:b/>
                <w:bCs/>
                <w:color w:val="000000"/>
                <w:sz w:val="20"/>
              </w:rPr>
            </w:pPr>
            <w:r w:rsidRPr="00226545">
              <w:rPr>
                <w:rFonts w:ascii="Calibri" w:hAnsi="Calibri"/>
                <w:b/>
                <w:bCs/>
                <w:color w:val="000000"/>
                <w:sz w:val="20"/>
              </w:rPr>
              <w:t>14,998,778</w:t>
            </w:r>
          </w:p>
        </w:tc>
        <w:tc>
          <w:tcPr>
            <w:tcW w:w="920" w:type="pct"/>
            <w:tcBorders>
              <w:top w:val="single" w:sz="18" w:space="0" w:color="auto"/>
              <w:left w:val="single" w:sz="6" w:space="0" w:color="auto"/>
              <w:bottom w:val="single" w:sz="18" w:space="0" w:color="auto"/>
              <w:right w:val="single" w:sz="6" w:space="0" w:color="auto"/>
            </w:tcBorders>
            <w:shd w:val="clear" w:color="auto" w:fill="E0E0E0"/>
            <w:vAlign w:val="center"/>
          </w:tcPr>
          <w:p w14:paraId="561A051A" w14:textId="10826533" w:rsidR="00A9240A" w:rsidRPr="00862390" w:rsidRDefault="00862390" w:rsidP="00862390">
            <w:pPr>
              <w:overflowPunct/>
              <w:autoSpaceDE/>
              <w:autoSpaceDN/>
              <w:adjustRightInd/>
              <w:jc w:val="right"/>
              <w:textAlignment w:val="auto"/>
              <w:rPr>
                <w:rFonts w:ascii="Calibri" w:hAnsi="Calibri"/>
                <w:b/>
                <w:bCs/>
                <w:color w:val="000000"/>
                <w:sz w:val="20"/>
              </w:rPr>
            </w:pPr>
            <w:r w:rsidRPr="00862390">
              <w:rPr>
                <w:rFonts w:ascii="Calibri" w:hAnsi="Calibri"/>
                <w:b/>
                <w:bCs/>
                <w:color w:val="000000"/>
                <w:sz w:val="20"/>
              </w:rPr>
              <w:t>14,997,783</w:t>
            </w:r>
          </w:p>
        </w:tc>
        <w:tc>
          <w:tcPr>
            <w:tcW w:w="797" w:type="pct"/>
            <w:tcBorders>
              <w:top w:val="single" w:sz="18" w:space="0" w:color="auto"/>
              <w:left w:val="single" w:sz="6" w:space="0" w:color="auto"/>
              <w:bottom w:val="single" w:sz="18" w:space="0" w:color="auto"/>
              <w:right w:val="single" w:sz="6" w:space="0" w:color="auto"/>
            </w:tcBorders>
            <w:shd w:val="clear" w:color="auto" w:fill="E0E0E0"/>
            <w:tcMar>
              <w:top w:w="28" w:type="dxa"/>
              <w:left w:w="28" w:type="dxa"/>
              <w:bottom w:w="28" w:type="dxa"/>
              <w:right w:w="28" w:type="dxa"/>
            </w:tcMar>
            <w:vAlign w:val="center"/>
          </w:tcPr>
          <w:p w14:paraId="3F4293CE" w14:textId="746DF676" w:rsidR="00A9240A" w:rsidRPr="00607852" w:rsidRDefault="00607852" w:rsidP="00607852">
            <w:pPr>
              <w:overflowPunct/>
              <w:autoSpaceDE/>
              <w:autoSpaceDN/>
              <w:adjustRightInd/>
              <w:jc w:val="right"/>
              <w:textAlignment w:val="auto"/>
              <w:rPr>
                <w:rFonts w:ascii="Calibri" w:hAnsi="Calibri"/>
                <w:b/>
                <w:bCs/>
                <w:color w:val="000000"/>
                <w:sz w:val="20"/>
              </w:rPr>
            </w:pPr>
            <w:r w:rsidRPr="00607852">
              <w:rPr>
                <w:rFonts w:ascii="Calibri" w:hAnsi="Calibri"/>
                <w:b/>
                <w:bCs/>
                <w:color w:val="000000"/>
                <w:sz w:val="20"/>
              </w:rPr>
              <w:t>43,893,288</w:t>
            </w:r>
          </w:p>
        </w:tc>
        <w:tc>
          <w:tcPr>
            <w:tcW w:w="848" w:type="pct"/>
            <w:tcBorders>
              <w:top w:val="single" w:sz="18" w:space="0" w:color="auto"/>
              <w:left w:val="single" w:sz="6" w:space="0" w:color="auto"/>
              <w:bottom w:val="single" w:sz="18" w:space="0" w:color="auto"/>
              <w:right w:val="single" w:sz="18" w:space="0" w:color="auto"/>
            </w:tcBorders>
            <w:shd w:val="clear" w:color="auto" w:fill="E0E0E0"/>
            <w:tcMar>
              <w:top w:w="28" w:type="dxa"/>
              <w:left w:w="28" w:type="dxa"/>
              <w:bottom w:w="28" w:type="dxa"/>
              <w:right w:w="28" w:type="dxa"/>
            </w:tcMar>
            <w:vAlign w:val="center"/>
          </w:tcPr>
          <w:p w14:paraId="782D2C1C" w14:textId="048588EB" w:rsidR="00A9240A" w:rsidRPr="00607852" w:rsidRDefault="00607852" w:rsidP="00607852">
            <w:pPr>
              <w:overflowPunct/>
              <w:autoSpaceDE/>
              <w:autoSpaceDN/>
              <w:adjustRightInd/>
              <w:jc w:val="right"/>
              <w:textAlignment w:val="auto"/>
              <w:rPr>
                <w:rFonts w:ascii="Calibri" w:hAnsi="Calibri"/>
                <w:b/>
                <w:bCs/>
                <w:color w:val="000000"/>
                <w:sz w:val="20"/>
              </w:rPr>
            </w:pPr>
            <w:r w:rsidRPr="00607852">
              <w:rPr>
                <w:rFonts w:ascii="Calibri" w:hAnsi="Calibri"/>
                <w:b/>
                <w:bCs/>
                <w:color w:val="000000"/>
                <w:sz w:val="20"/>
              </w:rPr>
              <w:t>49,868,642</w:t>
            </w:r>
          </w:p>
        </w:tc>
      </w:tr>
    </w:tbl>
    <w:p w14:paraId="0660CE8F" w14:textId="078B6AE5" w:rsidR="00A9240A" w:rsidRDefault="00A9240A" w:rsidP="003B58F1">
      <w:pPr>
        <w:spacing w:before="40" w:line="264" w:lineRule="auto"/>
        <w:jc w:val="both"/>
        <w:rPr>
          <w:rFonts w:ascii="Calibri" w:hAnsi="Calibri" w:cs="Arial"/>
          <w:sz w:val="20"/>
        </w:rPr>
      </w:pPr>
      <w:r w:rsidRPr="00EE0572">
        <w:rPr>
          <w:rFonts w:ascii="Calibri" w:hAnsi="Calibri" w:cs="Arial"/>
          <w:b/>
          <w:sz w:val="20"/>
        </w:rPr>
        <w:t xml:space="preserve">Sources: </w:t>
      </w:r>
      <w:r w:rsidRPr="00EE0572">
        <w:rPr>
          <w:rFonts w:ascii="Calibri" w:hAnsi="Calibri" w:cs="Calibri"/>
          <w:b/>
          <w:bCs/>
          <w:color w:val="000000"/>
          <w:sz w:val="20"/>
          <w:vertAlign w:val="superscript"/>
          <w:lang w:val="en-US"/>
        </w:rPr>
        <w:t>1</w:t>
      </w:r>
      <w:r w:rsidRPr="00EE0572">
        <w:rPr>
          <w:rFonts w:ascii="Calibri" w:hAnsi="Calibri" w:cs="Arial"/>
          <w:sz w:val="20"/>
        </w:rPr>
        <w:t>Project Document</w:t>
      </w:r>
      <w:r w:rsidR="001F6BEB" w:rsidRPr="00EE0572">
        <w:rPr>
          <w:rFonts w:ascii="Calibri" w:hAnsi="Calibri" w:cs="Arial"/>
          <w:sz w:val="20"/>
        </w:rPr>
        <w:t xml:space="preserve"> (11</w:t>
      </w:r>
      <w:r w:rsidRPr="00EE0572">
        <w:rPr>
          <w:rFonts w:ascii="Calibri" w:hAnsi="Calibri" w:cs="Arial"/>
          <w:sz w:val="20"/>
        </w:rPr>
        <w:t>-20</w:t>
      </w:r>
      <w:r w:rsidR="001F6BEB" w:rsidRPr="00EE0572">
        <w:rPr>
          <w:rFonts w:ascii="Calibri" w:hAnsi="Calibri" w:cs="Arial"/>
          <w:sz w:val="20"/>
        </w:rPr>
        <w:t>13</w:t>
      </w:r>
      <w:r w:rsidRPr="00EE0572">
        <w:rPr>
          <w:rFonts w:ascii="Calibri" w:hAnsi="Calibri" w:cs="Arial"/>
          <w:sz w:val="20"/>
        </w:rPr>
        <w:t xml:space="preserve">); </w:t>
      </w:r>
      <w:r w:rsidRPr="00EE0572">
        <w:rPr>
          <w:rFonts w:ascii="Calibri" w:hAnsi="Calibri" w:cs="Calibri"/>
          <w:b/>
          <w:bCs/>
          <w:color w:val="000000"/>
          <w:sz w:val="20"/>
          <w:vertAlign w:val="superscript"/>
          <w:lang w:val="en-US"/>
        </w:rPr>
        <w:t>2</w:t>
      </w:r>
      <w:r w:rsidR="001F6BEB" w:rsidRPr="00EE0572">
        <w:rPr>
          <w:rFonts w:ascii="Calibri" w:hAnsi="Calibri" w:cs="Arial"/>
          <w:sz w:val="20"/>
        </w:rPr>
        <w:t>Inception Report (12</w:t>
      </w:r>
      <w:r w:rsidRPr="00EE0572">
        <w:rPr>
          <w:rFonts w:ascii="Calibri" w:hAnsi="Calibri" w:cs="Arial"/>
          <w:sz w:val="20"/>
        </w:rPr>
        <w:t>-201</w:t>
      </w:r>
      <w:r w:rsidR="001F6BEB" w:rsidRPr="00EE0572">
        <w:rPr>
          <w:rFonts w:ascii="Calibri" w:hAnsi="Calibri" w:cs="Arial"/>
          <w:sz w:val="20"/>
        </w:rPr>
        <w:t>4</w:t>
      </w:r>
      <w:r w:rsidRPr="00EE0572">
        <w:rPr>
          <w:rFonts w:ascii="Calibri" w:hAnsi="Calibri" w:cs="Arial"/>
          <w:sz w:val="20"/>
        </w:rPr>
        <w:t xml:space="preserve">); </w:t>
      </w:r>
      <w:r w:rsidRPr="00EE0572">
        <w:rPr>
          <w:rFonts w:ascii="Calibri" w:hAnsi="Calibri" w:cs="Calibri"/>
          <w:b/>
          <w:bCs/>
          <w:color w:val="000000"/>
          <w:sz w:val="20"/>
          <w:vertAlign w:val="superscript"/>
          <w:lang w:val="en-US"/>
        </w:rPr>
        <w:t>3</w:t>
      </w:r>
      <w:r w:rsidR="001F6BEB" w:rsidRPr="00EE0572">
        <w:rPr>
          <w:rFonts w:ascii="Calibri" w:hAnsi="Calibri" w:cs="Arial"/>
          <w:sz w:val="20"/>
        </w:rPr>
        <w:t>MTR (11</w:t>
      </w:r>
      <w:r w:rsidRPr="00EE0572">
        <w:rPr>
          <w:rFonts w:ascii="Calibri" w:hAnsi="Calibri" w:cs="Arial"/>
          <w:sz w:val="20"/>
        </w:rPr>
        <w:t>-201</w:t>
      </w:r>
      <w:r w:rsidR="001F6BEB" w:rsidRPr="00EE0572">
        <w:rPr>
          <w:rFonts w:ascii="Calibri" w:hAnsi="Calibri" w:cs="Arial"/>
          <w:sz w:val="20"/>
        </w:rPr>
        <w:t>6</w:t>
      </w:r>
      <w:r w:rsidRPr="00EE0572">
        <w:rPr>
          <w:rFonts w:ascii="Calibri" w:hAnsi="Calibri" w:cs="Arial"/>
          <w:sz w:val="20"/>
        </w:rPr>
        <w:t xml:space="preserve">), </w:t>
      </w:r>
      <w:r w:rsidRPr="00EE0572">
        <w:rPr>
          <w:rFonts w:ascii="Calibri" w:hAnsi="Calibri" w:cs="Calibri"/>
          <w:b/>
          <w:bCs/>
          <w:color w:val="000000"/>
          <w:sz w:val="20"/>
          <w:vertAlign w:val="superscript"/>
          <w:lang w:val="en-US"/>
        </w:rPr>
        <w:t>4</w:t>
      </w:r>
      <w:r w:rsidRPr="00EE0572">
        <w:rPr>
          <w:rFonts w:ascii="Calibri" w:hAnsi="Calibri" w:cs="Arial"/>
          <w:sz w:val="20"/>
        </w:rPr>
        <w:t>UNDP (</w:t>
      </w:r>
      <w:r w:rsidR="003C7D64" w:rsidRPr="00EE0572">
        <w:rPr>
          <w:rFonts w:ascii="Calibri" w:hAnsi="Calibri" w:cs="Arial"/>
          <w:sz w:val="20"/>
        </w:rPr>
        <w:t>08-11-2018</w:t>
      </w:r>
      <w:r w:rsidRPr="00EE0572">
        <w:rPr>
          <w:rFonts w:ascii="Calibri" w:hAnsi="Calibri" w:cs="Arial"/>
          <w:sz w:val="20"/>
        </w:rPr>
        <w:t>)</w:t>
      </w:r>
    </w:p>
    <w:p w14:paraId="3D783DD8" w14:textId="7E914C42" w:rsidR="003B58F1" w:rsidRDefault="003B58F1" w:rsidP="00140472">
      <w:pPr>
        <w:ind w:firstLine="567"/>
        <w:jc w:val="both"/>
        <w:rPr>
          <w:rFonts w:ascii="Calibri" w:hAnsi="Calibri" w:cs="Arial"/>
          <w:sz w:val="20"/>
        </w:rPr>
      </w:pPr>
      <w:r>
        <w:rPr>
          <w:rFonts w:ascii="Calibri" w:hAnsi="Calibri" w:cs="Arial"/>
          <w:sz w:val="20"/>
        </w:rPr>
        <w:t>*</w:t>
      </w:r>
      <w:r w:rsidR="00140472">
        <w:rPr>
          <w:rFonts w:ascii="Calibri" w:hAnsi="Calibri" w:cs="Arial"/>
          <w:sz w:val="20"/>
        </w:rPr>
        <w:tab/>
      </w:r>
      <w:r w:rsidR="00B4022C">
        <w:rPr>
          <w:rFonts w:ascii="Calibri" w:hAnsi="Calibri" w:cs="Arial"/>
          <w:sz w:val="20"/>
        </w:rPr>
        <w:t>US$ 1,394,495, taken from the Inception Report appears to be incorrect (typing error</w:t>
      </w:r>
      <w:r w:rsidR="00474DDE">
        <w:rPr>
          <w:rFonts w:ascii="Calibri" w:hAnsi="Calibri" w:cs="Arial"/>
          <w:sz w:val="20"/>
        </w:rPr>
        <w:t xml:space="preserve">), as it does not </w:t>
      </w:r>
      <w:r w:rsidR="00474DDE">
        <w:rPr>
          <w:rFonts w:ascii="Calibri" w:hAnsi="Calibri" w:cs="Arial"/>
          <w:sz w:val="20"/>
        </w:rPr>
        <w:tab/>
        <w:t>agree</w:t>
      </w:r>
      <w:r w:rsidR="00B4022C">
        <w:rPr>
          <w:rFonts w:ascii="Calibri" w:hAnsi="Calibri" w:cs="Arial"/>
          <w:sz w:val="20"/>
        </w:rPr>
        <w:t xml:space="preserve"> with the CEO Endorsement amount</w:t>
      </w:r>
    </w:p>
    <w:p w14:paraId="70F8C836" w14:textId="7F310C96" w:rsidR="00140472" w:rsidRPr="00EE0572" w:rsidRDefault="00140472" w:rsidP="009954AB">
      <w:pPr>
        <w:spacing w:after="240"/>
        <w:ind w:left="709" w:hanging="283"/>
        <w:jc w:val="both"/>
        <w:rPr>
          <w:rFonts w:ascii="Calibri" w:hAnsi="Calibri" w:cs="Arial"/>
          <w:sz w:val="20"/>
        </w:rPr>
      </w:pPr>
      <w:r>
        <w:rPr>
          <w:rFonts w:ascii="Calibri" w:hAnsi="Calibri" w:cs="Arial"/>
          <w:sz w:val="20"/>
        </w:rPr>
        <w:t>**</w:t>
      </w:r>
      <w:r>
        <w:rPr>
          <w:rFonts w:ascii="Calibri" w:hAnsi="Calibri" w:cs="Arial"/>
          <w:sz w:val="20"/>
        </w:rPr>
        <w:tab/>
        <w:t xml:space="preserve">These amounts submitted to PMU </w:t>
      </w:r>
      <w:r w:rsidR="009954AB">
        <w:rPr>
          <w:rFonts w:ascii="Calibri" w:hAnsi="Calibri" w:cs="Arial"/>
          <w:sz w:val="20"/>
        </w:rPr>
        <w:t xml:space="preserve">by regional government </w:t>
      </w:r>
      <w:r>
        <w:rPr>
          <w:rFonts w:ascii="Calibri" w:hAnsi="Calibri" w:cs="Arial"/>
          <w:sz w:val="20"/>
        </w:rPr>
        <w:t>are disaggregated and exag</w:t>
      </w:r>
      <w:r w:rsidR="009954AB">
        <w:rPr>
          <w:rFonts w:ascii="Calibri" w:hAnsi="Calibri" w:cs="Arial"/>
          <w:sz w:val="20"/>
        </w:rPr>
        <w:t xml:space="preserve">gerate the cofinancing element </w:t>
      </w:r>
      <w:r>
        <w:rPr>
          <w:rFonts w:ascii="Calibri" w:hAnsi="Calibri" w:cs="Arial"/>
          <w:sz w:val="20"/>
        </w:rPr>
        <w:t xml:space="preserve">relative to this project. </w:t>
      </w:r>
    </w:p>
    <w:p w14:paraId="514AC3D7" w14:textId="1B1F6D85" w:rsidR="000A1973" w:rsidRDefault="000A1973" w:rsidP="00093F09">
      <w:pPr>
        <w:pStyle w:val="BodyText"/>
        <w:rPr>
          <w:rFonts w:asciiTheme="minorHAnsi" w:hAnsiTheme="minorHAnsi"/>
          <w:szCs w:val="24"/>
        </w:rPr>
      </w:pPr>
      <w:r>
        <w:rPr>
          <w:rFonts w:asciiTheme="minorHAnsi" w:hAnsiTheme="minorHAnsi"/>
          <w:szCs w:val="24"/>
        </w:rPr>
        <w:t>The</w:t>
      </w:r>
      <w:r w:rsidR="00707225">
        <w:rPr>
          <w:rFonts w:asciiTheme="minorHAnsi" w:hAnsiTheme="minorHAnsi"/>
          <w:szCs w:val="24"/>
        </w:rPr>
        <w:t xml:space="preserve"> distribution of the GEF grant,</w:t>
      </w:r>
      <w:r>
        <w:rPr>
          <w:rFonts w:asciiTheme="minorHAnsi" w:hAnsiTheme="minorHAnsi"/>
          <w:szCs w:val="24"/>
        </w:rPr>
        <w:t xml:space="preserve"> UNDP </w:t>
      </w:r>
      <w:r w:rsidR="00707225">
        <w:rPr>
          <w:rFonts w:asciiTheme="minorHAnsi" w:hAnsiTheme="minorHAnsi"/>
          <w:szCs w:val="24"/>
        </w:rPr>
        <w:t>TRAC funds and co-financing</w:t>
      </w:r>
      <w:r w:rsidR="00546472">
        <w:rPr>
          <w:rFonts w:asciiTheme="minorHAnsi" w:hAnsiTheme="minorHAnsi"/>
          <w:szCs w:val="24"/>
        </w:rPr>
        <w:t xml:space="preserve"> shown in </w:t>
      </w:r>
      <w:r w:rsidR="00546472" w:rsidRPr="00707225">
        <w:rPr>
          <w:rFonts w:asciiTheme="minorHAnsi" w:hAnsiTheme="minorHAnsi"/>
          <w:b/>
          <w:szCs w:val="24"/>
        </w:rPr>
        <w:t>Table 3.4</w:t>
      </w:r>
      <w:r w:rsidR="00707225">
        <w:rPr>
          <w:rFonts w:asciiTheme="minorHAnsi" w:hAnsiTheme="minorHAnsi"/>
          <w:szCs w:val="24"/>
        </w:rPr>
        <w:t xml:space="preserve"> indicates that whereas most (60%) of the GEF funds are allocated to Outcome 2, which is focused specifically on designating Machakhela NP</w:t>
      </w:r>
      <w:r w:rsidR="00707225" w:rsidRPr="00707225">
        <w:rPr>
          <w:rFonts w:asciiTheme="minorHAnsi" w:hAnsiTheme="minorHAnsi"/>
          <w:szCs w:val="24"/>
        </w:rPr>
        <w:t xml:space="preserve"> </w:t>
      </w:r>
      <w:r w:rsidR="00707225">
        <w:rPr>
          <w:rFonts w:asciiTheme="minorHAnsi" w:hAnsiTheme="minorHAnsi"/>
          <w:szCs w:val="24"/>
        </w:rPr>
        <w:t>and establishing its functionality</w:t>
      </w:r>
      <w:r w:rsidR="00093F09">
        <w:rPr>
          <w:rFonts w:asciiTheme="minorHAnsi" w:hAnsiTheme="minorHAnsi"/>
          <w:szCs w:val="24"/>
        </w:rPr>
        <w:t>, only 30% of the co-financing was allocated to Outcome 2 and the bulk (over 65%) went to Outcome 1. This worked well as donor agencies were active in all three PA complexes and the TCG was able to align their technical support accordingly.</w:t>
      </w:r>
    </w:p>
    <w:p w14:paraId="0559EE7A" w14:textId="77777777" w:rsidR="003076A9" w:rsidRDefault="003076A9" w:rsidP="003076A9">
      <w:pPr>
        <w:pStyle w:val="BodyText"/>
        <w:spacing w:line="240" w:lineRule="auto"/>
        <w:rPr>
          <w:rFonts w:asciiTheme="minorHAnsi" w:hAnsiTheme="minorHAnsi"/>
          <w:szCs w:val="24"/>
        </w:rPr>
      </w:pPr>
      <w:r w:rsidRPr="00D63B6A">
        <w:rPr>
          <w:rFonts w:asciiTheme="minorHAnsi" w:hAnsiTheme="minorHAnsi"/>
          <w:szCs w:val="24"/>
        </w:rPr>
        <w:t>By mid-term over 40% (US$ 534,138) of the GEF</w:t>
      </w:r>
      <w:r>
        <w:rPr>
          <w:rFonts w:asciiTheme="minorHAnsi" w:hAnsiTheme="minorHAnsi"/>
          <w:szCs w:val="24"/>
        </w:rPr>
        <w:t>/UNDP</w:t>
      </w:r>
      <w:r w:rsidRPr="00D63B6A">
        <w:rPr>
          <w:rFonts w:asciiTheme="minorHAnsi" w:hAnsiTheme="minorHAnsi"/>
          <w:szCs w:val="24"/>
        </w:rPr>
        <w:t xml:space="preserve"> grant</w:t>
      </w:r>
      <w:r>
        <w:rPr>
          <w:rFonts w:asciiTheme="minorHAnsi" w:hAnsiTheme="minorHAnsi"/>
          <w:szCs w:val="24"/>
        </w:rPr>
        <w:t>s</w:t>
      </w:r>
      <w:r w:rsidRPr="00D63B6A">
        <w:rPr>
          <w:rFonts w:asciiTheme="minorHAnsi" w:hAnsiTheme="minorHAnsi"/>
          <w:szCs w:val="24"/>
        </w:rPr>
        <w:t xml:space="preserve"> had been spent; and, apparently, over US$ 44 million in co-financing, three</w:t>
      </w:r>
      <w:r>
        <w:rPr>
          <w:rFonts w:asciiTheme="minorHAnsi" w:hAnsiTheme="minorHAnsi"/>
          <w:szCs w:val="24"/>
        </w:rPr>
        <w:t>fold</w:t>
      </w:r>
      <w:r w:rsidRPr="00D63B6A">
        <w:rPr>
          <w:rFonts w:asciiTheme="minorHAnsi" w:hAnsiTheme="minorHAnsi"/>
          <w:szCs w:val="24"/>
        </w:rPr>
        <w:t xml:space="preserve"> what had been pledged (</w:t>
      </w:r>
      <w:r w:rsidRPr="001220CC">
        <w:rPr>
          <w:rFonts w:asciiTheme="minorHAnsi" w:hAnsiTheme="minorHAnsi"/>
          <w:b/>
          <w:szCs w:val="24"/>
        </w:rPr>
        <w:t>Table 3.3</w:t>
      </w:r>
      <w:r w:rsidRPr="00D63B6A">
        <w:rPr>
          <w:rFonts w:asciiTheme="minorHAnsi" w:hAnsiTheme="minorHAnsi"/>
          <w:szCs w:val="24"/>
        </w:rPr>
        <w:t xml:space="preserve">). However, as noted in the MTR, this is exaggerated as it has not been possible to disaggregate the </w:t>
      </w:r>
      <w:r>
        <w:rPr>
          <w:rFonts w:asciiTheme="minorHAnsi" w:hAnsiTheme="minorHAnsi"/>
          <w:szCs w:val="24"/>
        </w:rPr>
        <w:t>data</w:t>
      </w:r>
      <w:r w:rsidRPr="00D63B6A">
        <w:rPr>
          <w:rFonts w:asciiTheme="minorHAnsi" w:hAnsiTheme="minorHAnsi"/>
          <w:szCs w:val="24"/>
        </w:rPr>
        <w:t xml:space="preserve"> provided by ARA, wh</w:t>
      </w:r>
      <w:r>
        <w:rPr>
          <w:rFonts w:asciiTheme="minorHAnsi" w:hAnsiTheme="minorHAnsi"/>
          <w:szCs w:val="24"/>
        </w:rPr>
        <w:t>o</w:t>
      </w:r>
      <w:r w:rsidRPr="00D63B6A">
        <w:rPr>
          <w:rFonts w:asciiTheme="minorHAnsi" w:hAnsiTheme="minorHAnsi"/>
          <w:szCs w:val="24"/>
        </w:rPr>
        <w:t xml:space="preserve"> state in their co-fin</w:t>
      </w:r>
      <w:r>
        <w:rPr>
          <w:rFonts w:asciiTheme="minorHAnsi" w:hAnsiTheme="minorHAnsi"/>
          <w:szCs w:val="24"/>
        </w:rPr>
        <w:t>an</w:t>
      </w:r>
      <w:r w:rsidRPr="00D63B6A">
        <w:rPr>
          <w:rFonts w:asciiTheme="minorHAnsi" w:hAnsiTheme="minorHAnsi"/>
          <w:szCs w:val="24"/>
        </w:rPr>
        <w:t>cing letter that it would provide figures for the implementation of “various socio-economic and infrastructure projects in Khelvachauri and Kobuleti municipalities”</w:t>
      </w:r>
      <w:r w:rsidRPr="001220CC">
        <w:rPr>
          <w:rFonts w:asciiTheme="minorHAnsi" w:hAnsiTheme="minorHAnsi"/>
          <w:szCs w:val="24"/>
        </w:rPr>
        <w:t xml:space="preserve"> irrespective of whether there was any rel</w:t>
      </w:r>
      <w:r>
        <w:rPr>
          <w:rFonts w:asciiTheme="minorHAnsi" w:hAnsiTheme="minorHAnsi"/>
          <w:szCs w:val="24"/>
        </w:rPr>
        <w:t>evance</w:t>
      </w:r>
      <w:r w:rsidRPr="001220CC">
        <w:rPr>
          <w:rFonts w:asciiTheme="minorHAnsi" w:hAnsiTheme="minorHAnsi"/>
          <w:szCs w:val="24"/>
        </w:rPr>
        <w:t xml:space="preserve"> with PAs, local communities within the vicinity of PAs or infrastructure development within or immediately surrounding the PAs. A conservative estimate of actual co-financing spent by mid-term would be US$ 9.1 million (66% of pledged co-finance), based on using the figure of US$ 7,638,036 pledged by ARA, rather than their 2016 submission of US$ 41,897,589 to PMU.</w:t>
      </w:r>
    </w:p>
    <w:p w14:paraId="25E6A0F4" w14:textId="77777777" w:rsidR="00195D6F" w:rsidRPr="00C93E72" w:rsidRDefault="00195D6F" w:rsidP="00195D6F">
      <w:pPr>
        <w:pStyle w:val="BodyText"/>
        <w:spacing w:before="240"/>
        <w:rPr>
          <w:rFonts w:asciiTheme="minorHAnsi" w:hAnsiTheme="minorHAnsi"/>
        </w:rPr>
      </w:pPr>
      <w:r>
        <w:rPr>
          <w:rFonts w:asciiTheme="minorHAnsi" w:hAnsiTheme="minorHAnsi"/>
        </w:rPr>
        <w:t>By 8 November 2018, less than two months prior to project closure, 94% (US$ 1,246,528) of the GEF/UNDP grants had been spent, along with most of the pledged funds (</w:t>
      </w:r>
      <w:r w:rsidRPr="007F73C0">
        <w:rPr>
          <w:rFonts w:asciiTheme="minorHAnsi" w:hAnsiTheme="minorHAnsi"/>
          <w:b/>
        </w:rPr>
        <w:t>Table 3.3</w:t>
      </w:r>
      <w:r>
        <w:rPr>
          <w:rFonts w:asciiTheme="minorHAnsi" w:hAnsiTheme="minorHAnsi"/>
        </w:rPr>
        <w:t xml:space="preserve">). Contributions from APA, ARA and WWF were well in excess of their respective pledges; CNF was just about on track; and Khelvachauri Municipality and KfW were within 52% and 70%, </w:t>
      </w:r>
      <w:r>
        <w:rPr>
          <w:rFonts w:asciiTheme="minorHAnsi" w:hAnsiTheme="minorHAnsi"/>
        </w:rPr>
        <w:lastRenderedPageBreak/>
        <w:t>respectively, of their pledged commitments. The only co-financing that did not materialize was from US Department of Interior.</w:t>
      </w:r>
      <w:r w:rsidRPr="00B52109">
        <w:rPr>
          <w:rFonts w:asciiTheme="minorHAnsi" w:hAnsiTheme="minorHAnsi"/>
        </w:rPr>
        <w:t xml:space="preserve"> The</w:t>
      </w:r>
      <w:r>
        <w:rPr>
          <w:rFonts w:asciiTheme="minorHAnsi" w:hAnsiTheme="minorHAnsi"/>
        </w:rPr>
        <w:t>ir</w:t>
      </w:r>
      <w:r w:rsidRPr="00B52109">
        <w:rPr>
          <w:rFonts w:asciiTheme="minorHAnsi" w:hAnsiTheme="minorHAnsi"/>
        </w:rPr>
        <w:t xml:space="preserve"> co-financing letter was prepared in May 2013</w:t>
      </w:r>
      <w:r>
        <w:rPr>
          <w:rFonts w:asciiTheme="minorHAnsi" w:hAnsiTheme="minorHAnsi"/>
        </w:rPr>
        <w:t xml:space="preserve"> but their project ended in summer 2014,</w:t>
      </w:r>
      <w:r w:rsidRPr="00B52109">
        <w:rPr>
          <w:rFonts w:asciiTheme="minorHAnsi" w:hAnsiTheme="minorHAnsi"/>
        </w:rPr>
        <w:t xml:space="preserve"> </w:t>
      </w:r>
      <w:r>
        <w:rPr>
          <w:rFonts w:asciiTheme="minorHAnsi" w:hAnsiTheme="minorHAnsi"/>
        </w:rPr>
        <w:t>about the time that this project commenced.</w:t>
      </w:r>
    </w:p>
    <w:p w14:paraId="3B70DBA5" w14:textId="1DD294B8" w:rsidR="000A1973" w:rsidRPr="003A7DFF" w:rsidRDefault="003A7DFF" w:rsidP="00AA0D38">
      <w:pPr>
        <w:pStyle w:val="BodyText"/>
        <w:ind w:left="1134" w:hanging="1134"/>
        <w:rPr>
          <w:rFonts w:asciiTheme="minorHAnsi" w:hAnsiTheme="minorHAnsi"/>
        </w:rPr>
      </w:pPr>
      <w:r w:rsidRPr="00EE0572">
        <w:rPr>
          <w:rFonts w:asciiTheme="minorHAnsi" w:hAnsiTheme="minorHAnsi" w:cs="Arial"/>
          <w:b/>
          <w:szCs w:val="24"/>
        </w:rPr>
        <w:t>Table 3.</w:t>
      </w:r>
      <w:r>
        <w:rPr>
          <w:rFonts w:asciiTheme="minorHAnsi" w:hAnsiTheme="minorHAnsi" w:cs="Arial"/>
          <w:b/>
          <w:szCs w:val="24"/>
        </w:rPr>
        <w:t>4</w:t>
      </w:r>
      <w:r w:rsidRPr="00EE0572">
        <w:rPr>
          <w:rFonts w:asciiTheme="minorHAnsi" w:hAnsiTheme="minorHAnsi" w:cs="Arial"/>
          <w:b/>
          <w:szCs w:val="24"/>
        </w:rPr>
        <w:tab/>
      </w:r>
      <w:r>
        <w:rPr>
          <w:rFonts w:asciiTheme="minorHAnsi" w:hAnsiTheme="minorHAnsi" w:cs="Arial"/>
          <w:szCs w:val="24"/>
        </w:rPr>
        <w:t xml:space="preserve">Allocation of UNDP/GEF grant and co-finance </w:t>
      </w:r>
      <w:r w:rsidR="00546472">
        <w:rPr>
          <w:rFonts w:asciiTheme="minorHAnsi" w:hAnsiTheme="minorHAnsi" w:cs="Arial"/>
          <w:szCs w:val="24"/>
        </w:rPr>
        <w:t xml:space="preserve">as per ProDoc </w:t>
      </w:r>
      <w:r>
        <w:rPr>
          <w:rFonts w:asciiTheme="minorHAnsi" w:hAnsiTheme="minorHAnsi" w:cs="Arial"/>
          <w:szCs w:val="24"/>
        </w:rPr>
        <w:t xml:space="preserve">by </w:t>
      </w:r>
      <w:r w:rsidR="00546472">
        <w:rPr>
          <w:rFonts w:asciiTheme="minorHAnsi" w:hAnsiTheme="minorHAnsi" w:cs="Arial"/>
          <w:szCs w:val="24"/>
        </w:rPr>
        <w:t xml:space="preserve">component </w:t>
      </w:r>
    </w:p>
    <w:tbl>
      <w:tblPr>
        <w:tblW w:w="5000" w:type="pct"/>
        <w:tblLayout w:type="fixed"/>
        <w:tblCellMar>
          <w:top w:w="28" w:type="dxa"/>
          <w:left w:w="57" w:type="dxa"/>
          <w:bottom w:w="28" w:type="dxa"/>
          <w:right w:w="57" w:type="dxa"/>
        </w:tblCellMar>
        <w:tblLook w:val="04A0" w:firstRow="1" w:lastRow="0" w:firstColumn="1" w:lastColumn="0" w:noHBand="0" w:noVBand="1"/>
      </w:tblPr>
      <w:tblGrid>
        <w:gridCol w:w="2892"/>
        <w:gridCol w:w="1559"/>
        <w:gridCol w:w="2552"/>
        <w:gridCol w:w="2137"/>
      </w:tblGrid>
      <w:tr w:rsidR="00D8184F" w:rsidRPr="004A2644" w14:paraId="11F60F8F" w14:textId="77777777" w:rsidTr="00132574">
        <w:trPr>
          <w:trHeight w:val="560"/>
        </w:trPr>
        <w:tc>
          <w:tcPr>
            <w:tcW w:w="1582" w:type="pct"/>
            <w:tcBorders>
              <w:top w:val="single" w:sz="24" w:space="0" w:color="auto"/>
              <w:left w:val="single" w:sz="24" w:space="0" w:color="auto"/>
              <w:bottom w:val="single" w:sz="18" w:space="0" w:color="auto"/>
              <w:right w:val="single" w:sz="6" w:space="0" w:color="auto"/>
            </w:tcBorders>
            <w:shd w:val="clear" w:color="auto" w:fill="CCCCCC"/>
            <w:noWrap/>
            <w:hideMark/>
          </w:tcPr>
          <w:p w14:paraId="2DD61142" w14:textId="290DA4B7" w:rsidR="000A1973" w:rsidRPr="00FA4199" w:rsidRDefault="005043F0" w:rsidP="00E9289E">
            <w:pPr>
              <w:pStyle w:val="BodyText"/>
              <w:spacing w:after="0" w:line="240" w:lineRule="auto"/>
              <w:jc w:val="center"/>
              <w:rPr>
                <w:rFonts w:ascii="Calibri" w:hAnsi="Calibri"/>
                <w:b/>
                <w:sz w:val="20"/>
              </w:rPr>
            </w:pPr>
            <w:r w:rsidRPr="00FA4199">
              <w:rPr>
                <w:rFonts w:ascii="Calibri" w:hAnsi="Calibri"/>
                <w:b/>
                <w:sz w:val="20"/>
              </w:rPr>
              <w:t xml:space="preserve">Project </w:t>
            </w:r>
            <w:r w:rsidR="000A1973" w:rsidRPr="00FA4199">
              <w:rPr>
                <w:rFonts w:ascii="Calibri" w:hAnsi="Calibri"/>
                <w:b/>
                <w:sz w:val="20"/>
              </w:rPr>
              <w:t>Component</w:t>
            </w:r>
          </w:p>
        </w:tc>
        <w:tc>
          <w:tcPr>
            <w:tcW w:w="853" w:type="pct"/>
            <w:tcBorders>
              <w:top w:val="single" w:sz="24" w:space="0" w:color="auto"/>
              <w:left w:val="single" w:sz="6" w:space="0" w:color="auto"/>
              <w:bottom w:val="single" w:sz="18" w:space="0" w:color="auto"/>
              <w:right w:val="single" w:sz="24" w:space="0" w:color="auto"/>
            </w:tcBorders>
            <w:shd w:val="clear" w:color="auto" w:fill="CCCCCC"/>
            <w:hideMark/>
          </w:tcPr>
          <w:p w14:paraId="0860D1F1" w14:textId="40FFFF80" w:rsidR="000A1973" w:rsidRPr="00FA4199" w:rsidRDefault="000A1973" w:rsidP="00E9289E">
            <w:pPr>
              <w:pStyle w:val="BodyText"/>
              <w:spacing w:after="0" w:line="240" w:lineRule="auto"/>
              <w:jc w:val="center"/>
              <w:rPr>
                <w:rFonts w:ascii="Calibri" w:hAnsi="Calibri"/>
                <w:b/>
                <w:sz w:val="20"/>
              </w:rPr>
            </w:pPr>
            <w:r w:rsidRPr="00FA4199">
              <w:rPr>
                <w:rFonts w:ascii="Calibri" w:hAnsi="Calibri"/>
                <w:b/>
                <w:sz w:val="20"/>
              </w:rPr>
              <w:t>GEF</w:t>
            </w:r>
            <w:r w:rsidR="00E9289E" w:rsidRPr="00FA4199">
              <w:rPr>
                <w:rFonts w:ascii="Calibri" w:hAnsi="Calibri"/>
                <w:b/>
                <w:sz w:val="20"/>
              </w:rPr>
              <w:t>/UNDP</w:t>
            </w:r>
            <w:r w:rsidRPr="00FA4199">
              <w:rPr>
                <w:rFonts w:ascii="Calibri" w:hAnsi="Calibri"/>
                <w:b/>
                <w:sz w:val="20"/>
              </w:rPr>
              <w:t xml:space="preserve"> Grant</w:t>
            </w:r>
          </w:p>
          <w:p w14:paraId="3AE6E446" w14:textId="77777777" w:rsidR="000A1973" w:rsidRPr="00FA4199" w:rsidRDefault="000A1973" w:rsidP="00E9289E">
            <w:pPr>
              <w:pStyle w:val="BodyText"/>
              <w:spacing w:after="0" w:line="240" w:lineRule="auto"/>
              <w:jc w:val="center"/>
              <w:rPr>
                <w:rFonts w:ascii="Calibri" w:hAnsi="Calibri"/>
                <w:b/>
                <w:sz w:val="20"/>
              </w:rPr>
            </w:pPr>
            <w:r w:rsidRPr="00FA4199">
              <w:rPr>
                <w:rFonts w:ascii="Calibri" w:hAnsi="Calibri"/>
                <w:b/>
                <w:sz w:val="20"/>
              </w:rPr>
              <w:t>% of Total</w:t>
            </w:r>
          </w:p>
        </w:tc>
        <w:tc>
          <w:tcPr>
            <w:tcW w:w="1396" w:type="pct"/>
            <w:tcBorders>
              <w:top w:val="single" w:sz="24" w:space="0" w:color="auto"/>
              <w:left w:val="single" w:sz="24" w:space="0" w:color="auto"/>
              <w:bottom w:val="single" w:sz="18" w:space="0" w:color="auto"/>
              <w:right w:val="single" w:sz="6" w:space="0" w:color="auto"/>
            </w:tcBorders>
            <w:shd w:val="clear" w:color="auto" w:fill="CCCCCC"/>
            <w:noWrap/>
            <w:hideMark/>
          </w:tcPr>
          <w:p w14:paraId="46D0165D" w14:textId="77777777" w:rsidR="000A1973" w:rsidRPr="00FA4199" w:rsidRDefault="000A1973" w:rsidP="00E9289E">
            <w:pPr>
              <w:pStyle w:val="BodyText"/>
              <w:spacing w:after="0" w:line="240" w:lineRule="auto"/>
              <w:jc w:val="center"/>
              <w:rPr>
                <w:rFonts w:ascii="Calibri" w:hAnsi="Calibri"/>
                <w:b/>
                <w:sz w:val="20"/>
              </w:rPr>
            </w:pPr>
            <w:r w:rsidRPr="00FA4199">
              <w:rPr>
                <w:rFonts w:ascii="Calibri" w:hAnsi="Calibri"/>
                <w:b/>
                <w:sz w:val="20"/>
              </w:rPr>
              <w:t>Source</w:t>
            </w:r>
          </w:p>
        </w:tc>
        <w:tc>
          <w:tcPr>
            <w:tcW w:w="1169" w:type="pct"/>
            <w:tcBorders>
              <w:top w:val="single" w:sz="24" w:space="0" w:color="auto"/>
              <w:left w:val="single" w:sz="6" w:space="0" w:color="auto"/>
              <w:bottom w:val="single" w:sz="18" w:space="0" w:color="auto"/>
              <w:right w:val="single" w:sz="24" w:space="0" w:color="auto"/>
            </w:tcBorders>
            <w:shd w:val="clear" w:color="auto" w:fill="CCCCCC"/>
            <w:noWrap/>
            <w:hideMark/>
          </w:tcPr>
          <w:p w14:paraId="060E6FEB" w14:textId="5A772D31" w:rsidR="000A1973" w:rsidRPr="00FA4199" w:rsidRDefault="005043F0" w:rsidP="00E9289E">
            <w:pPr>
              <w:pStyle w:val="BodyText"/>
              <w:spacing w:after="0" w:line="240" w:lineRule="auto"/>
              <w:jc w:val="center"/>
              <w:rPr>
                <w:rFonts w:ascii="Calibri" w:hAnsi="Calibri"/>
                <w:b/>
                <w:sz w:val="20"/>
              </w:rPr>
            </w:pPr>
            <w:r w:rsidRPr="00FA4199">
              <w:rPr>
                <w:rFonts w:ascii="Calibri" w:hAnsi="Calibri"/>
                <w:b/>
                <w:sz w:val="20"/>
              </w:rPr>
              <w:t>Co-finance</w:t>
            </w:r>
          </w:p>
          <w:p w14:paraId="37F6CBD2" w14:textId="2A5F6E62" w:rsidR="005043F0" w:rsidRPr="004A2644" w:rsidRDefault="005043F0" w:rsidP="00E9289E">
            <w:pPr>
              <w:pStyle w:val="BodyText"/>
              <w:spacing w:after="0" w:line="240" w:lineRule="auto"/>
              <w:jc w:val="center"/>
              <w:rPr>
                <w:rFonts w:ascii="Calibri" w:hAnsi="Calibri"/>
                <w:b/>
                <w:sz w:val="20"/>
              </w:rPr>
            </w:pPr>
            <w:r w:rsidRPr="00FA4199">
              <w:rPr>
                <w:rFonts w:ascii="Calibri" w:hAnsi="Calibri"/>
                <w:b/>
                <w:sz w:val="20"/>
              </w:rPr>
              <w:t>(US$)</w:t>
            </w:r>
          </w:p>
        </w:tc>
      </w:tr>
      <w:tr w:rsidR="00D8184F" w:rsidRPr="004A2644" w14:paraId="47CB6F64" w14:textId="77777777" w:rsidTr="00132574">
        <w:trPr>
          <w:trHeight w:val="300"/>
        </w:trPr>
        <w:tc>
          <w:tcPr>
            <w:tcW w:w="1582" w:type="pct"/>
            <w:vMerge w:val="restart"/>
            <w:tcBorders>
              <w:top w:val="single" w:sz="18" w:space="0" w:color="auto"/>
              <w:left w:val="single" w:sz="24" w:space="0" w:color="auto"/>
              <w:right w:val="single" w:sz="6" w:space="0" w:color="auto"/>
            </w:tcBorders>
            <w:shd w:val="clear" w:color="auto" w:fill="auto"/>
            <w:hideMark/>
          </w:tcPr>
          <w:p w14:paraId="27BF9361" w14:textId="30B14CE5" w:rsidR="0005355A" w:rsidRPr="004A2644" w:rsidRDefault="0005355A" w:rsidP="001B651D">
            <w:pPr>
              <w:pStyle w:val="BodyText"/>
              <w:spacing w:after="0" w:line="240" w:lineRule="auto"/>
              <w:jc w:val="left"/>
              <w:rPr>
                <w:rFonts w:ascii="Calibri" w:hAnsi="Calibri"/>
                <w:sz w:val="20"/>
              </w:rPr>
            </w:pPr>
            <w:r w:rsidRPr="004A2644">
              <w:rPr>
                <w:rFonts w:ascii="Calibri" w:hAnsi="Calibri"/>
                <w:b/>
                <w:sz w:val="20"/>
              </w:rPr>
              <w:t>Outcome 1.</w:t>
            </w:r>
            <w:r w:rsidRPr="004A2644">
              <w:rPr>
                <w:rFonts w:ascii="Calibri" w:hAnsi="Calibri"/>
                <w:sz w:val="20"/>
              </w:rPr>
              <w:t xml:space="preserve"> Enhancement of PA Management Effectiveness in the Achara Region</w:t>
            </w:r>
          </w:p>
        </w:tc>
        <w:tc>
          <w:tcPr>
            <w:tcW w:w="853" w:type="pct"/>
            <w:tcBorders>
              <w:top w:val="single" w:sz="18" w:space="0" w:color="auto"/>
              <w:left w:val="single" w:sz="6" w:space="0" w:color="auto"/>
              <w:bottom w:val="single" w:sz="6" w:space="0" w:color="auto"/>
              <w:right w:val="single" w:sz="24" w:space="0" w:color="auto"/>
            </w:tcBorders>
            <w:shd w:val="clear" w:color="auto" w:fill="auto"/>
            <w:noWrap/>
            <w:hideMark/>
          </w:tcPr>
          <w:p w14:paraId="7B85AD14" w14:textId="0622A9E8" w:rsidR="0005355A" w:rsidRPr="004A2644" w:rsidRDefault="0005355A" w:rsidP="00E9289E">
            <w:pPr>
              <w:pStyle w:val="BodyText"/>
              <w:spacing w:after="0" w:line="240" w:lineRule="auto"/>
              <w:jc w:val="right"/>
              <w:rPr>
                <w:rFonts w:ascii="Calibri" w:hAnsi="Calibri"/>
                <w:sz w:val="20"/>
              </w:rPr>
            </w:pPr>
            <w:r w:rsidRPr="004A2644">
              <w:rPr>
                <w:rFonts w:ascii="Calibri" w:hAnsi="Calibri"/>
                <w:sz w:val="20"/>
              </w:rPr>
              <w:t xml:space="preserve">382,273 </w:t>
            </w:r>
            <w:r>
              <w:rPr>
                <w:rFonts w:ascii="Calibri" w:hAnsi="Calibri"/>
                <w:sz w:val="20"/>
              </w:rPr>
              <w:t xml:space="preserve"> (28.9</w:t>
            </w:r>
            <w:r w:rsidRPr="004A2644">
              <w:rPr>
                <w:rFonts w:ascii="Calibri" w:hAnsi="Calibri"/>
                <w:sz w:val="20"/>
              </w:rPr>
              <w:t>%</w:t>
            </w:r>
            <w:r>
              <w:rPr>
                <w:rFonts w:ascii="Calibri" w:hAnsi="Calibri"/>
                <w:sz w:val="20"/>
              </w:rPr>
              <w:t>)</w:t>
            </w:r>
          </w:p>
        </w:tc>
        <w:tc>
          <w:tcPr>
            <w:tcW w:w="1396" w:type="pct"/>
            <w:tcBorders>
              <w:top w:val="single" w:sz="18" w:space="0" w:color="auto"/>
              <w:left w:val="single" w:sz="24" w:space="0" w:color="auto"/>
              <w:bottom w:val="single" w:sz="6" w:space="0" w:color="auto"/>
              <w:right w:val="single" w:sz="6" w:space="0" w:color="auto"/>
            </w:tcBorders>
            <w:shd w:val="clear" w:color="auto" w:fill="auto"/>
            <w:noWrap/>
            <w:hideMark/>
          </w:tcPr>
          <w:p w14:paraId="524DC4FC" w14:textId="77777777" w:rsidR="0005355A" w:rsidRPr="004A2644" w:rsidRDefault="0005355A" w:rsidP="001B651D">
            <w:pPr>
              <w:pStyle w:val="BodyText"/>
              <w:spacing w:after="0" w:line="240" w:lineRule="auto"/>
              <w:jc w:val="left"/>
              <w:rPr>
                <w:rFonts w:ascii="Calibri" w:hAnsi="Calibri"/>
                <w:sz w:val="20"/>
              </w:rPr>
            </w:pPr>
            <w:r w:rsidRPr="004A2644">
              <w:rPr>
                <w:rFonts w:ascii="Calibri" w:hAnsi="Calibri"/>
                <w:sz w:val="20"/>
              </w:rPr>
              <w:t>Agency PA</w:t>
            </w:r>
          </w:p>
        </w:tc>
        <w:tc>
          <w:tcPr>
            <w:tcW w:w="1169" w:type="pct"/>
            <w:tcBorders>
              <w:top w:val="single" w:sz="18" w:space="0" w:color="auto"/>
              <w:left w:val="single" w:sz="6" w:space="0" w:color="auto"/>
              <w:bottom w:val="single" w:sz="6" w:space="0" w:color="auto"/>
              <w:right w:val="single" w:sz="24" w:space="0" w:color="auto"/>
            </w:tcBorders>
            <w:shd w:val="clear" w:color="auto" w:fill="auto"/>
            <w:noWrap/>
            <w:hideMark/>
          </w:tcPr>
          <w:p w14:paraId="0C8AE6F8" w14:textId="3C680C0E" w:rsidR="0005355A" w:rsidRPr="004A2644" w:rsidRDefault="0005355A" w:rsidP="001B651D">
            <w:pPr>
              <w:pStyle w:val="BodyText"/>
              <w:spacing w:after="0" w:line="240" w:lineRule="auto"/>
              <w:jc w:val="right"/>
              <w:rPr>
                <w:rFonts w:ascii="Calibri" w:hAnsi="Calibri"/>
                <w:sz w:val="20"/>
              </w:rPr>
            </w:pPr>
            <w:r w:rsidRPr="004A2644">
              <w:rPr>
                <w:rFonts w:ascii="Calibri" w:hAnsi="Calibri"/>
                <w:sz w:val="20"/>
              </w:rPr>
              <w:t>1,395,490</w:t>
            </w:r>
            <w:r>
              <w:rPr>
                <w:rFonts w:ascii="Calibri" w:hAnsi="Calibri"/>
                <w:sz w:val="20"/>
              </w:rPr>
              <w:t xml:space="preserve">  (10.2%)</w:t>
            </w:r>
          </w:p>
        </w:tc>
      </w:tr>
      <w:tr w:rsidR="00D8184F" w:rsidRPr="004A2644" w14:paraId="7B62284C" w14:textId="77777777" w:rsidTr="00132574">
        <w:trPr>
          <w:trHeight w:val="200"/>
        </w:trPr>
        <w:tc>
          <w:tcPr>
            <w:tcW w:w="1582" w:type="pct"/>
            <w:vMerge/>
            <w:tcBorders>
              <w:left w:val="single" w:sz="24" w:space="0" w:color="auto"/>
              <w:right w:val="single" w:sz="6" w:space="0" w:color="auto"/>
            </w:tcBorders>
            <w:shd w:val="clear" w:color="auto" w:fill="auto"/>
          </w:tcPr>
          <w:p w14:paraId="2EC7EE89" w14:textId="77777777" w:rsidR="0005355A" w:rsidRPr="004A2644" w:rsidRDefault="0005355A" w:rsidP="001B651D">
            <w:pPr>
              <w:pStyle w:val="BodyText"/>
              <w:spacing w:after="0" w:line="240" w:lineRule="auto"/>
              <w:jc w:val="left"/>
              <w:rPr>
                <w:rFonts w:ascii="Calibri" w:hAnsi="Calibri"/>
                <w:b/>
                <w:sz w:val="20"/>
              </w:rPr>
            </w:pPr>
          </w:p>
        </w:tc>
        <w:tc>
          <w:tcPr>
            <w:tcW w:w="853" w:type="pct"/>
            <w:tcBorders>
              <w:top w:val="single" w:sz="6" w:space="0" w:color="auto"/>
              <w:left w:val="single" w:sz="6" w:space="0" w:color="auto"/>
              <w:right w:val="single" w:sz="24" w:space="0" w:color="auto"/>
            </w:tcBorders>
            <w:shd w:val="clear" w:color="auto" w:fill="auto"/>
            <w:noWrap/>
          </w:tcPr>
          <w:p w14:paraId="4716CE3E" w14:textId="77777777" w:rsidR="0005355A" w:rsidRPr="004A2644" w:rsidRDefault="0005355A" w:rsidP="00E9289E">
            <w:pPr>
              <w:pStyle w:val="BodyText"/>
              <w:spacing w:after="0" w:line="240" w:lineRule="auto"/>
              <w:jc w:val="right"/>
              <w:rPr>
                <w:rFonts w:ascii="Calibri" w:hAnsi="Calibri"/>
                <w:sz w:val="20"/>
              </w:rPr>
            </w:pPr>
          </w:p>
        </w:tc>
        <w:tc>
          <w:tcPr>
            <w:tcW w:w="1396" w:type="pct"/>
            <w:tcBorders>
              <w:top w:val="single" w:sz="6" w:space="0" w:color="auto"/>
              <w:left w:val="single" w:sz="24" w:space="0" w:color="auto"/>
              <w:right w:val="single" w:sz="6" w:space="0" w:color="auto"/>
            </w:tcBorders>
            <w:shd w:val="clear" w:color="auto" w:fill="auto"/>
          </w:tcPr>
          <w:p w14:paraId="50F2FD82" w14:textId="595AE904" w:rsidR="0005355A" w:rsidRPr="004A2644" w:rsidRDefault="0005355A" w:rsidP="001B651D">
            <w:pPr>
              <w:pStyle w:val="BodyText"/>
              <w:spacing w:after="0" w:line="240" w:lineRule="auto"/>
              <w:jc w:val="left"/>
              <w:rPr>
                <w:rFonts w:ascii="Calibri" w:hAnsi="Calibri"/>
                <w:sz w:val="20"/>
              </w:rPr>
            </w:pPr>
            <w:r w:rsidRPr="004A2644">
              <w:rPr>
                <w:rFonts w:ascii="Calibri" w:hAnsi="Calibri"/>
                <w:sz w:val="20"/>
              </w:rPr>
              <w:t>Achara Autonomous Republic</w:t>
            </w:r>
          </w:p>
        </w:tc>
        <w:tc>
          <w:tcPr>
            <w:tcW w:w="1169" w:type="pct"/>
            <w:tcBorders>
              <w:top w:val="single" w:sz="6" w:space="0" w:color="auto"/>
              <w:left w:val="single" w:sz="6" w:space="0" w:color="auto"/>
              <w:bottom w:val="single" w:sz="6" w:space="0" w:color="auto"/>
              <w:right w:val="single" w:sz="24" w:space="0" w:color="auto"/>
            </w:tcBorders>
            <w:shd w:val="clear" w:color="auto" w:fill="auto"/>
            <w:noWrap/>
          </w:tcPr>
          <w:p w14:paraId="14F44E07" w14:textId="3877DF28" w:rsidR="0005355A" w:rsidRPr="004A2644" w:rsidRDefault="0005355A" w:rsidP="00D8184F">
            <w:pPr>
              <w:pStyle w:val="BodyText"/>
              <w:spacing w:after="0" w:line="240" w:lineRule="auto"/>
              <w:jc w:val="right"/>
              <w:rPr>
                <w:rFonts w:ascii="Calibri" w:hAnsi="Calibri"/>
                <w:sz w:val="20"/>
              </w:rPr>
            </w:pPr>
            <w:r w:rsidRPr="004A2644">
              <w:rPr>
                <w:rFonts w:ascii="Calibri" w:hAnsi="Calibri"/>
                <w:sz w:val="20"/>
              </w:rPr>
              <w:t>7,638,036</w:t>
            </w:r>
            <w:r>
              <w:rPr>
                <w:rFonts w:ascii="Calibri" w:hAnsi="Calibri"/>
                <w:sz w:val="20"/>
              </w:rPr>
              <w:t xml:space="preserve">  (5</w:t>
            </w:r>
            <w:r w:rsidR="00D8184F">
              <w:rPr>
                <w:rFonts w:ascii="Calibri" w:hAnsi="Calibri"/>
                <w:sz w:val="20"/>
              </w:rPr>
              <w:t>6.0</w:t>
            </w:r>
            <w:r>
              <w:rPr>
                <w:rFonts w:ascii="Calibri" w:hAnsi="Calibri"/>
                <w:sz w:val="20"/>
              </w:rPr>
              <w:t>%)</w:t>
            </w:r>
          </w:p>
        </w:tc>
      </w:tr>
      <w:tr w:rsidR="00D8184F" w:rsidRPr="004A2644" w14:paraId="3E2BCC09" w14:textId="77777777" w:rsidTr="00132574">
        <w:trPr>
          <w:trHeight w:val="200"/>
        </w:trPr>
        <w:tc>
          <w:tcPr>
            <w:tcW w:w="1582" w:type="pct"/>
            <w:vMerge/>
            <w:tcBorders>
              <w:left w:val="single" w:sz="24" w:space="0" w:color="auto"/>
              <w:bottom w:val="single" w:sz="6" w:space="0" w:color="auto"/>
              <w:right w:val="single" w:sz="6" w:space="0" w:color="auto"/>
            </w:tcBorders>
            <w:shd w:val="clear" w:color="auto" w:fill="auto"/>
          </w:tcPr>
          <w:p w14:paraId="4A9A1B5E" w14:textId="77777777" w:rsidR="0005355A" w:rsidRPr="004A2644" w:rsidRDefault="0005355A" w:rsidP="001B651D">
            <w:pPr>
              <w:pStyle w:val="BodyText"/>
              <w:spacing w:after="0" w:line="240" w:lineRule="auto"/>
              <w:jc w:val="left"/>
              <w:rPr>
                <w:rFonts w:ascii="Calibri" w:hAnsi="Calibri"/>
                <w:b/>
                <w:sz w:val="20"/>
              </w:rPr>
            </w:pPr>
          </w:p>
        </w:tc>
        <w:tc>
          <w:tcPr>
            <w:tcW w:w="853" w:type="pct"/>
            <w:tcBorders>
              <w:left w:val="single" w:sz="6" w:space="0" w:color="auto"/>
              <w:bottom w:val="single" w:sz="6" w:space="0" w:color="auto"/>
              <w:right w:val="single" w:sz="24" w:space="0" w:color="auto"/>
            </w:tcBorders>
            <w:shd w:val="clear" w:color="auto" w:fill="auto"/>
            <w:noWrap/>
          </w:tcPr>
          <w:p w14:paraId="1518CFC6" w14:textId="77777777" w:rsidR="0005355A" w:rsidRPr="004A2644" w:rsidRDefault="0005355A" w:rsidP="00E9289E">
            <w:pPr>
              <w:pStyle w:val="BodyText"/>
              <w:spacing w:after="0" w:line="240" w:lineRule="auto"/>
              <w:jc w:val="right"/>
              <w:rPr>
                <w:rFonts w:ascii="Calibri" w:hAnsi="Calibri"/>
                <w:sz w:val="20"/>
              </w:rPr>
            </w:pPr>
          </w:p>
        </w:tc>
        <w:tc>
          <w:tcPr>
            <w:tcW w:w="1396" w:type="pct"/>
            <w:tcBorders>
              <w:left w:val="single" w:sz="24" w:space="0" w:color="auto"/>
              <w:bottom w:val="single" w:sz="6" w:space="0" w:color="auto"/>
              <w:right w:val="single" w:sz="6" w:space="0" w:color="auto"/>
            </w:tcBorders>
            <w:shd w:val="clear" w:color="auto" w:fill="auto"/>
          </w:tcPr>
          <w:p w14:paraId="73E7A49C" w14:textId="056224FF" w:rsidR="0005355A" w:rsidRPr="004A2644" w:rsidRDefault="0005355A" w:rsidP="001B651D">
            <w:pPr>
              <w:pStyle w:val="BodyText"/>
              <w:spacing w:after="0" w:line="240" w:lineRule="auto"/>
              <w:jc w:val="left"/>
              <w:rPr>
                <w:rFonts w:ascii="Calibri" w:hAnsi="Calibri"/>
                <w:sz w:val="20"/>
              </w:rPr>
            </w:pPr>
            <w:r w:rsidRPr="001B651D">
              <w:rPr>
                <w:rFonts w:ascii="Calibri" w:hAnsi="Calibri"/>
                <w:color w:val="FF0000"/>
                <w:sz w:val="20"/>
              </w:rPr>
              <w:t>CNF</w:t>
            </w:r>
          </w:p>
        </w:tc>
        <w:tc>
          <w:tcPr>
            <w:tcW w:w="1169" w:type="pct"/>
            <w:tcBorders>
              <w:top w:val="single" w:sz="6" w:space="0" w:color="auto"/>
              <w:left w:val="single" w:sz="6" w:space="0" w:color="auto"/>
              <w:bottom w:val="single" w:sz="6" w:space="0" w:color="auto"/>
              <w:right w:val="single" w:sz="24" w:space="0" w:color="auto"/>
            </w:tcBorders>
            <w:shd w:val="clear" w:color="auto" w:fill="auto"/>
            <w:noWrap/>
          </w:tcPr>
          <w:p w14:paraId="18A2F208" w14:textId="2C8A7D87" w:rsidR="0005355A" w:rsidRPr="004A2644" w:rsidRDefault="0005355A" w:rsidP="00D8184F">
            <w:pPr>
              <w:pStyle w:val="BodyText"/>
              <w:spacing w:after="0" w:line="240" w:lineRule="auto"/>
              <w:jc w:val="right"/>
              <w:rPr>
                <w:rFonts w:ascii="Calibri" w:hAnsi="Calibri"/>
                <w:sz w:val="20"/>
              </w:rPr>
            </w:pPr>
            <w:r w:rsidRPr="001B651D">
              <w:rPr>
                <w:rFonts w:ascii="Calibri" w:hAnsi="Calibri"/>
                <w:color w:val="FF0000"/>
                <w:sz w:val="20"/>
              </w:rPr>
              <w:t>317,000</w:t>
            </w:r>
            <w:r w:rsidR="00D8184F">
              <w:rPr>
                <w:rFonts w:ascii="Calibri" w:hAnsi="Calibri"/>
                <w:color w:val="FF0000"/>
                <w:sz w:val="20"/>
              </w:rPr>
              <w:t xml:space="preserve">  </w:t>
            </w:r>
            <w:r w:rsidR="00D8184F" w:rsidRPr="00132574">
              <w:rPr>
                <w:rFonts w:ascii="Calibri" w:hAnsi="Calibri"/>
                <w:sz w:val="20"/>
              </w:rPr>
              <w:t>(02.3%)</w:t>
            </w:r>
          </w:p>
        </w:tc>
      </w:tr>
      <w:tr w:rsidR="00D8184F" w:rsidRPr="004A2644" w14:paraId="6D2D7B2F" w14:textId="77777777" w:rsidTr="00132574">
        <w:trPr>
          <w:trHeight w:val="339"/>
        </w:trPr>
        <w:tc>
          <w:tcPr>
            <w:tcW w:w="1582" w:type="pct"/>
            <w:vMerge w:val="restart"/>
            <w:tcBorders>
              <w:top w:val="single" w:sz="6" w:space="0" w:color="auto"/>
              <w:left w:val="single" w:sz="24" w:space="0" w:color="auto"/>
              <w:right w:val="single" w:sz="6" w:space="0" w:color="auto"/>
            </w:tcBorders>
            <w:shd w:val="clear" w:color="auto" w:fill="auto"/>
            <w:hideMark/>
          </w:tcPr>
          <w:p w14:paraId="2459DB46" w14:textId="56EFFFF3" w:rsidR="00707225" w:rsidRPr="004A2644" w:rsidRDefault="00707225" w:rsidP="009771F5">
            <w:pPr>
              <w:pStyle w:val="BodyText"/>
              <w:spacing w:after="0" w:line="240" w:lineRule="auto"/>
              <w:jc w:val="left"/>
              <w:rPr>
                <w:rFonts w:ascii="Calibri" w:hAnsi="Calibri"/>
                <w:sz w:val="20"/>
              </w:rPr>
            </w:pPr>
            <w:r w:rsidRPr="004A2644">
              <w:rPr>
                <w:rFonts w:ascii="Calibri" w:hAnsi="Calibri"/>
                <w:b/>
                <w:sz w:val="20"/>
              </w:rPr>
              <w:t>Outcome 2.</w:t>
            </w:r>
            <w:r>
              <w:rPr>
                <w:rFonts w:ascii="Calibri" w:hAnsi="Calibri"/>
                <w:sz w:val="20"/>
              </w:rPr>
              <w:t xml:space="preserve"> </w:t>
            </w:r>
            <w:r w:rsidRPr="004A2644">
              <w:rPr>
                <w:rFonts w:ascii="Calibri" w:hAnsi="Calibri"/>
                <w:sz w:val="20"/>
              </w:rPr>
              <w:t>PA System Expan</w:t>
            </w:r>
            <w:r>
              <w:rPr>
                <w:rFonts w:ascii="Calibri" w:hAnsi="Calibri"/>
                <w:sz w:val="20"/>
              </w:rPr>
              <w:t>ded</w:t>
            </w:r>
            <w:r w:rsidRPr="004A2644">
              <w:rPr>
                <w:rFonts w:ascii="Calibri" w:hAnsi="Calibri"/>
                <w:sz w:val="20"/>
              </w:rPr>
              <w:t xml:space="preserve"> to Increase Functional Connectivity of </w:t>
            </w:r>
            <w:r>
              <w:rPr>
                <w:rFonts w:ascii="Calibri" w:hAnsi="Calibri"/>
                <w:sz w:val="20"/>
              </w:rPr>
              <w:t>PAs in West Lesser Caucasus</w:t>
            </w:r>
          </w:p>
        </w:tc>
        <w:tc>
          <w:tcPr>
            <w:tcW w:w="853" w:type="pct"/>
            <w:tcBorders>
              <w:top w:val="single" w:sz="6" w:space="0" w:color="auto"/>
              <w:left w:val="single" w:sz="6" w:space="0" w:color="auto"/>
              <w:bottom w:val="single" w:sz="6" w:space="0" w:color="auto"/>
              <w:right w:val="single" w:sz="24" w:space="0" w:color="auto"/>
            </w:tcBorders>
            <w:shd w:val="clear" w:color="auto" w:fill="auto"/>
            <w:noWrap/>
            <w:hideMark/>
          </w:tcPr>
          <w:p w14:paraId="263DD1AA" w14:textId="7ADCE931" w:rsidR="00707225" w:rsidRPr="004A2644" w:rsidRDefault="00707225" w:rsidP="00E9289E">
            <w:pPr>
              <w:pStyle w:val="BodyText"/>
              <w:spacing w:after="0" w:line="240" w:lineRule="auto"/>
              <w:jc w:val="right"/>
              <w:rPr>
                <w:rFonts w:ascii="Calibri" w:hAnsi="Calibri"/>
                <w:sz w:val="20"/>
              </w:rPr>
            </w:pPr>
            <w:r>
              <w:rPr>
                <w:rFonts w:ascii="Calibri" w:hAnsi="Calibri"/>
                <w:sz w:val="20"/>
              </w:rPr>
              <w:t>789,997  (59.7</w:t>
            </w:r>
            <w:r w:rsidRPr="004A2644">
              <w:rPr>
                <w:rFonts w:ascii="Calibri" w:hAnsi="Calibri"/>
                <w:sz w:val="20"/>
              </w:rPr>
              <w:t>%</w:t>
            </w:r>
            <w:r>
              <w:rPr>
                <w:rFonts w:ascii="Calibri" w:hAnsi="Calibri"/>
                <w:sz w:val="20"/>
              </w:rPr>
              <w:t>)</w:t>
            </w:r>
          </w:p>
        </w:tc>
        <w:tc>
          <w:tcPr>
            <w:tcW w:w="1396" w:type="pct"/>
            <w:tcBorders>
              <w:top w:val="single" w:sz="6" w:space="0" w:color="auto"/>
              <w:left w:val="single" w:sz="24" w:space="0" w:color="auto"/>
              <w:bottom w:val="single" w:sz="6" w:space="0" w:color="auto"/>
              <w:right w:val="single" w:sz="6" w:space="0" w:color="auto"/>
            </w:tcBorders>
            <w:shd w:val="clear" w:color="auto" w:fill="auto"/>
            <w:hideMark/>
          </w:tcPr>
          <w:p w14:paraId="2CA13A4E" w14:textId="77777777" w:rsidR="00707225" w:rsidRPr="004A2644" w:rsidRDefault="00707225" w:rsidP="001B651D">
            <w:pPr>
              <w:pStyle w:val="BodyText"/>
              <w:spacing w:after="0" w:line="240" w:lineRule="auto"/>
              <w:jc w:val="left"/>
              <w:rPr>
                <w:rFonts w:ascii="Calibri" w:hAnsi="Calibri"/>
                <w:sz w:val="20"/>
              </w:rPr>
            </w:pPr>
            <w:r w:rsidRPr="004A2644">
              <w:rPr>
                <w:rFonts w:ascii="Calibri" w:hAnsi="Calibri"/>
                <w:sz w:val="20"/>
              </w:rPr>
              <w:t>Municipality of Kvelvachauri, Achara Autonomous Republic</w:t>
            </w:r>
          </w:p>
        </w:tc>
        <w:tc>
          <w:tcPr>
            <w:tcW w:w="1169" w:type="pct"/>
            <w:tcBorders>
              <w:top w:val="single" w:sz="6" w:space="0" w:color="auto"/>
              <w:left w:val="single" w:sz="6" w:space="0" w:color="auto"/>
              <w:bottom w:val="single" w:sz="6" w:space="0" w:color="auto"/>
              <w:right w:val="single" w:sz="24" w:space="0" w:color="auto"/>
            </w:tcBorders>
            <w:shd w:val="clear" w:color="auto" w:fill="auto"/>
            <w:noWrap/>
            <w:hideMark/>
          </w:tcPr>
          <w:p w14:paraId="40468A1E" w14:textId="5F37818B" w:rsidR="00707225" w:rsidRPr="004A2644" w:rsidRDefault="00707225" w:rsidP="001B651D">
            <w:pPr>
              <w:pStyle w:val="BodyText"/>
              <w:spacing w:after="0" w:line="240" w:lineRule="auto"/>
              <w:jc w:val="right"/>
              <w:rPr>
                <w:rFonts w:ascii="Calibri" w:hAnsi="Calibri"/>
                <w:sz w:val="20"/>
              </w:rPr>
            </w:pPr>
            <w:r w:rsidRPr="004A2644">
              <w:rPr>
                <w:rFonts w:ascii="Calibri" w:hAnsi="Calibri"/>
                <w:sz w:val="20"/>
              </w:rPr>
              <w:t>1,757,553</w:t>
            </w:r>
            <w:r>
              <w:rPr>
                <w:rFonts w:ascii="Calibri" w:hAnsi="Calibri"/>
                <w:sz w:val="20"/>
              </w:rPr>
              <w:t xml:space="preserve">  (12.9%)</w:t>
            </w:r>
          </w:p>
        </w:tc>
      </w:tr>
      <w:tr w:rsidR="00D8184F" w:rsidRPr="004A2644" w14:paraId="68281A30" w14:textId="77777777" w:rsidTr="00132574">
        <w:trPr>
          <w:trHeight w:val="56"/>
        </w:trPr>
        <w:tc>
          <w:tcPr>
            <w:tcW w:w="1582" w:type="pct"/>
            <w:vMerge/>
            <w:tcBorders>
              <w:left w:val="single" w:sz="24" w:space="0" w:color="auto"/>
              <w:right w:val="single" w:sz="6" w:space="0" w:color="auto"/>
            </w:tcBorders>
            <w:shd w:val="clear" w:color="auto" w:fill="auto"/>
            <w:noWrap/>
          </w:tcPr>
          <w:p w14:paraId="7E1C0D1A" w14:textId="77777777" w:rsidR="00707225" w:rsidRPr="004A2644" w:rsidRDefault="00707225" w:rsidP="001B651D">
            <w:pPr>
              <w:pStyle w:val="BodyText"/>
              <w:spacing w:after="0" w:line="240" w:lineRule="auto"/>
              <w:jc w:val="left"/>
              <w:rPr>
                <w:rFonts w:ascii="Calibri" w:hAnsi="Calibri"/>
                <w:sz w:val="20"/>
              </w:rPr>
            </w:pPr>
          </w:p>
        </w:tc>
        <w:tc>
          <w:tcPr>
            <w:tcW w:w="853" w:type="pct"/>
            <w:tcBorders>
              <w:top w:val="single" w:sz="6" w:space="0" w:color="auto"/>
              <w:left w:val="single" w:sz="6" w:space="0" w:color="auto"/>
              <w:bottom w:val="single" w:sz="6" w:space="0" w:color="auto"/>
              <w:right w:val="single" w:sz="24" w:space="0" w:color="auto"/>
            </w:tcBorders>
            <w:shd w:val="clear" w:color="auto" w:fill="auto"/>
            <w:noWrap/>
          </w:tcPr>
          <w:p w14:paraId="152F8D7E" w14:textId="77777777" w:rsidR="00707225" w:rsidRPr="004A2644" w:rsidRDefault="00707225" w:rsidP="00E9289E">
            <w:pPr>
              <w:pStyle w:val="BodyText"/>
              <w:spacing w:after="0" w:line="240" w:lineRule="auto"/>
              <w:jc w:val="right"/>
              <w:rPr>
                <w:rFonts w:ascii="Calibri" w:hAnsi="Calibri"/>
                <w:sz w:val="20"/>
              </w:rPr>
            </w:pPr>
          </w:p>
        </w:tc>
        <w:tc>
          <w:tcPr>
            <w:tcW w:w="1396" w:type="pct"/>
            <w:tcBorders>
              <w:top w:val="single" w:sz="6" w:space="0" w:color="auto"/>
              <w:left w:val="single" w:sz="24" w:space="0" w:color="auto"/>
              <w:bottom w:val="single" w:sz="6" w:space="0" w:color="auto"/>
              <w:right w:val="single" w:sz="6" w:space="0" w:color="auto"/>
            </w:tcBorders>
            <w:shd w:val="clear" w:color="auto" w:fill="auto"/>
            <w:noWrap/>
          </w:tcPr>
          <w:p w14:paraId="5C53D5BE" w14:textId="047712E9" w:rsidR="00707225" w:rsidRPr="004A2644" w:rsidRDefault="00707225" w:rsidP="001B651D">
            <w:pPr>
              <w:pStyle w:val="BodyText"/>
              <w:spacing w:after="0" w:line="240" w:lineRule="auto"/>
              <w:jc w:val="left"/>
              <w:rPr>
                <w:rFonts w:ascii="Calibri" w:hAnsi="Calibri"/>
                <w:sz w:val="20"/>
              </w:rPr>
            </w:pPr>
            <w:r w:rsidRPr="004A2644">
              <w:rPr>
                <w:rFonts w:ascii="Calibri" w:hAnsi="Calibri"/>
                <w:sz w:val="20"/>
              </w:rPr>
              <w:t>KfW</w:t>
            </w:r>
          </w:p>
        </w:tc>
        <w:tc>
          <w:tcPr>
            <w:tcW w:w="1169" w:type="pct"/>
            <w:tcBorders>
              <w:top w:val="single" w:sz="6" w:space="0" w:color="auto"/>
              <w:left w:val="single" w:sz="6" w:space="0" w:color="auto"/>
              <w:bottom w:val="single" w:sz="6" w:space="0" w:color="auto"/>
              <w:right w:val="single" w:sz="24" w:space="0" w:color="auto"/>
            </w:tcBorders>
            <w:shd w:val="clear" w:color="auto" w:fill="auto"/>
            <w:noWrap/>
          </w:tcPr>
          <w:p w14:paraId="173BB1FE" w14:textId="57FE75A4" w:rsidR="00707225" w:rsidRPr="004A2644" w:rsidRDefault="00707225" w:rsidP="00D8184F">
            <w:pPr>
              <w:pStyle w:val="BodyText"/>
              <w:spacing w:after="0" w:line="240" w:lineRule="auto"/>
              <w:jc w:val="right"/>
              <w:rPr>
                <w:rFonts w:ascii="Calibri" w:hAnsi="Calibri"/>
                <w:sz w:val="20"/>
              </w:rPr>
            </w:pPr>
            <w:r w:rsidRPr="004A2644">
              <w:rPr>
                <w:rFonts w:ascii="Calibri" w:hAnsi="Calibri"/>
                <w:sz w:val="20"/>
              </w:rPr>
              <w:t>2,317,063</w:t>
            </w:r>
            <w:r w:rsidR="00D8184F">
              <w:rPr>
                <w:rFonts w:ascii="Calibri" w:hAnsi="Calibri"/>
                <w:sz w:val="20"/>
              </w:rPr>
              <w:t xml:space="preserve">  (17.0</w:t>
            </w:r>
            <w:r>
              <w:rPr>
                <w:rFonts w:ascii="Calibri" w:hAnsi="Calibri"/>
                <w:sz w:val="20"/>
              </w:rPr>
              <w:t>%)</w:t>
            </w:r>
          </w:p>
        </w:tc>
      </w:tr>
      <w:tr w:rsidR="00D8184F" w:rsidRPr="004A2644" w14:paraId="375F940C" w14:textId="77777777" w:rsidTr="00132574">
        <w:trPr>
          <w:trHeight w:val="83"/>
        </w:trPr>
        <w:tc>
          <w:tcPr>
            <w:tcW w:w="1582" w:type="pct"/>
            <w:vMerge/>
            <w:tcBorders>
              <w:left w:val="single" w:sz="24" w:space="0" w:color="auto"/>
              <w:bottom w:val="single" w:sz="6" w:space="0" w:color="auto"/>
              <w:right w:val="single" w:sz="6" w:space="0" w:color="auto"/>
            </w:tcBorders>
            <w:shd w:val="clear" w:color="auto" w:fill="auto"/>
            <w:noWrap/>
          </w:tcPr>
          <w:p w14:paraId="5DD66F9D" w14:textId="77777777" w:rsidR="00707225" w:rsidRPr="004A2644" w:rsidRDefault="00707225" w:rsidP="001B651D">
            <w:pPr>
              <w:pStyle w:val="BodyText"/>
              <w:spacing w:after="0" w:line="240" w:lineRule="auto"/>
              <w:jc w:val="left"/>
              <w:rPr>
                <w:rFonts w:ascii="Calibri" w:hAnsi="Calibri"/>
                <w:sz w:val="20"/>
              </w:rPr>
            </w:pPr>
          </w:p>
        </w:tc>
        <w:tc>
          <w:tcPr>
            <w:tcW w:w="853" w:type="pct"/>
            <w:tcBorders>
              <w:top w:val="single" w:sz="6" w:space="0" w:color="auto"/>
              <w:left w:val="single" w:sz="6" w:space="0" w:color="auto"/>
              <w:bottom w:val="single" w:sz="6" w:space="0" w:color="auto"/>
              <w:right w:val="single" w:sz="24" w:space="0" w:color="auto"/>
            </w:tcBorders>
            <w:shd w:val="clear" w:color="auto" w:fill="auto"/>
            <w:noWrap/>
          </w:tcPr>
          <w:p w14:paraId="0684B5C0" w14:textId="77777777" w:rsidR="00707225" w:rsidRDefault="00707225" w:rsidP="00E9289E">
            <w:pPr>
              <w:pStyle w:val="BodyText"/>
              <w:spacing w:after="0" w:line="240" w:lineRule="auto"/>
              <w:jc w:val="right"/>
              <w:rPr>
                <w:rFonts w:ascii="Calibri" w:hAnsi="Calibri"/>
                <w:sz w:val="20"/>
              </w:rPr>
            </w:pPr>
          </w:p>
        </w:tc>
        <w:tc>
          <w:tcPr>
            <w:tcW w:w="1396" w:type="pct"/>
            <w:tcBorders>
              <w:top w:val="single" w:sz="6" w:space="0" w:color="auto"/>
              <w:left w:val="single" w:sz="24" w:space="0" w:color="auto"/>
              <w:bottom w:val="single" w:sz="6" w:space="0" w:color="auto"/>
              <w:right w:val="single" w:sz="6" w:space="0" w:color="auto"/>
            </w:tcBorders>
            <w:shd w:val="clear" w:color="auto" w:fill="auto"/>
            <w:noWrap/>
          </w:tcPr>
          <w:p w14:paraId="2C3D46D1" w14:textId="2681F567" w:rsidR="00707225" w:rsidRPr="004A2644" w:rsidRDefault="00707225" w:rsidP="001B651D">
            <w:pPr>
              <w:pStyle w:val="BodyText"/>
              <w:spacing w:after="0" w:line="240" w:lineRule="auto"/>
              <w:jc w:val="left"/>
              <w:rPr>
                <w:rFonts w:ascii="Calibri" w:hAnsi="Calibri"/>
                <w:sz w:val="20"/>
              </w:rPr>
            </w:pPr>
            <w:r w:rsidRPr="004A2644">
              <w:rPr>
                <w:rFonts w:ascii="Calibri" w:hAnsi="Calibri"/>
                <w:sz w:val="20"/>
              </w:rPr>
              <w:t>WWF</w:t>
            </w:r>
          </w:p>
        </w:tc>
        <w:tc>
          <w:tcPr>
            <w:tcW w:w="1169" w:type="pct"/>
            <w:tcBorders>
              <w:top w:val="single" w:sz="6" w:space="0" w:color="auto"/>
              <w:left w:val="single" w:sz="6" w:space="0" w:color="auto"/>
              <w:bottom w:val="single" w:sz="6" w:space="0" w:color="auto"/>
              <w:right w:val="single" w:sz="24" w:space="0" w:color="auto"/>
            </w:tcBorders>
            <w:shd w:val="clear" w:color="auto" w:fill="auto"/>
            <w:noWrap/>
          </w:tcPr>
          <w:p w14:paraId="45D27F04" w14:textId="073689CB" w:rsidR="00707225" w:rsidRDefault="00707225" w:rsidP="001B651D">
            <w:pPr>
              <w:pStyle w:val="BodyText"/>
              <w:spacing w:after="0" w:line="240" w:lineRule="auto"/>
              <w:jc w:val="right"/>
              <w:rPr>
                <w:rFonts w:ascii="Calibri" w:hAnsi="Calibri"/>
                <w:sz w:val="20"/>
              </w:rPr>
            </w:pPr>
            <w:r>
              <w:rPr>
                <w:rFonts w:ascii="Calibri" w:hAnsi="Calibri"/>
                <w:sz w:val="20"/>
              </w:rPr>
              <w:t>100,</w:t>
            </w:r>
            <w:r w:rsidRPr="004A2644">
              <w:rPr>
                <w:rFonts w:ascii="Calibri" w:hAnsi="Calibri"/>
                <w:sz w:val="20"/>
              </w:rPr>
              <w:t>000</w:t>
            </w:r>
            <w:r>
              <w:rPr>
                <w:rFonts w:ascii="Calibri" w:hAnsi="Calibri"/>
                <w:sz w:val="20"/>
              </w:rPr>
              <w:t xml:space="preserve">  (</w:t>
            </w:r>
            <w:r w:rsidR="00D8184F">
              <w:rPr>
                <w:rFonts w:ascii="Calibri" w:hAnsi="Calibri"/>
                <w:sz w:val="20"/>
              </w:rPr>
              <w:t>0</w:t>
            </w:r>
            <w:r>
              <w:rPr>
                <w:rFonts w:ascii="Calibri" w:hAnsi="Calibri"/>
                <w:sz w:val="20"/>
              </w:rPr>
              <w:t>0.7%)</w:t>
            </w:r>
          </w:p>
        </w:tc>
      </w:tr>
      <w:tr w:rsidR="00D8184F" w:rsidRPr="004A2644" w14:paraId="2FADEFE8" w14:textId="77777777" w:rsidTr="00132574">
        <w:trPr>
          <w:trHeight w:val="83"/>
        </w:trPr>
        <w:tc>
          <w:tcPr>
            <w:tcW w:w="1582" w:type="pct"/>
            <w:tcBorders>
              <w:top w:val="single" w:sz="6" w:space="0" w:color="auto"/>
              <w:left w:val="single" w:sz="24" w:space="0" w:color="auto"/>
              <w:bottom w:val="single" w:sz="6" w:space="0" w:color="auto"/>
              <w:right w:val="single" w:sz="6" w:space="0" w:color="auto"/>
            </w:tcBorders>
            <w:shd w:val="clear" w:color="auto" w:fill="auto"/>
            <w:noWrap/>
            <w:hideMark/>
          </w:tcPr>
          <w:p w14:paraId="6837E969" w14:textId="77777777" w:rsidR="00707225" w:rsidRPr="004A2644" w:rsidRDefault="00707225" w:rsidP="001B651D">
            <w:pPr>
              <w:pStyle w:val="BodyText"/>
              <w:spacing w:after="0" w:line="240" w:lineRule="auto"/>
              <w:jc w:val="left"/>
              <w:rPr>
                <w:rFonts w:ascii="Calibri" w:hAnsi="Calibri"/>
                <w:sz w:val="20"/>
              </w:rPr>
            </w:pPr>
            <w:r w:rsidRPr="004A2644">
              <w:rPr>
                <w:rFonts w:ascii="Calibri" w:hAnsi="Calibri"/>
                <w:sz w:val="20"/>
              </w:rPr>
              <w:t xml:space="preserve">Project Management </w:t>
            </w:r>
          </w:p>
        </w:tc>
        <w:tc>
          <w:tcPr>
            <w:tcW w:w="853" w:type="pct"/>
            <w:tcBorders>
              <w:top w:val="single" w:sz="6" w:space="0" w:color="auto"/>
              <w:left w:val="single" w:sz="6" w:space="0" w:color="auto"/>
              <w:bottom w:val="single" w:sz="6" w:space="0" w:color="auto"/>
              <w:right w:val="single" w:sz="24" w:space="0" w:color="auto"/>
            </w:tcBorders>
            <w:shd w:val="clear" w:color="auto" w:fill="auto"/>
            <w:noWrap/>
            <w:hideMark/>
          </w:tcPr>
          <w:p w14:paraId="44023FEE" w14:textId="07EAFAAF" w:rsidR="00707225" w:rsidRPr="004A2644" w:rsidRDefault="00707225" w:rsidP="00E9289E">
            <w:pPr>
              <w:pStyle w:val="BodyText"/>
              <w:spacing w:after="0" w:line="240" w:lineRule="auto"/>
              <w:jc w:val="right"/>
              <w:rPr>
                <w:rFonts w:ascii="Calibri" w:hAnsi="Calibri"/>
                <w:sz w:val="20"/>
              </w:rPr>
            </w:pPr>
            <w:r>
              <w:rPr>
                <w:rFonts w:ascii="Calibri" w:hAnsi="Calibri"/>
                <w:sz w:val="20"/>
              </w:rPr>
              <w:t>151,366  (11.4</w:t>
            </w:r>
            <w:r w:rsidRPr="004A2644">
              <w:rPr>
                <w:rFonts w:ascii="Calibri" w:hAnsi="Calibri"/>
                <w:sz w:val="20"/>
              </w:rPr>
              <w:t>%</w:t>
            </w:r>
            <w:r>
              <w:rPr>
                <w:rFonts w:ascii="Calibri" w:hAnsi="Calibri"/>
                <w:sz w:val="20"/>
              </w:rPr>
              <w:t>)</w:t>
            </w:r>
          </w:p>
        </w:tc>
        <w:tc>
          <w:tcPr>
            <w:tcW w:w="1396" w:type="pct"/>
            <w:tcBorders>
              <w:top w:val="single" w:sz="6" w:space="0" w:color="auto"/>
              <w:left w:val="single" w:sz="24" w:space="0" w:color="auto"/>
              <w:bottom w:val="single" w:sz="6" w:space="0" w:color="auto"/>
              <w:right w:val="single" w:sz="6" w:space="0" w:color="auto"/>
            </w:tcBorders>
            <w:shd w:val="clear" w:color="auto" w:fill="auto"/>
            <w:noWrap/>
          </w:tcPr>
          <w:p w14:paraId="255B5EAF" w14:textId="5855C573" w:rsidR="00707225" w:rsidRPr="004A2644" w:rsidRDefault="00EB76D0" w:rsidP="001B651D">
            <w:pPr>
              <w:pStyle w:val="BodyText"/>
              <w:spacing w:after="0" w:line="240" w:lineRule="auto"/>
              <w:jc w:val="left"/>
              <w:rPr>
                <w:rFonts w:ascii="Calibri" w:hAnsi="Calibri"/>
                <w:sz w:val="20"/>
              </w:rPr>
            </w:pPr>
            <w:r>
              <w:rPr>
                <w:rFonts w:ascii="Calibri" w:hAnsi="Calibri"/>
                <w:sz w:val="20"/>
              </w:rPr>
              <w:t>UNDP</w:t>
            </w:r>
          </w:p>
        </w:tc>
        <w:tc>
          <w:tcPr>
            <w:tcW w:w="1169" w:type="pct"/>
            <w:tcBorders>
              <w:top w:val="single" w:sz="6" w:space="0" w:color="auto"/>
              <w:left w:val="single" w:sz="6" w:space="0" w:color="auto"/>
              <w:bottom w:val="single" w:sz="6" w:space="0" w:color="auto"/>
              <w:right w:val="single" w:sz="24" w:space="0" w:color="auto"/>
            </w:tcBorders>
            <w:shd w:val="clear" w:color="auto" w:fill="auto"/>
            <w:noWrap/>
          </w:tcPr>
          <w:p w14:paraId="3D4C3584" w14:textId="57F3E700" w:rsidR="00707225" w:rsidRPr="004A2644" w:rsidRDefault="00EB76D0" w:rsidP="001B651D">
            <w:pPr>
              <w:pStyle w:val="BodyText"/>
              <w:spacing w:after="0" w:line="240" w:lineRule="auto"/>
              <w:jc w:val="right"/>
              <w:rPr>
                <w:rFonts w:ascii="Calibri" w:hAnsi="Calibri"/>
                <w:sz w:val="20"/>
              </w:rPr>
            </w:pPr>
            <w:r>
              <w:rPr>
                <w:rFonts w:ascii="Calibri" w:hAnsi="Calibri"/>
                <w:sz w:val="20"/>
              </w:rPr>
              <w:t>110,000</w:t>
            </w:r>
            <w:r w:rsidR="00D8184F">
              <w:rPr>
                <w:rFonts w:ascii="Calibri" w:hAnsi="Calibri"/>
                <w:sz w:val="20"/>
              </w:rPr>
              <w:t xml:space="preserve">  (00.8%)</w:t>
            </w:r>
          </w:p>
        </w:tc>
      </w:tr>
      <w:tr w:rsidR="00D8184F" w:rsidRPr="001B651D" w14:paraId="62C5BB90" w14:textId="77777777" w:rsidTr="00132574">
        <w:trPr>
          <w:trHeight w:val="56"/>
        </w:trPr>
        <w:tc>
          <w:tcPr>
            <w:tcW w:w="1582" w:type="pct"/>
            <w:tcBorders>
              <w:top w:val="single" w:sz="6" w:space="0" w:color="auto"/>
              <w:left w:val="single" w:sz="24" w:space="0" w:color="auto"/>
              <w:bottom w:val="single" w:sz="24" w:space="0" w:color="auto"/>
              <w:right w:val="single" w:sz="6" w:space="0" w:color="auto"/>
            </w:tcBorders>
            <w:shd w:val="clear" w:color="auto" w:fill="auto"/>
            <w:noWrap/>
            <w:hideMark/>
          </w:tcPr>
          <w:p w14:paraId="3ED960C9" w14:textId="77777777" w:rsidR="00707225" w:rsidRPr="001B651D" w:rsidRDefault="00707225" w:rsidP="001B651D">
            <w:pPr>
              <w:pStyle w:val="BodyText"/>
              <w:spacing w:after="0" w:line="240" w:lineRule="auto"/>
              <w:jc w:val="left"/>
              <w:rPr>
                <w:rFonts w:ascii="Calibri" w:hAnsi="Calibri"/>
                <w:b/>
                <w:sz w:val="20"/>
              </w:rPr>
            </w:pPr>
            <w:r w:rsidRPr="001B651D">
              <w:rPr>
                <w:rFonts w:ascii="Calibri" w:hAnsi="Calibri"/>
                <w:b/>
                <w:sz w:val="20"/>
              </w:rPr>
              <w:t>Total</w:t>
            </w:r>
          </w:p>
        </w:tc>
        <w:tc>
          <w:tcPr>
            <w:tcW w:w="853" w:type="pct"/>
            <w:tcBorders>
              <w:top w:val="single" w:sz="6" w:space="0" w:color="auto"/>
              <w:left w:val="single" w:sz="6" w:space="0" w:color="auto"/>
              <w:bottom w:val="single" w:sz="24" w:space="0" w:color="auto"/>
              <w:right w:val="single" w:sz="24" w:space="0" w:color="auto"/>
            </w:tcBorders>
            <w:shd w:val="clear" w:color="auto" w:fill="auto"/>
            <w:noWrap/>
            <w:hideMark/>
          </w:tcPr>
          <w:p w14:paraId="3462E021" w14:textId="6516E9DC" w:rsidR="00707225" w:rsidRPr="00FA4199" w:rsidRDefault="00FA4199" w:rsidP="001B651D">
            <w:pPr>
              <w:pStyle w:val="BodyText"/>
              <w:spacing w:after="0" w:line="240" w:lineRule="auto"/>
              <w:jc w:val="right"/>
              <w:rPr>
                <w:rFonts w:ascii="Calibri" w:hAnsi="Calibri"/>
                <w:b/>
                <w:strike/>
                <w:sz w:val="20"/>
              </w:rPr>
            </w:pPr>
            <w:r w:rsidRPr="00FA4199">
              <w:rPr>
                <w:rFonts w:ascii="Calibri" w:hAnsi="Calibri"/>
                <w:b/>
                <w:sz w:val="20"/>
              </w:rPr>
              <w:t xml:space="preserve">1,323,636 </w:t>
            </w:r>
            <w:r w:rsidR="00707225" w:rsidRPr="00FA4199">
              <w:rPr>
                <w:rFonts w:ascii="Calibri" w:hAnsi="Calibri"/>
                <w:b/>
                <w:sz w:val="20"/>
              </w:rPr>
              <w:t>(100%)</w:t>
            </w:r>
          </w:p>
        </w:tc>
        <w:tc>
          <w:tcPr>
            <w:tcW w:w="1396" w:type="pct"/>
            <w:tcBorders>
              <w:top w:val="single" w:sz="6" w:space="0" w:color="auto"/>
              <w:left w:val="single" w:sz="24" w:space="0" w:color="auto"/>
              <w:bottom w:val="single" w:sz="24" w:space="0" w:color="auto"/>
              <w:right w:val="single" w:sz="6" w:space="0" w:color="auto"/>
            </w:tcBorders>
            <w:shd w:val="clear" w:color="auto" w:fill="auto"/>
            <w:noWrap/>
            <w:hideMark/>
          </w:tcPr>
          <w:p w14:paraId="503D150C" w14:textId="77777777" w:rsidR="00707225" w:rsidRPr="00FA4199" w:rsidRDefault="00707225" w:rsidP="001B651D">
            <w:pPr>
              <w:pStyle w:val="BodyText"/>
              <w:spacing w:after="0" w:line="240" w:lineRule="auto"/>
              <w:jc w:val="left"/>
              <w:rPr>
                <w:rFonts w:ascii="Calibri" w:hAnsi="Calibri"/>
                <w:b/>
                <w:sz w:val="20"/>
              </w:rPr>
            </w:pPr>
            <w:r w:rsidRPr="00FA4199">
              <w:rPr>
                <w:rFonts w:ascii="Calibri" w:hAnsi="Calibri"/>
                <w:b/>
                <w:sz w:val="20"/>
              </w:rPr>
              <w:t>Total</w:t>
            </w:r>
          </w:p>
        </w:tc>
        <w:tc>
          <w:tcPr>
            <w:tcW w:w="1169" w:type="pct"/>
            <w:tcBorders>
              <w:top w:val="single" w:sz="6" w:space="0" w:color="auto"/>
              <w:left w:val="single" w:sz="6" w:space="0" w:color="auto"/>
              <w:bottom w:val="single" w:sz="24" w:space="0" w:color="auto"/>
              <w:right w:val="single" w:sz="24" w:space="0" w:color="auto"/>
            </w:tcBorders>
            <w:shd w:val="clear" w:color="auto" w:fill="auto"/>
            <w:noWrap/>
            <w:hideMark/>
          </w:tcPr>
          <w:p w14:paraId="525D5D00" w14:textId="5FE2779D" w:rsidR="00707225" w:rsidRPr="007726C9" w:rsidRDefault="007726C9" w:rsidP="00D8184F">
            <w:pPr>
              <w:pStyle w:val="BodyText"/>
              <w:spacing w:after="0" w:line="240" w:lineRule="auto"/>
              <w:jc w:val="right"/>
              <w:rPr>
                <w:rFonts w:ascii="Calibri" w:hAnsi="Calibri"/>
                <w:b/>
                <w:sz w:val="20"/>
              </w:rPr>
            </w:pPr>
            <w:r>
              <w:rPr>
                <w:rFonts w:ascii="Calibri" w:hAnsi="Calibri"/>
                <w:b/>
                <w:sz w:val="20"/>
              </w:rPr>
              <w:t>USD 13,635</w:t>
            </w:r>
            <w:r w:rsidR="00707225" w:rsidRPr="007726C9">
              <w:rPr>
                <w:rFonts w:ascii="Calibri" w:hAnsi="Calibri"/>
                <w:b/>
                <w:sz w:val="20"/>
              </w:rPr>
              <w:t>,142</w:t>
            </w:r>
            <w:r w:rsidR="00D8184F">
              <w:rPr>
                <w:rFonts w:ascii="Calibri" w:hAnsi="Calibri"/>
                <w:b/>
                <w:sz w:val="20"/>
              </w:rPr>
              <w:t xml:space="preserve">  </w:t>
            </w:r>
            <w:r w:rsidR="00D8184F" w:rsidRPr="00D8184F">
              <w:rPr>
                <w:rFonts w:ascii="Calibri" w:hAnsi="Calibri"/>
                <w:sz w:val="20"/>
              </w:rPr>
              <w:t>(</w:t>
            </w:r>
            <w:r w:rsidR="00D8184F" w:rsidRPr="00D8184F">
              <w:rPr>
                <w:rFonts w:ascii="Calibri" w:hAnsi="Calibri"/>
                <w:b/>
                <w:sz w:val="20"/>
              </w:rPr>
              <w:t>100%)</w:t>
            </w:r>
          </w:p>
        </w:tc>
      </w:tr>
    </w:tbl>
    <w:p w14:paraId="118E7330" w14:textId="2C20CF33" w:rsidR="00BF4AB5" w:rsidRDefault="00BF4AB5" w:rsidP="00195D6F">
      <w:pPr>
        <w:pStyle w:val="BodyText"/>
        <w:spacing w:before="120" w:line="240" w:lineRule="auto"/>
        <w:jc w:val="left"/>
        <w:rPr>
          <w:rFonts w:asciiTheme="minorHAnsi" w:hAnsiTheme="minorHAnsi" w:cs="Arial"/>
          <w:szCs w:val="24"/>
        </w:rPr>
      </w:pPr>
      <w:r w:rsidRPr="00664A46">
        <w:rPr>
          <w:rFonts w:asciiTheme="minorHAnsi" w:hAnsiTheme="minorHAnsi" w:cs="Arial"/>
          <w:szCs w:val="24"/>
        </w:rPr>
        <w:t xml:space="preserve">Annual expenditure </w:t>
      </w:r>
      <w:r>
        <w:rPr>
          <w:rFonts w:asciiTheme="minorHAnsi" w:hAnsiTheme="minorHAnsi" w:cs="Arial"/>
          <w:szCs w:val="24"/>
        </w:rPr>
        <w:t xml:space="preserve">by outcome and project management costs is summarized in </w:t>
      </w:r>
      <w:r w:rsidRPr="003E0B2F">
        <w:rPr>
          <w:rFonts w:asciiTheme="minorHAnsi" w:hAnsiTheme="minorHAnsi" w:cs="Arial"/>
          <w:b/>
          <w:szCs w:val="24"/>
        </w:rPr>
        <w:t>Table 3.</w:t>
      </w:r>
      <w:r w:rsidR="00093F09">
        <w:rPr>
          <w:rFonts w:asciiTheme="minorHAnsi" w:hAnsiTheme="minorHAnsi" w:cs="Arial"/>
          <w:b/>
          <w:szCs w:val="24"/>
        </w:rPr>
        <w:t>5</w:t>
      </w:r>
      <w:r>
        <w:rPr>
          <w:rFonts w:asciiTheme="minorHAnsi" w:hAnsiTheme="minorHAnsi" w:cs="Arial"/>
          <w:szCs w:val="24"/>
        </w:rPr>
        <w:t xml:space="preserve"> and compared with the budget originally planned in the ProDoc and subsequent Annual Work Plans during implementation. ProDoc data are absent for 2018 because project duration was designed to be four years. Also, note that total workplan budget (110% in Table 3.4) exceeds the ProDoc budget simply because it is revised annually, whereas the latter remains unchanged.</w:t>
      </w:r>
    </w:p>
    <w:p w14:paraId="7C220C8F" w14:textId="4076A070" w:rsidR="00731FB6" w:rsidRPr="00EE0572" w:rsidRDefault="00093F09" w:rsidP="00AA0D38">
      <w:pPr>
        <w:pStyle w:val="BodyText"/>
        <w:spacing w:line="240" w:lineRule="auto"/>
        <w:ind w:left="1134" w:hanging="1134"/>
        <w:rPr>
          <w:rFonts w:asciiTheme="minorHAnsi" w:hAnsiTheme="minorHAnsi" w:cs="Arial"/>
          <w:szCs w:val="24"/>
        </w:rPr>
      </w:pPr>
      <w:r>
        <w:rPr>
          <w:rFonts w:asciiTheme="minorHAnsi" w:hAnsiTheme="minorHAnsi" w:cs="Arial"/>
          <w:b/>
          <w:szCs w:val="24"/>
        </w:rPr>
        <w:t>Table 3.5</w:t>
      </w:r>
      <w:r w:rsidR="00731FB6" w:rsidRPr="00EE0572">
        <w:rPr>
          <w:rFonts w:asciiTheme="minorHAnsi" w:hAnsiTheme="minorHAnsi" w:cs="Arial"/>
          <w:b/>
          <w:szCs w:val="24"/>
        </w:rPr>
        <w:tab/>
      </w:r>
      <w:r w:rsidR="00731FB6" w:rsidRPr="00EE0572">
        <w:rPr>
          <w:rFonts w:asciiTheme="minorHAnsi" w:hAnsiTheme="minorHAnsi" w:cs="Arial"/>
          <w:szCs w:val="24"/>
        </w:rPr>
        <w:t xml:space="preserve">Annual </w:t>
      </w:r>
      <w:r w:rsidR="00EE0572" w:rsidRPr="00EE0572">
        <w:rPr>
          <w:rFonts w:asciiTheme="minorHAnsi" w:hAnsiTheme="minorHAnsi" w:cs="Arial"/>
          <w:szCs w:val="24"/>
        </w:rPr>
        <w:t>expend</w:t>
      </w:r>
      <w:r w:rsidR="00E0356F" w:rsidRPr="00EE0572">
        <w:rPr>
          <w:rFonts w:asciiTheme="minorHAnsi" w:hAnsiTheme="minorHAnsi" w:cs="Arial"/>
          <w:szCs w:val="24"/>
        </w:rPr>
        <w:t>iture</w:t>
      </w:r>
      <w:r w:rsidR="0044206E">
        <w:rPr>
          <w:rFonts w:asciiTheme="minorHAnsi" w:hAnsiTheme="minorHAnsi" w:cs="Arial"/>
          <w:szCs w:val="24"/>
        </w:rPr>
        <w:t xml:space="preserve"> (US$)</w:t>
      </w:r>
      <w:r w:rsidR="00731FB6" w:rsidRPr="00EE0572">
        <w:rPr>
          <w:rFonts w:asciiTheme="minorHAnsi" w:hAnsiTheme="minorHAnsi" w:cs="Arial"/>
          <w:szCs w:val="24"/>
        </w:rPr>
        <w:t xml:space="preserve"> of </w:t>
      </w:r>
      <w:r w:rsidR="00EE0572" w:rsidRPr="00EE0572">
        <w:rPr>
          <w:rFonts w:asciiTheme="minorHAnsi" w:hAnsiTheme="minorHAnsi" w:cs="Arial"/>
          <w:szCs w:val="24"/>
        </w:rPr>
        <w:t>GEF grant</w:t>
      </w:r>
      <w:r w:rsidR="00731FB6" w:rsidRPr="00EE0572">
        <w:rPr>
          <w:rFonts w:asciiTheme="minorHAnsi" w:hAnsiTheme="minorHAnsi" w:cs="Arial"/>
          <w:szCs w:val="24"/>
        </w:rPr>
        <w:t xml:space="preserve"> by project outcomes and management</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866"/>
        <w:gridCol w:w="736"/>
        <w:gridCol w:w="421"/>
        <w:gridCol w:w="737"/>
        <w:gridCol w:w="380"/>
        <w:gridCol w:w="777"/>
        <w:gridCol w:w="498"/>
        <w:gridCol w:w="661"/>
        <w:gridCol w:w="480"/>
        <w:gridCol w:w="696"/>
        <w:gridCol w:w="421"/>
        <w:gridCol w:w="859"/>
        <w:gridCol w:w="550"/>
      </w:tblGrid>
      <w:tr w:rsidR="00D2485D" w:rsidRPr="00836874" w14:paraId="3EE58306" w14:textId="7557C15B" w:rsidTr="000D10BA">
        <w:trPr>
          <w:trHeight w:val="240"/>
        </w:trPr>
        <w:tc>
          <w:tcPr>
            <w:tcW w:w="1027" w:type="pct"/>
            <w:tcBorders>
              <w:bottom w:val="single" w:sz="6" w:space="0" w:color="auto"/>
              <w:right w:val="single" w:sz="6" w:space="0" w:color="FFFFFF" w:themeColor="background1"/>
            </w:tcBorders>
            <w:shd w:val="clear" w:color="000000" w:fill="000000"/>
            <w:noWrap/>
            <w:tcMar>
              <w:left w:w="28" w:type="dxa"/>
              <w:right w:w="28" w:type="dxa"/>
            </w:tcMar>
            <w:vAlign w:val="center"/>
            <w:hideMark/>
          </w:tcPr>
          <w:p w14:paraId="4148D4CB" w14:textId="77777777" w:rsidR="000004DD" w:rsidRPr="00836874" w:rsidRDefault="000004DD" w:rsidP="00731FB6">
            <w:pPr>
              <w:rPr>
                <w:rFonts w:ascii="Calibri" w:hAnsi="Calibri"/>
                <w:b/>
                <w:bCs/>
                <w:color w:val="FFFFFF"/>
                <w:sz w:val="18"/>
                <w:szCs w:val="18"/>
              </w:rPr>
            </w:pPr>
            <w:r w:rsidRPr="00836874">
              <w:rPr>
                <w:rFonts w:ascii="Calibri" w:hAnsi="Calibri"/>
                <w:b/>
                <w:bCs/>
                <w:color w:val="FFFFFF"/>
                <w:sz w:val="18"/>
                <w:szCs w:val="18"/>
              </w:rPr>
              <w:t>Years</w:t>
            </w:r>
          </w:p>
        </w:tc>
        <w:tc>
          <w:tcPr>
            <w:tcW w:w="405" w:type="pct"/>
            <w:tcBorders>
              <w:top w:val="single" w:sz="4" w:space="0" w:color="auto"/>
              <w:left w:val="single" w:sz="6" w:space="0" w:color="FFFFFF" w:themeColor="background1"/>
              <w:bottom w:val="single" w:sz="6" w:space="0" w:color="auto"/>
              <w:right w:val="nil"/>
            </w:tcBorders>
            <w:shd w:val="clear" w:color="000000" w:fill="000000"/>
            <w:noWrap/>
            <w:tcMar>
              <w:left w:w="28" w:type="dxa"/>
              <w:right w:w="28" w:type="dxa"/>
            </w:tcMar>
            <w:vAlign w:val="center"/>
            <w:hideMark/>
          </w:tcPr>
          <w:p w14:paraId="2218398D" w14:textId="45AA0197" w:rsidR="000004DD" w:rsidRPr="00836874" w:rsidRDefault="000004DD" w:rsidP="00731FB6">
            <w:pPr>
              <w:jc w:val="center"/>
              <w:rPr>
                <w:rFonts w:ascii="Calibri" w:hAnsi="Calibri"/>
                <w:b/>
                <w:bCs/>
                <w:color w:val="FFFFFF"/>
                <w:sz w:val="18"/>
                <w:szCs w:val="18"/>
              </w:rPr>
            </w:pPr>
            <w:r w:rsidRPr="00836874">
              <w:rPr>
                <w:rFonts w:ascii="Calibri" w:hAnsi="Calibri"/>
                <w:b/>
                <w:bCs/>
                <w:color w:val="FFFFFF"/>
                <w:sz w:val="18"/>
                <w:szCs w:val="18"/>
              </w:rPr>
              <w:t>2014</w:t>
            </w:r>
          </w:p>
        </w:tc>
        <w:tc>
          <w:tcPr>
            <w:tcW w:w="232" w:type="pct"/>
            <w:tcBorders>
              <w:top w:val="single" w:sz="4" w:space="0" w:color="auto"/>
              <w:left w:val="nil"/>
              <w:bottom w:val="single" w:sz="6" w:space="0" w:color="auto"/>
              <w:right w:val="single" w:sz="6" w:space="0" w:color="FFFFFF" w:themeColor="background1"/>
            </w:tcBorders>
            <w:shd w:val="clear" w:color="000000" w:fill="000000"/>
            <w:tcMar>
              <w:left w:w="28" w:type="dxa"/>
              <w:right w:w="28" w:type="dxa"/>
            </w:tcMar>
            <w:vAlign w:val="center"/>
          </w:tcPr>
          <w:p w14:paraId="55D90AAA" w14:textId="14D1F4A0" w:rsidR="000004DD" w:rsidRPr="00836874" w:rsidRDefault="00836874" w:rsidP="00731FB6">
            <w:pPr>
              <w:jc w:val="center"/>
              <w:rPr>
                <w:rFonts w:ascii="Calibri" w:hAnsi="Calibri"/>
                <w:b/>
                <w:bCs/>
                <w:color w:val="FFFFFF"/>
                <w:sz w:val="18"/>
                <w:szCs w:val="18"/>
              </w:rPr>
            </w:pPr>
            <w:r>
              <w:rPr>
                <w:rFonts w:ascii="Calibri" w:hAnsi="Calibri"/>
                <w:b/>
                <w:bCs/>
                <w:color w:val="FFFFFF"/>
                <w:sz w:val="18"/>
                <w:szCs w:val="18"/>
              </w:rPr>
              <w:t>%</w:t>
            </w:r>
          </w:p>
        </w:tc>
        <w:tc>
          <w:tcPr>
            <w:tcW w:w="406" w:type="pct"/>
            <w:tcBorders>
              <w:top w:val="single" w:sz="4" w:space="0" w:color="auto"/>
              <w:left w:val="single" w:sz="6" w:space="0" w:color="FFFFFF" w:themeColor="background1"/>
              <w:bottom w:val="single" w:sz="6" w:space="0" w:color="auto"/>
              <w:right w:val="nil"/>
            </w:tcBorders>
            <w:shd w:val="clear" w:color="000000" w:fill="000000"/>
            <w:noWrap/>
            <w:tcMar>
              <w:left w:w="28" w:type="dxa"/>
              <w:right w:w="28" w:type="dxa"/>
            </w:tcMar>
            <w:vAlign w:val="center"/>
            <w:hideMark/>
          </w:tcPr>
          <w:p w14:paraId="1664ACD8" w14:textId="18DC4894" w:rsidR="000004DD" w:rsidRPr="00836874" w:rsidRDefault="000004DD" w:rsidP="00731FB6">
            <w:pPr>
              <w:jc w:val="center"/>
              <w:rPr>
                <w:rFonts w:ascii="Calibri" w:hAnsi="Calibri"/>
                <w:b/>
                <w:bCs/>
                <w:color w:val="FFFFFF"/>
                <w:sz w:val="18"/>
                <w:szCs w:val="18"/>
              </w:rPr>
            </w:pPr>
            <w:r w:rsidRPr="00836874">
              <w:rPr>
                <w:rFonts w:ascii="Calibri" w:hAnsi="Calibri"/>
                <w:b/>
                <w:bCs/>
                <w:color w:val="FFFFFF"/>
                <w:sz w:val="18"/>
                <w:szCs w:val="18"/>
              </w:rPr>
              <w:t>2015</w:t>
            </w:r>
          </w:p>
        </w:tc>
        <w:tc>
          <w:tcPr>
            <w:tcW w:w="209" w:type="pct"/>
            <w:tcBorders>
              <w:top w:val="single" w:sz="4" w:space="0" w:color="auto"/>
              <w:left w:val="nil"/>
              <w:bottom w:val="single" w:sz="6" w:space="0" w:color="auto"/>
              <w:right w:val="single" w:sz="6" w:space="0" w:color="FFFFFF" w:themeColor="background1"/>
            </w:tcBorders>
            <w:shd w:val="clear" w:color="000000" w:fill="000000"/>
            <w:tcMar>
              <w:left w:w="28" w:type="dxa"/>
              <w:right w:w="28" w:type="dxa"/>
            </w:tcMar>
            <w:vAlign w:val="center"/>
          </w:tcPr>
          <w:p w14:paraId="402CDF03" w14:textId="55A2665B" w:rsidR="000004DD" w:rsidRPr="00836874" w:rsidRDefault="00836874" w:rsidP="00731FB6">
            <w:pPr>
              <w:jc w:val="center"/>
              <w:rPr>
                <w:rFonts w:ascii="Calibri" w:hAnsi="Calibri"/>
                <w:b/>
                <w:bCs/>
                <w:color w:val="FFFFFF"/>
                <w:sz w:val="18"/>
                <w:szCs w:val="18"/>
              </w:rPr>
            </w:pPr>
            <w:r>
              <w:rPr>
                <w:rFonts w:ascii="Calibri" w:hAnsi="Calibri"/>
                <w:b/>
                <w:bCs/>
                <w:color w:val="FFFFFF"/>
                <w:sz w:val="18"/>
                <w:szCs w:val="18"/>
              </w:rPr>
              <w:t>%</w:t>
            </w:r>
          </w:p>
        </w:tc>
        <w:tc>
          <w:tcPr>
            <w:tcW w:w="428" w:type="pct"/>
            <w:tcBorders>
              <w:top w:val="single" w:sz="4" w:space="0" w:color="auto"/>
              <w:left w:val="single" w:sz="6" w:space="0" w:color="FFFFFF" w:themeColor="background1"/>
              <w:bottom w:val="single" w:sz="6" w:space="0" w:color="auto"/>
              <w:right w:val="nil"/>
            </w:tcBorders>
            <w:shd w:val="clear" w:color="000000" w:fill="000000"/>
            <w:noWrap/>
            <w:tcMar>
              <w:left w:w="28" w:type="dxa"/>
              <w:right w:w="28" w:type="dxa"/>
            </w:tcMar>
            <w:vAlign w:val="center"/>
            <w:hideMark/>
          </w:tcPr>
          <w:p w14:paraId="2F478D0C" w14:textId="7BF6A535" w:rsidR="000004DD" w:rsidRPr="00836874" w:rsidRDefault="000004DD" w:rsidP="00731FB6">
            <w:pPr>
              <w:jc w:val="center"/>
              <w:rPr>
                <w:rFonts w:ascii="Calibri" w:hAnsi="Calibri"/>
                <w:b/>
                <w:bCs/>
                <w:color w:val="FFFFFF"/>
                <w:sz w:val="18"/>
                <w:szCs w:val="18"/>
              </w:rPr>
            </w:pPr>
            <w:r w:rsidRPr="00836874">
              <w:rPr>
                <w:rFonts w:ascii="Calibri" w:hAnsi="Calibri"/>
                <w:b/>
                <w:bCs/>
                <w:color w:val="FFFFFF"/>
                <w:sz w:val="18"/>
                <w:szCs w:val="18"/>
              </w:rPr>
              <w:t>2016</w:t>
            </w:r>
          </w:p>
        </w:tc>
        <w:tc>
          <w:tcPr>
            <w:tcW w:w="274" w:type="pct"/>
            <w:tcBorders>
              <w:top w:val="single" w:sz="4" w:space="0" w:color="auto"/>
              <w:left w:val="nil"/>
              <w:bottom w:val="single" w:sz="6" w:space="0" w:color="auto"/>
              <w:right w:val="single" w:sz="6" w:space="0" w:color="FFFFFF" w:themeColor="background1"/>
            </w:tcBorders>
            <w:shd w:val="clear" w:color="000000" w:fill="000000"/>
            <w:tcMar>
              <w:left w:w="28" w:type="dxa"/>
              <w:right w:w="28" w:type="dxa"/>
            </w:tcMar>
            <w:vAlign w:val="center"/>
          </w:tcPr>
          <w:p w14:paraId="0AB2679C" w14:textId="523D8ECB" w:rsidR="000004DD" w:rsidRPr="00836874" w:rsidRDefault="00836874" w:rsidP="00731FB6">
            <w:pPr>
              <w:jc w:val="center"/>
              <w:rPr>
                <w:rFonts w:ascii="Calibri" w:hAnsi="Calibri"/>
                <w:b/>
                <w:bCs/>
                <w:color w:val="FFFFFF"/>
                <w:sz w:val="18"/>
                <w:szCs w:val="18"/>
              </w:rPr>
            </w:pPr>
            <w:r>
              <w:rPr>
                <w:rFonts w:ascii="Calibri" w:hAnsi="Calibri"/>
                <w:b/>
                <w:bCs/>
                <w:color w:val="FFFFFF"/>
                <w:sz w:val="18"/>
                <w:szCs w:val="18"/>
              </w:rPr>
              <w:t>%</w:t>
            </w:r>
          </w:p>
        </w:tc>
        <w:tc>
          <w:tcPr>
            <w:tcW w:w="364" w:type="pct"/>
            <w:tcBorders>
              <w:left w:val="single" w:sz="6" w:space="0" w:color="FFFFFF" w:themeColor="background1"/>
              <w:bottom w:val="single" w:sz="6" w:space="0" w:color="auto"/>
            </w:tcBorders>
            <w:shd w:val="clear" w:color="000000" w:fill="000000"/>
            <w:noWrap/>
            <w:tcMar>
              <w:left w:w="28" w:type="dxa"/>
              <w:right w:w="28" w:type="dxa"/>
            </w:tcMar>
            <w:vAlign w:val="center"/>
            <w:hideMark/>
          </w:tcPr>
          <w:p w14:paraId="66FAD023" w14:textId="7DCBB381" w:rsidR="000004DD" w:rsidRPr="00836874" w:rsidRDefault="000004DD" w:rsidP="00731FB6">
            <w:pPr>
              <w:jc w:val="center"/>
              <w:rPr>
                <w:rFonts w:ascii="Calibri" w:hAnsi="Calibri"/>
                <w:b/>
                <w:bCs/>
                <w:color w:val="FFFFFF"/>
                <w:sz w:val="18"/>
                <w:szCs w:val="18"/>
              </w:rPr>
            </w:pPr>
            <w:r w:rsidRPr="00836874">
              <w:rPr>
                <w:rFonts w:ascii="Calibri" w:hAnsi="Calibri"/>
                <w:b/>
                <w:bCs/>
                <w:color w:val="FFFFFF"/>
                <w:sz w:val="18"/>
                <w:szCs w:val="18"/>
              </w:rPr>
              <w:t>2017</w:t>
            </w:r>
          </w:p>
        </w:tc>
        <w:tc>
          <w:tcPr>
            <w:tcW w:w="264" w:type="pct"/>
            <w:tcBorders>
              <w:top w:val="single" w:sz="4" w:space="0" w:color="auto"/>
              <w:bottom w:val="single" w:sz="6" w:space="0" w:color="auto"/>
              <w:right w:val="single" w:sz="6" w:space="0" w:color="FFFFFF" w:themeColor="background1"/>
            </w:tcBorders>
            <w:shd w:val="clear" w:color="000000" w:fill="000000"/>
            <w:tcMar>
              <w:left w:w="28" w:type="dxa"/>
              <w:right w:w="28" w:type="dxa"/>
            </w:tcMar>
            <w:vAlign w:val="center"/>
          </w:tcPr>
          <w:p w14:paraId="33977752" w14:textId="1E9BE481" w:rsidR="000004DD" w:rsidRPr="00836874" w:rsidRDefault="00836874" w:rsidP="00731FB6">
            <w:pPr>
              <w:jc w:val="center"/>
              <w:rPr>
                <w:rFonts w:ascii="Calibri" w:hAnsi="Calibri"/>
                <w:b/>
                <w:bCs/>
                <w:color w:val="FFFFFF"/>
                <w:sz w:val="18"/>
                <w:szCs w:val="18"/>
              </w:rPr>
            </w:pPr>
            <w:r>
              <w:rPr>
                <w:rFonts w:ascii="Calibri" w:hAnsi="Calibri"/>
                <w:b/>
                <w:bCs/>
                <w:color w:val="FFFFFF"/>
                <w:sz w:val="18"/>
                <w:szCs w:val="18"/>
              </w:rPr>
              <w:t>%</w:t>
            </w:r>
          </w:p>
        </w:tc>
        <w:tc>
          <w:tcPr>
            <w:tcW w:w="383" w:type="pct"/>
            <w:tcBorders>
              <w:top w:val="single" w:sz="4" w:space="0" w:color="auto"/>
              <w:left w:val="single" w:sz="6" w:space="0" w:color="FFFFFF" w:themeColor="background1"/>
              <w:bottom w:val="single" w:sz="6" w:space="0" w:color="auto"/>
            </w:tcBorders>
            <w:shd w:val="clear" w:color="000000" w:fill="000000"/>
            <w:noWrap/>
            <w:tcMar>
              <w:left w:w="28" w:type="dxa"/>
              <w:right w:w="28" w:type="dxa"/>
            </w:tcMar>
            <w:vAlign w:val="center"/>
            <w:hideMark/>
          </w:tcPr>
          <w:p w14:paraId="3F0FB332" w14:textId="384E6C24" w:rsidR="000004DD" w:rsidRPr="00836874" w:rsidRDefault="000004DD" w:rsidP="00731FB6">
            <w:pPr>
              <w:jc w:val="center"/>
              <w:rPr>
                <w:rFonts w:ascii="Calibri" w:hAnsi="Calibri"/>
                <w:b/>
                <w:bCs/>
                <w:color w:val="FFFFFF"/>
                <w:sz w:val="18"/>
                <w:szCs w:val="18"/>
              </w:rPr>
            </w:pPr>
            <w:r w:rsidRPr="00836874">
              <w:rPr>
                <w:rFonts w:ascii="Calibri" w:hAnsi="Calibri"/>
                <w:b/>
                <w:bCs/>
                <w:color w:val="FFFFFF"/>
                <w:sz w:val="18"/>
                <w:szCs w:val="18"/>
              </w:rPr>
              <w:t>2018*</w:t>
            </w:r>
          </w:p>
        </w:tc>
        <w:tc>
          <w:tcPr>
            <w:tcW w:w="232" w:type="pct"/>
            <w:tcBorders>
              <w:top w:val="single" w:sz="4" w:space="0" w:color="auto"/>
              <w:bottom w:val="single" w:sz="6" w:space="0" w:color="auto"/>
              <w:right w:val="single" w:sz="6" w:space="0" w:color="FFFFFF" w:themeColor="background1"/>
            </w:tcBorders>
            <w:shd w:val="clear" w:color="000000" w:fill="000000"/>
            <w:tcMar>
              <w:left w:w="28" w:type="dxa"/>
              <w:right w:w="28" w:type="dxa"/>
            </w:tcMar>
            <w:vAlign w:val="center"/>
          </w:tcPr>
          <w:p w14:paraId="78F00984" w14:textId="5D99EBC6" w:rsidR="000004DD" w:rsidRPr="00836874" w:rsidRDefault="00836874" w:rsidP="00731FB6">
            <w:pPr>
              <w:jc w:val="center"/>
              <w:rPr>
                <w:rFonts w:ascii="Calibri" w:hAnsi="Calibri"/>
                <w:b/>
                <w:bCs/>
                <w:color w:val="FFFFFF"/>
                <w:sz w:val="18"/>
                <w:szCs w:val="18"/>
              </w:rPr>
            </w:pPr>
            <w:r>
              <w:rPr>
                <w:rFonts w:ascii="Calibri" w:hAnsi="Calibri"/>
                <w:b/>
                <w:bCs/>
                <w:color w:val="FFFFFF"/>
                <w:sz w:val="18"/>
                <w:szCs w:val="18"/>
              </w:rPr>
              <w:t>%</w:t>
            </w:r>
          </w:p>
        </w:tc>
        <w:tc>
          <w:tcPr>
            <w:tcW w:w="473" w:type="pct"/>
            <w:tcBorders>
              <w:top w:val="single" w:sz="4" w:space="0" w:color="auto"/>
              <w:left w:val="single" w:sz="6" w:space="0" w:color="FFFFFF" w:themeColor="background1"/>
              <w:bottom w:val="single" w:sz="6" w:space="0" w:color="auto"/>
            </w:tcBorders>
            <w:shd w:val="clear" w:color="000000" w:fill="000000"/>
            <w:noWrap/>
            <w:tcMar>
              <w:left w:w="28" w:type="dxa"/>
              <w:right w:w="28" w:type="dxa"/>
            </w:tcMar>
            <w:vAlign w:val="center"/>
            <w:hideMark/>
          </w:tcPr>
          <w:p w14:paraId="585A4EE4" w14:textId="568CF717" w:rsidR="000004DD" w:rsidRPr="00836874" w:rsidRDefault="000004DD" w:rsidP="00731FB6">
            <w:pPr>
              <w:jc w:val="center"/>
              <w:rPr>
                <w:rFonts w:ascii="Calibri" w:hAnsi="Calibri"/>
                <w:b/>
                <w:bCs/>
                <w:color w:val="FFFFFF"/>
                <w:sz w:val="18"/>
                <w:szCs w:val="18"/>
              </w:rPr>
            </w:pPr>
            <w:r w:rsidRPr="00836874">
              <w:rPr>
                <w:rFonts w:ascii="Calibri" w:hAnsi="Calibri"/>
                <w:b/>
                <w:bCs/>
                <w:color w:val="FFFFFF"/>
                <w:sz w:val="18"/>
                <w:szCs w:val="18"/>
              </w:rPr>
              <w:t>Total</w:t>
            </w:r>
          </w:p>
        </w:tc>
        <w:tc>
          <w:tcPr>
            <w:tcW w:w="303" w:type="pct"/>
            <w:tcBorders>
              <w:bottom w:val="single" w:sz="6" w:space="0" w:color="auto"/>
            </w:tcBorders>
            <w:shd w:val="clear" w:color="000000" w:fill="000000"/>
            <w:tcMar>
              <w:left w:w="28" w:type="dxa"/>
              <w:right w:w="28" w:type="dxa"/>
            </w:tcMar>
            <w:vAlign w:val="center"/>
          </w:tcPr>
          <w:p w14:paraId="42A1C07C" w14:textId="74F6ECA2" w:rsidR="000004DD" w:rsidRPr="00836874" w:rsidRDefault="00836874" w:rsidP="00731FB6">
            <w:pPr>
              <w:jc w:val="center"/>
              <w:rPr>
                <w:rFonts w:ascii="Calibri" w:hAnsi="Calibri"/>
                <w:b/>
                <w:bCs/>
                <w:color w:val="FFFFFF"/>
                <w:sz w:val="18"/>
                <w:szCs w:val="18"/>
              </w:rPr>
            </w:pPr>
            <w:r>
              <w:rPr>
                <w:rFonts w:ascii="Calibri" w:hAnsi="Calibri"/>
                <w:b/>
                <w:bCs/>
                <w:color w:val="FFFFFF"/>
                <w:sz w:val="18"/>
                <w:szCs w:val="18"/>
              </w:rPr>
              <w:t>%</w:t>
            </w:r>
          </w:p>
        </w:tc>
      </w:tr>
      <w:tr w:rsidR="0070674E" w:rsidRPr="00836874" w14:paraId="1B2D6BFD" w14:textId="77777777" w:rsidTr="00D2485D">
        <w:trPr>
          <w:trHeight w:val="240"/>
        </w:trPr>
        <w:tc>
          <w:tcPr>
            <w:tcW w:w="1027" w:type="pct"/>
            <w:tcBorders>
              <w:top w:val="single" w:sz="6" w:space="0" w:color="auto"/>
              <w:bottom w:val="single" w:sz="6" w:space="0" w:color="auto"/>
              <w:right w:val="nil"/>
            </w:tcBorders>
            <w:shd w:val="clear" w:color="000000" w:fill="CCCCCC"/>
            <w:noWrap/>
            <w:tcMar>
              <w:left w:w="28" w:type="dxa"/>
              <w:right w:w="28" w:type="dxa"/>
            </w:tcMar>
            <w:vAlign w:val="center"/>
            <w:hideMark/>
          </w:tcPr>
          <w:p w14:paraId="014E77CA" w14:textId="6A8FDCD8" w:rsidR="0070674E" w:rsidRPr="00836874" w:rsidRDefault="0070674E" w:rsidP="00836874">
            <w:pPr>
              <w:rPr>
                <w:rFonts w:ascii="Calibri" w:hAnsi="Calibri"/>
                <w:b/>
                <w:bCs/>
                <w:color w:val="000000"/>
                <w:sz w:val="18"/>
                <w:szCs w:val="18"/>
              </w:rPr>
            </w:pPr>
            <w:r w:rsidRPr="00836874">
              <w:rPr>
                <w:rFonts w:ascii="Calibri" w:hAnsi="Calibri"/>
                <w:b/>
                <w:bCs/>
                <w:color w:val="000000"/>
                <w:sz w:val="18"/>
                <w:szCs w:val="18"/>
              </w:rPr>
              <w:t>Outcome-1</w:t>
            </w:r>
          </w:p>
        </w:tc>
        <w:tc>
          <w:tcPr>
            <w:tcW w:w="3973" w:type="pct"/>
            <w:gridSpan w:val="12"/>
            <w:tcBorders>
              <w:top w:val="single" w:sz="6" w:space="0" w:color="auto"/>
              <w:left w:val="nil"/>
              <w:bottom w:val="single" w:sz="6" w:space="0" w:color="auto"/>
            </w:tcBorders>
            <w:shd w:val="clear" w:color="000000" w:fill="CCCCCC"/>
            <w:noWrap/>
            <w:tcMar>
              <w:left w:w="28" w:type="dxa"/>
              <w:right w:w="28" w:type="dxa"/>
            </w:tcMar>
            <w:vAlign w:val="center"/>
          </w:tcPr>
          <w:p w14:paraId="61051617" w14:textId="2EEFC131" w:rsidR="0070674E" w:rsidRPr="0070674E" w:rsidRDefault="0070674E" w:rsidP="0070674E">
            <w:pPr>
              <w:rPr>
                <w:rFonts w:ascii="Calibri" w:hAnsi="Calibri"/>
                <w:b/>
                <w:bCs/>
                <w:color w:val="000000"/>
                <w:sz w:val="18"/>
                <w:szCs w:val="18"/>
              </w:rPr>
            </w:pPr>
            <w:r>
              <w:rPr>
                <w:rFonts w:ascii="Calibri" w:hAnsi="Calibri"/>
                <w:b/>
                <w:bCs/>
                <w:color w:val="000000"/>
                <w:sz w:val="18"/>
                <w:szCs w:val="18"/>
              </w:rPr>
              <w:t>Enhanced PA management effectiveness in Achara Region</w:t>
            </w:r>
          </w:p>
        </w:tc>
      </w:tr>
      <w:tr w:rsidR="00D2485D" w:rsidRPr="00836874" w14:paraId="58DBCB5F" w14:textId="0335194D" w:rsidTr="000D10BA">
        <w:trPr>
          <w:trHeight w:val="240"/>
        </w:trPr>
        <w:tc>
          <w:tcPr>
            <w:tcW w:w="1027" w:type="pct"/>
            <w:tcBorders>
              <w:top w:val="single" w:sz="6" w:space="0" w:color="auto"/>
            </w:tcBorders>
            <w:shd w:val="clear" w:color="auto" w:fill="auto"/>
            <w:noWrap/>
            <w:tcMar>
              <w:left w:w="28" w:type="dxa"/>
              <w:right w:w="28" w:type="dxa"/>
            </w:tcMar>
            <w:vAlign w:val="center"/>
            <w:hideMark/>
          </w:tcPr>
          <w:p w14:paraId="1C010D06" w14:textId="5025226E" w:rsidR="00167D80" w:rsidRPr="00836874" w:rsidRDefault="00167D80" w:rsidP="000004DD">
            <w:pPr>
              <w:rPr>
                <w:rFonts w:ascii="Calibri" w:hAnsi="Calibri"/>
                <w:color w:val="000000"/>
                <w:sz w:val="18"/>
                <w:szCs w:val="18"/>
              </w:rPr>
            </w:pPr>
            <w:r w:rsidRPr="00836874">
              <w:rPr>
                <w:rFonts w:ascii="Calibri" w:hAnsi="Calibri"/>
                <w:color w:val="000000"/>
                <w:sz w:val="18"/>
                <w:szCs w:val="18"/>
              </w:rPr>
              <w:t>ProDoc Budget</w:t>
            </w:r>
          </w:p>
        </w:tc>
        <w:tc>
          <w:tcPr>
            <w:tcW w:w="405" w:type="pct"/>
            <w:tcBorders>
              <w:top w:val="single" w:sz="6" w:space="0" w:color="auto"/>
              <w:bottom w:val="single" w:sz="6" w:space="0" w:color="auto"/>
              <w:right w:val="nil"/>
            </w:tcBorders>
            <w:shd w:val="clear" w:color="auto" w:fill="auto"/>
            <w:noWrap/>
            <w:tcMar>
              <w:left w:w="28" w:type="dxa"/>
              <w:right w:w="28" w:type="dxa"/>
            </w:tcMar>
            <w:vAlign w:val="center"/>
          </w:tcPr>
          <w:p w14:paraId="6F5D5D85" w14:textId="299724F3" w:rsidR="00167D80" w:rsidRPr="00167D80" w:rsidRDefault="00167D80" w:rsidP="006010F3">
            <w:pPr>
              <w:jc w:val="right"/>
              <w:rPr>
                <w:rFonts w:asciiTheme="minorHAnsi" w:hAnsiTheme="minorHAnsi"/>
                <w:color w:val="000000"/>
                <w:sz w:val="18"/>
                <w:szCs w:val="18"/>
              </w:rPr>
            </w:pPr>
            <w:r w:rsidRPr="00167D80">
              <w:rPr>
                <w:rFonts w:asciiTheme="minorHAnsi" w:hAnsiTheme="minorHAnsi"/>
                <w:color w:val="000000"/>
                <w:sz w:val="18"/>
                <w:szCs w:val="18"/>
              </w:rPr>
              <w:t>58,447</w:t>
            </w:r>
          </w:p>
        </w:tc>
        <w:tc>
          <w:tcPr>
            <w:tcW w:w="232" w:type="pct"/>
            <w:tcBorders>
              <w:top w:val="single" w:sz="6" w:space="0" w:color="auto"/>
              <w:left w:val="nil"/>
              <w:bottom w:val="single" w:sz="6" w:space="0" w:color="auto"/>
            </w:tcBorders>
            <w:tcMar>
              <w:left w:w="28" w:type="dxa"/>
              <w:right w:w="28" w:type="dxa"/>
            </w:tcMar>
            <w:vAlign w:val="center"/>
          </w:tcPr>
          <w:p w14:paraId="1DECDF55" w14:textId="61D8F067"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4%</w:t>
            </w:r>
          </w:p>
        </w:tc>
        <w:tc>
          <w:tcPr>
            <w:tcW w:w="406" w:type="pct"/>
            <w:tcBorders>
              <w:top w:val="single" w:sz="6" w:space="0" w:color="auto"/>
              <w:bottom w:val="single" w:sz="6" w:space="0" w:color="auto"/>
              <w:right w:val="nil"/>
            </w:tcBorders>
            <w:shd w:val="clear" w:color="auto" w:fill="auto"/>
            <w:noWrap/>
            <w:tcMar>
              <w:left w:w="28" w:type="dxa"/>
              <w:right w:w="28" w:type="dxa"/>
            </w:tcMar>
            <w:vAlign w:val="center"/>
          </w:tcPr>
          <w:p w14:paraId="6BD9ACF4" w14:textId="3424E5BC"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157,200</w:t>
            </w:r>
          </w:p>
        </w:tc>
        <w:tc>
          <w:tcPr>
            <w:tcW w:w="209" w:type="pct"/>
            <w:tcBorders>
              <w:top w:val="single" w:sz="6" w:space="0" w:color="auto"/>
              <w:left w:val="nil"/>
              <w:bottom w:val="single" w:sz="6" w:space="0" w:color="auto"/>
            </w:tcBorders>
            <w:tcMar>
              <w:left w:w="28" w:type="dxa"/>
              <w:right w:w="28" w:type="dxa"/>
            </w:tcMar>
            <w:vAlign w:val="center"/>
          </w:tcPr>
          <w:p w14:paraId="679BE072" w14:textId="185C1199"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12%</w:t>
            </w:r>
          </w:p>
        </w:tc>
        <w:tc>
          <w:tcPr>
            <w:tcW w:w="428" w:type="pct"/>
            <w:tcBorders>
              <w:top w:val="single" w:sz="6" w:space="0" w:color="auto"/>
              <w:bottom w:val="single" w:sz="6" w:space="0" w:color="auto"/>
              <w:right w:val="nil"/>
            </w:tcBorders>
            <w:shd w:val="clear" w:color="auto" w:fill="auto"/>
            <w:noWrap/>
            <w:tcMar>
              <w:left w:w="28" w:type="dxa"/>
              <w:right w:w="28" w:type="dxa"/>
            </w:tcMar>
            <w:vAlign w:val="center"/>
          </w:tcPr>
          <w:p w14:paraId="18CCED60" w14:textId="09919D8E"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98,820</w:t>
            </w:r>
          </w:p>
        </w:tc>
        <w:tc>
          <w:tcPr>
            <w:tcW w:w="274" w:type="pct"/>
            <w:tcBorders>
              <w:top w:val="single" w:sz="6" w:space="0" w:color="auto"/>
              <w:left w:val="nil"/>
              <w:bottom w:val="single" w:sz="6" w:space="0" w:color="auto"/>
            </w:tcBorders>
            <w:tcMar>
              <w:left w:w="28" w:type="dxa"/>
              <w:right w:w="28" w:type="dxa"/>
            </w:tcMar>
            <w:vAlign w:val="center"/>
          </w:tcPr>
          <w:p w14:paraId="41AA2E9B" w14:textId="292028E6"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7%</w:t>
            </w:r>
          </w:p>
        </w:tc>
        <w:tc>
          <w:tcPr>
            <w:tcW w:w="364" w:type="pct"/>
            <w:tcBorders>
              <w:top w:val="single" w:sz="6" w:space="0" w:color="auto"/>
              <w:bottom w:val="single" w:sz="6" w:space="0" w:color="auto"/>
              <w:right w:val="nil"/>
            </w:tcBorders>
            <w:shd w:val="clear" w:color="auto" w:fill="auto"/>
            <w:noWrap/>
            <w:tcMar>
              <w:left w:w="28" w:type="dxa"/>
              <w:right w:w="28" w:type="dxa"/>
            </w:tcMar>
            <w:vAlign w:val="center"/>
          </w:tcPr>
          <w:p w14:paraId="08BB4289" w14:textId="602E13F7"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67,806</w:t>
            </w:r>
          </w:p>
        </w:tc>
        <w:tc>
          <w:tcPr>
            <w:tcW w:w="264" w:type="pct"/>
            <w:tcBorders>
              <w:top w:val="single" w:sz="6" w:space="0" w:color="auto"/>
              <w:left w:val="nil"/>
              <w:bottom w:val="single" w:sz="6" w:space="0" w:color="auto"/>
            </w:tcBorders>
            <w:tcMar>
              <w:left w:w="28" w:type="dxa"/>
              <w:right w:w="28" w:type="dxa"/>
            </w:tcMar>
            <w:vAlign w:val="center"/>
          </w:tcPr>
          <w:p w14:paraId="4E2BD3D7" w14:textId="1CD6B1F3"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5%</w:t>
            </w:r>
          </w:p>
        </w:tc>
        <w:tc>
          <w:tcPr>
            <w:tcW w:w="383" w:type="pct"/>
            <w:tcBorders>
              <w:top w:val="single" w:sz="6" w:space="0" w:color="auto"/>
              <w:bottom w:val="single" w:sz="6" w:space="0" w:color="auto"/>
              <w:right w:val="nil"/>
            </w:tcBorders>
            <w:shd w:val="clear" w:color="auto" w:fill="auto"/>
            <w:noWrap/>
            <w:tcMar>
              <w:left w:w="28" w:type="dxa"/>
              <w:right w:w="28" w:type="dxa"/>
            </w:tcMar>
            <w:vAlign w:val="center"/>
          </w:tcPr>
          <w:p w14:paraId="12F44043" w14:textId="285762A8" w:rsidR="00167D80" w:rsidRPr="00167D80" w:rsidRDefault="00167D80" w:rsidP="00731FB6">
            <w:pPr>
              <w:jc w:val="right"/>
              <w:rPr>
                <w:rFonts w:asciiTheme="minorHAnsi" w:hAnsiTheme="minorHAnsi"/>
                <w:color w:val="000000"/>
                <w:sz w:val="18"/>
                <w:szCs w:val="18"/>
              </w:rPr>
            </w:pPr>
            <w:r>
              <w:rPr>
                <w:rFonts w:asciiTheme="minorHAnsi" w:hAnsiTheme="minorHAnsi"/>
                <w:color w:val="000000"/>
                <w:sz w:val="18"/>
                <w:szCs w:val="18"/>
              </w:rPr>
              <w:t>n/a</w:t>
            </w:r>
            <w:r w:rsidRPr="00167D80">
              <w:rPr>
                <w:rFonts w:asciiTheme="minorHAnsi" w:hAnsiTheme="minorHAnsi"/>
                <w:color w:val="000000"/>
                <w:sz w:val="18"/>
                <w:szCs w:val="18"/>
              </w:rPr>
              <w:t> </w:t>
            </w:r>
          </w:p>
        </w:tc>
        <w:tc>
          <w:tcPr>
            <w:tcW w:w="232" w:type="pct"/>
            <w:tcBorders>
              <w:top w:val="single" w:sz="6" w:space="0" w:color="auto"/>
              <w:left w:val="nil"/>
              <w:bottom w:val="single" w:sz="6" w:space="0" w:color="auto"/>
            </w:tcBorders>
            <w:tcMar>
              <w:left w:w="28" w:type="dxa"/>
              <w:right w:w="28" w:type="dxa"/>
            </w:tcMar>
            <w:vAlign w:val="center"/>
          </w:tcPr>
          <w:p w14:paraId="5A2FCAD9" w14:textId="6A63CA12" w:rsidR="00167D80" w:rsidRPr="00167D80" w:rsidRDefault="00167D80" w:rsidP="008E375E">
            <w:pPr>
              <w:jc w:val="right"/>
              <w:rPr>
                <w:rFonts w:asciiTheme="minorHAnsi" w:hAnsiTheme="minorHAnsi"/>
                <w:color w:val="000000"/>
                <w:sz w:val="18"/>
                <w:szCs w:val="18"/>
              </w:rPr>
            </w:pPr>
            <w:r w:rsidRPr="00167D80">
              <w:rPr>
                <w:rFonts w:asciiTheme="minorHAnsi" w:hAnsiTheme="minorHAnsi"/>
                <w:color w:val="000000"/>
                <w:sz w:val="18"/>
                <w:szCs w:val="18"/>
              </w:rPr>
              <w:t>0%</w:t>
            </w:r>
          </w:p>
        </w:tc>
        <w:tc>
          <w:tcPr>
            <w:tcW w:w="473" w:type="pct"/>
            <w:tcBorders>
              <w:top w:val="single" w:sz="6" w:space="0" w:color="auto"/>
              <w:bottom w:val="single" w:sz="6" w:space="0" w:color="auto"/>
              <w:right w:val="nil"/>
            </w:tcBorders>
            <w:shd w:val="clear" w:color="auto" w:fill="auto"/>
            <w:noWrap/>
            <w:tcMar>
              <w:left w:w="28" w:type="dxa"/>
              <w:right w:w="28" w:type="dxa"/>
            </w:tcMar>
            <w:vAlign w:val="center"/>
            <w:hideMark/>
          </w:tcPr>
          <w:p w14:paraId="3F52108C" w14:textId="2AAB5DE7" w:rsidR="00167D80" w:rsidRPr="00167D80" w:rsidRDefault="00167D80" w:rsidP="008E375E">
            <w:pPr>
              <w:jc w:val="right"/>
              <w:rPr>
                <w:rFonts w:asciiTheme="minorHAnsi" w:hAnsiTheme="minorHAnsi"/>
                <w:color w:val="000000"/>
                <w:sz w:val="18"/>
                <w:szCs w:val="18"/>
              </w:rPr>
            </w:pPr>
            <w:r w:rsidRPr="00167D80">
              <w:rPr>
                <w:rFonts w:asciiTheme="minorHAnsi" w:hAnsiTheme="minorHAnsi"/>
                <w:color w:val="000000"/>
                <w:sz w:val="18"/>
                <w:szCs w:val="18"/>
              </w:rPr>
              <w:t>382,273</w:t>
            </w:r>
          </w:p>
        </w:tc>
        <w:tc>
          <w:tcPr>
            <w:tcW w:w="303" w:type="pct"/>
            <w:tcBorders>
              <w:top w:val="single" w:sz="6" w:space="0" w:color="auto"/>
              <w:left w:val="nil"/>
              <w:bottom w:val="single" w:sz="6" w:space="0" w:color="auto"/>
            </w:tcBorders>
            <w:tcMar>
              <w:left w:w="28" w:type="dxa"/>
              <w:right w:w="28" w:type="dxa"/>
            </w:tcMar>
            <w:vAlign w:val="center"/>
          </w:tcPr>
          <w:p w14:paraId="271860E9" w14:textId="69A9B94D" w:rsidR="00167D80" w:rsidRPr="00167D80" w:rsidRDefault="00167D80" w:rsidP="008E375E">
            <w:pPr>
              <w:jc w:val="right"/>
              <w:rPr>
                <w:rFonts w:asciiTheme="minorHAnsi" w:hAnsiTheme="minorHAnsi"/>
                <w:color w:val="000000"/>
                <w:sz w:val="18"/>
                <w:szCs w:val="18"/>
              </w:rPr>
            </w:pPr>
            <w:r w:rsidRPr="00167D80">
              <w:rPr>
                <w:rFonts w:asciiTheme="minorHAnsi" w:hAnsiTheme="minorHAnsi"/>
                <w:color w:val="000000"/>
                <w:sz w:val="18"/>
                <w:szCs w:val="18"/>
              </w:rPr>
              <w:t>29%</w:t>
            </w:r>
          </w:p>
        </w:tc>
      </w:tr>
      <w:tr w:rsidR="00D2485D" w:rsidRPr="00836874" w14:paraId="7F36FAEE" w14:textId="6D4A9E7D" w:rsidTr="000D10BA">
        <w:trPr>
          <w:trHeight w:val="240"/>
        </w:trPr>
        <w:tc>
          <w:tcPr>
            <w:tcW w:w="1027" w:type="pct"/>
            <w:shd w:val="clear" w:color="auto" w:fill="auto"/>
            <w:noWrap/>
            <w:tcMar>
              <w:left w:w="28" w:type="dxa"/>
              <w:right w:w="28" w:type="dxa"/>
            </w:tcMar>
            <w:vAlign w:val="center"/>
            <w:hideMark/>
          </w:tcPr>
          <w:p w14:paraId="0315EF94" w14:textId="77777777" w:rsidR="00167D80" w:rsidRPr="00836874" w:rsidRDefault="00167D80" w:rsidP="00731FB6">
            <w:pPr>
              <w:rPr>
                <w:rFonts w:ascii="Calibri" w:hAnsi="Calibri"/>
                <w:color w:val="000000"/>
                <w:sz w:val="18"/>
                <w:szCs w:val="18"/>
              </w:rPr>
            </w:pPr>
            <w:r w:rsidRPr="00836874">
              <w:rPr>
                <w:rFonts w:ascii="Calibri" w:hAnsi="Calibri"/>
                <w:color w:val="000000"/>
                <w:sz w:val="18"/>
                <w:szCs w:val="18"/>
              </w:rPr>
              <w:t>Annual Work Plan</w:t>
            </w:r>
          </w:p>
        </w:tc>
        <w:tc>
          <w:tcPr>
            <w:tcW w:w="405" w:type="pct"/>
            <w:tcBorders>
              <w:top w:val="single" w:sz="6" w:space="0" w:color="auto"/>
              <w:bottom w:val="single" w:sz="6" w:space="0" w:color="auto"/>
              <w:right w:val="nil"/>
            </w:tcBorders>
            <w:shd w:val="clear" w:color="auto" w:fill="auto"/>
            <w:noWrap/>
            <w:tcMar>
              <w:left w:w="28" w:type="dxa"/>
              <w:right w:w="28" w:type="dxa"/>
            </w:tcMar>
            <w:vAlign w:val="center"/>
          </w:tcPr>
          <w:p w14:paraId="7B94C21A" w14:textId="5D5D4C0D" w:rsidR="00167D80" w:rsidRPr="00167D80" w:rsidRDefault="00167D80" w:rsidP="006010F3">
            <w:pPr>
              <w:jc w:val="right"/>
              <w:rPr>
                <w:rFonts w:asciiTheme="minorHAnsi" w:hAnsiTheme="minorHAnsi"/>
                <w:color w:val="000000"/>
                <w:sz w:val="18"/>
                <w:szCs w:val="18"/>
              </w:rPr>
            </w:pPr>
            <w:r w:rsidRPr="00167D80">
              <w:rPr>
                <w:rFonts w:asciiTheme="minorHAnsi" w:hAnsiTheme="minorHAnsi"/>
                <w:color w:val="000000"/>
                <w:sz w:val="18"/>
                <w:szCs w:val="18"/>
              </w:rPr>
              <w:t>19,642</w:t>
            </w:r>
          </w:p>
        </w:tc>
        <w:tc>
          <w:tcPr>
            <w:tcW w:w="232" w:type="pct"/>
            <w:tcBorders>
              <w:top w:val="single" w:sz="6" w:space="0" w:color="auto"/>
              <w:left w:val="nil"/>
              <w:bottom w:val="single" w:sz="6" w:space="0" w:color="auto"/>
            </w:tcBorders>
            <w:tcMar>
              <w:left w:w="28" w:type="dxa"/>
              <w:right w:w="28" w:type="dxa"/>
            </w:tcMar>
            <w:vAlign w:val="center"/>
          </w:tcPr>
          <w:p w14:paraId="7BB88EAA" w14:textId="073AF610"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w:t>
            </w:r>
          </w:p>
        </w:tc>
        <w:tc>
          <w:tcPr>
            <w:tcW w:w="406" w:type="pct"/>
            <w:tcBorders>
              <w:top w:val="single" w:sz="6" w:space="0" w:color="auto"/>
              <w:bottom w:val="single" w:sz="6" w:space="0" w:color="auto"/>
              <w:right w:val="nil"/>
            </w:tcBorders>
            <w:shd w:val="clear" w:color="auto" w:fill="auto"/>
            <w:noWrap/>
            <w:tcMar>
              <w:left w:w="28" w:type="dxa"/>
              <w:right w:w="28" w:type="dxa"/>
            </w:tcMar>
            <w:vAlign w:val="center"/>
          </w:tcPr>
          <w:p w14:paraId="14E74846" w14:textId="6CDCBBEC"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111,600</w:t>
            </w:r>
          </w:p>
        </w:tc>
        <w:tc>
          <w:tcPr>
            <w:tcW w:w="209" w:type="pct"/>
            <w:tcBorders>
              <w:top w:val="single" w:sz="6" w:space="0" w:color="auto"/>
              <w:left w:val="nil"/>
              <w:bottom w:val="single" w:sz="6" w:space="0" w:color="auto"/>
            </w:tcBorders>
            <w:tcMar>
              <w:left w:w="28" w:type="dxa"/>
              <w:right w:w="28" w:type="dxa"/>
            </w:tcMar>
            <w:vAlign w:val="center"/>
          </w:tcPr>
          <w:p w14:paraId="75A8F178" w14:textId="1BEEBBF5"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8%</w:t>
            </w:r>
          </w:p>
        </w:tc>
        <w:tc>
          <w:tcPr>
            <w:tcW w:w="428" w:type="pct"/>
            <w:tcBorders>
              <w:top w:val="single" w:sz="6" w:space="0" w:color="auto"/>
              <w:bottom w:val="single" w:sz="6" w:space="0" w:color="auto"/>
              <w:right w:val="nil"/>
            </w:tcBorders>
            <w:shd w:val="clear" w:color="auto" w:fill="auto"/>
            <w:noWrap/>
            <w:tcMar>
              <w:left w:w="28" w:type="dxa"/>
              <w:right w:w="28" w:type="dxa"/>
            </w:tcMar>
            <w:vAlign w:val="center"/>
          </w:tcPr>
          <w:p w14:paraId="07CC7455" w14:textId="06FDC1F6"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118,609</w:t>
            </w:r>
          </w:p>
        </w:tc>
        <w:tc>
          <w:tcPr>
            <w:tcW w:w="274" w:type="pct"/>
            <w:tcBorders>
              <w:top w:val="single" w:sz="6" w:space="0" w:color="auto"/>
              <w:left w:val="nil"/>
              <w:bottom w:val="single" w:sz="6" w:space="0" w:color="auto"/>
            </w:tcBorders>
            <w:tcMar>
              <w:left w:w="28" w:type="dxa"/>
              <w:right w:w="28" w:type="dxa"/>
            </w:tcMar>
            <w:vAlign w:val="center"/>
          </w:tcPr>
          <w:p w14:paraId="55C87057" w14:textId="2A90116B"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9%</w:t>
            </w:r>
          </w:p>
        </w:tc>
        <w:tc>
          <w:tcPr>
            <w:tcW w:w="364" w:type="pct"/>
            <w:tcBorders>
              <w:top w:val="single" w:sz="6" w:space="0" w:color="auto"/>
              <w:bottom w:val="single" w:sz="6" w:space="0" w:color="auto"/>
              <w:right w:val="nil"/>
            </w:tcBorders>
            <w:shd w:val="clear" w:color="auto" w:fill="auto"/>
            <w:noWrap/>
            <w:tcMar>
              <w:left w:w="28" w:type="dxa"/>
              <w:right w:w="28" w:type="dxa"/>
            </w:tcMar>
            <w:vAlign w:val="center"/>
          </w:tcPr>
          <w:p w14:paraId="49979E9F" w14:textId="341353D8"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89,500</w:t>
            </w:r>
          </w:p>
        </w:tc>
        <w:tc>
          <w:tcPr>
            <w:tcW w:w="264" w:type="pct"/>
            <w:tcBorders>
              <w:top w:val="single" w:sz="6" w:space="0" w:color="auto"/>
              <w:left w:val="nil"/>
              <w:bottom w:val="single" w:sz="6" w:space="0" w:color="auto"/>
            </w:tcBorders>
            <w:tcMar>
              <w:left w:w="28" w:type="dxa"/>
              <w:right w:w="28" w:type="dxa"/>
            </w:tcMar>
            <w:vAlign w:val="center"/>
          </w:tcPr>
          <w:p w14:paraId="55AFF1C8" w14:textId="4274CBF6"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7%</w:t>
            </w:r>
          </w:p>
        </w:tc>
        <w:tc>
          <w:tcPr>
            <w:tcW w:w="383" w:type="pct"/>
            <w:tcBorders>
              <w:top w:val="single" w:sz="6" w:space="0" w:color="auto"/>
              <w:bottom w:val="single" w:sz="6" w:space="0" w:color="auto"/>
              <w:right w:val="nil"/>
            </w:tcBorders>
            <w:shd w:val="clear" w:color="auto" w:fill="auto"/>
            <w:noWrap/>
            <w:tcMar>
              <w:left w:w="28" w:type="dxa"/>
              <w:right w:w="28" w:type="dxa"/>
            </w:tcMar>
            <w:vAlign w:val="center"/>
          </w:tcPr>
          <w:p w14:paraId="58AD0703" w14:textId="3A36DD0C"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57,391</w:t>
            </w:r>
          </w:p>
        </w:tc>
        <w:tc>
          <w:tcPr>
            <w:tcW w:w="232" w:type="pct"/>
            <w:tcBorders>
              <w:top w:val="single" w:sz="6" w:space="0" w:color="auto"/>
              <w:left w:val="nil"/>
              <w:bottom w:val="single" w:sz="6" w:space="0" w:color="auto"/>
            </w:tcBorders>
            <w:tcMar>
              <w:left w:w="28" w:type="dxa"/>
              <w:right w:w="28" w:type="dxa"/>
            </w:tcMar>
            <w:vAlign w:val="center"/>
          </w:tcPr>
          <w:p w14:paraId="043A784A" w14:textId="33EE58B8"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4%</w:t>
            </w:r>
          </w:p>
        </w:tc>
        <w:tc>
          <w:tcPr>
            <w:tcW w:w="473" w:type="pct"/>
            <w:tcBorders>
              <w:top w:val="single" w:sz="6" w:space="0" w:color="auto"/>
              <w:bottom w:val="single" w:sz="6" w:space="0" w:color="auto"/>
              <w:right w:val="nil"/>
            </w:tcBorders>
            <w:shd w:val="clear" w:color="auto" w:fill="auto"/>
            <w:noWrap/>
            <w:tcMar>
              <w:left w:w="28" w:type="dxa"/>
              <w:right w:w="28" w:type="dxa"/>
            </w:tcMar>
            <w:vAlign w:val="center"/>
            <w:hideMark/>
          </w:tcPr>
          <w:p w14:paraId="00F2E259" w14:textId="5D472743"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396,742</w:t>
            </w:r>
          </w:p>
        </w:tc>
        <w:tc>
          <w:tcPr>
            <w:tcW w:w="303" w:type="pct"/>
            <w:tcBorders>
              <w:top w:val="single" w:sz="6" w:space="0" w:color="auto"/>
              <w:left w:val="nil"/>
              <w:bottom w:val="single" w:sz="6" w:space="0" w:color="auto"/>
            </w:tcBorders>
            <w:tcMar>
              <w:left w:w="28" w:type="dxa"/>
              <w:right w:w="28" w:type="dxa"/>
            </w:tcMar>
            <w:vAlign w:val="center"/>
          </w:tcPr>
          <w:p w14:paraId="62AF1C11" w14:textId="399F7E73"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30%</w:t>
            </w:r>
          </w:p>
        </w:tc>
      </w:tr>
      <w:tr w:rsidR="00D2485D" w:rsidRPr="00836874" w14:paraId="299A08B2" w14:textId="72D49F59" w:rsidTr="000D10BA">
        <w:trPr>
          <w:trHeight w:val="240"/>
        </w:trPr>
        <w:tc>
          <w:tcPr>
            <w:tcW w:w="1027" w:type="pct"/>
            <w:tcBorders>
              <w:bottom w:val="single" w:sz="6" w:space="0" w:color="auto"/>
            </w:tcBorders>
            <w:shd w:val="clear" w:color="auto" w:fill="auto"/>
            <w:noWrap/>
            <w:tcMar>
              <w:left w:w="28" w:type="dxa"/>
              <w:right w:w="28" w:type="dxa"/>
            </w:tcMar>
            <w:vAlign w:val="center"/>
            <w:hideMark/>
          </w:tcPr>
          <w:p w14:paraId="7B456F79" w14:textId="6F6EFEE5" w:rsidR="00167D80" w:rsidRPr="00836874" w:rsidRDefault="00167D80" w:rsidP="00731FB6">
            <w:pPr>
              <w:rPr>
                <w:rFonts w:ascii="Calibri" w:hAnsi="Calibri"/>
                <w:color w:val="000000"/>
                <w:sz w:val="18"/>
                <w:szCs w:val="18"/>
              </w:rPr>
            </w:pPr>
            <w:r>
              <w:rPr>
                <w:rFonts w:ascii="Calibri" w:hAnsi="Calibri"/>
                <w:color w:val="000000"/>
                <w:sz w:val="18"/>
                <w:szCs w:val="18"/>
              </w:rPr>
              <w:t>Expended</w:t>
            </w:r>
          </w:p>
        </w:tc>
        <w:tc>
          <w:tcPr>
            <w:tcW w:w="405" w:type="pct"/>
            <w:tcBorders>
              <w:top w:val="single" w:sz="6" w:space="0" w:color="auto"/>
              <w:bottom w:val="single" w:sz="6" w:space="0" w:color="auto"/>
              <w:right w:val="nil"/>
            </w:tcBorders>
            <w:shd w:val="clear" w:color="auto" w:fill="auto"/>
            <w:noWrap/>
            <w:tcMar>
              <w:left w:w="28" w:type="dxa"/>
              <w:right w:w="28" w:type="dxa"/>
            </w:tcMar>
            <w:vAlign w:val="center"/>
          </w:tcPr>
          <w:p w14:paraId="31D26E44" w14:textId="688D7AD1" w:rsidR="00167D80" w:rsidRPr="00167D80" w:rsidRDefault="00167D80" w:rsidP="006010F3">
            <w:pPr>
              <w:jc w:val="right"/>
              <w:rPr>
                <w:rFonts w:asciiTheme="minorHAnsi" w:hAnsiTheme="minorHAnsi"/>
                <w:color w:val="000000"/>
                <w:sz w:val="18"/>
                <w:szCs w:val="18"/>
              </w:rPr>
            </w:pPr>
            <w:r w:rsidRPr="00167D80">
              <w:rPr>
                <w:rFonts w:asciiTheme="minorHAnsi" w:hAnsiTheme="minorHAnsi"/>
                <w:color w:val="000000"/>
                <w:sz w:val="18"/>
                <w:szCs w:val="18"/>
              </w:rPr>
              <w:t>13,380</w:t>
            </w:r>
          </w:p>
        </w:tc>
        <w:tc>
          <w:tcPr>
            <w:tcW w:w="232" w:type="pct"/>
            <w:tcBorders>
              <w:top w:val="single" w:sz="6" w:space="0" w:color="auto"/>
              <w:left w:val="nil"/>
              <w:bottom w:val="single" w:sz="6" w:space="0" w:color="auto"/>
            </w:tcBorders>
            <w:tcMar>
              <w:left w:w="28" w:type="dxa"/>
              <w:right w:w="28" w:type="dxa"/>
            </w:tcMar>
            <w:vAlign w:val="center"/>
          </w:tcPr>
          <w:p w14:paraId="05AB3903" w14:textId="19A48F88"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w:t>
            </w:r>
          </w:p>
        </w:tc>
        <w:tc>
          <w:tcPr>
            <w:tcW w:w="406" w:type="pct"/>
            <w:tcBorders>
              <w:top w:val="single" w:sz="6" w:space="0" w:color="auto"/>
              <w:bottom w:val="single" w:sz="6" w:space="0" w:color="auto"/>
              <w:right w:val="nil"/>
            </w:tcBorders>
            <w:shd w:val="clear" w:color="auto" w:fill="auto"/>
            <w:noWrap/>
            <w:tcMar>
              <w:left w:w="28" w:type="dxa"/>
              <w:right w:w="28" w:type="dxa"/>
            </w:tcMar>
            <w:vAlign w:val="center"/>
          </w:tcPr>
          <w:p w14:paraId="70DD0389" w14:textId="3236E0A7"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137,954</w:t>
            </w:r>
          </w:p>
        </w:tc>
        <w:tc>
          <w:tcPr>
            <w:tcW w:w="209" w:type="pct"/>
            <w:tcBorders>
              <w:top w:val="single" w:sz="6" w:space="0" w:color="auto"/>
              <w:left w:val="nil"/>
              <w:bottom w:val="single" w:sz="6" w:space="0" w:color="auto"/>
            </w:tcBorders>
            <w:tcMar>
              <w:left w:w="28" w:type="dxa"/>
              <w:right w:w="28" w:type="dxa"/>
            </w:tcMar>
            <w:vAlign w:val="center"/>
          </w:tcPr>
          <w:p w14:paraId="79634A4D" w14:textId="23823BFA"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10%</w:t>
            </w:r>
          </w:p>
        </w:tc>
        <w:tc>
          <w:tcPr>
            <w:tcW w:w="428" w:type="pct"/>
            <w:tcBorders>
              <w:top w:val="single" w:sz="6" w:space="0" w:color="auto"/>
              <w:bottom w:val="single" w:sz="6" w:space="0" w:color="auto"/>
              <w:right w:val="nil"/>
            </w:tcBorders>
            <w:shd w:val="clear" w:color="auto" w:fill="auto"/>
            <w:noWrap/>
            <w:tcMar>
              <w:left w:w="28" w:type="dxa"/>
              <w:right w:w="28" w:type="dxa"/>
            </w:tcMar>
            <w:vAlign w:val="center"/>
          </w:tcPr>
          <w:p w14:paraId="69DDA0FE" w14:textId="7AE6C412"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107,332</w:t>
            </w:r>
          </w:p>
        </w:tc>
        <w:tc>
          <w:tcPr>
            <w:tcW w:w="274" w:type="pct"/>
            <w:tcBorders>
              <w:top w:val="single" w:sz="6" w:space="0" w:color="auto"/>
              <w:left w:val="nil"/>
              <w:bottom w:val="single" w:sz="6" w:space="0" w:color="auto"/>
            </w:tcBorders>
            <w:tcMar>
              <w:left w:w="28" w:type="dxa"/>
              <w:right w:w="28" w:type="dxa"/>
            </w:tcMar>
            <w:vAlign w:val="center"/>
          </w:tcPr>
          <w:p w14:paraId="30588D50" w14:textId="5D35A3E4"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8%</w:t>
            </w:r>
          </w:p>
        </w:tc>
        <w:tc>
          <w:tcPr>
            <w:tcW w:w="364" w:type="pct"/>
            <w:tcBorders>
              <w:top w:val="single" w:sz="6" w:space="0" w:color="auto"/>
              <w:bottom w:val="single" w:sz="6" w:space="0" w:color="auto"/>
              <w:right w:val="nil"/>
            </w:tcBorders>
            <w:shd w:val="clear" w:color="auto" w:fill="auto"/>
            <w:noWrap/>
            <w:tcMar>
              <w:left w:w="28" w:type="dxa"/>
              <w:right w:w="28" w:type="dxa"/>
            </w:tcMar>
            <w:vAlign w:val="center"/>
          </w:tcPr>
          <w:p w14:paraId="767624C9" w14:textId="5D9FBCC4"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47,456</w:t>
            </w:r>
          </w:p>
        </w:tc>
        <w:tc>
          <w:tcPr>
            <w:tcW w:w="264" w:type="pct"/>
            <w:tcBorders>
              <w:top w:val="single" w:sz="6" w:space="0" w:color="auto"/>
              <w:left w:val="nil"/>
              <w:bottom w:val="single" w:sz="6" w:space="0" w:color="auto"/>
            </w:tcBorders>
            <w:tcMar>
              <w:left w:w="28" w:type="dxa"/>
              <w:right w:w="28" w:type="dxa"/>
            </w:tcMar>
            <w:vAlign w:val="center"/>
          </w:tcPr>
          <w:p w14:paraId="4F4D5AED" w14:textId="73D2347E"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4%</w:t>
            </w:r>
          </w:p>
        </w:tc>
        <w:tc>
          <w:tcPr>
            <w:tcW w:w="383" w:type="pct"/>
            <w:tcBorders>
              <w:top w:val="single" w:sz="6" w:space="0" w:color="auto"/>
              <w:bottom w:val="single" w:sz="6" w:space="0" w:color="auto"/>
              <w:right w:val="nil"/>
            </w:tcBorders>
            <w:shd w:val="clear" w:color="auto" w:fill="auto"/>
            <w:noWrap/>
            <w:tcMar>
              <w:left w:w="28" w:type="dxa"/>
              <w:right w:w="28" w:type="dxa"/>
            </w:tcMar>
            <w:vAlign w:val="center"/>
          </w:tcPr>
          <w:p w14:paraId="2D6E1E2B" w14:textId="192F4C86"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25,610</w:t>
            </w:r>
          </w:p>
        </w:tc>
        <w:tc>
          <w:tcPr>
            <w:tcW w:w="232" w:type="pct"/>
            <w:tcBorders>
              <w:top w:val="single" w:sz="6" w:space="0" w:color="auto"/>
              <w:left w:val="nil"/>
              <w:bottom w:val="single" w:sz="6" w:space="0" w:color="auto"/>
            </w:tcBorders>
            <w:tcMar>
              <w:left w:w="28" w:type="dxa"/>
              <w:right w:w="28" w:type="dxa"/>
            </w:tcMar>
            <w:vAlign w:val="center"/>
          </w:tcPr>
          <w:p w14:paraId="7FCAEEA0" w14:textId="3BC1637C"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2%</w:t>
            </w:r>
          </w:p>
        </w:tc>
        <w:tc>
          <w:tcPr>
            <w:tcW w:w="473" w:type="pct"/>
            <w:tcBorders>
              <w:top w:val="single" w:sz="6" w:space="0" w:color="auto"/>
              <w:bottom w:val="single" w:sz="6" w:space="0" w:color="auto"/>
              <w:right w:val="nil"/>
            </w:tcBorders>
            <w:shd w:val="clear" w:color="auto" w:fill="auto"/>
            <w:noWrap/>
            <w:tcMar>
              <w:left w:w="28" w:type="dxa"/>
              <w:right w:w="28" w:type="dxa"/>
            </w:tcMar>
            <w:vAlign w:val="center"/>
            <w:hideMark/>
          </w:tcPr>
          <w:p w14:paraId="748827DE" w14:textId="2CC4B3AF"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331,732</w:t>
            </w:r>
          </w:p>
        </w:tc>
        <w:tc>
          <w:tcPr>
            <w:tcW w:w="303" w:type="pct"/>
            <w:tcBorders>
              <w:top w:val="single" w:sz="6" w:space="0" w:color="auto"/>
              <w:left w:val="nil"/>
              <w:bottom w:val="single" w:sz="6" w:space="0" w:color="auto"/>
            </w:tcBorders>
            <w:tcMar>
              <w:left w:w="28" w:type="dxa"/>
              <w:right w:w="28" w:type="dxa"/>
            </w:tcMar>
            <w:vAlign w:val="center"/>
          </w:tcPr>
          <w:p w14:paraId="61F21E1A" w14:textId="2D512D5E"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25%</w:t>
            </w:r>
          </w:p>
        </w:tc>
      </w:tr>
      <w:tr w:rsidR="00492632" w:rsidRPr="00836874" w14:paraId="65DD9949" w14:textId="77777777" w:rsidTr="00492632">
        <w:trPr>
          <w:trHeight w:val="240"/>
        </w:trPr>
        <w:tc>
          <w:tcPr>
            <w:tcW w:w="1027" w:type="pct"/>
            <w:tcBorders>
              <w:top w:val="single" w:sz="6" w:space="0" w:color="auto"/>
              <w:bottom w:val="single" w:sz="6" w:space="0" w:color="auto"/>
              <w:right w:val="nil"/>
            </w:tcBorders>
            <w:shd w:val="clear" w:color="000000" w:fill="CCCCCC"/>
            <w:noWrap/>
            <w:tcMar>
              <w:left w:w="28" w:type="dxa"/>
              <w:right w:w="28" w:type="dxa"/>
            </w:tcMar>
            <w:vAlign w:val="center"/>
            <w:hideMark/>
          </w:tcPr>
          <w:p w14:paraId="22699889" w14:textId="16D57266" w:rsidR="00492632" w:rsidRPr="00836874" w:rsidRDefault="00492632" w:rsidP="00836874">
            <w:pPr>
              <w:rPr>
                <w:rFonts w:ascii="Calibri" w:hAnsi="Calibri"/>
                <w:b/>
                <w:bCs/>
                <w:color w:val="000000"/>
                <w:sz w:val="18"/>
                <w:szCs w:val="18"/>
              </w:rPr>
            </w:pPr>
            <w:r w:rsidRPr="00836874">
              <w:rPr>
                <w:rFonts w:ascii="Calibri" w:hAnsi="Calibri"/>
                <w:b/>
                <w:bCs/>
                <w:color w:val="000000"/>
                <w:sz w:val="18"/>
                <w:szCs w:val="18"/>
              </w:rPr>
              <w:t>Outcome-2</w:t>
            </w:r>
          </w:p>
        </w:tc>
        <w:tc>
          <w:tcPr>
            <w:tcW w:w="3973" w:type="pct"/>
            <w:gridSpan w:val="12"/>
            <w:tcBorders>
              <w:top w:val="single" w:sz="6" w:space="0" w:color="auto"/>
              <w:left w:val="nil"/>
              <w:bottom w:val="single" w:sz="6" w:space="0" w:color="auto"/>
            </w:tcBorders>
            <w:shd w:val="clear" w:color="000000" w:fill="CCCCCC"/>
            <w:noWrap/>
            <w:tcMar>
              <w:left w:w="28" w:type="dxa"/>
              <w:right w:w="28" w:type="dxa"/>
            </w:tcMar>
            <w:vAlign w:val="center"/>
          </w:tcPr>
          <w:p w14:paraId="4883082E" w14:textId="362FC312" w:rsidR="00492632" w:rsidRPr="00167D80" w:rsidRDefault="00492632" w:rsidP="00836874">
            <w:pPr>
              <w:jc w:val="center"/>
              <w:rPr>
                <w:rFonts w:asciiTheme="minorHAnsi" w:hAnsiTheme="minorHAnsi"/>
                <w:b/>
                <w:bCs/>
                <w:color w:val="000000"/>
                <w:sz w:val="18"/>
                <w:szCs w:val="18"/>
              </w:rPr>
            </w:pPr>
            <w:r>
              <w:rPr>
                <w:rFonts w:ascii="Calibri" w:hAnsi="Calibri"/>
                <w:b/>
                <w:bCs/>
                <w:sz w:val="18"/>
                <w:szCs w:val="18"/>
              </w:rPr>
              <w:t>PA system expanded to increase functional connectivity of PAs in West Lesser Caucasus</w:t>
            </w:r>
          </w:p>
        </w:tc>
      </w:tr>
      <w:tr w:rsidR="00D2485D" w:rsidRPr="00836874" w14:paraId="133BD7A7" w14:textId="24F4DFA6" w:rsidTr="000D10BA">
        <w:trPr>
          <w:trHeight w:val="240"/>
        </w:trPr>
        <w:tc>
          <w:tcPr>
            <w:tcW w:w="1027" w:type="pct"/>
            <w:tcBorders>
              <w:top w:val="single" w:sz="6" w:space="0" w:color="auto"/>
            </w:tcBorders>
            <w:shd w:val="clear" w:color="auto" w:fill="auto"/>
            <w:noWrap/>
            <w:tcMar>
              <w:left w:w="28" w:type="dxa"/>
              <w:right w:w="28" w:type="dxa"/>
            </w:tcMar>
            <w:vAlign w:val="center"/>
            <w:hideMark/>
          </w:tcPr>
          <w:p w14:paraId="43F469BC" w14:textId="54D9C187" w:rsidR="00167D80" w:rsidRPr="00836874" w:rsidRDefault="00167D80" w:rsidP="00731FB6">
            <w:pPr>
              <w:rPr>
                <w:rFonts w:ascii="Calibri" w:hAnsi="Calibri"/>
                <w:color w:val="000000"/>
                <w:sz w:val="18"/>
                <w:szCs w:val="18"/>
              </w:rPr>
            </w:pPr>
            <w:r w:rsidRPr="00836874">
              <w:rPr>
                <w:rFonts w:ascii="Calibri" w:hAnsi="Calibri"/>
                <w:color w:val="000000"/>
                <w:sz w:val="18"/>
                <w:szCs w:val="18"/>
              </w:rPr>
              <w:t>ProDoc Budget</w:t>
            </w:r>
          </w:p>
        </w:tc>
        <w:tc>
          <w:tcPr>
            <w:tcW w:w="405" w:type="pct"/>
            <w:tcBorders>
              <w:top w:val="single" w:sz="6" w:space="0" w:color="auto"/>
              <w:bottom w:val="single" w:sz="6" w:space="0" w:color="auto"/>
              <w:right w:val="nil"/>
            </w:tcBorders>
            <w:shd w:val="clear" w:color="auto" w:fill="auto"/>
            <w:noWrap/>
            <w:tcMar>
              <w:left w:w="28" w:type="dxa"/>
              <w:right w:w="28" w:type="dxa"/>
            </w:tcMar>
            <w:vAlign w:val="center"/>
          </w:tcPr>
          <w:p w14:paraId="128934A8" w14:textId="78696F54"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143,200</w:t>
            </w:r>
          </w:p>
        </w:tc>
        <w:tc>
          <w:tcPr>
            <w:tcW w:w="232" w:type="pct"/>
            <w:tcBorders>
              <w:top w:val="single" w:sz="6" w:space="0" w:color="auto"/>
              <w:left w:val="nil"/>
              <w:bottom w:val="single" w:sz="6" w:space="0" w:color="auto"/>
            </w:tcBorders>
            <w:tcMar>
              <w:left w:w="28" w:type="dxa"/>
              <w:right w:w="28" w:type="dxa"/>
            </w:tcMar>
            <w:vAlign w:val="center"/>
          </w:tcPr>
          <w:p w14:paraId="100FF10C" w14:textId="73647EB9"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11%</w:t>
            </w:r>
          </w:p>
        </w:tc>
        <w:tc>
          <w:tcPr>
            <w:tcW w:w="406" w:type="pct"/>
            <w:tcBorders>
              <w:top w:val="single" w:sz="6" w:space="0" w:color="auto"/>
              <w:bottom w:val="single" w:sz="6" w:space="0" w:color="auto"/>
              <w:right w:val="nil"/>
            </w:tcBorders>
            <w:shd w:val="clear" w:color="auto" w:fill="auto"/>
            <w:noWrap/>
            <w:tcMar>
              <w:left w:w="28" w:type="dxa"/>
              <w:right w:w="28" w:type="dxa"/>
            </w:tcMar>
            <w:vAlign w:val="center"/>
          </w:tcPr>
          <w:p w14:paraId="34B5BEF7" w14:textId="52252710"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266,067</w:t>
            </w:r>
          </w:p>
        </w:tc>
        <w:tc>
          <w:tcPr>
            <w:tcW w:w="209" w:type="pct"/>
            <w:tcBorders>
              <w:top w:val="single" w:sz="6" w:space="0" w:color="auto"/>
              <w:left w:val="nil"/>
              <w:bottom w:val="single" w:sz="6" w:space="0" w:color="auto"/>
            </w:tcBorders>
            <w:tcMar>
              <w:left w:w="28" w:type="dxa"/>
              <w:right w:w="28" w:type="dxa"/>
            </w:tcMar>
            <w:vAlign w:val="center"/>
          </w:tcPr>
          <w:p w14:paraId="7DEDFE12" w14:textId="390BD9D3"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20%</w:t>
            </w:r>
          </w:p>
        </w:tc>
        <w:tc>
          <w:tcPr>
            <w:tcW w:w="428" w:type="pct"/>
            <w:tcBorders>
              <w:top w:val="single" w:sz="6" w:space="0" w:color="auto"/>
              <w:bottom w:val="single" w:sz="6" w:space="0" w:color="auto"/>
              <w:right w:val="nil"/>
            </w:tcBorders>
            <w:shd w:val="clear" w:color="auto" w:fill="auto"/>
            <w:noWrap/>
            <w:tcMar>
              <w:left w:w="28" w:type="dxa"/>
              <w:right w:w="28" w:type="dxa"/>
            </w:tcMar>
            <w:vAlign w:val="center"/>
          </w:tcPr>
          <w:p w14:paraId="3B6BCA78" w14:textId="0215C96B"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166,400</w:t>
            </w:r>
          </w:p>
        </w:tc>
        <w:tc>
          <w:tcPr>
            <w:tcW w:w="274" w:type="pct"/>
            <w:tcBorders>
              <w:top w:val="single" w:sz="6" w:space="0" w:color="auto"/>
              <w:left w:val="nil"/>
              <w:bottom w:val="single" w:sz="6" w:space="0" w:color="auto"/>
            </w:tcBorders>
            <w:tcMar>
              <w:left w:w="28" w:type="dxa"/>
              <w:right w:w="28" w:type="dxa"/>
            </w:tcMar>
            <w:vAlign w:val="center"/>
          </w:tcPr>
          <w:p w14:paraId="1ECFBEFC" w14:textId="683D01A4"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13%</w:t>
            </w:r>
          </w:p>
        </w:tc>
        <w:tc>
          <w:tcPr>
            <w:tcW w:w="364" w:type="pct"/>
            <w:tcBorders>
              <w:top w:val="single" w:sz="6" w:space="0" w:color="auto"/>
              <w:bottom w:val="single" w:sz="6" w:space="0" w:color="auto"/>
              <w:right w:val="nil"/>
            </w:tcBorders>
            <w:shd w:val="clear" w:color="auto" w:fill="auto"/>
            <w:noWrap/>
            <w:tcMar>
              <w:left w:w="28" w:type="dxa"/>
              <w:right w:w="28" w:type="dxa"/>
            </w:tcMar>
            <w:vAlign w:val="center"/>
          </w:tcPr>
          <w:p w14:paraId="31433509" w14:textId="2B1827E9"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214,330</w:t>
            </w:r>
          </w:p>
        </w:tc>
        <w:tc>
          <w:tcPr>
            <w:tcW w:w="264" w:type="pct"/>
            <w:tcBorders>
              <w:top w:val="single" w:sz="6" w:space="0" w:color="auto"/>
              <w:left w:val="nil"/>
              <w:bottom w:val="single" w:sz="6" w:space="0" w:color="auto"/>
            </w:tcBorders>
            <w:tcMar>
              <w:left w:w="28" w:type="dxa"/>
              <w:right w:w="28" w:type="dxa"/>
            </w:tcMar>
            <w:vAlign w:val="center"/>
          </w:tcPr>
          <w:p w14:paraId="33D08802" w14:textId="521D4A37"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16%</w:t>
            </w:r>
          </w:p>
        </w:tc>
        <w:tc>
          <w:tcPr>
            <w:tcW w:w="383" w:type="pct"/>
            <w:tcBorders>
              <w:top w:val="single" w:sz="6" w:space="0" w:color="auto"/>
              <w:bottom w:val="single" w:sz="6" w:space="0" w:color="auto"/>
              <w:right w:val="nil"/>
            </w:tcBorders>
            <w:shd w:val="clear" w:color="auto" w:fill="auto"/>
            <w:noWrap/>
            <w:tcMar>
              <w:left w:w="28" w:type="dxa"/>
              <w:right w:w="28" w:type="dxa"/>
            </w:tcMar>
            <w:vAlign w:val="center"/>
          </w:tcPr>
          <w:p w14:paraId="7A567322" w14:textId="47627CB7" w:rsidR="00167D80" w:rsidRPr="00167D80" w:rsidRDefault="00167D80" w:rsidP="00731FB6">
            <w:pPr>
              <w:jc w:val="right"/>
              <w:rPr>
                <w:rFonts w:asciiTheme="minorHAnsi" w:hAnsiTheme="minorHAnsi"/>
                <w:color w:val="000000"/>
                <w:sz w:val="18"/>
                <w:szCs w:val="18"/>
              </w:rPr>
            </w:pPr>
            <w:r>
              <w:rPr>
                <w:rFonts w:asciiTheme="minorHAnsi" w:hAnsiTheme="minorHAnsi"/>
                <w:color w:val="000000"/>
                <w:sz w:val="18"/>
                <w:szCs w:val="18"/>
              </w:rPr>
              <w:t>n/a</w:t>
            </w:r>
            <w:r w:rsidRPr="00167D80">
              <w:rPr>
                <w:rFonts w:asciiTheme="minorHAnsi" w:hAnsiTheme="minorHAnsi"/>
                <w:color w:val="000000"/>
                <w:sz w:val="18"/>
                <w:szCs w:val="18"/>
              </w:rPr>
              <w:t> </w:t>
            </w:r>
          </w:p>
        </w:tc>
        <w:tc>
          <w:tcPr>
            <w:tcW w:w="232" w:type="pct"/>
            <w:tcBorders>
              <w:top w:val="single" w:sz="6" w:space="0" w:color="auto"/>
              <w:left w:val="nil"/>
              <w:bottom w:val="single" w:sz="6" w:space="0" w:color="auto"/>
            </w:tcBorders>
            <w:tcMar>
              <w:left w:w="28" w:type="dxa"/>
              <w:right w:w="28" w:type="dxa"/>
            </w:tcMar>
            <w:vAlign w:val="center"/>
          </w:tcPr>
          <w:p w14:paraId="26FB0F64" w14:textId="2F67B8E3" w:rsidR="00167D80" w:rsidRPr="00167D80" w:rsidRDefault="00167D80" w:rsidP="008E375E">
            <w:pPr>
              <w:jc w:val="right"/>
              <w:rPr>
                <w:rFonts w:asciiTheme="minorHAnsi" w:hAnsiTheme="minorHAnsi"/>
                <w:color w:val="000000"/>
                <w:sz w:val="18"/>
                <w:szCs w:val="18"/>
              </w:rPr>
            </w:pPr>
            <w:r w:rsidRPr="00167D80">
              <w:rPr>
                <w:rFonts w:asciiTheme="minorHAnsi" w:hAnsiTheme="minorHAnsi"/>
                <w:color w:val="000000"/>
                <w:sz w:val="18"/>
                <w:szCs w:val="18"/>
              </w:rPr>
              <w:t>0%</w:t>
            </w:r>
          </w:p>
        </w:tc>
        <w:tc>
          <w:tcPr>
            <w:tcW w:w="473" w:type="pct"/>
            <w:tcBorders>
              <w:top w:val="single" w:sz="6" w:space="0" w:color="auto"/>
              <w:bottom w:val="single" w:sz="6" w:space="0" w:color="auto"/>
              <w:right w:val="nil"/>
            </w:tcBorders>
            <w:shd w:val="clear" w:color="auto" w:fill="auto"/>
            <w:noWrap/>
            <w:tcMar>
              <w:left w:w="28" w:type="dxa"/>
              <w:right w:w="28" w:type="dxa"/>
            </w:tcMar>
            <w:vAlign w:val="center"/>
            <w:hideMark/>
          </w:tcPr>
          <w:p w14:paraId="618BC986" w14:textId="029FC86B" w:rsidR="00167D80" w:rsidRPr="00167D80" w:rsidRDefault="00167D80" w:rsidP="008E375E">
            <w:pPr>
              <w:jc w:val="right"/>
              <w:rPr>
                <w:rFonts w:asciiTheme="minorHAnsi" w:hAnsiTheme="minorHAnsi"/>
                <w:color w:val="000000"/>
                <w:sz w:val="18"/>
                <w:szCs w:val="18"/>
              </w:rPr>
            </w:pPr>
            <w:r w:rsidRPr="00167D80">
              <w:rPr>
                <w:rFonts w:asciiTheme="minorHAnsi" w:hAnsiTheme="minorHAnsi"/>
                <w:color w:val="000000"/>
                <w:sz w:val="18"/>
                <w:szCs w:val="18"/>
              </w:rPr>
              <w:t>789,997</w:t>
            </w:r>
          </w:p>
        </w:tc>
        <w:tc>
          <w:tcPr>
            <w:tcW w:w="303" w:type="pct"/>
            <w:tcBorders>
              <w:top w:val="single" w:sz="6" w:space="0" w:color="auto"/>
              <w:left w:val="nil"/>
              <w:bottom w:val="single" w:sz="6" w:space="0" w:color="auto"/>
            </w:tcBorders>
            <w:tcMar>
              <w:left w:w="28" w:type="dxa"/>
              <w:right w:w="28" w:type="dxa"/>
            </w:tcMar>
            <w:vAlign w:val="center"/>
          </w:tcPr>
          <w:p w14:paraId="61349821" w14:textId="76635DF1" w:rsidR="00167D80" w:rsidRPr="00167D80" w:rsidRDefault="00167D80" w:rsidP="008E375E">
            <w:pPr>
              <w:jc w:val="right"/>
              <w:rPr>
                <w:rFonts w:asciiTheme="minorHAnsi" w:hAnsiTheme="minorHAnsi"/>
                <w:color w:val="000000"/>
                <w:sz w:val="18"/>
                <w:szCs w:val="18"/>
              </w:rPr>
            </w:pPr>
            <w:r w:rsidRPr="00167D80">
              <w:rPr>
                <w:rFonts w:asciiTheme="minorHAnsi" w:hAnsiTheme="minorHAnsi"/>
                <w:color w:val="000000"/>
                <w:sz w:val="18"/>
                <w:szCs w:val="18"/>
              </w:rPr>
              <w:t>60%</w:t>
            </w:r>
          </w:p>
        </w:tc>
      </w:tr>
      <w:tr w:rsidR="00D2485D" w:rsidRPr="00836874" w14:paraId="1702AAA2" w14:textId="39BD0600" w:rsidTr="000D10BA">
        <w:trPr>
          <w:trHeight w:val="240"/>
        </w:trPr>
        <w:tc>
          <w:tcPr>
            <w:tcW w:w="1027" w:type="pct"/>
            <w:shd w:val="clear" w:color="auto" w:fill="auto"/>
            <w:noWrap/>
            <w:tcMar>
              <w:left w:w="28" w:type="dxa"/>
              <w:right w:w="28" w:type="dxa"/>
            </w:tcMar>
            <w:vAlign w:val="center"/>
            <w:hideMark/>
          </w:tcPr>
          <w:p w14:paraId="79CCED58" w14:textId="77777777" w:rsidR="00167D80" w:rsidRPr="00836874" w:rsidRDefault="00167D80" w:rsidP="00731FB6">
            <w:pPr>
              <w:rPr>
                <w:rFonts w:ascii="Calibri" w:hAnsi="Calibri"/>
                <w:color w:val="000000"/>
                <w:sz w:val="18"/>
                <w:szCs w:val="18"/>
              </w:rPr>
            </w:pPr>
            <w:r w:rsidRPr="00836874">
              <w:rPr>
                <w:rFonts w:ascii="Calibri" w:hAnsi="Calibri"/>
                <w:color w:val="000000"/>
                <w:sz w:val="18"/>
                <w:szCs w:val="18"/>
              </w:rPr>
              <w:t>Annual Work Plan</w:t>
            </w:r>
          </w:p>
        </w:tc>
        <w:tc>
          <w:tcPr>
            <w:tcW w:w="405" w:type="pct"/>
            <w:tcBorders>
              <w:top w:val="single" w:sz="6" w:space="0" w:color="auto"/>
              <w:bottom w:val="single" w:sz="6" w:space="0" w:color="auto"/>
              <w:right w:val="nil"/>
            </w:tcBorders>
            <w:shd w:val="clear" w:color="auto" w:fill="auto"/>
            <w:noWrap/>
            <w:tcMar>
              <w:left w:w="28" w:type="dxa"/>
              <w:right w:w="28" w:type="dxa"/>
            </w:tcMar>
            <w:vAlign w:val="center"/>
          </w:tcPr>
          <w:p w14:paraId="45BA3457" w14:textId="7A217EAA"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17,000</w:t>
            </w:r>
          </w:p>
        </w:tc>
        <w:tc>
          <w:tcPr>
            <w:tcW w:w="232" w:type="pct"/>
            <w:tcBorders>
              <w:top w:val="single" w:sz="6" w:space="0" w:color="auto"/>
              <w:left w:val="nil"/>
              <w:bottom w:val="single" w:sz="6" w:space="0" w:color="auto"/>
            </w:tcBorders>
            <w:tcMar>
              <w:left w:w="28" w:type="dxa"/>
              <w:right w:w="28" w:type="dxa"/>
            </w:tcMar>
            <w:vAlign w:val="center"/>
          </w:tcPr>
          <w:p w14:paraId="49851F57" w14:textId="4FACE3F1"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w:t>
            </w:r>
          </w:p>
        </w:tc>
        <w:tc>
          <w:tcPr>
            <w:tcW w:w="406" w:type="pct"/>
            <w:tcBorders>
              <w:top w:val="single" w:sz="6" w:space="0" w:color="auto"/>
              <w:bottom w:val="single" w:sz="6" w:space="0" w:color="auto"/>
              <w:right w:val="nil"/>
            </w:tcBorders>
            <w:shd w:val="clear" w:color="auto" w:fill="auto"/>
            <w:noWrap/>
            <w:tcMar>
              <w:left w:w="28" w:type="dxa"/>
              <w:right w:w="28" w:type="dxa"/>
            </w:tcMar>
            <w:vAlign w:val="center"/>
          </w:tcPr>
          <w:p w14:paraId="1376D2B0" w14:textId="5182B160"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251,170</w:t>
            </w:r>
          </w:p>
        </w:tc>
        <w:tc>
          <w:tcPr>
            <w:tcW w:w="209" w:type="pct"/>
            <w:tcBorders>
              <w:top w:val="single" w:sz="6" w:space="0" w:color="auto"/>
              <w:left w:val="nil"/>
              <w:bottom w:val="single" w:sz="6" w:space="0" w:color="auto"/>
            </w:tcBorders>
            <w:tcMar>
              <w:left w:w="28" w:type="dxa"/>
              <w:right w:w="28" w:type="dxa"/>
            </w:tcMar>
            <w:vAlign w:val="center"/>
          </w:tcPr>
          <w:p w14:paraId="5AEA9FEC" w14:textId="0D3BA0C1"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19%</w:t>
            </w:r>
          </w:p>
        </w:tc>
        <w:tc>
          <w:tcPr>
            <w:tcW w:w="428" w:type="pct"/>
            <w:tcBorders>
              <w:top w:val="single" w:sz="6" w:space="0" w:color="auto"/>
              <w:bottom w:val="single" w:sz="6" w:space="0" w:color="auto"/>
              <w:right w:val="nil"/>
            </w:tcBorders>
            <w:shd w:val="clear" w:color="auto" w:fill="auto"/>
            <w:noWrap/>
            <w:tcMar>
              <w:left w:w="28" w:type="dxa"/>
              <w:right w:w="28" w:type="dxa"/>
            </w:tcMar>
            <w:vAlign w:val="center"/>
          </w:tcPr>
          <w:p w14:paraId="507D5EB0" w14:textId="722E3A1C"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269,362</w:t>
            </w:r>
          </w:p>
        </w:tc>
        <w:tc>
          <w:tcPr>
            <w:tcW w:w="274" w:type="pct"/>
            <w:tcBorders>
              <w:top w:val="single" w:sz="6" w:space="0" w:color="auto"/>
              <w:left w:val="nil"/>
              <w:bottom w:val="single" w:sz="6" w:space="0" w:color="auto"/>
            </w:tcBorders>
            <w:tcMar>
              <w:left w:w="28" w:type="dxa"/>
              <w:right w:w="28" w:type="dxa"/>
            </w:tcMar>
            <w:vAlign w:val="center"/>
          </w:tcPr>
          <w:p w14:paraId="4F2C814C" w14:textId="06605C9D"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20%</w:t>
            </w:r>
          </w:p>
        </w:tc>
        <w:tc>
          <w:tcPr>
            <w:tcW w:w="364" w:type="pct"/>
            <w:tcBorders>
              <w:top w:val="single" w:sz="6" w:space="0" w:color="auto"/>
              <w:bottom w:val="single" w:sz="6" w:space="0" w:color="auto"/>
              <w:right w:val="nil"/>
            </w:tcBorders>
            <w:shd w:val="clear" w:color="auto" w:fill="auto"/>
            <w:noWrap/>
            <w:tcMar>
              <w:left w:w="28" w:type="dxa"/>
              <w:right w:w="28" w:type="dxa"/>
            </w:tcMar>
            <w:vAlign w:val="center"/>
          </w:tcPr>
          <w:p w14:paraId="74A65AFA" w14:textId="2384E9BA"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221,989</w:t>
            </w:r>
          </w:p>
        </w:tc>
        <w:tc>
          <w:tcPr>
            <w:tcW w:w="264" w:type="pct"/>
            <w:tcBorders>
              <w:top w:val="single" w:sz="6" w:space="0" w:color="auto"/>
              <w:left w:val="nil"/>
              <w:bottom w:val="single" w:sz="6" w:space="0" w:color="auto"/>
            </w:tcBorders>
            <w:tcMar>
              <w:left w:w="28" w:type="dxa"/>
              <w:right w:w="28" w:type="dxa"/>
            </w:tcMar>
            <w:vAlign w:val="center"/>
          </w:tcPr>
          <w:p w14:paraId="7B6B7C78" w14:textId="5B81D910"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17%</w:t>
            </w:r>
          </w:p>
        </w:tc>
        <w:tc>
          <w:tcPr>
            <w:tcW w:w="383" w:type="pct"/>
            <w:tcBorders>
              <w:top w:val="single" w:sz="6" w:space="0" w:color="auto"/>
              <w:bottom w:val="single" w:sz="6" w:space="0" w:color="auto"/>
              <w:right w:val="nil"/>
            </w:tcBorders>
            <w:shd w:val="clear" w:color="auto" w:fill="auto"/>
            <w:noWrap/>
            <w:tcMar>
              <w:left w:w="28" w:type="dxa"/>
              <w:right w:w="28" w:type="dxa"/>
            </w:tcMar>
            <w:vAlign w:val="center"/>
          </w:tcPr>
          <w:p w14:paraId="2CFD2F3E" w14:textId="4FC4E141"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106,874</w:t>
            </w:r>
          </w:p>
        </w:tc>
        <w:tc>
          <w:tcPr>
            <w:tcW w:w="232" w:type="pct"/>
            <w:tcBorders>
              <w:top w:val="single" w:sz="6" w:space="0" w:color="auto"/>
              <w:left w:val="nil"/>
              <w:bottom w:val="single" w:sz="6" w:space="0" w:color="auto"/>
            </w:tcBorders>
            <w:tcMar>
              <w:left w:w="28" w:type="dxa"/>
              <w:right w:w="28" w:type="dxa"/>
            </w:tcMar>
            <w:vAlign w:val="center"/>
          </w:tcPr>
          <w:p w14:paraId="3A0C407A" w14:textId="27D63329"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8%</w:t>
            </w:r>
          </w:p>
        </w:tc>
        <w:tc>
          <w:tcPr>
            <w:tcW w:w="473" w:type="pct"/>
            <w:tcBorders>
              <w:top w:val="single" w:sz="6" w:space="0" w:color="auto"/>
              <w:bottom w:val="single" w:sz="6" w:space="0" w:color="auto"/>
              <w:right w:val="nil"/>
            </w:tcBorders>
            <w:shd w:val="clear" w:color="auto" w:fill="auto"/>
            <w:noWrap/>
            <w:tcMar>
              <w:left w:w="28" w:type="dxa"/>
              <w:right w:w="28" w:type="dxa"/>
            </w:tcMar>
            <w:vAlign w:val="center"/>
            <w:hideMark/>
          </w:tcPr>
          <w:p w14:paraId="080A3245" w14:textId="358AC92B"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866,395</w:t>
            </w:r>
          </w:p>
        </w:tc>
        <w:tc>
          <w:tcPr>
            <w:tcW w:w="303" w:type="pct"/>
            <w:tcBorders>
              <w:top w:val="single" w:sz="6" w:space="0" w:color="auto"/>
              <w:left w:val="nil"/>
              <w:bottom w:val="single" w:sz="6" w:space="0" w:color="auto"/>
            </w:tcBorders>
            <w:tcMar>
              <w:left w:w="28" w:type="dxa"/>
              <w:right w:w="28" w:type="dxa"/>
            </w:tcMar>
            <w:vAlign w:val="center"/>
          </w:tcPr>
          <w:p w14:paraId="239C09F0" w14:textId="41C2BD07"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65%</w:t>
            </w:r>
          </w:p>
        </w:tc>
      </w:tr>
      <w:tr w:rsidR="00D2485D" w:rsidRPr="00836874" w14:paraId="08ED0B45" w14:textId="34361128" w:rsidTr="000D10BA">
        <w:trPr>
          <w:trHeight w:val="240"/>
        </w:trPr>
        <w:tc>
          <w:tcPr>
            <w:tcW w:w="1027" w:type="pct"/>
            <w:tcBorders>
              <w:bottom w:val="single" w:sz="6" w:space="0" w:color="auto"/>
            </w:tcBorders>
            <w:shd w:val="clear" w:color="auto" w:fill="auto"/>
            <w:noWrap/>
            <w:tcMar>
              <w:left w:w="28" w:type="dxa"/>
              <w:right w:w="28" w:type="dxa"/>
            </w:tcMar>
            <w:vAlign w:val="center"/>
            <w:hideMark/>
          </w:tcPr>
          <w:p w14:paraId="5C58B788" w14:textId="76EBE0BD" w:rsidR="00167D80" w:rsidRPr="00836874" w:rsidRDefault="00167D80" w:rsidP="00731FB6">
            <w:pPr>
              <w:rPr>
                <w:rFonts w:ascii="Calibri" w:hAnsi="Calibri"/>
                <w:color w:val="000000"/>
                <w:sz w:val="18"/>
                <w:szCs w:val="18"/>
              </w:rPr>
            </w:pPr>
            <w:r>
              <w:rPr>
                <w:rFonts w:ascii="Calibri" w:hAnsi="Calibri"/>
                <w:color w:val="000000"/>
                <w:sz w:val="18"/>
                <w:szCs w:val="18"/>
              </w:rPr>
              <w:t>Expended</w:t>
            </w:r>
          </w:p>
        </w:tc>
        <w:tc>
          <w:tcPr>
            <w:tcW w:w="405" w:type="pct"/>
            <w:tcBorders>
              <w:top w:val="single" w:sz="6" w:space="0" w:color="auto"/>
              <w:bottom w:val="single" w:sz="6" w:space="0" w:color="auto"/>
              <w:right w:val="nil"/>
            </w:tcBorders>
            <w:shd w:val="clear" w:color="auto" w:fill="auto"/>
            <w:noWrap/>
            <w:tcMar>
              <w:left w:w="28" w:type="dxa"/>
              <w:right w:w="28" w:type="dxa"/>
            </w:tcMar>
            <w:vAlign w:val="center"/>
          </w:tcPr>
          <w:p w14:paraId="5285BC77" w14:textId="69653827"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9,598</w:t>
            </w:r>
          </w:p>
        </w:tc>
        <w:tc>
          <w:tcPr>
            <w:tcW w:w="232" w:type="pct"/>
            <w:tcBorders>
              <w:top w:val="single" w:sz="6" w:space="0" w:color="auto"/>
              <w:left w:val="nil"/>
              <w:bottom w:val="single" w:sz="6" w:space="0" w:color="auto"/>
            </w:tcBorders>
            <w:tcMar>
              <w:left w:w="28" w:type="dxa"/>
              <w:right w:w="28" w:type="dxa"/>
            </w:tcMar>
            <w:vAlign w:val="center"/>
          </w:tcPr>
          <w:p w14:paraId="6F9F5E10" w14:textId="7B4B326E"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w:t>
            </w:r>
          </w:p>
        </w:tc>
        <w:tc>
          <w:tcPr>
            <w:tcW w:w="406" w:type="pct"/>
            <w:tcBorders>
              <w:top w:val="single" w:sz="6" w:space="0" w:color="auto"/>
              <w:bottom w:val="single" w:sz="6" w:space="0" w:color="auto"/>
              <w:right w:val="nil"/>
            </w:tcBorders>
            <w:shd w:val="clear" w:color="auto" w:fill="auto"/>
            <w:noWrap/>
            <w:tcMar>
              <w:left w:w="28" w:type="dxa"/>
              <w:right w:w="28" w:type="dxa"/>
            </w:tcMar>
            <w:vAlign w:val="center"/>
          </w:tcPr>
          <w:p w14:paraId="6F9BF5D2" w14:textId="71A4935A"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180,548</w:t>
            </w:r>
          </w:p>
        </w:tc>
        <w:tc>
          <w:tcPr>
            <w:tcW w:w="209" w:type="pct"/>
            <w:tcBorders>
              <w:top w:val="single" w:sz="6" w:space="0" w:color="auto"/>
              <w:left w:val="nil"/>
              <w:bottom w:val="single" w:sz="6" w:space="0" w:color="auto"/>
            </w:tcBorders>
            <w:tcMar>
              <w:left w:w="28" w:type="dxa"/>
              <w:right w:w="28" w:type="dxa"/>
            </w:tcMar>
            <w:vAlign w:val="center"/>
          </w:tcPr>
          <w:p w14:paraId="630DD5A9" w14:textId="4825F533"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14%</w:t>
            </w:r>
          </w:p>
        </w:tc>
        <w:tc>
          <w:tcPr>
            <w:tcW w:w="428" w:type="pct"/>
            <w:tcBorders>
              <w:top w:val="single" w:sz="6" w:space="0" w:color="auto"/>
              <w:bottom w:val="single" w:sz="6" w:space="0" w:color="auto"/>
              <w:right w:val="nil"/>
            </w:tcBorders>
            <w:shd w:val="clear" w:color="auto" w:fill="auto"/>
            <w:noWrap/>
            <w:tcMar>
              <w:left w:w="28" w:type="dxa"/>
              <w:right w:w="28" w:type="dxa"/>
            </w:tcMar>
            <w:vAlign w:val="center"/>
          </w:tcPr>
          <w:p w14:paraId="4D327C43" w14:textId="70E6C23A"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195,496</w:t>
            </w:r>
          </w:p>
        </w:tc>
        <w:tc>
          <w:tcPr>
            <w:tcW w:w="274" w:type="pct"/>
            <w:tcBorders>
              <w:top w:val="single" w:sz="6" w:space="0" w:color="auto"/>
              <w:left w:val="nil"/>
              <w:bottom w:val="single" w:sz="6" w:space="0" w:color="auto"/>
            </w:tcBorders>
            <w:tcMar>
              <w:left w:w="28" w:type="dxa"/>
              <w:right w:w="28" w:type="dxa"/>
            </w:tcMar>
            <w:vAlign w:val="center"/>
          </w:tcPr>
          <w:p w14:paraId="4EE0CE31" w14:textId="676553AE"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15%</w:t>
            </w:r>
          </w:p>
        </w:tc>
        <w:tc>
          <w:tcPr>
            <w:tcW w:w="364" w:type="pct"/>
            <w:tcBorders>
              <w:top w:val="single" w:sz="6" w:space="0" w:color="auto"/>
              <w:bottom w:val="single" w:sz="6" w:space="0" w:color="auto"/>
              <w:right w:val="nil"/>
            </w:tcBorders>
            <w:shd w:val="clear" w:color="auto" w:fill="auto"/>
            <w:noWrap/>
            <w:tcMar>
              <w:left w:w="28" w:type="dxa"/>
              <w:right w:w="28" w:type="dxa"/>
            </w:tcMar>
            <w:vAlign w:val="center"/>
          </w:tcPr>
          <w:p w14:paraId="24D603AA" w14:textId="2B10530F"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264,761</w:t>
            </w:r>
          </w:p>
        </w:tc>
        <w:tc>
          <w:tcPr>
            <w:tcW w:w="264" w:type="pct"/>
            <w:tcBorders>
              <w:top w:val="single" w:sz="6" w:space="0" w:color="auto"/>
              <w:left w:val="nil"/>
              <w:bottom w:val="single" w:sz="6" w:space="0" w:color="auto"/>
            </w:tcBorders>
            <w:tcMar>
              <w:left w:w="28" w:type="dxa"/>
              <w:right w:w="28" w:type="dxa"/>
            </w:tcMar>
            <w:vAlign w:val="center"/>
          </w:tcPr>
          <w:p w14:paraId="52D3038C" w14:textId="7326794F"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20%</w:t>
            </w:r>
          </w:p>
        </w:tc>
        <w:tc>
          <w:tcPr>
            <w:tcW w:w="383" w:type="pct"/>
            <w:tcBorders>
              <w:top w:val="single" w:sz="6" w:space="0" w:color="auto"/>
              <w:bottom w:val="single" w:sz="6" w:space="0" w:color="auto"/>
              <w:right w:val="nil"/>
            </w:tcBorders>
            <w:shd w:val="clear" w:color="auto" w:fill="auto"/>
            <w:noWrap/>
            <w:tcMar>
              <w:left w:w="28" w:type="dxa"/>
              <w:right w:w="28" w:type="dxa"/>
            </w:tcMar>
            <w:vAlign w:val="center"/>
          </w:tcPr>
          <w:p w14:paraId="415744C2" w14:textId="378F309A"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109,488</w:t>
            </w:r>
          </w:p>
        </w:tc>
        <w:tc>
          <w:tcPr>
            <w:tcW w:w="232" w:type="pct"/>
            <w:tcBorders>
              <w:top w:val="single" w:sz="6" w:space="0" w:color="auto"/>
              <w:left w:val="nil"/>
              <w:bottom w:val="single" w:sz="6" w:space="0" w:color="auto"/>
            </w:tcBorders>
            <w:tcMar>
              <w:left w:w="28" w:type="dxa"/>
              <w:right w:w="28" w:type="dxa"/>
            </w:tcMar>
            <w:vAlign w:val="center"/>
          </w:tcPr>
          <w:p w14:paraId="73BCAB85" w14:textId="73A449C8"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8%</w:t>
            </w:r>
          </w:p>
        </w:tc>
        <w:tc>
          <w:tcPr>
            <w:tcW w:w="473" w:type="pct"/>
            <w:tcBorders>
              <w:top w:val="single" w:sz="6" w:space="0" w:color="auto"/>
              <w:bottom w:val="single" w:sz="6" w:space="0" w:color="auto"/>
              <w:right w:val="nil"/>
            </w:tcBorders>
            <w:shd w:val="clear" w:color="auto" w:fill="auto"/>
            <w:noWrap/>
            <w:tcMar>
              <w:left w:w="28" w:type="dxa"/>
              <w:right w:w="28" w:type="dxa"/>
            </w:tcMar>
            <w:vAlign w:val="center"/>
            <w:hideMark/>
          </w:tcPr>
          <w:p w14:paraId="4BF5A290" w14:textId="6631A177"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759,890</w:t>
            </w:r>
          </w:p>
        </w:tc>
        <w:tc>
          <w:tcPr>
            <w:tcW w:w="303" w:type="pct"/>
            <w:tcBorders>
              <w:top w:val="single" w:sz="6" w:space="0" w:color="auto"/>
              <w:left w:val="nil"/>
              <w:bottom w:val="single" w:sz="6" w:space="0" w:color="auto"/>
            </w:tcBorders>
            <w:tcMar>
              <w:left w:w="28" w:type="dxa"/>
              <w:right w:w="28" w:type="dxa"/>
            </w:tcMar>
            <w:vAlign w:val="center"/>
          </w:tcPr>
          <w:p w14:paraId="193D04A0" w14:textId="04FA950C"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57%</w:t>
            </w:r>
          </w:p>
        </w:tc>
      </w:tr>
      <w:tr w:rsidR="000D10BA" w:rsidRPr="00836874" w14:paraId="0BFB29A2" w14:textId="77777777" w:rsidTr="000D10BA">
        <w:trPr>
          <w:trHeight w:val="240"/>
        </w:trPr>
        <w:tc>
          <w:tcPr>
            <w:tcW w:w="1027" w:type="pct"/>
            <w:tcBorders>
              <w:top w:val="single" w:sz="6" w:space="0" w:color="auto"/>
              <w:bottom w:val="single" w:sz="6" w:space="0" w:color="auto"/>
              <w:right w:val="nil"/>
            </w:tcBorders>
            <w:shd w:val="clear" w:color="000000" w:fill="CCCCCC"/>
            <w:noWrap/>
            <w:tcMar>
              <w:left w:w="28" w:type="dxa"/>
              <w:right w:w="28" w:type="dxa"/>
            </w:tcMar>
            <w:vAlign w:val="center"/>
            <w:hideMark/>
          </w:tcPr>
          <w:p w14:paraId="52F58A58" w14:textId="55B681C0" w:rsidR="000D10BA" w:rsidRPr="00836874" w:rsidRDefault="000D10BA" w:rsidP="00836874">
            <w:pPr>
              <w:rPr>
                <w:rFonts w:ascii="Calibri" w:hAnsi="Calibri"/>
                <w:b/>
                <w:bCs/>
                <w:color w:val="000000"/>
                <w:sz w:val="18"/>
                <w:szCs w:val="18"/>
              </w:rPr>
            </w:pPr>
            <w:r w:rsidRPr="00836874">
              <w:rPr>
                <w:rFonts w:ascii="Calibri" w:hAnsi="Calibri"/>
                <w:b/>
                <w:bCs/>
                <w:color w:val="000000"/>
                <w:sz w:val="18"/>
                <w:szCs w:val="18"/>
              </w:rPr>
              <w:t>Project Management</w:t>
            </w:r>
          </w:p>
        </w:tc>
        <w:tc>
          <w:tcPr>
            <w:tcW w:w="3973" w:type="pct"/>
            <w:gridSpan w:val="12"/>
            <w:tcBorders>
              <w:top w:val="single" w:sz="6" w:space="0" w:color="auto"/>
              <w:left w:val="nil"/>
              <w:bottom w:val="single" w:sz="6" w:space="0" w:color="auto"/>
            </w:tcBorders>
            <w:shd w:val="clear" w:color="000000" w:fill="CCCCCC"/>
            <w:noWrap/>
            <w:tcMar>
              <w:left w:w="28" w:type="dxa"/>
              <w:right w:w="28" w:type="dxa"/>
            </w:tcMar>
            <w:vAlign w:val="center"/>
          </w:tcPr>
          <w:p w14:paraId="14A15308" w14:textId="77777777" w:rsidR="000D10BA" w:rsidRPr="00167D80" w:rsidRDefault="000D10BA" w:rsidP="00836874">
            <w:pPr>
              <w:jc w:val="center"/>
              <w:rPr>
                <w:rFonts w:asciiTheme="minorHAnsi" w:hAnsiTheme="minorHAnsi"/>
                <w:b/>
                <w:bCs/>
                <w:color w:val="000000"/>
                <w:sz w:val="18"/>
                <w:szCs w:val="18"/>
              </w:rPr>
            </w:pPr>
          </w:p>
        </w:tc>
      </w:tr>
      <w:tr w:rsidR="00D2485D" w:rsidRPr="00836874" w14:paraId="78955E3C" w14:textId="40E26C6E" w:rsidTr="000D10BA">
        <w:trPr>
          <w:trHeight w:val="240"/>
        </w:trPr>
        <w:tc>
          <w:tcPr>
            <w:tcW w:w="1027" w:type="pct"/>
            <w:tcBorders>
              <w:top w:val="single" w:sz="6" w:space="0" w:color="auto"/>
            </w:tcBorders>
            <w:shd w:val="clear" w:color="auto" w:fill="auto"/>
            <w:noWrap/>
            <w:tcMar>
              <w:left w:w="28" w:type="dxa"/>
              <w:right w:w="28" w:type="dxa"/>
            </w:tcMar>
            <w:vAlign w:val="center"/>
            <w:hideMark/>
          </w:tcPr>
          <w:p w14:paraId="5C30C80E" w14:textId="544638B8" w:rsidR="00167D80" w:rsidRPr="00836874" w:rsidRDefault="00167D80" w:rsidP="00731FB6">
            <w:pPr>
              <w:rPr>
                <w:rFonts w:ascii="Calibri" w:hAnsi="Calibri"/>
                <w:color w:val="000000"/>
                <w:sz w:val="18"/>
                <w:szCs w:val="18"/>
              </w:rPr>
            </w:pPr>
            <w:r w:rsidRPr="00836874">
              <w:rPr>
                <w:rFonts w:ascii="Calibri" w:hAnsi="Calibri"/>
                <w:color w:val="000000"/>
                <w:sz w:val="18"/>
                <w:szCs w:val="18"/>
              </w:rPr>
              <w:t>ProDoc Budget</w:t>
            </w:r>
          </w:p>
        </w:tc>
        <w:tc>
          <w:tcPr>
            <w:tcW w:w="405" w:type="pct"/>
            <w:tcBorders>
              <w:top w:val="single" w:sz="6" w:space="0" w:color="auto"/>
              <w:bottom w:val="single" w:sz="6" w:space="0" w:color="auto"/>
              <w:right w:val="nil"/>
            </w:tcBorders>
            <w:shd w:val="clear" w:color="auto" w:fill="auto"/>
            <w:noWrap/>
            <w:tcMar>
              <w:left w:w="28" w:type="dxa"/>
              <w:right w:w="28" w:type="dxa"/>
            </w:tcMar>
            <w:vAlign w:val="center"/>
          </w:tcPr>
          <w:p w14:paraId="5677A15E" w14:textId="188D119F"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36,350</w:t>
            </w:r>
          </w:p>
        </w:tc>
        <w:tc>
          <w:tcPr>
            <w:tcW w:w="232" w:type="pct"/>
            <w:tcBorders>
              <w:top w:val="single" w:sz="6" w:space="0" w:color="auto"/>
              <w:left w:val="nil"/>
              <w:bottom w:val="single" w:sz="6" w:space="0" w:color="auto"/>
            </w:tcBorders>
            <w:tcMar>
              <w:left w:w="28" w:type="dxa"/>
              <w:right w:w="28" w:type="dxa"/>
            </w:tcMar>
            <w:vAlign w:val="center"/>
          </w:tcPr>
          <w:p w14:paraId="386833C8" w14:textId="030FA7A8"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3%</w:t>
            </w:r>
          </w:p>
        </w:tc>
        <w:tc>
          <w:tcPr>
            <w:tcW w:w="406" w:type="pct"/>
            <w:tcBorders>
              <w:top w:val="single" w:sz="6" w:space="0" w:color="auto"/>
              <w:bottom w:val="single" w:sz="6" w:space="0" w:color="auto"/>
              <w:right w:val="nil"/>
            </w:tcBorders>
            <w:shd w:val="clear" w:color="auto" w:fill="auto"/>
            <w:noWrap/>
            <w:tcMar>
              <w:left w:w="28" w:type="dxa"/>
              <w:right w:w="28" w:type="dxa"/>
            </w:tcMar>
            <w:vAlign w:val="center"/>
          </w:tcPr>
          <w:p w14:paraId="46767CA6" w14:textId="2783B736"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40,310</w:t>
            </w:r>
          </w:p>
        </w:tc>
        <w:tc>
          <w:tcPr>
            <w:tcW w:w="209" w:type="pct"/>
            <w:tcBorders>
              <w:top w:val="single" w:sz="6" w:space="0" w:color="auto"/>
              <w:left w:val="nil"/>
              <w:bottom w:val="single" w:sz="6" w:space="0" w:color="auto"/>
            </w:tcBorders>
            <w:tcMar>
              <w:left w:w="28" w:type="dxa"/>
              <w:right w:w="28" w:type="dxa"/>
            </w:tcMar>
            <w:vAlign w:val="center"/>
          </w:tcPr>
          <w:p w14:paraId="781923A7" w14:textId="5792C1E7"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3%</w:t>
            </w:r>
          </w:p>
        </w:tc>
        <w:tc>
          <w:tcPr>
            <w:tcW w:w="428" w:type="pct"/>
            <w:tcBorders>
              <w:top w:val="single" w:sz="6" w:space="0" w:color="auto"/>
              <w:bottom w:val="single" w:sz="6" w:space="0" w:color="auto"/>
              <w:right w:val="nil"/>
            </w:tcBorders>
            <w:shd w:val="clear" w:color="auto" w:fill="auto"/>
            <w:noWrap/>
            <w:tcMar>
              <w:left w:w="28" w:type="dxa"/>
              <w:right w:w="28" w:type="dxa"/>
            </w:tcMar>
            <w:vAlign w:val="center"/>
          </w:tcPr>
          <w:p w14:paraId="4A98BC8D" w14:textId="23ACEDD1"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34,750</w:t>
            </w:r>
          </w:p>
        </w:tc>
        <w:tc>
          <w:tcPr>
            <w:tcW w:w="274" w:type="pct"/>
            <w:tcBorders>
              <w:top w:val="single" w:sz="6" w:space="0" w:color="auto"/>
              <w:left w:val="nil"/>
              <w:bottom w:val="single" w:sz="6" w:space="0" w:color="auto"/>
            </w:tcBorders>
            <w:tcMar>
              <w:left w:w="28" w:type="dxa"/>
              <w:right w:w="28" w:type="dxa"/>
            </w:tcMar>
            <w:vAlign w:val="center"/>
          </w:tcPr>
          <w:p w14:paraId="62B61A22" w14:textId="03972718"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3%</w:t>
            </w:r>
          </w:p>
        </w:tc>
        <w:tc>
          <w:tcPr>
            <w:tcW w:w="364" w:type="pct"/>
            <w:tcBorders>
              <w:top w:val="single" w:sz="6" w:space="0" w:color="auto"/>
              <w:bottom w:val="single" w:sz="6" w:space="0" w:color="auto"/>
              <w:right w:val="nil"/>
            </w:tcBorders>
            <w:shd w:val="clear" w:color="auto" w:fill="auto"/>
            <w:noWrap/>
            <w:tcMar>
              <w:left w:w="28" w:type="dxa"/>
              <w:right w:w="28" w:type="dxa"/>
            </w:tcMar>
            <w:vAlign w:val="center"/>
          </w:tcPr>
          <w:p w14:paraId="60865BAA" w14:textId="5DAF4B9C"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39,956</w:t>
            </w:r>
          </w:p>
        </w:tc>
        <w:tc>
          <w:tcPr>
            <w:tcW w:w="264" w:type="pct"/>
            <w:tcBorders>
              <w:top w:val="single" w:sz="6" w:space="0" w:color="auto"/>
              <w:left w:val="nil"/>
              <w:bottom w:val="single" w:sz="6" w:space="0" w:color="auto"/>
            </w:tcBorders>
            <w:tcMar>
              <w:left w:w="28" w:type="dxa"/>
              <w:right w:w="28" w:type="dxa"/>
            </w:tcMar>
            <w:vAlign w:val="center"/>
          </w:tcPr>
          <w:p w14:paraId="3F930334" w14:textId="4989BE5C"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3%</w:t>
            </w:r>
          </w:p>
        </w:tc>
        <w:tc>
          <w:tcPr>
            <w:tcW w:w="383" w:type="pct"/>
            <w:tcBorders>
              <w:top w:val="single" w:sz="6" w:space="0" w:color="auto"/>
              <w:bottom w:val="single" w:sz="6" w:space="0" w:color="auto"/>
              <w:right w:val="nil"/>
            </w:tcBorders>
            <w:shd w:val="clear" w:color="auto" w:fill="auto"/>
            <w:noWrap/>
            <w:tcMar>
              <w:left w:w="28" w:type="dxa"/>
              <w:right w:w="28" w:type="dxa"/>
            </w:tcMar>
            <w:vAlign w:val="center"/>
          </w:tcPr>
          <w:p w14:paraId="1D777EEC" w14:textId="0D0301A3" w:rsidR="00167D80" w:rsidRPr="00167D80" w:rsidRDefault="00167D80" w:rsidP="00731FB6">
            <w:pPr>
              <w:jc w:val="right"/>
              <w:rPr>
                <w:rFonts w:asciiTheme="minorHAnsi" w:hAnsiTheme="minorHAnsi"/>
                <w:color w:val="000000"/>
                <w:sz w:val="18"/>
                <w:szCs w:val="18"/>
              </w:rPr>
            </w:pPr>
            <w:r>
              <w:rPr>
                <w:rFonts w:asciiTheme="minorHAnsi" w:hAnsiTheme="minorHAnsi"/>
                <w:color w:val="000000"/>
                <w:sz w:val="18"/>
                <w:szCs w:val="18"/>
              </w:rPr>
              <w:t>n/a</w:t>
            </w:r>
            <w:r w:rsidRPr="00167D80">
              <w:rPr>
                <w:rFonts w:asciiTheme="minorHAnsi" w:hAnsiTheme="minorHAnsi"/>
                <w:color w:val="000000"/>
                <w:sz w:val="18"/>
                <w:szCs w:val="18"/>
              </w:rPr>
              <w:t> </w:t>
            </w:r>
          </w:p>
        </w:tc>
        <w:tc>
          <w:tcPr>
            <w:tcW w:w="232" w:type="pct"/>
            <w:tcBorders>
              <w:top w:val="single" w:sz="6" w:space="0" w:color="auto"/>
              <w:left w:val="nil"/>
              <w:bottom w:val="single" w:sz="6" w:space="0" w:color="auto"/>
            </w:tcBorders>
            <w:tcMar>
              <w:left w:w="28" w:type="dxa"/>
              <w:right w:w="28" w:type="dxa"/>
            </w:tcMar>
            <w:vAlign w:val="center"/>
          </w:tcPr>
          <w:p w14:paraId="0AA088A4" w14:textId="4C6354F8" w:rsidR="00167D80" w:rsidRPr="00167D80" w:rsidRDefault="00167D80" w:rsidP="008E375E">
            <w:pPr>
              <w:jc w:val="right"/>
              <w:rPr>
                <w:rFonts w:asciiTheme="minorHAnsi" w:hAnsiTheme="minorHAnsi"/>
                <w:color w:val="000000"/>
                <w:sz w:val="18"/>
                <w:szCs w:val="18"/>
              </w:rPr>
            </w:pPr>
            <w:r w:rsidRPr="00167D80">
              <w:rPr>
                <w:rFonts w:asciiTheme="minorHAnsi" w:hAnsiTheme="minorHAnsi"/>
                <w:color w:val="000000"/>
                <w:sz w:val="18"/>
                <w:szCs w:val="18"/>
              </w:rPr>
              <w:t>0%</w:t>
            </w:r>
          </w:p>
        </w:tc>
        <w:tc>
          <w:tcPr>
            <w:tcW w:w="473" w:type="pct"/>
            <w:tcBorders>
              <w:top w:val="single" w:sz="6" w:space="0" w:color="auto"/>
              <w:bottom w:val="single" w:sz="6" w:space="0" w:color="auto"/>
              <w:right w:val="nil"/>
            </w:tcBorders>
            <w:shd w:val="clear" w:color="auto" w:fill="auto"/>
            <w:noWrap/>
            <w:tcMar>
              <w:left w:w="28" w:type="dxa"/>
              <w:right w:w="28" w:type="dxa"/>
            </w:tcMar>
            <w:vAlign w:val="center"/>
            <w:hideMark/>
          </w:tcPr>
          <w:p w14:paraId="0C4CE85F" w14:textId="63D46D3C" w:rsidR="00167D80" w:rsidRPr="00167D80" w:rsidRDefault="00167D80" w:rsidP="008E375E">
            <w:pPr>
              <w:jc w:val="right"/>
              <w:rPr>
                <w:rFonts w:asciiTheme="minorHAnsi" w:hAnsiTheme="minorHAnsi"/>
                <w:color w:val="000000"/>
                <w:sz w:val="18"/>
                <w:szCs w:val="18"/>
              </w:rPr>
            </w:pPr>
            <w:r w:rsidRPr="00167D80">
              <w:rPr>
                <w:rFonts w:asciiTheme="minorHAnsi" w:hAnsiTheme="minorHAnsi"/>
                <w:color w:val="000000"/>
                <w:sz w:val="18"/>
                <w:szCs w:val="18"/>
              </w:rPr>
              <w:t>151,366</w:t>
            </w:r>
          </w:p>
        </w:tc>
        <w:tc>
          <w:tcPr>
            <w:tcW w:w="303" w:type="pct"/>
            <w:tcBorders>
              <w:top w:val="single" w:sz="6" w:space="0" w:color="auto"/>
              <w:left w:val="nil"/>
              <w:bottom w:val="single" w:sz="6" w:space="0" w:color="auto"/>
            </w:tcBorders>
            <w:tcMar>
              <w:left w:w="28" w:type="dxa"/>
              <w:right w:w="28" w:type="dxa"/>
            </w:tcMar>
            <w:vAlign w:val="center"/>
          </w:tcPr>
          <w:p w14:paraId="49668091" w14:textId="3DB33BAD" w:rsidR="00167D80" w:rsidRPr="00167D80" w:rsidRDefault="00167D80" w:rsidP="008E375E">
            <w:pPr>
              <w:jc w:val="right"/>
              <w:rPr>
                <w:rFonts w:asciiTheme="minorHAnsi" w:hAnsiTheme="minorHAnsi"/>
                <w:color w:val="000000"/>
                <w:sz w:val="18"/>
                <w:szCs w:val="18"/>
              </w:rPr>
            </w:pPr>
            <w:r w:rsidRPr="00167D80">
              <w:rPr>
                <w:rFonts w:asciiTheme="minorHAnsi" w:hAnsiTheme="minorHAnsi"/>
                <w:color w:val="000000"/>
                <w:sz w:val="18"/>
                <w:szCs w:val="18"/>
              </w:rPr>
              <w:t>11%</w:t>
            </w:r>
          </w:p>
        </w:tc>
      </w:tr>
      <w:tr w:rsidR="00D2485D" w:rsidRPr="00836874" w14:paraId="583838C4" w14:textId="7C5F14E3" w:rsidTr="000D10BA">
        <w:trPr>
          <w:trHeight w:val="240"/>
        </w:trPr>
        <w:tc>
          <w:tcPr>
            <w:tcW w:w="1027" w:type="pct"/>
            <w:shd w:val="clear" w:color="auto" w:fill="auto"/>
            <w:noWrap/>
            <w:tcMar>
              <w:left w:w="28" w:type="dxa"/>
              <w:right w:w="28" w:type="dxa"/>
            </w:tcMar>
            <w:vAlign w:val="center"/>
            <w:hideMark/>
          </w:tcPr>
          <w:p w14:paraId="154D231A" w14:textId="77777777" w:rsidR="00167D80" w:rsidRPr="00836874" w:rsidRDefault="00167D80" w:rsidP="00731FB6">
            <w:pPr>
              <w:rPr>
                <w:rFonts w:ascii="Calibri" w:hAnsi="Calibri"/>
                <w:color w:val="000000"/>
                <w:sz w:val="18"/>
                <w:szCs w:val="18"/>
              </w:rPr>
            </w:pPr>
            <w:r w:rsidRPr="00836874">
              <w:rPr>
                <w:rFonts w:ascii="Calibri" w:hAnsi="Calibri"/>
                <w:color w:val="000000"/>
                <w:sz w:val="18"/>
                <w:szCs w:val="18"/>
              </w:rPr>
              <w:t>Annual Work Plan</w:t>
            </w:r>
          </w:p>
        </w:tc>
        <w:tc>
          <w:tcPr>
            <w:tcW w:w="405" w:type="pct"/>
            <w:tcBorders>
              <w:top w:val="single" w:sz="6" w:space="0" w:color="auto"/>
              <w:bottom w:val="single" w:sz="6" w:space="0" w:color="auto"/>
              <w:right w:val="nil"/>
            </w:tcBorders>
            <w:shd w:val="clear" w:color="auto" w:fill="auto"/>
            <w:noWrap/>
            <w:tcMar>
              <w:left w:w="28" w:type="dxa"/>
              <w:right w:w="28" w:type="dxa"/>
            </w:tcMar>
            <w:vAlign w:val="center"/>
          </w:tcPr>
          <w:p w14:paraId="4B48674C" w14:textId="7FBED713"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4,800</w:t>
            </w:r>
          </w:p>
        </w:tc>
        <w:tc>
          <w:tcPr>
            <w:tcW w:w="232" w:type="pct"/>
            <w:tcBorders>
              <w:top w:val="single" w:sz="6" w:space="0" w:color="auto"/>
              <w:left w:val="nil"/>
              <w:bottom w:val="single" w:sz="6" w:space="0" w:color="auto"/>
            </w:tcBorders>
            <w:tcMar>
              <w:left w:w="28" w:type="dxa"/>
              <w:right w:w="28" w:type="dxa"/>
            </w:tcMar>
            <w:vAlign w:val="center"/>
          </w:tcPr>
          <w:p w14:paraId="18A7AD72" w14:textId="66386EEE"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0%</w:t>
            </w:r>
          </w:p>
        </w:tc>
        <w:tc>
          <w:tcPr>
            <w:tcW w:w="406" w:type="pct"/>
            <w:tcBorders>
              <w:top w:val="single" w:sz="6" w:space="0" w:color="auto"/>
              <w:bottom w:val="single" w:sz="6" w:space="0" w:color="auto"/>
              <w:right w:val="nil"/>
            </w:tcBorders>
            <w:shd w:val="clear" w:color="auto" w:fill="auto"/>
            <w:noWrap/>
            <w:tcMar>
              <w:left w:w="28" w:type="dxa"/>
              <w:right w:w="28" w:type="dxa"/>
            </w:tcMar>
            <w:vAlign w:val="center"/>
          </w:tcPr>
          <w:p w14:paraId="33AFBA0F" w14:textId="30DC9F38"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52,110</w:t>
            </w:r>
          </w:p>
        </w:tc>
        <w:tc>
          <w:tcPr>
            <w:tcW w:w="209" w:type="pct"/>
            <w:tcBorders>
              <w:top w:val="single" w:sz="6" w:space="0" w:color="auto"/>
              <w:left w:val="nil"/>
              <w:bottom w:val="single" w:sz="6" w:space="0" w:color="auto"/>
            </w:tcBorders>
            <w:tcMar>
              <w:left w:w="28" w:type="dxa"/>
              <w:right w:w="28" w:type="dxa"/>
            </w:tcMar>
            <w:vAlign w:val="center"/>
          </w:tcPr>
          <w:p w14:paraId="15F154B1" w14:textId="754B3FE5"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4%</w:t>
            </w:r>
          </w:p>
        </w:tc>
        <w:tc>
          <w:tcPr>
            <w:tcW w:w="428" w:type="pct"/>
            <w:tcBorders>
              <w:top w:val="single" w:sz="6" w:space="0" w:color="auto"/>
              <w:bottom w:val="single" w:sz="6" w:space="0" w:color="auto"/>
              <w:right w:val="nil"/>
            </w:tcBorders>
            <w:shd w:val="clear" w:color="auto" w:fill="auto"/>
            <w:noWrap/>
            <w:tcMar>
              <w:left w:w="28" w:type="dxa"/>
              <w:right w:w="28" w:type="dxa"/>
            </w:tcMar>
            <w:vAlign w:val="center"/>
          </w:tcPr>
          <w:p w14:paraId="7781970E" w14:textId="260F8DDB"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45,974</w:t>
            </w:r>
          </w:p>
        </w:tc>
        <w:tc>
          <w:tcPr>
            <w:tcW w:w="274" w:type="pct"/>
            <w:tcBorders>
              <w:top w:val="single" w:sz="6" w:space="0" w:color="auto"/>
              <w:left w:val="nil"/>
              <w:bottom w:val="single" w:sz="6" w:space="0" w:color="auto"/>
            </w:tcBorders>
            <w:tcMar>
              <w:left w:w="28" w:type="dxa"/>
              <w:right w:w="28" w:type="dxa"/>
            </w:tcMar>
            <w:vAlign w:val="center"/>
          </w:tcPr>
          <w:p w14:paraId="763DD49A" w14:textId="4D144BE6"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3%</w:t>
            </w:r>
          </w:p>
        </w:tc>
        <w:tc>
          <w:tcPr>
            <w:tcW w:w="364" w:type="pct"/>
            <w:tcBorders>
              <w:top w:val="single" w:sz="6" w:space="0" w:color="auto"/>
              <w:bottom w:val="single" w:sz="6" w:space="0" w:color="auto"/>
              <w:right w:val="nil"/>
            </w:tcBorders>
            <w:shd w:val="clear" w:color="auto" w:fill="auto"/>
            <w:noWrap/>
            <w:tcMar>
              <w:left w:w="28" w:type="dxa"/>
              <w:right w:w="28" w:type="dxa"/>
            </w:tcMar>
            <w:vAlign w:val="center"/>
          </w:tcPr>
          <w:p w14:paraId="418CEA79" w14:textId="757831AE"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31,017</w:t>
            </w:r>
          </w:p>
        </w:tc>
        <w:tc>
          <w:tcPr>
            <w:tcW w:w="264" w:type="pct"/>
            <w:tcBorders>
              <w:top w:val="single" w:sz="6" w:space="0" w:color="auto"/>
              <w:left w:val="nil"/>
              <w:bottom w:val="single" w:sz="6" w:space="0" w:color="auto"/>
            </w:tcBorders>
            <w:tcMar>
              <w:left w:w="28" w:type="dxa"/>
              <w:right w:w="28" w:type="dxa"/>
            </w:tcMar>
            <w:vAlign w:val="center"/>
          </w:tcPr>
          <w:p w14:paraId="31B07199" w14:textId="4BF9B0D6"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2%</w:t>
            </w:r>
          </w:p>
        </w:tc>
        <w:tc>
          <w:tcPr>
            <w:tcW w:w="383" w:type="pct"/>
            <w:tcBorders>
              <w:top w:val="single" w:sz="6" w:space="0" w:color="auto"/>
              <w:bottom w:val="single" w:sz="6" w:space="0" w:color="auto"/>
              <w:right w:val="nil"/>
            </w:tcBorders>
            <w:shd w:val="clear" w:color="auto" w:fill="auto"/>
            <w:noWrap/>
            <w:tcMar>
              <w:left w:w="28" w:type="dxa"/>
              <w:right w:w="28" w:type="dxa"/>
            </w:tcMar>
            <w:vAlign w:val="center"/>
          </w:tcPr>
          <w:p w14:paraId="560BFD7F" w14:textId="75E9B6EC"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65,504</w:t>
            </w:r>
          </w:p>
        </w:tc>
        <w:tc>
          <w:tcPr>
            <w:tcW w:w="232" w:type="pct"/>
            <w:tcBorders>
              <w:top w:val="single" w:sz="6" w:space="0" w:color="auto"/>
              <w:left w:val="nil"/>
              <w:bottom w:val="single" w:sz="6" w:space="0" w:color="auto"/>
            </w:tcBorders>
            <w:tcMar>
              <w:left w:w="28" w:type="dxa"/>
              <w:right w:w="28" w:type="dxa"/>
            </w:tcMar>
            <w:vAlign w:val="center"/>
          </w:tcPr>
          <w:p w14:paraId="5523576B" w14:textId="146E4C5A"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5%</w:t>
            </w:r>
          </w:p>
        </w:tc>
        <w:tc>
          <w:tcPr>
            <w:tcW w:w="473" w:type="pct"/>
            <w:tcBorders>
              <w:top w:val="single" w:sz="6" w:space="0" w:color="auto"/>
              <w:bottom w:val="single" w:sz="6" w:space="0" w:color="auto"/>
              <w:right w:val="nil"/>
            </w:tcBorders>
            <w:shd w:val="clear" w:color="auto" w:fill="auto"/>
            <w:noWrap/>
            <w:tcMar>
              <w:left w:w="28" w:type="dxa"/>
              <w:right w:w="28" w:type="dxa"/>
            </w:tcMar>
            <w:vAlign w:val="center"/>
            <w:hideMark/>
          </w:tcPr>
          <w:p w14:paraId="2508CD4D" w14:textId="05E20956"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199,406</w:t>
            </w:r>
          </w:p>
        </w:tc>
        <w:tc>
          <w:tcPr>
            <w:tcW w:w="303" w:type="pct"/>
            <w:tcBorders>
              <w:top w:val="single" w:sz="6" w:space="0" w:color="auto"/>
              <w:left w:val="nil"/>
              <w:bottom w:val="single" w:sz="6" w:space="0" w:color="auto"/>
            </w:tcBorders>
            <w:tcMar>
              <w:left w:w="28" w:type="dxa"/>
              <w:right w:w="28" w:type="dxa"/>
            </w:tcMar>
            <w:vAlign w:val="center"/>
          </w:tcPr>
          <w:p w14:paraId="66B13CFA" w14:textId="787F34DD"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15%</w:t>
            </w:r>
          </w:p>
        </w:tc>
      </w:tr>
      <w:tr w:rsidR="00D2485D" w:rsidRPr="00836874" w14:paraId="2F7F85FE" w14:textId="387D2E0B" w:rsidTr="000D10BA">
        <w:trPr>
          <w:trHeight w:val="240"/>
        </w:trPr>
        <w:tc>
          <w:tcPr>
            <w:tcW w:w="1027" w:type="pct"/>
            <w:tcBorders>
              <w:bottom w:val="single" w:sz="6" w:space="0" w:color="auto"/>
            </w:tcBorders>
            <w:shd w:val="clear" w:color="auto" w:fill="auto"/>
            <w:noWrap/>
            <w:tcMar>
              <w:left w:w="28" w:type="dxa"/>
              <w:right w:w="28" w:type="dxa"/>
            </w:tcMar>
            <w:vAlign w:val="center"/>
            <w:hideMark/>
          </w:tcPr>
          <w:p w14:paraId="7FE6AF3C" w14:textId="3C8B55A7" w:rsidR="00167D80" w:rsidRPr="00836874" w:rsidRDefault="00167D80" w:rsidP="00731FB6">
            <w:pPr>
              <w:rPr>
                <w:rFonts w:ascii="Calibri" w:hAnsi="Calibri"/>
                <w:color w:val="000000"/>
                <w:sz w:val="18"/>
                <w:szCs w:val="18"/>
              </w:rPr>
            </w:pPr>
            <w:r>
              <w:rPr>
                <w:rFonts w:ascii="Calibri" w:hAnsi="Calibri"/>
                <w:color w:val="000000"/>
                <w:sz w:val="18"/>
                <w:szCs w:val="18"/>
              </w:rPr>
              <w:t>Expended</w:t>
            </w:r>
          </w:p>
        </w:tc>
        <w:tc>
          <w:tcPr>
            <w:tcW w:w="405" w:type="pct"/>
            <w:tcBorders>
              <w:top w:val="single" w:sz="6" w:space="0" w:color="auto"/>
              <w:bottom w:val="single" w:sz="6" w:space="0" w:color="auto"/>
              <w:right w:val="nil"/>
            </w:tcBorders>
            <w:shd w:val="clear" w:color="auto" w:fill="auto"/>
            <w:noWrap/>
            <w:tcMar>
              <w:left w:w="28" w:type="dxa"/>
              <w:right w:w="28" w:type="dxa"/>
            </w:tcMar>
            <w:vAlign w:val="center"/>
          </w:tcPr>
          <w:p w14:paraId="4FDD908D" w14:textId="21E38667"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18,465</w:t>
            </w:r>
          </w:p>
        </w:tc>
        <w:tc>
          <w:tcPr>
            <w:tcW w:w="232" w:type="pct"/>
            <w:tcBorders>
              <w:top w:val="single" w:sz="6" w:space="0" w:color="auto"/>
              <w:left w:val="nil"/>
              <w:bottom w:val="single" w:sz="6" w:space="0" w:color="auto"/>
            </w:tcBorders>
            <w:tcMar>
              <w:left w:w="28" w:type="dxa"/>
              <w:right w:w="28" w:type="dxa"/>
            </w:tcMar>
            <w:vAlign w:val="center"/>
          </w:tcPr>
          <w:p w14:paraId="1A94B38E" w14:textId="326742F5"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w:t>
            </w:r>
          </w:p>
        </w:tc>
        <w:tc>
          <w:tcPr>
            <w:tcW w:w="406" w:type="pct"/>
            <w:tcBorders>
              <w:top w:val="single" w:sz="6" w:space="0" w:color="auto"/>
              <w:bottom w:val="single" w:sz="6" w:space="0" w:color="auto"/>
              <w:right w:val="nil"/>
            </w:tcBorders>
            <w:shd w:val="clear" w:color="auto" w:fill="auto"/>
            <w:noWrap/>
            <w:tcMar>
              <w:left w:w="28" w:type="dxa"/>
              <w:right w:w="28" w:type="dxa"/>
            </w:tcMar>
            <w:vAlign w:val="center"/>
          </w:tcPr>
          <w:p w14:paraId="01FF3F87" w14:textId="6310C103"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59,404</w:t>
            </w:r>
          </w:p>
        </w:tc>
        <w:tc>
          <w:tcPr>
            <w:tcW w:w="209" w:type="pct"/>
            <w:tcBorders>
              <w:top w:val="single" w:sz="6" w:space="0" w:color="auto"/>
              <w:left w:val="nil"/>
              <w:bottom w:val="single" w:sz="6" w:space="0" w:color="auto"/>
            </w:tcBorders>
            <w:tcMar>
              <w:left w:w="28" w:type="dxa"/>
              <w:right w:w="28" w:type="dxa"/>
            </w:tcMar>
            <w:vAlign w:val="center"/>
          </w:tcPr>
          <w:p w14:paraId="5C53CD7B" w14:textId="0FE8AA81"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4%</w:t>
            </w:r>
          </w:p>
        </w:tc>
        <w:tc>
          <w:tcPr>
            <w:tcW w:w="428" w:type="pct"/>
            <w:tcBorders>
              <w:top w:val="single" w:sz="6" w:space="0" w:color="auto"/>
              <w:bottom w:val="single" w:sz="6" w:space="0" w:color="auto"/>
              <w:right w:val="nil"/>
            </w:tcBorders>
            <w:shd w:val="clear" w:color="auto" w:fill="auto"/>
            <w:noWrap/>
            <w:tcMar>
              <w:left w:w="28" w:type="dxa"/>
              <w:right w:w="28" w:type="dxa"/>
            </w:tcMar>
            <w:vAlign w:val="center"/>
          </w:tcPr>
          <w:p w14:paraId="3834CA67" w14:textId="513310BB"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45,435</w:t>
            </w:r>
          </w:p>
        </w:tc>
        <w:tc>
          <w:tcPr>
            <w:tcW w:w="274" w:type="pct"/>
            <w:tcBorders>
              <w:top w:val="single" w:sz="6" w:space="0" w:color="auto"/>
              <w:left w:val="nil"/>
              <w:bottom w:val="single" w:sz="6" w:space="0" w:color="auto"/>
            </w:tcBorders>
            <w:tcMar>
              <w:left w:w="28" w:type="dxa"/>
              <w:right w:w="28" w:type="dxa"/>
            </w:tcMar>
            <w:vAlign w:val="center"/>
          </w:tcPr>
          <w:p w14:paraId="7A7A3872" w14:textId="714C6AD6"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3%</w:t>
            </w:r>
          </w:p>
        </w:tc>
        <w:tc>
          <w:tcPr>
            <w:tcW w:w="364" w:type="pct"/>
            <w:tcBorders>
              <w:top w:val="single" w:sz="6" w:space="0" w:color="auto"/>
              <w:bottom w:val="single" w:sz="6" w:space="0" w:color="auto"/>
              <w:right w:val="nil"/>
            </w:tcBorders>
            <w:shd w:val="clear" w:color="auto" w:fill="auto"/>
            <w:noWrap/>
            <w:tcMar>
              <w:left w:w="28" w:type="dxa"/>
              <w:right w:w="28" w:type="dxa"/>
            </w:tcMar>
            <w:vAlign w:val="center"/>
          </w:tcPr>
          <w:p w14:paraId="5C459946" w14:textId="1E29D5C1"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15,055</w:t>
            </w:r>
          </w:p>
        </w:tc>
        <w:tc>
          <w:tcPr>
            <w:tcW w:w="264" w:type="pct"/>
            <w:tcBorders>
              <w:top w:val="single" w:sz="6" w:space="0" w:color="auto"/>
              <w:left w:val="nil"/>
              <w:bottom w:val="single" w:sz="6" w:space="0" w:color="auto"/>
            </w:tcBorders>
            <w:tcMar>
              <w:left w:w="28" w:type="dxa"/>
              <w:right w:w="28" w:type="dxa"/>
            </w:tcMar>
            <w:vAlign w:val="center"/>
          </w:tcPr>
          <w:p w14:paraId="5D4B5D04" w14:textId="2303D1E2"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w:t>
            </w:r>
          </w:p>
        </w:tc>
        <w:tc>
          <w:tcPr>
            <w:tcW w:w="383" w:type="pct"/>
            <w:tcBorders>
              <w:top w:val="single" w:sz="6" w:space="0" w:color="auto"/>
              <w:bottom w:val="single" w:sz="6" w:space="0" w:color="auto"/>
              <w:right w:val="nil"/>
            </w:tcBorders>
            <w:shd w:val="clear" w:color="auto" w:fill="auto"/>
            <w:noWrap/>
            <w:tcMar>
              <w:left w:w="28" w:type="dxa"/>
              <w:right w:w="28" w:type="dxa"/>
            </w:tcMar>
            <w:vAlign w:val="center"/>
          </w:tcPr>
          <w:p w14:paraId="75160AB0" w14:textId="2577C791"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16,548</w:t>
            </w:r>
          </w:p>
        </w:tc>
        <w:tc>
          <w:tcPr>
            <w:tcW w:w="232" w:type="pct"/>
            <w:tcBorders>
              <w:top w:val="single" w:sz="6" w:space="0" w:color="auto"/>
              <w:left w:val="nil"/>
              <w:bottom w:val="single" w:sz="6" w:space="0" w:color="auto"/>
            </w:tcBorders>
            <w:tcMar>
              <w:left w:w="28" w:type="dxa"/>
              <w:right w:w="28" w:type="dxa"/>
            </w:tcMar>
            <w:vAlign w:val="center"/>
          </w:tcPr>
          <w:p w14:paraId="1B56F0D0" w14:textId="65DEB354"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w:t>
            </w:r>
          </w:p>
        </w:tc>
        <w:tc>
          <w:tcPr>
            <w:tcW w:w="473" w:type="pct"/>
            <w:tcBorders>
              <w:top w:val="single" w:sz="6" w:space="0" w:color="auto"/>
              <w:bottom w:val="single" w:sz="6" w:space="0" w:color="auto"/>
              <w:right w:val="nil"/>
            </w:tcBorders>
            <w:shd w:val="clear" w:color="auto" w:fill="auto"/>
            <w:noWrap/>
            <w:tcMar>
              <w:left w:w="28" w:type="dxa"/>
              <w:right w:w="28" w:type="dxa"/>
            </w:tcMar>
            <w:vAlign w:val="center"/>
            <w:hideMark/>
          </w:tcPr>
          <w:p w14:paraId="69A4F03B" w14:textId="2F721348"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154,906</w:t>
            </w:r>
          </w:p>
        </w:tc>
        <w:tc>
          <w:tcPr>
            <w:tcW w:w="303" w:type="pct"/>
            <w:tcBorders>
              <w:top w:val="single" w:sz="6" w:space="0" w:color="auto"/>
              <w:left w:val="nil"/>
              <w:bottom w:val="single" w:sz="6" w:space="0" w:color="auto"/>
            </w:tcBorders>
            <w:tcMar>
              <w:left w:w="28" w:type="dxa"/>
              <w:right w:w="28" w:type="dxa"/>
            </w:tcMar>
            <w:vAlign w:val="center"/>
          </w:tcPr>
          <w:p w14:paraId="355C3310" w14:textId="16DE94FD"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12%</w:t>
            </w:r>
          </w:p>
        </w:tc>
      </w:tr>
      <w:tr w:rsidR="00D2485D" w:rsidRPr="00836874" w14:paraId="6ADF7650" w14:textId="2D1FC933" w:rsidTr="00D2485D">
        <w:trPr>
          <w:trHeight w:val="240"/>
        </w:trPr>
        <w:tc>
          <w:tcPr>
            <w:tcW w:w="1027" w:type="pct"/>
            <w:tcBorders>
              <w:top w:val="single" w:sz="6" w:space="0" w:color="auto"/>
              <w:bottom w:val="single" w:sz="6" w:space="0" w:color="auto"/>
              <w:right w:val="single" w:sz="4" w:space="0" w:color="auto"/>
            </w:tcBorders>
            <w:shd w:val="clear" w:color="000000" w:fill="CCCCCC"/>
            <w:noWrap/>
            <w:tcMar>
              <w:left w:w="28" w:type="dxa"/>
              <w:right w:w="28" w:type="dxa"/>
            </w:tcMar>
            <w:vAlign w:val="center"/>
            <w:hideMark/>
          </w:tcPr>
          <w:p w14:paraId="0488F08A" w14:textId="6FC0655E" w:rsidR="00D2485D" w:rsidRPr="00836874" w:rsidRDefault="00D2485D" w:rsidP="00731FB6">
            <w:pPr>
              <w:rPr>
                <w:rFonts w:ascii="Calibri" w:hAnsi="Calibri"/>
                <w:b/>
                <w:bCs/>
                <w:color w:val="000000"/>
                <w:sz w:val="18"/>
                <w:szCs w:val="18"/>
              </w:rPr>
            </w:pPr>
            <w:r>
              <w:rPr>
                <w:rFonts w:ascii="Calibri" w:hAnsi="Calibri"/>
                <w:b/>
                <w:bCs/>
                <w:color w:val="000000"/>
                <w:sz w:val="18"/>
                <w:szCs w:val="18"/>
              </w:rPr>
              <w:t xml:space="preserve">Annual </w:t>
            </w:r>
            <w:r w:rsidRPr="00836874">
              <w:rPr>
                <w:rFonts w:ascii="Calibri" w:hAnsi="Calibri"/>
                <w:b/>
                <w:bCs/>
                <w:color w:val="000000"/>
                <w:sz w:val="18"/>
                <w:szCs w:val="18"/>
              </w:rPr>
              <w:t>Total</w:t>
            </w:r>
          </w:p>
        </w:tc>
        <w:tc>
          <w:tcPr>
            <w:tcW w:w="637" w:type="pct"/>
            <w:gridSpan w:val="2"/>
            <w:tcBorders>
              <w:top w:val="single" w:sz="6" w:space="0" w:color="auto"/>
              <w:left w:val="single" w:sz="4" w:space="0" w:color="auto"/>
              <w:bottom w:val="single" w:sz="6" w:space="0" w:color="auto"/>
              <w:right w:val="single" w:sz="4" w:space="0" w:color="auto"/>
            </w:tcBorders>
            <w:shd w:val="clear" w:color="000000" w:fill="CCCCCC"/>
            <w:noWrap/>
            <w:tcMar>
              <w:left w:w="28" w:type="dxa"/>
              <w:right w:w="28" w:type="dxa"/>
            </w:tcMar>
            <w:vAlign w:val="center"/>
          </w:tcPr>
          <w:p w14:paraId="2967AD62" w14:textId="1365DADF" w:rsidR="00D2485D" w:rsidRPr="00167D80" w:rsidRDefault="00D2485D" w:rsidP="00731FB6">
            <w:pPr>
              <w:jc w:val="center"/>
              <w:rPr>
                <w:rFonts w:asciiTheme="minorHAnsi" w:hAnsiTheme="minorHAnsi"/>
                <w:b/>
                <w:bCs/>
                <w:color w:val="000000"/>
                <w:sz w:val="18"/>
                <w:szCs w:val="18"/>
              </w:rPr>
            </w:pPr>
            <w:r>
              <w:rPr>
                <w:rFonts w:asciiTheme="minorHAnsi" w:hAnsiTheme="minorHAnsi"/>
                <w:b/>
                <w:bCs/>
                <w:color w:val="000000"/>
                <w:sz w:val="18"/>
                <w:szCs w:val="18"/>
              </w:rPr>
              <w:t>2014</w:t>
            </w:r>
          </w:p>
        </w:tc>
        <w:tc>
          <w:tcPr>
            <w:tcW w:w="615" w:type="pct"/>
            <w:gridSpan w:val="2"/>
            <w:tcBorders>
              <w:top w:val="single" w:sz="6" w:space="0" w:color="auto"/>
              <w:left w:val="single" w:sz="4" w:space="0" w:color="auto"/>
              <w:bottom w:val="single" w:sz="6" w:space="0" w:color="auto"/>
              <w:right w:val="single" w:sz="4" w:space="0" w:color="auto"/>
            </w:tcBorders>
            <w:shd w:val="clear" w:color="000000" w:fill="CCCCCC"/>
            <w:vAlign w:val="center"/>
          </w:tcPr>
          <w:p w14:paraId="27F978BA" w14:textId="458A54E9" w:rsidR="00D2485D" w:rsidRPr="00167D80" w:rsidRDefault="00D2485D" w:rsidP="00731FB6">
            <w:pPr>
              <w:jc w:val="center"/>
              <w:rPr>
                <w:rFonts w:asciiTheme="minorHAnsi" w:hAnsiTheme="minorHAnsi"/>
                <w:b/>
                <w:bCs/>
                <w:color w:val="000000"/>
                <w:sz w:val="18"/>
                <w:szCs w:val="18"/>
              </w:rPr>
            </w:pPr>
            <w:r>
              <w:rPr>
                <w:rFonts w:asciiTheme="minorHAnsi" w:hAnsiTheme="minorHAnsi"/>
                <w:b/>
                <w:bCs/>
                <w:color w:val="000000"/>
                <w:sz w:val="18"/>
                <w:szCs w:val="18"/>
              </w:rPr>
              <w:t>2015</w:t>
            </w:r>
          </w:p>
        </w:tc>
        <w:tc>
          <w:tcPr>
            <w:tcW w:w="702" w:type="pct"/>
            <w:gridSpan w:val="2"/>
            <w:tcBorders>
              <w:top w:val="single" w:sz="6" w:space="0" w:color="auto"/>
              <w:left w:val="single" w:sz="4" w:space="0" w:color="auto"/>
              <w:bottom w:val="single" w:sz="6" w:space="0" w:color="auto"/>
              <w:right w:val="single" w:sz="4" w:space="0" w:color="auto"/>
            </w:tcBorders>
            <w:shd w:val="clear" w:color="000000" w:fill="CCCCCC"/>
            <w:vAlign w:val="center"/>
          </w:tcPr>
          <w:p w14:paraId="1C50C0C5" w14:textId="66E83573" w:rsidR="00D2485D" w:rsidRPr="00167D80" w:rsidRDefault="00D2485D" w:rsidP="00731FB6">
            <w:pPr>
              <w:jc w:val="center"/>
              <w:rPr>
                <w:rFonts w:asciiTheme="minorHAnsi" w:hAnsiTheme="minorHAnsi"/>
                <w:b/>
                <w:bCs/>
                <w:color w:val="000000"/>
                <w:sz w:val="18"/>
                <w:szCs w:val="18"/>
              </w:rPr>
            </w:pPr>
            <w:r>
              <w:rPr>
                <w:rFonts w:asciiTheme="minorHAnsi" w:hAnsiTheme="minorHAnsi"/>
                <w:b/>
                <w:bCs/>
                <w:color w:val="000000"/>
                <w:sz w:val="18"/>
                <w:szCs w:val="18"/>
              </w:rPr>
              <w:t>2016</w:t>
            </w:r>
          </w:p>
        </w:tc>
        <w:tc>
          <w:tcPr>
            <w:tcW w:w="628" w:type="pct"/>
            <w:gridSpan w:val="2"/>
            <w:tcBorders>
              <w:top w:val="single" w:sz="6" w:space="0" w:color="auto"/>
              <w:left w:val="single" w:sz="4" w:space="0" w:color="auto"/>
              <w:bottom w:val="single" w:sz="6" w:space="0" w:color="auto"/>
              <w:right w:val="single" w:sz="4" w:space="0" w:color="auto"/>
            </w:tcBorders>
            <w:shd w:val="clear" w:color="000000" w:fill="CCCCCC"/>
            <w:vAlign w:val="center"/>
          </w:tcPr>
          <w:p w14:paraId="569A7153" w14:textId="75576F91" w:rsidR="00D2485D" w:rsidRPr="00167D80" w:rsidRDefault="00D2485D" w:rsidP="00731FB6">
            <w:pPr>
              <w:jc w:val="center"/>
              <w:rPr>
                <w:rFonts w:asciiTheme="minorHAnsi" w:hAnsiTheme="minorHAnsi"/>
                <w:b/>
                <w:bCs/>
                <w:color w:val="000000"/>
                <w:sz w:val="18"/>
                <w:szCs w:val="18"/>
              </w:rPr>
            </w:pPr>
            <w:r>
              <w:rPr>
                <w:rFonts w:asciiTheme="minorHAnsi" w:hAnsiTheme="minorHAnsi"/>
                <w:b/>
                <w:bCs/>
                <w:color w:val="000000"/>
                <w:sz w:val="18"/>
                <w:szCs w:val="18"/>
              </w:rPr>
              <w:t>2017</w:t>
            </w:r>
          </w:p>
        </w:tc>
        <w:tc>
          <w:tcPr>
            <w:tcW w:w="615" w:type="pct"/>
            <w:gridSpan w:val="2"/>
            <w:tcBorders>
              <w:top w:val="single" w:sz="6" w:space="0" w:color="auto"/>
              <w:left w:val="single" w:sz="4" w:space="0" w:color="auto"/>
              <w:bottom w:val="single" w:sz="6" w:space="0" w:color="auto"/>
              <w:right w:val="single" w:sz="4" w:space="0" w:color="auto"/>
            </w:tcBorders>
            <w:shd w:val="clear" w:color="000000" w:fill="CCCCCC"/>
            <w:vAlign w:val="center"/>
          </w:tcPr>
          <w:p w14:paraId="07136985" w14:textId="365FF201" w:rsidR="00D2485D" w:rsidRPr="00167D80" w:rsidRDefault="00D2485D" w:rsidP="00731FB6">
            <w:pPr>
              <w:jc w:val="center"/>
              <w:rPr>
                <w:rFonts w:asciiTheme="minorHAnsi" w:hAnsiTheme="minorHAnsi"/>
                <w:b/>
                <w:bCs/>
                <w:color w:val="000000"/>
                <w:sz w:val="18"/>
                <w:szCs w:val="18"/>
              </w:rPr>
            </w:pPr>
            <w:r>
              <w:rPr>
                <w:rFonts w:asciiTheme="minorHAnsi" w:hAnsiTheme="minorHAnsi"/>
                <w:b/>
                <w:bCs/>
                <w:color w:val="000000"/>
                <w:sz w:val="18"/>
                <w:szCs w:val="18"/>
              </w:rPr>
              <w:t>2018</w:t>
            </w:r>
          </w:p>
        </w:tc>
        <w:tc>
          <w:tcPr>
            <w:tcW w:w="776" w:type="pct"/>
            <w:gridSpan w:val="2"/>
            <w:tcBorders>
              <w:top w:val="single" w:sz="6" w:space="0" w:color="auto"/>
              <w:left w:val="single" w:sz="4" w:space="0" w:color="auto"/>
              <w:bottom w:val="single" w:sz="6" w:space="0" w:color="auto"/>
            </w:tcBorders>
            <w:shd w:val="clear" w:color="000000" w:fill="CCCCCC"/>
            <w:vAlign w:val="center"/>
          </w:tcPr>
          <w:p w14:paraId="377681F2" w14:textId="19D3F299" w:rsidR="00D2485D" w:rsidRPr="00167D80" w:rsidRDefault="00D2485D" w:rsidP="00731FB6">
            <w:pPr>
              <w:jc w:val="center"/>
              <w:rPr>
                <w:rFonts w:asciiTheme="minorHAnsi" w:hAnsiTheme="minorHAnsi"/>
                <w:b/>
                <w:bCs/>
                <w:color w:val="000000"/>
                <w:sz w:val="18"/>
                <w:szCs w:val="18"/>
              </w:rPr>
            </w:pPr>
            <w:r>
              <w:rPr>
                <w:rFonts w:asciiTheme="minorHAnsi" w:hAnsiTheme="minorHAnsi"/>
                <w:b/>
                <w:bCs/>
                <w:color w:val="000000"/>
                <w:sz w:val="18"/>
                <w:szCs w:val="18"/>
              </w:rPr>
              <w:t>Total</w:t>
            </w:r>
          </w:p>
        </w:tc>
      </w:tr>
      <w:tr w:rsidR="00D2485D" w:rsidRPr="00836874" w14:paraId="52977CD7" w14:textId="5863E147" w:rsidTr="000D10BA">
        <w:trPr>
          <w:trHeight w:val="240"/>
        </w:trPr>
        <w:tc>
          <w:tcPr>
            <w:tcW w:w="1027" w:type="pct"/>
            <w:tcBorders>
              <w:top w:val="single" w:sz="6" w:space="0" w:color="auto"/>
            </w:tcBorders>
            <w:shd w:val="clear" w:color="auto" w:fill="auto"/>
            <w:noWrap/>
            <w:tcMar>
              <w:left w:w="28" w:type="dxa"/>
              <w:right w:w="28" w:type="dxa"/>
            </w:tcMar>
            <w:vAlign w:val="center"/>
            <w:hideMark/>
          </w:tcPr>
          <w:p w14:paraId="19CAC264" w14:textId="7B632E76" w:rsidR="00167D80" w:rsidRPr="00836874" w:rsidRDefault="00167D80" w:rsidP="00731FB6">
            <w:pPr>
              <w:rPr>
                <w:rFonts w:ascii="Calibri" w:hAnsi="Calibri"/>
                <w:color w:val="000000"/>
                <w:sz w:val="18"/>
                <w:szCs w:val="18"/>
              </w:rPr>
            </w:pPr>
            <w:r w:rsidRPr="00836874">
              <w:rPr>
                <w:rFonts w:ascii="Calibri" w:hAnsi="Calibri"/>
                <w:color w:val="000000"/>
                <w:sz w:val="18"/>
                <w:szCs w:val="18"/>
              </w:rPr>
              <w:t>ProDoc Budget</w:t>
            </w:r>
          </w:p>
        </w:tc>
        <w:tc>
          <w:tcPr>
            <w:tcW w:w="405" w:type="pct"/>
            <w:tcBorders>
              <w:top w:val="single" w:sz="6" w:space="0" w:color="auto"/>
              <w:bottom w:val="single" w:sz="6" w:space="0" w:color="auto"/>
              <w:right w:val="nil"/>
            </w:tcBorders>
            <w:shd w:val="clear" w:color="auto" w:fill="auto"/>
            <w:noWrap/>
            <w:tcMar>
              <w:left w:w="28" w:type="dxa"/>
              <w:right w:w="28" w:type="dxa"/>
            </w:tcMar>
            <w:vAlign w:val="center"/>
          </w:tcPr>
          <w:p w14:paraId="12903C64" w14:textId="49DDCD90"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237,997</w:t>
            </w:r>
          </w:p>
        </w:tc>
        <w:tc>
          <w:tcPr>
            <w:tcW w:w="232" w:type="pct"/>
            <w:tcBorders>
              <w:top w:val="single" w:sz="6" w:space="0" w:color="auto"/>
              <w:left w:val="nil"/>
              <w:bottom w:val="single" w:sz="6" w:space="0" w:color="auto"/>
            </w:tcBorders>
            <w:tcMar>
              <w:left w:w="28" w:type="dxa"/>
              <w:right w:w="28" w:type="dxa"/>
            </w:tcMar>
            <w:vAlign w:val="center"/>
          </w:tcPr>
          <w:p w14:paraId="4EBE4AC7" w14:textId="45AF719B"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18%</w:t>
            </w:r>
          </w:p>
        </w:tc>
        <w:tc>
          <w:tcPr>
            <w:tcW w:w="406" w:type="pct"/>
            <w:tcBorders>
              <w:top w:val="single" w:sz="6" w:space="0" w:color="auto"/>
              <w:bottom w:val="single" w:sz="6" w:space="0" w:color="auto"/>
              <w:right w:val="nil"/>
            </w:tcBorders>
            <w:shd w:val="clear" w:color="auto" w:fill="auto"/>
            <w:noWrap/>
            <w:tcMar>
              <w:left w:w="28" w:type="dxa"/>
              <w:right w:w="28" w:type="dxa"/>
            </w:tcMar>
            <w:vAlign w:val="center"/>
          </w:tcPr>
          <w:p w14:paraId="4269756F" w14:textId="60100C6E"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463,577</w:t>
            </w:r>
          </w:p>
        </w:tc>
        <w:tc>
          <w:tcPr>
            <w:tcW w:w="209" w:type="pct"/>
            <w:tcBorders>
              <w:top w:val="single" w:sz="6" w:space="0" w:color="auto"/>
              <w:left w:val="nil"/>
              <w:bottom w:val="single" w:sz="6" w:space="0" w:color="auto"/>
            </w:tcBorders>
            <w:tcMar>
              <w:left w:w="28" w:type="dxa"/>
              <w:right w:w="28" w:type="dxa"/>
            </w:tcMar>
            <w:vAlign w:val="center"/>
          </w:tcPr>
          <w:p w14:paraId="5694BEAF" w14:textId="0ADB00A5"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35%</w:t>
            </w:r>
          </w:p>
        </w:tc>
        <w:tc>
          <w:tcPr>
            <w:tcW w:w="428" w:type="pct"/>
            <w:tcBorders>
              <w:top w:val="single" w:sz="6" w:space="0" w:color="auto"/>
              <w:bottom w:val="single" w:sz="6" w:space="0" w:color="auto"/>
              <w:right w:val="nil"/>
            </w:tcBorders>
            <w:shd w:val="clear" w:color="auto" w:fill="auto"/>
            <w:noWrap/>
            <w:tcMar>
              <w:left w:w="28" w:type="dxa"/>
              <w:right w:w="28" w:type="dxa"/>
            </w:tcMar>
            <w:vAlign w:val="center"/>
          </w:tcPr>
          <w:p w14:paraId="62CB0A80" w14:textId="3C8B5FE3"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299,970</w:t>
            </w:r>
          </w:p>
        </w:tc>
        <w:tc>
          <w:tcPr>
            <w:tcW w:w="274" w:type="pct"/>
            <w:tcBorders>
              <w:top w:val="single" w:sz="6" w:space="0" w:color="auto"/>
              <w:left w:val="nil"/>
              <w:bottom w:val="single" w:sz="6" w:space="0" w:color="auto"/>
            </w:tcBorders>
            <w:tcMar>
              <w:left w:w="28" w:type="dxa"/>
              <w:right w:w="28" w:type="dxa"/>
            </w:tcMar>
            <w:vAlign w:val="center"/>
          </w:tcPr>
          <w:p w14:paraId="6D702916" w14:textId="3DAF9583"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23%</w:t>
            </w:r>
          </w:p>
        </w:tc>
        <w:tc>
          <w:tcPr>
            <w:tcW w:w="364" w:type="pct"/>
            <w:tcBorders>
              <w:top w:val="single" w:sz="6" w:space="0" w:color="auto"/>
              <w:bottom w:val="single" w:sz="6" w:space="0" w:color="auto"/>
              <w:right w:val="nil"/>
            </w:tcBorders>
            <w:shd w:val="clear" w:color="auto" w:fill="auto"/>
            <w:noWrap/>
            <w:tcMar>
              <w:left w:w="28" w:type="dxa"/>
              <w:right w:w="28" w:type="dxa"/>
            </w:tcMar>
            <w:vAlign w:val="center"/>
          </w:tcPr>
          <w:p w14:paraId="225EAEE9" w14:textId="01318ED9"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322,092</w:t>
            </w:r>
          </w:p>
        </w:tc>
        <w:tc>
          <w:tcPr>
            <w:tcW w:w="264" w:type="pct"/>
            <w:tcBorders>
              <w:top w:val="single" w:sz="6" w:space="0" w:color="auto"/>
              <w:left w:val="nil"/>
              <w:bottom w:val="single" w:sz="6" w:space="0" w:color="auto"/>
            </w:tcBorders>
            <w:tcMar>
              <w:left w:w="28" w:type="dxa"/>
              <w:right w:w="28" w:type="dxa"/>
            </w:tcMar>
            <w:vAlign w:val="center"/>
          </w:tcPr>
          <w:p w14:paraId="66BFDE48" w14:textId="264FD87F"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24%</w:t>
            </w:r>
          </w:p>
        </w:tc>
        <w:tc>
          <w:tcPr>
            <w:tcW w:w="383" w:type="pct"/>
            <w:tcBorders>
              <w:top w:val="single" w:sz="6" w:space="0" w:color="auto"/>
              <w:bottom w:val="single" w:sz="6" w:space="0" w:color="auto"/>
              <w:right w:val="nil"/>
            </w:tcBorders>
            <w:shd w:val="clear" w:color="auto" w:fill="auto"/>
            <w:noWrap/>
            <w:tcMar>
              <w:left w:w="28" w:type="dxa"/>
              <w:right w:w="28" w:type="dxa"/>
            </w:tcMar>
            <w:vAlign w:val="center"/>
          </w:tcPr>
          <w:p w14:paraId="2568F564" w14:textId="0B13ADE6" w:rsidR="00167D80" w:rsidRPr="00167D80" w:rsidRDefault="00167D80" w:rsidP="00167D80">
            <w:pPr>
              <w:jc w:val="right"/>
              <w:rPr>
                <w:rFonts w:asciiTheme="minorHAnsi" w:hAnsiTheme="minorHAnsi"/>
                <w:color w:val="000000"/>
                <w:sz w:val="18"/>
                <w:szCs w:val="18"/>
              </w:rPr>
            </w:pPr>
            <w:r>
              <w:rPr>
                <w:rFonts w:asciiTheme="minorHAnsi" w:hAnsiTheme="minorHAnsi"/>
                <w:color w:val="000000"/>
                <w:sz w:val="18"/>
                <w:szCs w:val="18"/>
              </w:rPr>
              <w:t>n/a</w:t>
            </w:r>
          </w:p>
        </w:tc>
        <w:tc>
          <w:tcPr>
            <w:tcW w:w="232" w:type="pct"/>
            <w:tcBorders>
              <w:top w:val="single" w:sz="6" w:space="0" w:color="auto"/>
              <w:left w:val="nil"/>
              <w:bottom w:val="single" w:sz="6" w:space="0" w:color="auto"/>
            </w:tcBorders>
            <w:tcMar>
              <w:left w:w="28" w:type="dxa"/>
              <w:right w:w="28" w:type="dxa"/>
            </w:tcMar>
            <w:vAlign w:val="center"/>
          </w:tcPr>
          <w:p w14:paraId="21A4D4A9" w14:textId="0F671C11"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0%</w:t>
            </w:r>
          </w:p>
        </w:tc>
        <w:tc>
          <w:tcPr>
            <w:tcW w:w="473" w:type="pct"/>
            <w:tcBorders>
              <w:top w:val="single" w:sz="6" w:space="0" w:color="auto"/>
              <w:bottom w:val="single" w:sz="6" w:space="0" w:color="auto"/>
              <w:right w:val="nil"/>
            </w:tcBorders>
            <w:shd w:val="clear" w:color="auto" w:fill="auto"/>
            <w:noWrap/>
            <w:tcMar>
              <w:left w:w="28" w:type="dxa"/>
              <w:right w:w="28" w:type="dxa"/>
            </w:tcMar>
            <w:vAlign w:val="center"/>
            <w:hideMark/>
          </w:tcPr>
          <w:p w14:paraId="469AC183" w14:textId="5040051B" w:rsidR="00167D80" w:rsidRPr="00167D80" w:rsidRDefault="00167D80" w:rsidP="00EE0572">
            <w:pPr>
              <w:jc w:val="right"/>
              <w:rPr>
                <w:rFonts w:asciiTheme="minorHAnsi" w:hAnsiTheme="minorHAnsi"/>
                <w:color w:val="FF0000"/>
                <w:sz w:val="18"/>
                <w:szCs w:val="18"/>
              </w:rPr>
            </w:pPr>
            <w:r w:rsidRPr="00167D80">
              <w:rPr>
                <w:rFonts w:asciiTheme="minorHAnsi" w:hAnsiTheme="minorHAnsi"/>
                <w:b/>
                <w:bCs/>
                <w:sz w:val="18"/>
                <w:szCs w:val="18"/>
              </w:rPr>
              <w:t>1,323,636</w:t>
            </w:r>
          </w:p>
        </w:tc>
        <w:tc>
          <w:tcPr>
            <w:tcW w:w="303" w:type="pct"/>
            <w:tcBorders>
              <w:top w:val="single" w:sz="6" w:space="0" w:color="auto"/>
              <w:left w:val="nil"/>
              <w:bottom w:val="single" w:sz="6" w:space="0" w:color="auto"/>
            </w:tcBorders>
            <w:tcMar>
              <w:left w:w="28" w:type="dxa"/>
              <w:right w:w="28" w:type="dxa"/>
            </w:tcMar>
            <w:vAlign w:val="center"/>
          </w:tcPr>
          <w:p w14:paraId="0AC63BC2" w14:textId="72531174" w:rsidR="00167D80" w:rsidRPr="00167D80" w:rsidRDefault="00167D80" w:rsidP="00731FB6">
            <w:pPr>
              <w:jc w:val="right"/>
              <w:rPr>
                <w:rFonts w:asciiTheme="minorHAnsi" w:hAnsiTheme="minorHAnsi"/>
                <w:color w:val="FF0000"/>
                <w:sz w:val="18"/>
                <w:szCs w:val="18"/>
              </w:rPr>
            </w:pPr>
            <w:r w:rsidRPr="00167D80">
              <w:rPr>
                <w:rFonts w:asciiTheme="minorHAnsi" w:hAnsiTheme="minorHAnsi"/>
                <w:color w:val="000000"/>
                <w:sz w:val="18"/>
                <w:szCs w:val="18"/>
              </w:rPr>
              <w:t>100%</w:t>
            </w:r>
          </w:p>
        </w:tc>
      </w:tr>
      <w:tr w:rsidR="00D2485D" w:rsidRPr="00836874" w14:paraId="61A2BBC6" w14:textId="71EF4895" w:rsidTr="000D10BA">
        <w:trPr>
          <w:trHeight w:val="240"/>
        </w:trPr>
        <w:tc>
          <w:tcPr>
            <w:tcW w:w="1027" w:type="pct"/>
            <w:shd w:val="clear" w:color="auto" w:fill="auto"/>
            <w:noWrap/>
            <w:tcMar>
              <w:left w:w="28" w:type="dxa"/>
              <w:right w:w="28" w:type="dxa"/>
            </w:tcMar>
            <w:vAlign w:val="center"/>
            <w:hideMark/>
          </w:tcPr>
          <w:p w14:paraId="189D243E" w14:textId="77777777" w:rsidR="00167D80" w:rsidRPr="00836874" w:rsidRDefault="00167D80" w:rsidP="00731FB6">
            <w:pPr>
              <w:rPr>
                <w:rFonts w:ascii="Calibri" w:hAnsi="Calibri"/>
                <w:color w:val="000000"/>
                <w:sz w:val="18"/>
                <w:szCs w:val="18"/>
              </w:rPr>
            </w:pPr>
            <w:r w:rsidRPr="00836874">
              <w:rPr>
                <w:rFonts w:ascii="Calibri" w:hAnsi="Calibri"/>
                <w:color w:val="000000"/>
                <w:sz w:val="18"/>
                <w:szCs w:val="18"/>
              </w:rPr>
              <w:t>Annual Work Plan</w:t>
            </w:r>
          </w:p>
        </w:tc>
        <w:tc>
          <w:tcPr>
            <w:tcW w:w="405" w:type="pct"/>
            <w:tcBorders>
              <w:top w:val="single" w:sz="6" w:space="0" w:color="auto"/>
              <w:bottom w:val="single" w:sz="6" w:space="0" w:color="auto"/>
              <w:right w:val="nil"/>
            </w:tcBorders>
            <w:shd w:val="clear" w:color="auto" w:fill="auto"/>
            <w:noWrap/>
            <w:tcMar>
              <w:left w:w="28" w:type="dxa"/>
              <w:right w:w="28" w:type="dxa"/>
            </w:tcMar>
            <w:vAlign w:val="center"/>
          </w:tcPr>
          <w:p w14:paraId="5F8413B9" w14:textId="3A5018ED"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41,442</w:t>
            </w:r>
          </w:p>
        </w:tc>
        <w:tc>
          <w:tcPr>
            <w:tcW w:w="232" w:type="pct"/>
            <w:tcBorders>
              <w:top w:val="single" w:sz="6" w:space="0" w:color="auto"/>
              <w:left w:val="nil"/>
              <w:bottom w:val="single" w:sz="6" w:space="0" w:color="auto"/>
            </w:tcBorders>
            <w:tcMar>
              <w:left w:w="28" w:type="dxa"/>
              <w:right w:w="28" w:type="dxa"/>
            </w:tcMar>
            <w:vAlign w:val="center"/>
          </w:tcPr>
          <w:p w14:paraId="579CE392" w14:textId="7D9B594D"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3%</w:t>
            </w:r>
          </w:p>
        </w:tc>
        <w:tc>
          <w:tcPr>
            <w:tcW w:w="406" w:type="pct"/>
            <w:tcBorders>
              <w:top w:val="single" w:sz="6" w:space="0" w:color="auto"/>
              <w:bottom w:val="single" w:sz="6" w:space="0" w:color="auto"/>
              <w:right w:val="nil"/>
            </w:tcBorders>
            <w:shd w:val="clear" w:color="auto" w:fill="auto"/>
            <w:noWrap/>
            <w:tcMar>
              <w:left w:w="28" w:type="dxa"/>
              <w:right w:w="28" w:type="dxa"/>
            </w:tcMar>
            <w:vAlign w:val="center"/>
          </w:tcPr>
          <w:p w14:paraId="68F578B2" w14:textId="4F864351"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414,880</w:t>
            </w:r>
          </w:p>
        </w:tc>
        <w:tc>
          <w:tcPr>
            <w:tcW w:w="209" w:type="pct"/>
            <w:tcBorders>
              <w:top w:val="single" w:sz="6" w:space="0" w:color="auto"/>
              <w:left w:val="nil"/>
              <w:bottom w:val="single" w:sz="6" w:space="0" w:color="auto"/>
            </w:tcBorders>
            <w:tcMar>
              <w:left w:w="28" w:type="dxa"/>
              <w:right w:w="28" w:type="dxa"/>
            </w:tcMar>
            <w:vAlign w:val="center"/>
          </w:tcPr>
          <w:p w14:paraId="5329DDED" w14:textId="35F9621C"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31%</w:t>
            </w:r>
          </w:p>
        </w:tc>
        <w:tc>
          <w:tcPr>
            <w:tcW w:w="428" w:type="pct"/>
            <w:tcBorders>
              <w:top w:val="single" w:sz="6" w:space="0" w:color="auto"/>
              <w:bottom w:val="single" w:sz="6" w:space="0" w:color="auto"/>
              <w:right w:val="nil"/>
            </w:tcBorders>
            <w:shd w:val="clear" w:color="auto" w:fill="auto"/>
            <w:noWrap/>
            <w:tcMar>
              <w:left w:w="28" w:type="dxa"/>
              <w:right w:w="28" w:type="dxa"/>
            </w:tcMar>
            <w:vAlign w:val="center"/>
          </w:tcPr>
          <w:p w14:paraId="2C24325C" w14:textId="10FE377E"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433,945</w:t>
            </w:r>
          </w:p>
        </w:tc>
        <w:tc>
          <w:tcPr>
            <w:tcW w:w="274" w:type="pct"/>
            <w:tcBorders>
              <w:top w:val="single" w:sz="6" w:space="0" w:color="auto"/>
              <w:left w:val="nil"/>
              <w:bottom w:val="single" w:sz="6" w:space="0" w:color="auto"/>
            </w:tcBorders>
            <w:tcMar>
              <w:left w:w="28" w:type="dxa"/>
              <w:right w:w="28" w:type="dxa"/>
            </w:tcMar>
            <w:vAlign w:val="center"/>
          </w:tcPr>
          <w:p w14:paraId="2CAE8792" w14:textId="37BBD813"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33%</w:t>
            </w:r>
          </w:p>
        </w:tc>
        <w:tc>
          <w:tcPr>
            <w:tcW w:w="364" w:type="pct"/>
            <w:tcBorders>
              <w:top w:val="single" w:sz="6" w:space="0" w:color="auto"/>
              <w:bottom w:val="single" w:sz="6" w:space="0" w:color="auto"/>
              <w:right w:val="nil"/>
            </w:tcBorders>
            <w:shd w:val="clear" w:color="auto" w:fill="auto"/>
            <w:noWrap/>
            <w:tcMar>
              <w:left w:w="28" w:type="dxa"/>
              <w:right w:w="28" w:type="dxa"/>
            </w:tcMar>
            <w:vAlign w:val="center"/>
          </w:tcPr>
          <w:p w14:paraId="03ACCA45" w14:textId="5B88A05A"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342,506</w:t>
            </w:r>
          </w:p>
        </w:tc>
        <w:tc>
          <w:tcPr>
            <w:tcW w:w="264" w:type="pct"/>
            <w:tcBorders>
              <w:top w:val="single" w:sz="6" w:space="0" w:color="auto"/>
              <w:left w:val="nil"/>
              <w:bottom w:val="single" w:sz="6" w:space="0" w:color="auto"/>
            </w:tcBorders>
            <w:tcMar>
              <w:left w:w="28" w:type="dxa"/>
              <w:right w:w="28" w:type="dxa"/>
            </w:tcMar>
            <w:vAlign w:val="center"/>
          </w:tcPr>
          <w:p w14:paraId="6B752292" w14:textId="7AADE27D"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26%</w:t>
            </w:r>
          </w:p>
        </w:tc>
        <w:tc>
          <w:tcPr>
            <w:tcW w:w="383" w:type="pct"/>
            <w:tcBorders>
              <w:top w:val="single" w:sz="6" w:space="0" w:color="auto"/>
              <w:bottom w:val="single" w:sz="6" w:space="0" w:color="auto"/>
              <w:right w:val="nil"/>
            </w:tcBorders>
            <w:shd w:val="clear" w:color="auto" w:fill="auto"/>
            <w:noWrap/>
            <w:tcMar>
              <w:left w:w="28" w:type="dxa"/>
              <w:right w:w="28" w:type="dxa"/>
            </w:tcMar>
            <w:vAlign w:val="center"/>
          </w:tcPr>
          <w:p w14:paraId="16D85A30" w14:textId="796C5532"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229,769</w:t>
            </w:r>
          </w:p>
        </w:tc>
        <w:tc>
          <w:tcPr>
            <w:tcW w:w="232" w:type="pct"/>
            <w:tcBorders>
              <w:top w:val="single" w:sz="6" w:space="0" w:color="auto"/>
              <w:left w:val="nil"/>
              <w:bottom w:val="single" w:sz="6" w:space="0" w:color="auto"/>
            </w:tcBorders>
            <w:tcMar>
              <w:left w:w="28" w:type="dxa"/>
              <w:right w:w="28" w:type="dxa"/>
            </w:tcMar>
            <w:vAlign w:val="center"/>
          </w:tcPr>
          <w:p w14:paraId="64EA9202" w14:textId="37BFEE84"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17%</w:t>
            </w:r>
          </w:p>
        </w:tc>
        <w:tc>
          <w:tcPr>
            <w:tcW w:w="473" w:type="pct"/>
            <w:tcBorders>
              <w:top w:val="single" w:sz="6" w:space="0" w:color="auto"/>
              <w:bottom w:val="single" w:sz="6" w:space="0" w:color="auto"/>
              <w:right w:val="nil"/>
            </w:tcBorders>
            <w:shd w:val="clear" w:color="auto" w:fill="auto"/>
            <w:noWrap/>
            <w:tcMar>
              <w:left w:w="28" w:type="dxa"/>
              <w:right w:w="28" w:type="dxa"/>
            </w:tcMar>
            <w:vAlign w:val="center"/>
            <w:hideMark/>
          </w:tcPr>
          <w:p w14:paraId="0508A1DB" w14:textId="59592CA6" w:rsidR="00167D80" w:rsidRPr="00167D80" w:rsidRDefault="00167D80" w:rsidP="00731FB6">
            <w:pPr>
              <w:jc w:val="right"/>
              <w:rPr>
                <w:rFonts w:asciiTheme="minorHAnsi" w:hAnsiTheme="minorHAnsi"/>
                <w:color w:val="FF0000"/>
                <w:sz w:val="18"/>
                <w:szCs w:val="18"/>
              </w:rPr>
            </w:pPr>
            <w:r w:rsidRPr="00167D80">
              <w:rPr>
                <w:rFonts w:asciiTheme="minorHAnsi" w:hAnsiTheme="minorHAnsi"/>
                <w:color w:val="000000"/>
                <w:sz w:val="18"/>
                <w:szCs w:val="18"/>
              </w:rPr>
              <w:t>1,462,543</w:t>
            </w:r>
          </w:p>
        </w:tc>
        <w:tc>
          <w:tcPr>
            <w:tcW w:w="303" w:type="pct"/>
            <w:tcBorders>
              <w:top w:val="single" w:sz="6" w:space="0" w:color="auto"/>
              <w:left w:val="nil"/>
              <w:bottom w:val="single" w:sz="6" w:space="0" w:color="auto"/>
            </w:tcBorders>
            <w:tcMar>
              <w:left w:w="28" w:type="dxa"/>
              <w:right w:w="28" w:type="dxa"/>
            </w:tcMar>
            <w:vAlign w:val="center"/>
          </w:tcPr>
          <w:p w14:paraId="03C0646F" w14:textId="631BCD04" w:rsidR="00167D80" w:rsidRPr="00167D80" w:rsidRDefault="00167D80" w:rsidP="00731FB6">
            <w:pPr>
              <w:jc w:val="right"/>
              <w:rPr>
                <w:rFonts w:asciiTheme="minorHAnsi" w:hAnsiTheme="minorHAnsi"/>
                <w:color w:val="FF0000"/>
                <w:sz w:val="18"/>
                <w:szCs w:val="18"/>
              </w:rPr>
            </w:pPr>
            <w:r w:rsidRPr="00167D80">
              <w:rPr>
                <w:rFonts w:asciiTheme="minorHAnsi" w:hAnsiTheme="minorHAnsi"/>
                <w:color w:val="000000"/>
                <w:sz w:val="18"/>
                <w:szCs w:val="18"/>
              </w:rPr>
              <w:t>110%</w:t>
            </w:r>
          </w:p>
        </w:tc>
      </w:tr>
      <w:tr w:rsidR="00D2485D" w:rsidRPr="00836874" w14:paraId="225BFB02" w14:textId="06D9A3CF" w:rsidTr="000D10BA">
        <w:trPr>
          <w:trHeight w:val="240"/>
        </w:trPr>
        <w:tc>
          <w:tcPr>
            <w:tcW w:w="1027" w:type="pct"/>
            <w:shd w:val="clear" w:color="auto" w:fill="auto"/>
            <w:noWrap/>
            <w:tcMar>
              <w:left w:w="28" w:type="dxa"/>
              <w:right w:w="28" w:type="dxa"/>
            </w:tcMar>
            <w:vAlign w:val="center"/>
            <w:hideMark/>
          </w:tcPr>
          <w:p w14:paraId="3B0A7D9C" w14:textId="6A9F7A82" w:rsidR="00167D80" w:rsidRPr="00836874" w:rsidRDefault="00167D80" w:rsidP="00731FB6">
            <w:pPr>
              <w:rPr>
                <w:rFonts w:ascii="Calibri" w:hAnsi="Calibri"/>
                <w:color w:val="000000"/>
                <w:sz w:val="18"/>
                <w:szCs w:val="18"/>
              </w:rPr>
            </w:pPr>
            <w:r>
              <w:rPr>
                <w:rFonts w:ascii="Calibri" w:hAnsi="Calibri"/>
                <w:color w:val="000000"/>
                <w:sz w:val="18"/>
                <w:szCs w:val="18"/>
              </w:rPr>
              <w:t>Expended</w:t>
            </w:r>
          </w:p>
        </w:tc>
        <w:tc>
          <w:tcPr>
            <w:tcW w:w="405" w:type="pct"/>
            <w:tcBorders>
              <w:top w:val="single" w:sz="6" w:space="0" w:color="auto"/>
              <w:bottom w:val="single" w:sz="4" w:space="0" w:color="auto"/>
              <w:right w:val="nil"/>
            </w:tcBorders>
            <w:shd w:val="clear" w:color="auto" w:fill="auto"/>
            <w:noWrap/>
            <w:tcMar>
              <w:left w:w="28" w:type="dxa"/>
              <w:right w:w="28" w:type="dxa"/>
            </w:tcMar>
            <w:vAlign w:val="center"/>
          </w:tcPr>
          <w:p w14:paraId="1C81ABFB" w14:textId="39D4D86D"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41,442</w:t>
            </w:r>
          </w:p>
        </w:tc>
        <w:tc>
          <w:tcPr>
            <w:tcW w:w="232" w:type="pct"/>
            <w:tcBorders>
              <w:top w:val="single" w:sz="6" w:space="0" w:color="auto"/>
              <w:left w:val="nil"/>
              <w:bottom w:val="single" w:sz="4" w:space="0" w:color="auto"/>
            </w:tcBorders>
            <w:tcMar>
              <w:left w:w="28" w:type="dxa"/>
              <w:right w:w="28" w:type="dxa"/>
            </w:tcMar>
            <w:vAlign w:val="center"/>
          </w:tcPr>
          <w:p w14:paraId="1B3E3E9E" w14:textId="7B223E0F"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3%</w:t>
            </w:r>
          </w:p>
        </w:tc>
        <w:tc>
          <w:tcPr>
            <w:tcW w:w="406" w:type="pct"/>
            <w:tcBorders>
              <w:top w:val="single" w:sz="6" w:space="0" w:color="auto"/>
              <w:bottom w:val="single" w:sz="6" w:space="0" w:color="auto"/>
              <w:right w:val="nil"/>
            </w:tcBorders>
            <w:shd w:val="clear" w:color="auto" w:fill="auto"/>
            <w:noWrap/>
            <w:tcMar>
              <w:left w:w="28" w:type="dxa"/>
              <w:right w:w="28" w:type="dxa"/>
            </w:tcMar>
            <w:vAlign w:val="center"/>
          </w:tcPr>
          <w:p w14:paraId="35AF7BA6" w14:textId="67DB2A35"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377,905</w:t>
            </w:r>
          </w:p>
        </w:tc>
        <w:tc>
          <w:tcPr>
            <w:tcW w:w="209" w:type="pct"/>
            <w:tcBorders>
              <w:top w:val="single" w:sz="6" w:space="0" w:color="auto"/>
              <w:left w:val="nil"/>
              <w:bottom w:val="single" w:sz="6" w:space="0" w:color="auto"/>
            </w:tcBorders>
            <w:tcMar>
              <w:left w:w="28" w:type="dxa"/>
              <w:right w:w="28" w:type="dxa"/>
            </w:tcMar>
            <w:vAlign w:val="center"/>
          </w:tcPr>
          <w:p w14:paraId="4449CC50" w14:textId="39E40037"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29%</w:t>
            </w:r>
          </w:p>
        </w:tc>
        <w:tc>
          <w:tcPr>
            <w:tcW w:w="428" w:type="pct"/>
            <w:tcBorders>
              <w:top w:val="single" w:sz="6" w:space="0" w:color="auto"/>
              <w:bottom w:val="single" w:sz="4" w:space="0" w:color="auto"/>
              <w:right w:val="nil"/>
            </w:tcBorders>
            <w:shd w:val="clear" w:color="auto" w:fill="auto"/>
            <w:noWrap/>
            <w:tcMar>
              <w:left w:w="28" w:type="dxa"/>
              <w:right w:w="28" w:type="dxa"/>
            </w:tcMar>
            <w:vAlign w:val="center"/>
          </w:tcPr>
          <w:p w14:paraId="28276360" w14:textId="59F07438"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348,264</w:t>
            </w:r>
          </w:p>
        </w:tc>
        <w:tc>
          <w:tcPr>
            <w:tcW w:w="274" w:type="pct"/>
            <w:tcBorders>
              <w:top w:val="single" w:sz="6" w:space="0" w:color="auto"/>
              <w:left w:val="nil"/>
              <w:bottom w:val="single" w:sz="4" w:space="0" w:color="auto"/>
            </w:tcBorders>
            <w:tcMar>
              <w:left w:w="28" w:type="dxa"/>
              <w:right w:w="28" w:type="dxa"/>
            </w:tcMar>
            <w:vAlign w:val="center"/>
          </w:tcPr>
          <w:p w14:paraId="458E57C0" w14:textId="4C3FCAC6"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26%</w:t>
            </w:r>
          </w:p>
        </w:tc>
        <w:tc>
          <w:tcPr>
            <w:tcW w:w="364" w:type="pct"/>
            <w:tcBorders>
              <w:top w:val="single" w:sz="6" w:space="0" w:color="auto"/>
              <w:bottom w:val="single" w:sz="4" w:space="0" w:color="auto"/>
              <w:right w:val="nil"/>
            </w:tcBorders>
            <w:shd w:val="clear" w:color="auto" w:fill="auto"/>
            <w:noWrap/>
            <w:tcMar>
              <w:left w:w="28" w:type="dxa"/>
              <w:right w:w="28" w:type="dxa"/>
            </w:tcMar>
            <w:vAlign w:val="center"/>
          </w:tcPr>
          <w:p w14:paraId="0A1C2C13" w14:textId="78442332"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327,271</w:t>
            </w:r>
          </w:p>
        </w:tc>
        <w:tc>
          <w:tcPr>
            <w:tcW w:w="264" w:type="pct"/>
            <w:tcBorders>
              <w:top w:val="single" w:sz="6" w:space="0" w:color="auto"/>
              <w:left w:val="nil"/>
              <w:bottom w:val="single" w:sz="4" w:space="0" w:color="auto"/>
            </w:tcBorders>
            <w:tcMar>
              <w:left w:w="28" w:type="dxa"/>
              <w:right w:w="28" w:type="dxa"/>
            </w:tcMar>
            <w:vAlign w:val="center"/>
          </w:tcPr>
          <w:p w14:paraId="5BA3E669" w14:textId="55C7DB30"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25%</w:t>
            </w:r>
          </w:p>
        </w:tc>
        <w:tc>
          <w:tcPr>
            <w:tcW w:w="383" w:type="pct"/>
            <w:tcBorders>
              <w:top w:val="single" w:sz="6" w:space="0" w:color="auto"/>
              <w:bottom w:val="single" w:sz="4" w:space="0" w:color="auto"/>
              <w:right w:val="nil"/>
            </w:tcBorders>
            <w:shd w:val="clear" w:color="auto" w:fill="auto"/>
            <w:noWrap/>
            <w:tcMar>
              <w:left w:w="28" w:type="dxa"/>
              <w:right w:w="28" w:type="dxa"/>
            </w:tcMar>
            <w:vAlign w:val="center"/>
          </w:tcPr>
          <w:p w14:paraId="75D39257" w14:textId="355C55D2"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151,646</w:t>
            </w:r>
          </w:p>
        </w:tc>
        <w:tc>
          <w:tcPr>
            <w:tcW w:w="232" w:type="pct"/>
            <w:tcBorders>
              <w:top w:val="single" w:sz="6" w:space="0" w:color="auto"/>
              <w:left w:val="nil"/>
              <w:bottom w:val="single" w:sz="4" w:space="0" w:color="auto"/>
            </w:tcBorders>
            <w:tcMar>
              <w:left w:w="28" w:type="dxa"/>
              <w:right w:w="28" w:type="dxa"/>
            </w:tcMar>
            <w:vAlign w:val="center"/>
          </w:tcPr>
          <w:p w14:paraId="3D2A5DD4" w14:textId="0918D05B"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11%</w:t>
            </w:r>
          </w:p>
        </w:tc>
        <w:tc>
          <w:tcPr>
            <w:tcW w:w="473" w:type="pct"/>
            <w:tcBorders>
              <w:top w:val="single" w:sz="6" w:space="0" w:color="auto"/>
              <w:bottom w:val="single" w:sz="4" w:space="0" w:color="auto"/>
              <w:right w:val="nil"/>
            </w:tcBorders>
            <w:shd w:val="clear" w:color="auto" w:fill="auto"/>
            <w:noWrap/>
            <w:tcMar>
              <w:left w:w="28" w:type="dxa"/>
              <w:right w:w="28" w:type="dxa"/>
            </w:tcMar>
            <w:vAlign w:val="center"/>
            <w:hideMark/>
          </w:tcPr>
          <w:p w14:paraId="50A211B6" w14:textId="00DE3A54" w:rsidR="00167D80" w:rsidRPr="00167D80" w:rsidRDefault="00167D80" w:rsidP="00EE0572">
            <w:pPr>
              <w:jc w:val="right"/>
              <w:rPr>
                <w:rFonts w:asciiTheme="minorHAnsi" w:hAnsiTheme="minorHAnsi"/>
                <w:color w:val="000000"/>
                <w:sz w:val="18"/>
                <w:szCs w:val="18"/>
              </w:rPr>
            </w:pPr>
            <w:r w:rsidRPr="00167D80">
              <w:rPr>
                <w:rFonts w:asciiTheme="minorHAnsi" w:hAnsiTheme="minorHAnsi"/>
                <w:color w:val="000000"/>
                <w:sz w:val="18"/>
                <w:szCs w:val="18"/>
              </w:rPr>
              <w:t>1,246,528</w:t>
            </w:r>
          </w:p>
        </w:tc>
        <w:tc>
          <w:tcPr>
            <w:tcW w:w="303" w:type="pct"/>
            <w:tcBorders>
              <w:top w:val="single" w:sz="6" w:space="0" w:color="auto"/>
              <w:left w:val="nil"/>
              <w:bottom w:val="single" w:sz="4" w:space="0" w:color="auto"/>
            </w:tcBorders>
            <w:tcMar>
              <w:left w:w="28" w:type="dxa"/>
              <w:right w:w="28" w:type="dxa"/>
            </w:tcMar>
            <w:vAlign w:val="center"/>
          </w:tcPr>
          <w:p w14:paraId="666DF97D" w14:textId="37A306AD" w:rsidR="00167D80" w:rsidRPr="00167D80" w:rsidRDefault="00167D80" w:rsidP="00731FB6">
            <w:pPr>
              <w:jc w:val="right"/>
              <w:rPr>
                <w:rFonts w:asciiTheme="minorHAnsi" w:hAnsiTheme="minorHAnsi"/>
                <w:color w:val="000000"/>
                <w:sz w:val="18"/>
                <w:szCs w:val="18"/>
              </w:rPr>
            </w:pPr>
            <w:r w:rsidRPr="00167D80">
              <w:rPr>
                <w:rFonts w:asciiTheme="minorHAnsi" w:hAnsiTheme="minorHAnsi"/>
                <w:color w:val="000000"/>
                <w:sz w:val="18"/>
                <w:szCs w:val="18"/>
              </w:rPr>
              <w:t>94%</w:t>
            </w:r>
          </w:p>
        </w:tc>
      </w:tr>
    </w:tbl>
    <w:p w14:paraId="42BADDBD" w14:textId="180AEA21" w:rsidR="00731FB6" w:rsidRDefault="00731FB6" w:rsidP="00731FB6">
      <w:pPr>
        <w:spacing w:after="240" w:line="264" w:lineRule="auto"/>
        <w:jc w:val="both"/>
        <w:rPr>
          <w:rFonts w:ascii="Arial" w:hAnsi="Arial" w:cs="Arial"/>
          <w:sz w:val="18"/>
          <w:szCs w:val="18"/>
        </w:rPr>
      </w:pPr>
      <w:r w:rsidRPr="002422A3">
        <w:rPr>
          <w:rFonts w:ascii="Arial" w:hAnsi="Arial" w:cs="Arial"/>
          <w:sz w:val="18"/>
          <w:szCs w:val="18"/>
        </w:rPr>
        <w:t>*Data for 2018 incomplete for November and December.</w:t>
      </w:r>
    </w:p>
    <w:p w14:paraId="5FC3A087" w14:textId="77777777" w:rsidR="00195D6F" w:rsidRDefault="00195D6F" w:rsidP="00195D6F">
      <w:pPr>
        <w:pStyle w:val="BodyText"/>
        <w:spacing w:line="240" w:lineRule="auto"/>
        <w:jc w:val="left"/>
        <w:rPr>
          <w:rFonts w:asciiTheme="minorHAnsi" w:hAnsiTheme="minorHAnsi" w:cs="Arial"/>
          <w:szCs w:val="24"/>
        </w:rPr>
      </w:pPr>
      <w:r>
        <w:rPr>
          <w:rFonts w:asciiTheme="minorHAnsi" w:hAnsiTheme="minorHAnsi" w:cs="Arial"/>
          <w:szCs w:val="24"/>
        </w:rPr>
        <w:t xml:space="preserve">Overall, the structure of the budget was maintained, with about 30 % allocated to Outcome 1 (25% recorded by early November 2018) and 60% to Outcome 2 (57% recorded by early November 2018). Project management has exceeded the 11% planned budget (12% by early November 2018). Most important to project success is timely dispersal of funds and this is </w:t>
      </w:r>
      <w:r>
        <w:rPr>
          <w:rFonts w:asciiTheme="minorHAnsi" w:hAnsiTheme="minorHAnsi" w:cs="Arial"/>
          <w:szCs w:val="24"/>
        </w:rPr>
        <w:lastRenderedPageBreak/>
        <w:t xml:space="preserve">shown in </w:t>
      </w:r>
      <w:r w:rsidRPr="00403E6C">
        <w:rPr>
          <w:rFonts w:asciiTheme="minorHAnsi" w:hAnsiTheme="minorHAnsi" w:cs="Arial"/>
          <w:b/>
          <w:szCs w:val="24"/>
        </w:rPr>
        <w:t>Figure 3.</w:t>
      </w:r>
      <w:r>
        <w:rPr>
          <w:rFonts w:asciiTheme="minorHAnsi" w:hAnsiTheme="minorHAnsi" w:cs="Arial"/>
          <w:b/>
          <w:szCs w:val="24"/>
        </w:rPr>
        <w:t>2</w:t>
      </w:r>
      <w:r>
        <w:rPr>
          <w:rFonts w:asciiTheme="minorHAnsi" w:hAnsiTheme="minorHAnsi" w:cs="Arial"/>
          <w:szCs w:val="24"/>
        </w:rPr>
        <w:t xml:space="preserve">, using annual cumulative expenditures expressed as a percentage of the total GEF/UNDP budget. Key points to note are: </w:t>
      </w:r>
    </w:p>
    <w:p w14:paraId="6EF23747" w14:textId="77777777" w:rsidR="00195D6F" w:rsidRDefault="00195D6F" w:rsidP="00195D6F">
      <w:pPr>
        <w:pStyle w:val="ListParagraph"/>
        <w:numPr>
          <w:ilvl w:val="0"/>
          <w:numId w:val="10"/>
        </w:numPr>
        <w:spacing w:after="120" w:line="240" w:lineRule="atLeast"/>
        <w:ind w:left="567" w:hanging="425"/>
        <w:contextualSpacing w:val="0"/>
        <w:rPr>
          <w:rFonts w:asciiTheme="minorHAnsi" w:hAnsiTheme="minorHAnsi"/>
          <w:szCs w:val="24"/>
        </w:rPr>
      </w:pPr>
      <w:r>
        <w:rPr>
          <w:rFonts w:asciiTheme="minorHAnsi" w:hAnsiTheme="minorHAnsi"/>
          <w:szCs w:val="24"/>
        </w:rPr>
        <w:t xml:space="preserve">Total expenditure was negligible (3%) in 2014, compared to the expectation of 18%, and was primarily concerned with project inception once the ProDoc had been signed in in June. </w:t>
      </w:r>
    </w:p>
    <w:p w14:paraId="5D3F8FA2" w14:textId="77777777" w:rsidR="00195D6F" w:rsidRDefault="00195D6F" w:rsidP="00195D6F">
      <w:pPr>
        <w:pStyle w:val="ListParagraph"/>
        <w:numPr>
          <w:ilvl w:val="0"/>
          <w:numId w:val="10"/>
        </w:numPr>
        <w:spacing w:after="60" w:line="240" w:lineRule="atLeast"/>
        <w:ind w:left="567" w:hanging="425"/>
        <w:contextualSpacing w:val="0"/>
        <w:rPr>
          <w:rFonts w:asciiTheme="minorHAnsi" w:hAnsiTheme="minorHAnsi"/>
          <w:szCs w:val="24"/>
        </w:rPr>
      </w:pPr>
      <w:r>
        <w:rPr>
          <w:rFonts w:asciiTheme="minorHAnsi" w:hAnsiTheme="minorHAnsi"/>
          <w:szCs w:val="24"/>
        </w:rPr>
        <w:t xml:space="preserve">Thereafter, expenditure picked up rapidly and mirrored ProDoc and annual work plans quite well, with most budgets for Outcomes 1 and 2 expended by 2016 and 2017, respectively. </w:t>
      </w:r>
    </w:p>
    <w:p w14:paraId="6A7628F8" w14:textId="77777777" w:rsidR="00195D6F" w:rsidRDefault="00195D6F" w:rsidP="00195D6F">
      <w:pPr>
        <w:pStyle w:val="ListParagraph"/>
        <w:numPr>
          <w:ilvl w:val="0"/>
          <w:numId w:val="10"/>
        </w:numPr>
        <w:spacing w:after="60" w:line="240" w:lineRule="atLeast"/>
        <w:ind w:left="567" w:hanging="425"/>
        <w:contextualSpacing w:val="0"/>
        <w:rPr>
          <w:rFonts w:asciiTheme="minorHAnsi" w:hAnsiTheme="minorHAnsi"/>
          <w:szCs w:val="24"/>
        </w:rPr>
      </w:pPr>
      <w:r>
        <w:rPr>
          <w:rFonts w:asciiTheme="minorHAnsi" w:hAnsiTheme="minorHAnsi"/>
          <w:szCs w:val="24"/>
        </w:rPr>
        <w:t xml:space="preserve">Management costs have proved to be higher than planned and this will have been exacerbated to some extent by the six month ‘no cost’ project extension. </w:t>
      </w:r>
    </w:p>
    <w:p w14:paraId="520E9A3E" w14:textId="77777777" w:rsidR="00195D6F" w:rsidRPr="00C83714" w:rsidRDefault="00195D6F" w:rsidP="00195D6F">
      <w:pPr>
        <w:pStyle w:val="ListParagraph"/>
        <w:numPr>
          <w:ilvl w:val="0"/>
          <w:numId w:val="10"/>
        </w:numPr>
        <w:spacing w:after="120" w:line="240" w:lineRule="atLeast"/>
        <w:ind w:left="567" w:hanging="425"/>
        <w:contextualSpacing w:val="0"/>
        <w:rPr>
          <w:rFonts w:asciiTheme="minorHAnsi" w:hAnsiTheme="minorHAnsi"/>
          <w:szCs w:val="24"/>
        </w:rPr>
      </w:pPr>
      <w:r w:rsidRPr="00C83714">
        <w:rPr>
          <w:rFonts w:asciiTheme="minorHAnsi" w:hAnsiTheme="minorHAnsi"/>
          <w:szCs w:val="24"/>
        </w:rPr>
        <w:t xml:space="preserve">In summary, these data indicate clearly that financial management of the project has been </w:t>
      </w:r>
      <w:r>
        <w:rPr>
          <w:rFonts w:asciiTheme="minorHAnsi" w:hAnsiTheme="minorHAnsi"/>
          <w:szCs w:val="24"/>
        </w:rPr>
        <w:t>sound:</w:t>
      </w:r>
      <w:r w:rsidRPr="00C83714">
        <w:rPr>
          <w:rFonts w:asciiTheme="minorHAnsi" w:hAnsiTheme="minorHAnsi"/>
          <w:szCs w:val="24"/>
        </w:rPr>
        <w:t xml:space="preserve"> </w:t>
      </w:r>
      <w:r>
        <w:rPr>
          <w:rFonts w:asciiTheme="minorHAnsi" w:hAnsiTheme="minorHAnsi"/>
          <w:szCs w:val="24"/>
        </w:rPr>
        <w:t xml:space="preserve">by </w:t>
      </w:r>
      <w:r w:rsidRPr="00C83714">
        <w:rPr>
          <w:rFonts w:asciiTheme="minorHAnsi" w:hAnsiTheme="minorHAnsi"/>
          <w:szCs w:val="24"/>
        </w:rPr>
        <w:t xml:space="preserve">sticking to the </w:t>
      </w:r>
      <w:r>
        <w:rPr>
          <w:rFonts w:asciiTheme="minorHAnsi" w:hAnsiTheme="minorHAnsi"/>
          <w:szCs w:val="24"/>
        </w:rPr>
        <w:t>overall framework of the budget</w:t>
      </w:r>
      <w:r w:rsidRPr="00C83714">
        <w:rPr>
          <w:rFonts w:asciiTheme="minorHAnsi" w:hAnsiTheme="minorHAnsi"/>
          <w:szCs w:val="24"/>
        </w:rPr>
        <w:t xml:space="preserve"> </w:t>
      </w:r>
      <w:r>
        <w:rPr>
          <w:rFonts w:asciiTheme="minorHAnsi" w:hAnsiTheme="minorHAnsi"/>
          <w:szCs w:val="24"/>
        </w:rPr>
        <w:t xml:space="preserve">and </w:t>
      </w:r>
      <w:r w:rsidRPr="00C83714">
        <w:rPr>
          <w:rFonts w:asciiTheme="minorHAnsi" w:hAnsiTheme="minorHAnsi"/>
          <w:szCs w:val="24"/>
        </w:rPr>
        <w:t>maintaining a</w:t>
      </w:r>
      <w:r>
        <w:rPr>
          <w:rFonts w:asciiTheme="minorHAnsi" w:hAnsiTheme="minorHAnsi"/>
          <w:szCs w:val="24"/>
        </w:rPr>
        <w:t>n</w:t>
      </w:r>
      <w:r w:rsidRPr="00C83714">
        <w:rPr>
          <w:rFonts w:asciiTheme="minorHAnsi" w:hAnsiTheme="minorHAnsi"/>
          <w:szCs w:val="24"/>
        </w:rPr>
        <w:t xml:space="preserve"> </w:t>
      </w:r>
      <w:r>
        <w:rPr>
          <w:rFonts w:asciiTheme="minorHAnsi" w:hAnsiTheme="minorHAnsi"/>
          <w:szCs w:val="24"/>
        </w:rPr>
        <w:t>increasing</w:t>
      </w:r>
      <w:r w:rsidRPr="00C83714">
        <w:rPr>
          <w:rFonts w:asciiTheme="minorHAnsi" w:hAnsiTheme="minorHAnsi"/>
          <w:szCs w:val="24"/>
        </w:rPr>
        <w:t xml:space="preserve"> rate of expenditure </w:t>
      </w:r>
      <w:r>
        <w:rPr>
          <w:rFonts w:asciiTheme="minorHAnsi" w:hAnsiTheme="minorHAnsi"/>
          <w:szCs w:val="24"/>
        </w:rPr>
        <w:t>to</w:t>
      </w:r>
      <w:r w:rsidRPr="00C83714">
        <w:rPr>
          <w:rFonts w:asciiTheme="minorHAnsi" w:hAnsiTheme="minorHAnsi"/>
          <w:szCs w:val="24"/>
        </w:rPr>
        <w:t xml:space="preserve"> achiev</w:t>
      </w:r>
      <w:r>
        <w:rPr>
          <w:rFonts w:asciiTheme="minorHAnsi" w:hAnsiTheme="minorHAnsi"/>
          <w:szCs w:val="24"/>
        </w:rPr>
        <w:t>e</w:t>
      </w:r>
      <w:r w:rsidRPr="00C83714">
        <w:rPr>
          <w:rFonts w:asciiTheme="minorHAnsi" w:hAnsiTheme="minorHAnsi"/>
          <w:szCs w:val="24"/>
        </w:rPr>
        <w:t xml:space="preserve"> 8</w:t>
      </w:r>
      <w:r>
        <w:rPr>
          <w:rFonts w:asciiTheme="minorHAnsi" w:hAnsiTheme="minorHAnsi"/>
          <w:szCs w:val="24"/>
        </w:rPr>
        <w:t>3</w:t>
      </w:r>
      <w:r w:rsidRPr="00C83714">
        <w:rPr>
          <w:rFonts w:asciiTheme="minorHAnsi" w:hAnsiTheme="minorHAnsi"/>
          <w:szCs w:val="24"/>
        </w:rPr>
        <w:t>% expenditure by the end of the penultimate year (i.e. 2017).</w:t>
      </w:r>
    </w:p>
    <w:p w14:paraId="447BDD3E" w14:textId="5C680D9A" w:rsidR="00167D80" w:rsidRDefault="00167D80" w:rsidP="00F16731">
      <w:pPr>
        <w:pStyle w:val="BodyText"/>
        <w:rPr>
          <w:rFonts w:asciiTheme="minorHAnsi" w:hAnsiTheme="minorHAnsi"/>
          <w:b/>
        </w:rPr>
      </w:pPr>
      <w:r w:rsidRPr="00167D80">
        <w:rPr>
          <w:noProof/>
        </w:rPr>
        <w:drawing>
          <wp:inline distT="0" distB="0" distL="0" distR="0" wp14:anchorId="09416552" wp14:editId="04FD40B8">
            <wp:extent cx="5731510" cy="3463052"/>
            <wp:effectExtent l="0" t="0" r="8890" b="0"/>
            <wp:docPr id="2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463052"/>
                    </a:xfrm>
                    <a:prstGeom prst="rect">
                      <a:avLst/>
                    </a:prstGeom>
                    <a:noFill/>
                    <a:ln>
                      <a:noFill/>
                    </a:ln>
                  </pic:spPr>
                </pic:pic>
              </a:graphicData>
            </a:graphic>
          </wp:inline>
        </w:drawing>
      </w:r>
    </w:p>
    <w:p w14:paraId="37877627" w14:textId="026C8EBF" w:rsidR="006D6C54" w:rsidRDefault="006D6C54" w:rsidP="00AA0D38">
      <w:pPr>
        <w:pStyle w:val="BodyText2"/>
        <w:tabs>
          <w:tab w:val="left" w:pos="1080"/>
        </w:tabs>
        <w:spacing w:after="120"/>
        <w:ind w:left="1134" w:hanging="1134"/>
        <w:rPr>
          <w:rFonts w:ascii="Calibri" w:hAnsi="Calibri" w:cs="Arial"/>
          <w:sz w:val="22"/>
          <w:szCs w:val="22"/>
        </w:rPr>
      </w:pPr>
      <w:r w:rsidRPr="00B73351">
        <w:rPr>
          <w:rFonts w:ascii="Calibri" w:hAnsi="Calibri" w:cs="Arial"/>
          <w:b/>
          <w:sz w:val="22"/>
          <w:szCs w:val="22"/>
        </w:rPr>
        <w:t xml:space="preserve">Figure </w:t>
      </w:r>
      <w:r>
        <w:rPr>
          <w:rFonts w:ascii="Calibri" w:hAnsi="Calibri" w:cs="Arial"/>
          <w:b/>
          <w:sz w:val="22"/>
          <w:szCs w:val="22"/>
        </w:rPr>
        <w:t>3.2</w:t>
      </w:r>
      <w:r w:rsidRPr="00B73351">
        <w:rPr>
          <w:rFonts w:ascii="Calibri" w:hAnsi="Calibri" w:cs="Arial"/>
          <w:b/>
          <w:sz w:val="22"/>
          <w:szCs w:val="22"/>
        </w:rPr>
        <w:tab/>
      </w:r>
      <w:r w:rsidRPr="006D6C54">
        <w:rPr>
          <w:rFonts w:ascii="Calibri" w:hAnsi="Calibri" w:cs="Arial"/>
          <w:sz w:val="22"/>
          <w:szCs w:val="22"/>
        </w:rPr>
        <w:t>Cumulative expenditure of the project budget</w:t>
      </w:r>
      <w:r>
        <w:rPr>
          <w:rFonts w:ascii="Calibri" w:hAnsi="Calibri" w:cs="Arial"/>
          <w:sz w:val="22"/>
          <w:szCs w:val="22"/>
        </w:rPr>
        <w:t xml:space="preserve"> by outcome, using data from Table 3.4</w:t>
      </w:r>
      <w:r w:rsidRPr="00111DCE">
        <w:rPr>
          <w:rFonts w:ascii="Calibri" w:hAnsi="Calibri" w:cs="Arial"/>
          <w:sz w:val="22"/>
          <w:szCs w:val="22"/>
        </w:rPr>
        <w:t>.</w:t>
      </w:r>
    </w:p>
    <w:p w14:paraId="7218DBC1" w14:textId="356C8155" w:rsidR="00476EE4" w:rsidRPr="00E22EBA" w:rsidRDefault="00476EE4" w:rsidP="0067558E">
      <w:pPr>
        <w:pStyle w:val="Heading2"/>
        <w:numPr>
          <w:ilvl w:val="2"/>
          <w:numId w:val="19"/>
        </w:numPr>
        <w:spacing w:before="240" w:after="120"/>
        <w:ind w:left="709" w:hanging="709"/>
        <w:rPr>
          <w:rFonts w:asciiTheme="minorHAnsi" w:hAnsiTheme="minorHAnsi" w:cs="Calibri"/>
          <w:b/>
          <w:caps w:val="0"/>
        </w:rPr>
      </w:pPr>
      <w:bookmarkStart w:id="147" w:name="_Toc414745331"/>
      <w:r w:rsidRPr="00E22EBA">
        <w:rPr>
          <w:rFonts w:asciiTheme="minorHAnsi" w:hAnsiTheme="minorHAnsi" w:cs="Calibri"/>
          <w:b/>
          <w:caps w:val="0"/>
        </w:rPr>
        <w:t>Monitoring &amp; Evaluation</w:t>
      </w:r>
      <w:r w:rsidR="00F12160">
        <w:rPr>
          <w:rFonts w:asciiTheme="minorHAnsi" w:hAnsiTheme="minorHAnsi" w:cs="Calibri"/>
          <w:b/>
          <w:caps w:val="0"/>
        </w:rPr>
        <w:t>: design at entry and implementation*</w:t>
      </w:r>
      <w:bookmarkEnd w:id="147"/>
    </w:p>
    <w:p w14:paraId="3EB3759F" w14:textId="100CC3ED" w:rsidR="008C187F" w:rsidRDefault="008C187F" w:rsidP="008C187F">
      <w:pPr>
        <w:pStyle w:val="BodyText"/>
        <w:shd w:val="clear" w:color="auto" w:fill="215868" w:themeFill="accent5" w:themeFillShade="80"/>
        <w:spacing w:before="120"/>
        <w:rPr>
          <w:rFonts w:asciiTheme="minorHAnsi" w:hAnsiTheme="minorHAnsi"/>
          <w:b/>
          <w:color w:val="FFFFFF" w:themeColor="background1"/>
        </w:rPr>
      </w:pPr>
      <w:r w:rsidRPr="00E22EBA">
        <w:rPr>
          <w:rFonts w:asciiTheme="minorHAnsi" w:hAnsiTheme="minorHAnsi"/>
          <w:b/>
          <w:color w:val="FFFFFF" w:themeColor="background1"/>
        </w:rPr>
        <w:t>Overall Quality of Monitoring &amp; Evaluation is rated as: Satisfactory</w:t>
      </w:r>
    </w:p>
    <w:p w14:paraId="11866369" w14:textId="610BA499" w:rsidR="008828D8" w:rsidRPr="00AE7389" w:rsidRDefault="00AE7389" w:rsidP="00725DA6">
      <w:pPr>
        <w:pStyle w:val="BodyText"/>
        <w:shd w:val="clear" w:color="auto" w:fill="FFFFFF"/>
        <w:spacing w:before="120"/>
        <w:rPr>
          <w:rFonts w:asciiTheme="minorHAnsi" w:hAnsiTheme="minorHAnsi"/>
        </w:rPr>
      </w:pPr>
      <w:r w:rsidRPr="00AE7389">
        <w:rPr>
          <w:rFonts w:asciiTheme="minorHAnsi" w:hAnsiTheme="minorHAnsi"/>
        </w:rPr>
        <w:t>Overall</w:t>
      </w:r>
      <w:r>
        <w:rPr>
          <w:rFonts w:asciiTheme="minorHAnsi" w:hAnsiTheme="minorHAnsi"/>
        </w:rPr>
        <w:t xml:space="preserve">, monitoring and evaluation is rated as satisfactory based on the </w:t>
      </w:r>
      <w:r w:rsidR="004E7988">
        <w:rPr>
          <w:rFonts w:asciiTheme="minorHAnsi" w:hAnsiTheme="minorHAnsi"/>
        </w:rPr>
        <w:t xml:space="preserve">higher </w:t>
      </w:r>
      <w:r>
        <w:rPr>
          <w:rFonts w:asciiTheme="minorHAnsi" w:hAnsiTheme="minorHAnsi"/>
        </w:rPr>
        <w:t xml:space="preserve">of the two ratings for design at entry and implementation, for which supporting evidence is provided below. In the MTR, project-level monitoring and evaluation systems were considered to be </w:t>
      </w:r>
      <w:r w:rsidR="00725DA6">
        <w:rPr>
          <w:rFonts w:asciiTheme="minorHAnsi" w:hAnsiTheme="minorHAnsi"/>
        </w:rPr>
        <w:t>‘</w:t>
      </w:r>
      <w:r>
        <w:rPr>
          <w:rFonts w:asciiTheme="minorHAnsi" w:hAnsiTheme="minorHAnsi"/>
        </w:rPr>
        <w:t>satisfactory</w:t>
      </w:r>
      <w:r w:rsidR="00725DA6">
        <w:rPr>
          <w:rFonts w:asciiTheme="minorHAnsi" w:hAnsiTheme="minorHAnsi"/>
        </w:rPr>
        <w:t>’ but little account is taken of the design framework and budget for the M&amp;E Plan, both of which impacted on implementation in terms of SMARTNESS (lack of) and resources (inadequate).</w:t>
      </w:r>
      <w:r>
        <w:rPr>
          <w:rFonts w:asciiTheme="minorHAnsi" w:hAnsiTheme="minorHAnsi"/>
        </w:rPr>
        <w:t xml:space="preserve"> </w:t>
      </w:r>
    </w:p>
    <w:p w14:paraId="3B636A88" w14:textId="7B9D92F9" w:rsidR="008828D8" w:rsidRPr="00E22EBA" w:rsidRDefault="008828D8" w:rsidP="008828D8">
      <w:pPr>
        <w:pStyle w:val="BodyText"/>
        <w:shd w:val="clear" w:color="auto" w:fill="215868" w:themeFill="accent5" w:themeFillShade="80"/>
        <w:spacing w:before="120"/>
        <w:rPr>
          <w:rFonts w:asciiTheme="minorHAnsi" w:hAnsiTheme="minorHAnsi"/>
          <w:b/>
          <w:color w:val="FFFFFF" w:themeColor="background1"/>
        </w:rPr>
      </w:pPr>
      <w:r w:rsidRPr="00E22EBA">
        <w:rPr>
          <w:rFonts w:asciiTheme="minorHAnsi" w:hAnsiTheme="minorHAnsi"/>
          <w:b/>
          <w:color w:val="FFFFFF" w:themeColor="background1"/>
        </w:rPr>
        <w:t xml:space="preserve">Monitoring &amp; Evaluation design at entry is rated as:  </w:t>
      </w:r>
      <w:r>
        <w:rPr>
          <w:rFonts w:asciiTheme="minorHAnsi" w:hAnsiTheme="minorHAnsi"/>
          <w:b/>
          <w:color w:val="FFFFFF" w:themeColor="background1"/>
        </w:rPr>
        <w:t>Moderately S</w:t>
      </w:r>
      <w:r w:rsidRPr="00E22EBA">
        <w:rPr>
          <w:rFonts w:asciiTheme="minorHAnsi" w:hAnsiTheme="minorHAnsi"/>
          <w:b/>
          <w:color w:val="FFFFFF" w:themeColor="background1"/>
        </w:rPr>
        <w:t>atisfactory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8684"/>
      </w:tblGrid>
      <w:tr w:rsidR="008C187F" w:rsidRPr="006825FB" w14:paraId="6C559CA6" w14:textId="77777777" w:rsidTr="00BC0BCE">
        <w:tc>
          <w:tcPr>
            <w:tcW w:w="9242" w:type="dxa"/>
            <w:gridSpan w:val="2"/>
          </w:tcPr>
          <w:p w14:paraId="05B42E01" w14:textId="1C30BBC6" w:rsidR="008C187F" w:rsidRPr="006825FB" w:rsidRDefault="00B84918" w:rsidP="006825FB">
            <w:pPr>
              <w:overflowPunct/>
              <w:spacing w:after="120"/>
              <w:jc w:val="both"/>
              <w:textAlignment w:val="auto"/>
              <w:rPr>
                <w:rFonts w:asciiTheme="minorHAnsi" w:hAnsiTheme="minorHAnsi" w:cs="Corbel"/>
                <w:b/>
                <w:sz w:val="24"/>
                <w:szCs w:val="24"/>
                <w:lang w:val="en-US"/>
              </w:rPr>
            </w:pPr>
            <w:r>
              <w:rPr>
                <w:rFonts w:asciiTheme="minorHAnsi" w:hAnsiTheme="minorHAnsi" w:cs="Corbel"/>
                <w:b/>
                <w:sz w:val="24"/>
                <w:szCs w:val="24"/>
                <w:lang w:val="en-US"/>
              </w:rPr>
              <w:t>Supporting e</w:t>
            </w:r>
            <w:r w:rsidR="008C187F" w:rsidRPr="006825FB">
              <w:rPr>
                <w:rFonts w:asciiTheme="minorHAnsi" w:hAnsiTheme="minorHAnsi" w:cs="Corbel"/>
                <w:b/>
                <w:sz w:val="24"/>
                <w:szCs w:val="24"/>
                <w:lang w:val="en-US"/>
              </w:rPr>
              <w:t>vidence:</w:t>
            </w:r>
          </w:p>
        </w:tc>
      </w:tr>
      <w:tr w:rsidR="00A23CC2" w:rsidRPr="00E22EBA" w14:paraId="226A7558" w14:textId="77777777" w:rsidTr="00BC0BCE">
        <w:tc>
          <w:tcPr>
            <w:tcW w:w="558" w:type="dxa"/>
          </w:tcPr>
          <w:p w14:paraId="2B6786AA" w14:textId="1667295F" w:rsidR="00A23CC2" w:rsidRPr="001340E2" w:rsidRDefault="00BC0BCE" w:rsidP="001340E2">
            <w:pPr>
              <w:overflowPunct/>
              <w:spacing w:after="60"/>
              <w:jc w:val="right"/>
              <w:textAlignment w:val="auto"/>
              <w:rPr>
                <w:rFonts w:asciiTheme="minorHAnsi" w:hAnsiTheme="minorHAnsi" w:cs="Corbel"/>
                <w:color w:val="FF0000"/>
                <w:szCs w:val="22"/>
                <w:lang w:val="en-US"/>
              </w:rPr>
            </w:pPr>
            <w:r w:rsidRPr="001340E2">
              <w:rPr>
                <w:rFonts w:ascii="Zapf Dingbats" w:hAnsi="Zapf Dingbats" w:cs="Corbel"/>
                <w:b/>
                <w:color w:val="008000"/>
                <w:szCs w:val="22"/>
                <w:lang w:val="en-US"/>
              </w:rPr>
              <w:t>✔</w:t>
            </w:r>
          </w:p>
        </w:tc>
        <w:tc>
          <w:tcPr>
            <w:tcW w:w="8684" w:type="dxa"/>
          </w:tcPr>
          <w:p w14:paraId="3DA5F310" w14:textId="720F68C6" w:rsidR="00A23CC2" w:rsidRPr="001340E2" w:rsidRDefault="001340E2" w:rsidP="001340E2">
            <w:pPr>
              <w:overflowPunct/>
              <w:spacing w:after="60" w:line="240" w:lineRule="atLeast"/>
              <w:jc w:val="both"/>
              <w:textAlignment w:val="auto"/>
              <w:rPr>
                <w:rFonts w:asciiTheme="minorHAnsi" w:hAnsiTheme="minorHAnsi"/>
                <w:color w:val="000000"/>
                <w:szCs w:val="22"/>
                <w:lang w:val="en-US"/>
              </w:rPr>
            </w:pPr>
            <w:r>
              <w:rPr>
                <w:rFonts w:asciiTheme="minorHAnsi" w:hAnsiTheme="minorHAnsi"/>
                <w:color w:val="000000"/>
                <w:szCs w:val="22"/>
                <w:lang w:val="en-US"/>
              </w:rPr>
              <w:t>The M&amp;E P</w:t>
            </w:r>
            <w:r w:rsidR="00BC0BCE" w:rsidRPr="001340E2">
              <w:rPr>
                <w:rFonts w:asciiTheme="minorHAnsi" w:hAnsiTheme="minorHAnsi"/>
                <w:color w:val="000000"/>
                <w:szCs w:val="22"/>
                <w:lang w:val="en-US"/>
              </w:rPr>
              <w:t>lan in the ProDoc was reasonably extensive, with a comprehensive framework of monitoring activities.</w:t>
            </w:r>
          </w:p>
        </w:tc>
      </w:tr>
      <w:tr w:rsidR="00BC0BCE" w:rsidRPr="00E22EBA" w14:paraId="1F42C9C8" w14:textId="77777777" w:rsidTr="00BC0BCE">
        <w:tc>
          <w:tcPr>
            <w:tcW w:w="558" w:type="dxa"/>
          </w:tcPr>
          <w:p w14:paraId="600AA076" w14:textId="350303E7" w:rsidR="00BC0BCE" w:rsidRPr="001340E2" w:rsidRDefault="00BC0BCE" w:rsidP="001340E2">
            <w:pPr>
              <w:overflowPunct/>
              <w:spacing w:after="60"/>
              <w:jc w:val="right"/>
              <w:textAlignment w:val="auto"/>
              <w:rPr>
                <w:rFonts w:ascii="Zapf Dingbats" w:hAnsi="Zapf Dingbats" w:cs="Corbel"/>
                <w:b/>
                <w:color w:val="008000"/>
                <w:szCs w:val="22"/>
                <w:lang w:val="en-US"/>
              </w:rPr>
            </w:pPr>
            <w:r w:rsidRPr="001340E2">
              <w:rPr>
                <w:rFonts w:ascii="Zapf Dingbats" w:hAnsi="Zapf Dingbats" w:cs="Corbel"/>
                <w:b/>
                <w:color w:val="008000"/>
                <w:szCs w:val="22"/>
                <w:lang w:val="en-US"/>
              </w:rPr>
              <w:lastRenderedPageBreak/>
              <w:t>✔</w:t>
            </w:r>
          </w:p>
        </w:tc>
        <w:tc>
          <w:tcPr>
            <w:tcW w:w="8684" w:type="dxa"/>
          </w:tcPr>
          <w:p w14:paraId="12BAB1C7" w14:textId="073E4213" w:rsidR="00BC0BCE" w:rsidRPr="001340E2" w:rsidRDefault="00BC0BCE" w:rsidP="00B84918">
            <w:pPr>
              <w:overflowPunct/>
              <w:spacing w:after="60" w:line="240" w:lineRule="atLeast"/>
              <w:jc w:val="both"/>
              <w:textAlignment w:val="auto"/>
              <w:rPr>
                <w:rFonts w:asciiTheme="minorHAnsi" w:hAnsiTheme="minorHAnsi"/>
                <w:color w:val="000000"/>
                <w:szCs w:val="22"/>
                <w:lang w:val="en-US"/>
              </w:rPr>
            </w:pPr>
            <w:r w:rsidRPr="001340E2">
              <w:rPr>
                <w:rFonts w:asciiTheme="minorHAnsi" w:hAnsiTheme="minorHAnsi" w:cs="Helvetica"/>
                <w:szCs w:val="22"/>
                <w:lang w:val="en-US"/>
              </w:rPr>
              <w:t xml:space="preserve">Baseline information was compiled, including the status of indicators at project start and the </w:t>
            </w:r>
            <w:r w:rsidR="00B84918">
              <w:rPr>
                <w:rFonts w:asciiTheme="minorHAnsi" w:hAnsiTheme="minorHAnsi" w:cs="Helvetica"/>
                <w:szCs w:val="22"/>
                <w:lang w:val="en-US"/>
              </w:rPr>
              <w:t xml:space="preserve">completion of the </w:t>
            </w:r>
            <w:r w:rsidR="009317B4">
              <w:rPr>
                <w:rFonts w:asciiTheme="minorHAnsi" w:hAnsiTheme="minorHAnsi" w:cs="Helvetica"/>
                <w:szCs w:val="22"/>
                <w:lang w:val="en-US"/>
              </w:rPr>
              <w:t xml:space="preserve">GEF </w:t>
            </w:r>
            <w:r w:rsidRPr="001340E2">
              <w:rPr>
                <w:rFonts w:asciiTheme="minorHAnsi" w:hAnsiTheme="minorHAnsi" w:cs="Helvetica"/>
                <w:szCs w:val="22"/>
                <w:lang w:val="en-US"/>
              </w:rPr>
              <w:t>Management Effectiveness Tracking Tool (METT) for PAs.</w:t>
            </w:r>
          </w:p>
        </w:tc>
      </w:tr>
      <w:tr w:rsidR="00BC0BCE" w:rsidRPr="00E22EBA" w14:paraId="3A40A1BD" w14:textId="77777777" w:rsidTr="00BC0BCE">
        <w:tc>
          <w:tcPr>
            <w:tcW w:w="558" w:type="dxa"/>
          </w:tcPr>
          <w:p w14:paraId="593554EC" w14:textId="77777777" w:rsidR="00BC0BCE" w:rsidRPr="001340E2" w:rsidRDefault="00BC0BCE" w:rsidP="001340E2">
            <w:pPr>
              <w:overflowPunct/>
              <w:spacing w:after="60"/>
              <w:jc w:val="right"/>
              <w:textAlignment w:val="auto"/>
              <w:rPr>
                <w:rFonts w:asciiTheme="minorHAnsi" w:hAnsiTheme="minorHAnsi" w:cs="Corbel"/>
                <w:color w:val="FF0000"/>
                <w:szCs w:val="22"/>
                <w:lang w:val="en-US"/>
              </w:rPr>
            </w:pPr>
            <w:r w:rsidRPr="001340E2">
              <w:rPr>
                <w:rFonts w:ascii="Zapf Dingbats" w:hAnsi="Zapf Dingbats" w:cs="Corbel"/>
                <w:b/>
                <w:color w:val="FF0000"/>
                <w:szCs w:val="22"/>
                <w:lang w:val="en-US"/>
              </w:rPr>
              <w:t>✖</w:t>
            </w:r>
          </w:p>
        </w:tc>
        <w:tc>
          <w:tcPr>
            <w:tcW w:w="8684" w:type="dxa"/>
          </w:tcPr>
          <w:p w14:paraId="6E07BF3E" w14:textId="440EF6EE" w:rsidR="00BC0BCE" w:rsidRPr="001340E2" w:rsidRDefault="001340E2" w:rsidP="001340E2">
            <w:pPr>
              <w:overflowPunct/>
              <w:spacing w:after="60" w:line="240" w:lineRule="atLeast"/>
              <w:jc w:val="both"/>
              <w:textAlignment w:val="auto"/>
              <w:rPr>
                <w:rFonts w:asciiTheme="minorHAnsi" w:hAnsiTheme="minorHAnsi" w:cs="Helvetica"/>
                <w:szCs w:val="22"/>
                <w:lang w:val="en-US"/>
              </w:rPr>
            </w:pPr>
            <w:r w:rsidRPr="001340E2">
              <w:rPr>
                <w:rFonts w:asciiTheme="minorHAnsi" w:hAnsiTheme="minorHAnsi" w:cs="Helvetica"/>
                <w:szCs w:val="22"/>
                <w:lang w:val="en-US"/>
              </w:rPr>
              <w:t>Only US$ 43,000, little more than 3% of the GEF grant, were indicatively allocated</w:t>
            </w:r>
            <w:r>
              <w:rPr>
                <w:rFonts w:asciiTheme="minorHAnsi" w:hAnsiTheme="minorHAnsi" w:cs="Helvetica"/>
                <w:szCs w:val="22"/>
                <w:lang w:val="en-US"/>
              </w:rPr>
              <w:t xml:space="preserve"> for the M&amp;E Plan</w:t>
            </w:r>
            <w:r w:rsidRPr="001340E2">
              <w:rPr>
                <w:rFonts w:asciiTheme="minorHAnsi" w:hAnsiTheme="minorHAnsi" w:cs="Helvetica"/>
                <w:szCs w:val="22"/>
                <w:lang w:val="en-US"/>
              </w:rPr>
              <w:t xml:space="preserve">, with no provision for technical review of the SRF and M&amp;E during project inception and none for an independent external evaluator to undertake the MTR. Instead, an internal MTR was planned, undertaken by the CO and UNDP_GEF Regional Coordinating Unit. Apart from the lack of independence, </w:t>
            </w:r>
            <w:r w:rsidRPr="001340E2">
              <w:rPr>
                <w:rFonts w:asciiTheme="minorHAnsi" w:hAnsiTheme="minorHAnsi" w:cs="Helvetica"/>
                <w:szCs w:val="22"/>
                <w:u w:val="single"/>
                <w:lang w:val="en-US"/>
              </w:rPr>
              <w:t>this option is totally unrealistic</w:t>
            </w:r>
            <w:r w:rsidRPr="001340E2">
              <w:rPr>
                <w:rFonts w:asciiTheme="minorHAnsi" w:hAnsiTheme="minorHAnsi" w:cs="Helvetica"/>
                <w:szCs w:val="22"/>
                <w:lang w:val="en-US"/>
              </w:rPr>
              <w:t xml:space="preserve"> as UNDP staff in country and regional offices just do not have the quality and quantity of time necessary to undertake such tasks. </w:t>
            </w:r>
            <w:r w:rsidRPr="001340E2">
              <w:rPr>
                <w:rFonts w:asciiTheme="minorHAnsi" w:hAnsiTheme="minorHAnsi" w:cs="Helvetica"/>
                <w:szCs w:val="22"/>
                <w:u w:val="single"/>
                <w:lang w:val="en-US"/>
              </w:rPr>
              <w:t>A related second lesson</w:t>
            </w:r>
            <w:r w:rsidRPr="001340E2">
              <w:rPr>
                <w:rFonts w:asciiTheme="minorHAnsi" w:hAnsiTheme="minorHAnsi" w:cs="Helvetica"/>
                <w:szCs w:val="22"/>
                <w:lang w:val="en-US"/>
              </w:rPr>
              <w:t xml:space="preserve"> is that given the option of only being able to afford one rather than two reviews/evaluations, it would have been more appropriate to prioritise the MTR over the TE as the MTR does provide the opportunity (time) to recommend radical changes necessary to bring a project in difficulty back on track. In both of the above cases, additional consultant services were procured for technically advising on project inception and for the MTR.</w:t>
            </w:r>
          </w:p>
        </w:tc>
      </w:tr>
      <w:tr w:rsidR="001340E2" w:rsidRPr="00E22EBA" w14:paraId="706E7BF7" w14:textId="77777777" w:rsidTr="00BC0BCE">
        <w:tc>
          <w:tcPr>
            <w:tcW w:w="558" w:type="dxa"/>
          </w:tcPr>
          <w:p w14:paraId="1AE3CCFA" w14:textId="70D5E78D" w:rsidR="001340E2" w:rsidRPr="001340E2" w:rsidRDefault="00844883" w:rsidP="001340E2">
            <w:pPr>
              <w:overflowPunct/>
              <w:spacing w:after="60"/>
              <w:jc w:val="right"/>
              <w:textAlignment w:val="auto"/>
              <w:rPr>
                <w:rFonts w:ascii="Zapf Dingbats" w:hAnsi="Zapf Dingbats" w:cs="Corbel"/>
                <w:b/>
                <w:color w:val="FF0000"/>
                <w:szCs w:val="22"/>
                <w:lang w:val="en-US"/>
              </w:rPr>
            </w:pPr>
            <w:r w:rsidRPr="001340E2">
              <w:rPr>
                <w:rFonts w:ascii="Zapf Dingbats" w:hAnsi="Zapf Dingbats" w:cs="Corbel"/>
                <w:b/>
                <w:color w:val="FF0000"/>
                <w:szCs w:val="22"/>
                <w:lang w:val="en-US"/>
              </w:rPr>
              <w:t>✖</w:t>
            </w:r>
          </w:p>
        </w:tc>
        <w:tc>
          <w:tcPr>
            <w:tcW w:w="8684" w:type="dxa"/>
          </w:tcPr>
          <w:p w14:paraId="303B5D13" w14:textId="364C6841" w:rsidR="001340E2" w:rsidRPr="001340E2" w:rsidRDefault="001340E2" w:rsidP="00844883">
            <w:pPr>
              <w:overflowPunct/>
              <w:spacing w:after="60" w:line="240" w:lineRule="atLeast"/>
              <w:jc w:val="both"/>
              <w:textAlignment w:val="auto"/>
              <w:rPr>
                <w:rFonts w:asciiTheme="minorHAnsi" w:hAnsiTheme="minorHAnsi" w:cs="Helvetica"/>
                <w:szCs w:val="22"/>
                <w:lang w:val="en-US"/>
              </w:rPr>
            </w:pPr>
            <w:r>
              <w:rPr>
                <w:rFonts w:asciiTheme="minorHAnsi" w:hAnsiTheme="minorHAnsi" w:cs="Helvetica"/>
                <w:szCs w:val="22"/>
                <w:lang w:val="en-US"/>
              </w:rPr>
              <w:t>The design of the SRF</w:t>
            </w:r>
            <w:r w:rsidR="00844883">
              <w:rPr>
                <w:rFonts w:asciiTheme="minorHAnsi" w:hAnsiTheme="minorHAnsi" w:cs="Helvetica"/>
                <w:szCs w:val="22"/>
                <w:lang w:val="en-US"/>
              </w:rPr>
              <w:t xml:space="preserve"> had some weaknesses from an M&amp;E perspective, particularly in relation to effectively monitoring illicit activities and their enforcement (see Sections 2.4 and 3.1.1).</w:t>
            </w:r>
          </w:p>
        </w:tc>
      </w:tr>
    </w:tbl>
    <w:p w14:paraId="14CC56B4" w14:textId="77777777" w:rsidR="001241AF" w:rsidRPr="00E22EBA" w:rsidRDefault="008A3811" w:rsidP="009D45F0">
      <w:pPr>
        <w:pStyle w:val="BodyText"/>
        <w:shd w:val="clear" w:color="auto" w:fill="215868" w:themeFill="accent5" w:themeFillShade="80"/>
        <w:spacing w:before="240"/>
        <w:rPr>
          <w:rFonts w:asciiTheme="minorHAnsi" w:hAnsiTheme="minorHAnsi"/>
          <w:b/>
          <w:color w:val="FFFFFF" w:themeColor="background1"/>
          <w:szCs w:val="24"/>
        </w:rPr>
      </w:pPr>
      <w:r w:rsidRPr="00E22EBA">
        <w:rPr>
          <w:rFonts w:asciiTheme="minorHAnsi" w:hAnsiTheme="minorHAnsi"/>
          <w:b/>
          <w:color w:val="FFFFFF" w:themeColor="background1"/>
          <w:szCs w:val="24"/>
        </w:rPr>
        <w:t xml:space="preserve">Implementation of </w:t>
      </w:r>
      <w:r w:rsidR="001241AF" w:rsidRPr="00E22EBA">
        <w:rPr>
          <w:rFonts w:asciiTheme="minorHAnsi" w:hAnsiTheme="minorHAnsi"/>
          <w:b/>
          <w:color w:val="FFFFFF" w:themeColor="background1"/>
          <w:szCs w:val="24"/>
        </w:rPr>
        <w:t>Monitoring &amp; Evaluati</w:t>
      </w:r>
      <w:r w:rsidR="00BD579D" w:rsidRPr="00E22EBA">
        <w:rPr>
          <w:rFonts w:asciiTheme="minorHAnsi" w:hAnsiTheme="minorHAnsi"/>
          <w:b/>
          <w:color w:val="FFFFFF" w:themeColor="background1"/>
          <w:szCs w:val="24"/>
        </w:rPr>
        <w:t>on</w:t>
      </w:r>
      <w:r w:rsidRPr="00E22EBA">
        <w:rPr>
          <w:rFonts w:asciiTheme="minorHAnsi" w:hAnsiTheme="minorHAnsi"/>
          <w:b/>
          <w:color w:val="FFFFFF" w:themeColor="background1"/>
          <w:szCs w:val="24"/>
        </w:rPr>
        <w:t xml:space="preserve"> Plan</w:t>
      </w:r>
      <w:r w:rsidR="00BD579D" w:rsidRPr="00E22EBA">
        <w:rPr>
          <w:rFonts w:asciiTheme="minorHAnsi" w:hAnsiTheme="minorHAnsi"/>
          <w:b/>
          <w:color w:val="FFFFFF" w:themeColor="background1"/>
          <w:szCs w:val="24"/>
        </w:rPr>
        <w:t xml:space="preserve"> is rated as: </w:t>
      </w:r>
      <w:r w:rsidR="001241AF" w:rsidRPr="00E22EBA">
        <w:rPr>
          <w:rFonts w:asciiTheme="minorHAnsi" w:hAnsiTheme="minorHAnsi"/>
          <w:b/>
          <w:color w:val="FFFFFF" w:themeColor="background1"/>
          <w:szCs w:val="24"/>
        </w:rPr>
        <w:t>Satisfactory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8684"/>
      </w:tblGrid>
      <w:tr w:rsidR="006825FB" w:rsidRPr="00265B36" w14:paraId="67F47EF2" w14:textId="77777777" w:rsidTr="006825FB">
        <w:tc>
          <w:tcPr>
            <w:tcW w:w="9242" w:type="dxa"/>
            <w:gridSpan w:val="2"/>
          </w:tcPr>
          <w:p w14:paraId="1C40406E" w14:textId="19FC48E1" w:rsidR="006825FB" w:rsidRPr="00265B36" w:rsidRDefault="00B84918" w:rsidP="006825FB">
            <w:pPr>
              <w:overflowPunct/>
              <w:spacing w:after="120"/>
              <w:jc w:val="both"/>
              <w:textAlignment w:val="auto"/>
              <w:rPr>
                <w:rFonts w:asciiTheme="minorHAnsi" w:hAnsiTheme="minorHAnsi" w:cs="Corbel"/>
                <w:b/>
                <w:sz w:val="24"/>
                <w:szCs w:val="24"/>
                <w:lang w:val="en-US"/>
              </w:rPr>
            </w:pPr>
            <w:r w:rsidRPr="00265B36">
              <w:rPr>
                <w:rFonts w:asciiTheme="minorHAnsi" w:hAnsiTheme="minorHAnsi" w:cs="Corbel"/>
                <w:b/>
                <w:sz w:val="24"/>
                <w:szCs w:val="24"/>
                <w:lang w:val="en-US"/>
              </w:rPr>
              <w:t>Supporting e</w:t>
            </w:r>
            <w:r w:rsidR="006825FB" w:rsidRPr="00265B36">
              <w:rPr>
                <w:rFonts w:asciiTheme="minorHAnsi" w:hAnsiTheme="minorHAnsi" w:cs="Corbel"/>
                <w:b/>
                <w:sz w:val="24"/>
                <w:szCs w:val="24"/>
                <w:lang w:val="en-US"/>
              </w:rPr>
              <w:t>vidence:</w:t>
            </w:r>
          </w:p>
        </w:tc>
      </w:tr>
      <w:tr w:rsidR="006825FB" w:rsidRPr="00265B36" w14:paraId="0B4E147B" w14:textId="77777777" w:rsidTr="006825FB">
        <w:tc>
          <w:tcPr>
            <w:tcW w:w="558" w:type="dxa"/>
          </w:tcPr>
          <w:p w14:paraId="595D6442" w14:textId="77777777" w:rsidR="006825FB" w:rsidRPr="00265B36" w:rsidRDefault="006825FB" w:rsidP="006825FB">
            <w:pPr>
              <w:overflowPunct/>
              <w:spacing w:after="60"/>
              <w:jc w:val="right"/>
              <w:textAlignment w:val="auto"/>
              <w:rPr>
                <w:rFonts w:asciiTheme="minorHAnsi" w:hAnsiTheme="minorHAnsi" w:cs="Corbel"/>
                <w:color w:val="00B050"/>
                <w:szCs w:val="22"/>
                <w:lang w:val="en-US"/>
              </w:rPr>
            </w:pPr>
            <w:r w:rsidRPr="00265B36">
              <w:rPr>
                <w:rFonts w:ascii="Menlo Bold" w:hAnsi="Menlo Bold" w:cs="Menlo Bold"/>
                <w:b/>
                <w:color w:val="008000"/>
                <w:sz w:val="24"/>
                <w:szCs w:val="24"/>
                <w:lang w:val="en-US"/>
              </w:rPr>
              <w:t>✔</w:t>
            </w:r>
          </w:p>
        </w:tc>
        <w:tc>
          <w:tcPr>
            <w:tcW w:w="8684" w:type="dxa"/>
          </w:tcPr>
          <w:p w14:paraId="6EDC0F91" w14:textId="38060318" w:rsidR="006825FB" w:rsidRPr="00AF7CC6" w:rsidRDefault="006825FB" w:rsidP="009317B4">
            <w:pPr>
              <w:overflowPunct/>
              <w:spacing w:after="60" w:line="240" w:lineRule="atLeast"/>
              <w:jc w:val="both"/>
              <w:textAlignment w:val="auto"/>
              <w:rPr>
                <w:rFonts w:asciiTheme="minorHAnsi" w:hAnsiTheme="minorHAnsi" w:cs="Helvetica"/>
                <w:szCs w:val="22"/>
                <w:lang w:val="en-US"/>
              </w:rPr>
            </w:pPr>
            <w:r w:rsidRPr="00265B36">
              <w:rPr>
                <w:rFonts w:asciiTheme="minorHAnsi" w:hAnsiTheme="minorHAnsi" w:cs="Helvetica"/>
                <w:szCs w:val="22"/>
                <w:lang w:val="en-US"/>
              </w:rPr>
              <w:t xml:space="preserve">PIR reports contained feedback from key stakeholders and provided summaries of project performance. These were underpinned by more frequent reporting on implementation progress and strategic prioritizing of future activities by the CTA on completing each mission; and by </w:t>
            </w:r>
            <w:r w:rsidR="00B84918" w:rsidRPr="00265B36">
              <w:rPr>
                <w:rFonts w:asciiTheme="minorHAnsi" w:hAnsiTheme="minorHAnsi" w:cs="Helvetica"/>
                <w:szCs w:val="22"/>
                <w:lang w:val="en-US"/>
              </w:rPr>
              <w:t>PMU’s</w:t>
            </w:r>
            <w:r w:rsidRPr="00265B36">
              <w:rPr>
                <w:rFonts w:asciiTheme="minorHAnsi" w:hAnsiTheme="minorHAnsi" w:cs="Helvetica"/>
                <w:szCs w:val="22"/>
                <w:lang w:val="en-US"/>
              </w:rPr>
              <w:t xml:space="preserve"> quarterly reports.</w:t>
            </w:r>
          </w:p>
        </w:tc>
      </w:tr>
      <w:tr w:rsidR="006825FB" w:rsidRPr="00265B36" w14:paraId="20F0B442" w14:textId="77777777" w:rsidTr="006825FB">
        <w:tc>
          <w:tcPr>
            <w:tcW w:w="558" w:type="dxa"/>
          </w:tcPr>
          <w:p w14:paraId="4D746E40" w14:textId="77777777" w:rsidR="006825FB" w:rsidRPr="00265B36" w:rsidRDefault="006825FB" w:rsidP="006825FB">
            <w:pPr>
              <w:overflowPunct/>
              <w:spacing w:before="100" w:after="20"/>
              <w:jc w:val="right"/>
              <w:textAlignment w:val="auto"/>
              <w:rPr>
                <w:rFonts w:asciiTheme="minorHAnsi" w:hAnsiTheme="minorHAnsi" w:cs="Corbel"/>
                <w:color w:val="00B050"/>
                <w:szCs w:val="22"/>
                <w:lang w:val="en-US"/>
              </w:rPr>
            </w:pPr>
            <w:r w:rsidRPr="00265B36">
              <w:rPr>
                <w:rFonts w:ascii="Menlo Bold" w:hAnsi="Menlo Bold" w:cs="Menlo Bold"/>
                <w:b/>
                <w:color w:val="008000"/>
                <w:szCs w:val="22"/>
                <w:lang w:val="en-US"/>
              </w:rPr>
              <w:t>✔</w:t>
            </w:r>
          </w:p>
        </w:tc>
        <w:tc>
          <w:tcPr>
            <w:tcW w:w="8684" w:type="dxa"/>
          </w:tcPr>
          <w:p w14:paraId="06B6769A" w14:textId="47F2CC31" w:rsidR="006825FB" w:rsidRPr="00265B36" w:rsidRDefault="00B84918" w:rsidP="009317B4">
            <w:pPr>
              <w:overflowPunct/>
              <w:spacing w:after="60" w:line="240" w:lineRule="atLeast"/>
              <w:jc w:val="both"/>
              <w:textAlignment w:val="auto"/>
              <w:rPr>
                <w:rFonts w:asciiTheme="minorHAnsi" w:hAnsiTheme="minorHAnsi" w:cs="Helvetica"/>
                <w:szCs w:val="22"/>
                <w:lang w:val="en-US"/>
              </w:rPr>
            </w:pPr>
            <w:r w:rsidRPr="00265B36">
              <w:rPr>
                <w:rFonts w:asciiTheme="minorHAnsi" w:hAnsiTheme="minorHAnsi" w:cs="Helvetica"/>
                <w:szCs w:val="22"/>
                <w:lang w:val="en-US"/>
              </w:rPr>
              <w:t>Project Executive Board met regularly, bi-annually, and was well represented and attended at senior levels by key implementing partners.</w:t>
            </w:r>
          </w:p>
        </w:tc>
      </w:tr>
      <w:tr w:rsidR="006825FB" w:rsidRPr="00265B36" w14:paraId="7B4062ED" w14:textId="77777777" w:rsidTr="006825FB">
        <w:tc>
          <w:tcPr>
            <w:tcW w:w="558" w:type="dxa"/>
          </w:tcPr>
          <w:p w14:paraId="4D40184D" w14:textId="77777777" w:rsidR="006825FB" w:rsidRPr="00265B36" w:rsidRDefault="006825FB" w:rsidP="006825FB">
            <w:pPr>
              <w:overflowPunct/>
              <w:spacing w:before="100" w:after="20"/>
              <w:jc w:val="right"/>
              <w:textAlignment w:val="auto"/>
              <w:rPr>
                <w:rFonts w:asciiTheme="minorHAnsi" w:hAnsiTheme="minorHAnsi" w:cs="Corbel"/>
                <w:color w:val="C00000"/>
                <w:szCs w:val="22"/>
                <w:lang w:val="en-US"/>
              </w:rPr>
            </w:pPr>
            <w:r w:rsidRPr="00265B36">
              <w:rPr>
                <w:rFonts w:ascii="Menlo Bold" w:hAnsi="Menlo Bold" w:cs="Menlo Bold"/>
                <w:b/>
                <w:color w:val="008000"/>
                <w:szCs w:val="22"/>
                <w:lang w:val="en-US"/>
              </w:rPr>
              <w:t>✔</w:t>
            </w:r>
          </w:p>
        </w:tc>
        <w:tc>
          <w:tcPr>
            <w:tcW w:w="8684" w:type="dxa"/>
          </w:tcPr>
          <w:p w14:paraId="7126DEDB" w14:textId="40CB6A12" w:rsidR="006825FB" w:rsidRPr="00265B36" w:rsidRDefault="00B84918" w:rsidP="009317B4">
            <w:pPr>
              <w:overflowPunct/>
              <w:spacing w:after="60" w:line="240" w:lineRule="atLeast"/>
              <w:jc w:val="both"/>
              <w:textAlignment w:val="auto"/>
              <w:rPr>
                <w:rFonts w:asciiTheme="minorHAnsi" w:hAnsiTheme="minorHAnsi" w:cs="Helvetica"/>
                <w:szCs w:val="22"/>
                <w:lang w:val="en-US"/>
              </w:rPr>
            </w:pPr>
            <w:r w:rsidRPr="00265B36">
              <w:rPr>
                <w:rFonts w:asciiTheme="minorHAnsi" w:hAnsiTheme="minorHAnsi" w:cs="Helvetica"/>
                <w:szCs w:val="22"/>
                <w:lang w:val="en-US"/>
              </w:rPr>
              <w:t xml:space="preserve">TCG, established by </w:t>
            </w:r>
            <w:r w:rsidR="006825FB" w:rsidRPr="00265B36">
              <w:rPr>
                <w:rFonts w:asciiTheme="minorHAnsi" w:hAnsiTheme="minorHAnsi" w:cs="Helvetica"/>
                <w:szCs w:val="22"/>
                <w:lang w:val="en-US"/>
              </w:rPr>
              <w:t xml:space="preserve">the </w:t>
            </w:r>
            <w:r w:rsidRPr="00265B36">
              <w:rPr>
                <w:rFonts w:asciiTheme="minorHAnsi" w:hAnsiTheme="minorHAnsi" w:cs="Helvetica"/>
                <w:szCs w:val="22"/>
                <w:lang w:val="en-US"/>
              </w:rPr>
              <w:t xml:space="preserve">project, provided an effective platform to share progress and work plans among other partners investing in Achara’s PAs, thereby creating synergies and avoiding duplication </w:t>
            </w:r>
            <w:r w:rsidR="009317B4" w:rsidRPr="00265B36">
              <w:rPr>
                <w:rFonts w:asciiTheme="minorHAnsi" w:hAnsiTheme="minorHAnsi" w:cs="Helvetica"/>
                <w:szCs w:val="22"/>
                <w:lang w:val="en-US"/>
              </w:rPr>
              <w:t xml:space="preserve">of </w:t>
            </w:r>
            <w:r w:rsidRPr="00265B36">
              <w:rPr>
                <w:rFonts w:asciiTheme="minorHAnsi" w:hAnsiTheme="minorHAnsi" w:cs="Helvetica"/>
                <w:szCs w:val="22"/>
                <w:lang w:val="en-US"/>
              </w:rPr>
              <w:t>activities and</w:t>
            </w:r>
            <w:r w:rsidR="009317B4" w:rsidRPr="00265B36">
              <w:rPr>
                <w:rFonts w:asciiTheme="minorHAnsi" w:hAnsiTheme="minorHAnsi" w:cs="Helvetica"/>
                <w:szCs w:val="22"/>
                <w:lang w:val="en-US"/>
              </w:rPr>
              <w:t xml:space="preserve"> scheduling of events having the same or similar stakeholder </w:t>
            </w:r>
            <w:r w:rsidRPr="00265B36">
              <w:rPr>
                <w:rFonts w:asciiTheme="minorHAnsi" w:hAnsiTheme="minorHAnsi" w:cs="Helvetica"/>
                <w:szCs w:val="22"/>
                <w:lang w:val="en-US"/>
              </w:rPr>
              <w:t xml:space="preserve"> </w:t>
            </w:r>
            <w:r w:rsidR="009317B4" w:rsidRPr="00265B36">
              <w:rPr>
                <w:rFonts w:asciiTheme="minorHAnsi" w:hAnsiTheme="minorHAnsi" w:cs="Helvetica"/>
                <w:szCs w:val="22"/>
                <w:lang w:val="en-US"/>
              </w:rPr>
              <w:t>base.</w:t>
            </w:r>
          </w:p>
        </w:tc>
      </w:tr>
      <w:tr w:rsidR="006825FB" w:rsidRPr="00265B36" w14:paraId="4F231BE0" w14:textId="77777777" w:rsidTr="006825FB">
        <w:tc>
          <w:tcPr>
            <w:tcW w:w="558" w:type="dxa"/>
          </w:tcPr>
          <w:p w14:paraId="70202989" w14:textId="77777777" w:rsidR="006825FB" w:rsidRPr="00265B36" w:rsidRDefault="006825FB" w:rsidP="006825FB">
            <w:pPr>
              <w:overflowPunct/>
              <w:spacing w:before="100" w:after="20"/>
              <w:jc w:val="right"/>
              <w:textAlignment w:val="auto"/>
              <w:rPr>
                <w:rFonts w:asciiTheme="minorHAnsi" w:hAnsiTheme="minorHAnsi" w:cs="Corbel"/>
                <w:color w:val="C00000"/>
                <w:szCs w:val="22"/>
                <w:lang w:val="en-US"/>
              </w:rPr>
            </w:pPr>
            <w:r w:rsidRPr="00265B36">
              <w:rPr>
                <w:rFonts w:ascii="Menlo Bold" w:hAnsi="Menlo Bold" w:cs="Menlo Bold"/>
                <w:b/>
                <w:color w:val="008000"/>
                <w:szCs w:val="22"/>
                <w:lang w:val="en-US"/>
              </w:rPr>
              <w:t>✔</w:t>
            </w:r>
          </w:p>
        </w:tc>
        <w:tc>
          <w:tcPr>
            <w:tcW w:w="8684" w:type="dxa"/>
          </w:tcPr>
          <w:p w14:paraId="1CE66E53" w14:textId="79EBAF64" w:rsidR="00642F76" w:rsidRPr="00265B36" w:rsidRDefault="006825FB" w:rsidP="009317B4">
            <w:pPr>
              <w:overflowPunct/>
              <w:spacing w:after="60" w:line="240" w:lineRule="atLeast"/>
              <w:jc w:val="both"/>
              <w:textAlignment w:val="auto"/>
              <w:rPr>
                <w:rFonts w:asciiTheme="minorHAnsi" w:hAnsiTheme="minorHAnsi" w:cs="Helvetica"/>
                <w:szCs w:val="22"/>
                <w:lang w:val="en-US"/>
              </w:rPr>
            </w:pPr>
            <w:r w:rsidRPr="00265B36">
              <w:rPr>
                <w:rFonts w:asciiTheme="minorHAnsi" w:hAnsiTheme="minorHAnsi" w:cs="Helvetica"/>
                <w:szCs w:val="22"/>
                <w:lang w:val="en-US"/>
              </w:rPr>
              <w:t xml:space="preserve">GEF </w:t>
            </w:r>
            <w:r w:rsidR="009317B4" w:rsidRPr="00265B36">
              <w:rPr>
                <w:rFonts w:asciiTheme="minorHAnsi" w:hAnsiTheme="minorHAnsi" w:cs="Helvetica"/>
                <w:szCs w:val="22"/>
                <w:lang w:val="en-US"/>
              </w:rPr>
              <w:t>METT</w:t>
            </w:r>
            <w:r w:rsidRPr="00265B36">
              <w:rPr>
                <w:rFonts w:asciiTheme="minorHAnsi" w:hAnsiTheme="minorHAnsi" w:cs="Helvetica"/>
                <w:szCs w:val="22"/>
                <w:lang w:val="en-US"/>
              </w:rPr>
              <w:t xml:space="preserve"> for P</w:t>
            </w:r>
            <w:r w:rsidR="009317B4" w:rsidRPr="00265B36">
              <w:rPr>
                <w:rFonts w:asciiTheme="minorHAnsi" w:hAnsiTheme="minorHAnsi" w:cs="Helvetica"/>
                <w:szCs w:val="22"/>
                <w:lang w:val="en-US"/>
              </w:rPr>
              <w:t>As</w:t>
            </w:r>
            <w:r w:rsidRPr="00265B36">
              <w:rPr>
                <w:rFonts w:asciiTheme="minorHAnsi" w:hAnsiTheme="minorHAnsi" w:cs="Helvetica"/>
                <w:szCs w:val="22"/>
                <w:lang w:val="en-US"/>
              </w:rPr>
              <w:t xml:space="preserve"> was diligently and competently completed on schedule for MTR and TE.</w:t>
            </w:r>
          </w:p>
        </w:tc>
      </w:tr>
      <w:tr w:rsidR="00642F76" w:rsidRPr="00265B36" w14:paraId="2E1DE118" w14:textId="77777777" w:rsidTr="00642F76">
        <w:tc>
          <w:tcPr>
            <w:tcW w:w="558" w:type="dxa"/>
          </w:tcPr>
          <w:p w14:paraId="34695FC2" w14:textId="77777777" w:rsidR="00642F76" w:rsidRPr="00265B36" w:rsidRDefault="00642F76" w:rsidP="00642F76">
            <w:pPr>
              <w:overflowPunct/>
              <w:spacing w:before="100" w:after="20"/>
              <w:jc w:val="right"/>
              <w:textAlignment w:val="auto"/>
              <w:rPr>
                <w:rFonts w:asciiTheme="minorHAnsi" w:hAnsiTheme="minorHAnsi" w:cs="Corbel"/>
                <w:color w:val="C00000"/>
                <w:szCs w:val="22"/>
                <w:lang w:val="en-US"/>
              </w:rPr>
            </w:pPr>
            <w:r w:rsidRPr="00265B36">
              <w:rPr>
                <w:rFonts w:ascii="Menlo Bold" w:hAnsi="Menlo Bold" w:cs="Menlo Bold"/>
                <w:b/>
                <w:color w:val="008000"/>
                <w:szCs w:val="22"/>
                <w:lang w:val="en-US"/>
              </w:rPr>
              <w:t>✔</w:t>
            </w:r>
          </w:p>
        </w:tc>
        <w:tc>
          <w:tcPr>
            <w:tcW w:w="8684" w:type="dxa"/>
          </w:tcPr>
          <w:p w14:paraId="03855BC2" w14:textId="625D0F20" w:rsidR="00642F76" w:rsidRPr="00265B36" w:rsidRDefault="00642F76" w:rsidP="007918F4">
            <w:pPr>
              <w:overflowPunct/>
              <w:spacing w:after="60" w:line="240" w:lineRule="atLeast"/>
              <w:jc w:val="both"/>
              <w:textAlignment w:val="auto"/>
              <w:rPr>
                <w:rFonts w:asciiTheme="minorHAnsi" w:hAnsiTheme="minorHAnsi" w:cs="Helvetica"/>
                <w:szCs w:val="22"/>
                <w:lang w:val="en-US"/>
              </w:rPr>
            </w:pPr>
            <w:r w:rsidRPr="00265B36">
              <w:rPr>
                <w:rFonts w:asciiTheme="minorHAnsi" w:hAnsiTheme="minorHAnsi" w:cs="Helvetica"/>
                <w:szCs w:val="22"/>
                <w:lang w:val="en-US"/>
              </w:rPr>
              <w:t xml:space="preserve">MTR recommendations were thoroughly reviewed and </w:t>
            </w:r>
            <w:r w:rsidR="0087699B" w:rsidRPr="00265B36">
              <w:rPr>
                <w:rFonts w:asciiTheme="minorHAnsi" w:hAnsiTheme="minorHAnsi" w:cs="Helvetica"/>
                <w:szCs w:val="22"/>
                <w:lang w:val="en-US"/>
              </w:rPr>
              <w:t xml:space="preserve">responded to; with appropriate </w:t>
            </w:r>
            <w:r w:rsidRPr="00265B36">
              <w:rPr>
                <w:rFonts w:asciiTheme="minorHAnsi" w:hAnsiTheme="minorHAnsi" w:cs="Helvetica"/>
                <w:szCs w:val="22"/>
                <w:lang w:val="en-US"/>
              </w:rPr>
              <w:t xml:space="preserve">measures </w:t>
            </w:r>
            <w:r w:rsidR="0087699B" w:rsidRPr="00265B36">
              <w:rPr>
                <w:rFonts w:asciiTheme="minorHAnsi" w:hAnsiTheme="minorHAnsi" w:cs="Helvetica"/>
                <w:szCs w:val="22"/>
                <w:lang w:val="en-US"/>
              </w:rPr>
              <w:t>taken as in the case of pushing forward the protected landscape designation in Machakhela; introducing SMART patrolling across Achara’s Colchic Forest PAs; and reviewing the need for no cost extension in November 2017</w:t>
            </w:r>
            <w:r w:rsidR="007918F4" w:rsidRPr="00265B36">
              <w:rPr>
                <w:rFonts w:asciiTheme="minorHAnsi" w:hAnsiTheme="minorHAnsi" w:cs="Helvetica"/>
                <w:szCs w:val="22"/>
                <w:vertAlign w:val="superscript"/>
                <w:lang w:val="en-US"/>
              </w:rPr>
              <w:fldChar w:fldCharType="begin"/>
            </w:r>
            <w:r w:rsidR="007918F4" w:rsidRPr="00265B36">
              <w:rPr>
                <w:rFonts w:asciiTheme="minorHAnsi" w:hAnsiTheme="minorHAnsi" w:cs="Helvetica"/>
                <w:szCs w:val="22"/>
                <w:vertAlign w:val="superscript"/>
                <w:lang w:val="en-US"/>
              </w:rPr>
              <w:instrText xml:space="preserve"> NOTEREF _Ref408656953 \h </w:instrText>
            </w:r>
            <w:r w:rsidR="007918F4" w:rsidRPr="00265B36">
              <w:rPr>
                <w:rFonts w:asciiTheme="minorHAnsi" w:hAnsiTheme="minorHAnsi" w:cs="Helvetica"/>
                <w:szCs w:val="22"/>
                <w:vertAlign w:val="superscript"/>
                <w:lang w:val="en-US"/>
              </w:rPr>
            </w:r>
            <w:r w:rsidR="007918F4" w:rsidRPr="00265B36">
              <w:rPr>
                <w:rFonts w:asciiTheme="minorHAnsi" w:hAnsiTheme="minorHAnsi" w:cs="Helvetica"/>
                <w:szCs w:val="22"/>
                <w:vertAlign w:val="superscript"/>
                <w:lang w:val="en-US"/>
              </w:rPr>
              <w:fldChar w:fldCharType="separate"/>
            </w:r>
            <w:r w:rsidR="001E2C7B">
              <w:rPr>
                <w:rFonts w:asciiTheme="minorHAnsi" w:hAnsiTheme="minorHAnsi" w:cs="Helvetica"/>
                <w:szCs w:val="22"/>
                <w:vertAlign w:val="superscript"/>
                <w:lang w:val="en-US"/>
              </w:rPr>
              <w:t>31</w:t>
            </w:r>
            <w:r w:rsidR="007918F4" w:rsidRPr="00265B36">
              <w:rPr>
                <w:rFonts w:asciiTheme="minorHAnsi" w:hAnsiTheme="minorHAnsi" w:cs="Helvetica"/>
                <w:szCs w:val="22"/>
                <w:vertAlign w:val="superscript"/>
                <w:lang w:val="en-US"/>
              </w:rPr>
              <w:fldChar w:fldCharType="end"/>
            </w:r>
            <w:r w:rsidR="0087699B" w:rsidRPr="00265B36">
              <w:rPr>
                <w:rFonts w:asciiTheme="minorHAnsi" w:hAnsiTheme="minorHAnsi" w:cs="Helvetica"/>
                <w:szCs w:val="22"/>
                <w:lang w:val="en-US"/>
              </w:rPr>
              <w:t xml:space="preserve">. </w:t>
            </w:r>
          </w:p>
        </w:tc>
      </w:tr>
      <w:tr w:rsidR="006825FB" w:rsidRPr="00265B36" w14:paraId="5C86E9D4" w14:textId="77777777" w:rsidTr="006825FB">
        <w:tc>
          <w:tcPr>
            <w:tcW w:w="558" w:type="dxa"/>
          </w:tcPr>
          <w:p w14:paraId="10F14349" w14:textId="4BB743C3" w:rsidR="006825FB" w:rsidRPr="00265B36" w:rsidRDefault="007918F4" w:rsidP="006825FB">
            <w:pPr>
              <w:spacing w:before="60" w:after="20"/>
              <w:jc w:val="right"/>
              <w:rPr>
                <w:rFonts w:asciiTheme="minorHAnsi" w:hAnsiTheme="minorHAnsi"/>
                <w:color w:val="C00000"/>
                <w:szCs w:val="22"/>
                <w:lang w:val="en-US"/>
              </w:rPr>
            </w:pPr>
            <w:r w:rsidRPr="00265B36">
              <w:rPr>
                <w:rFonts w:ascii="Menlo Bold" w:hAnsi="Menlo Bold" w:cs="Menlo Bold"/>
                <w:b/>
                <w:color w:val="FF0000"/>
                <w:szCs w:val="22"/>
                <w:lang w:val="en-US"/>
              </w:rPr>
              <w:t>✖</w:t>
            </w:r>
          </w:p>
        </w:tc>
        <w:tc>
          <w:tcPr>
            <w:tcW w:w="8684" w:type="dxa"/>
          </w:tcPr>
          <w:p w14:paraId="12AEF202" w14:textId="4CBE666B" w:rsidR="006825FB" w:rsidRPr="00265B36" w:rsidRDefault="009317B4" w:rsidP="00730E30">
            <w:pPr>
              <w:overflowPunct/>
              <w:spacing w:after="60" w:line="240" w:lineRule="atLeast"/>
              <w:jc w:val="both"/>
              <w:textAlignment w:val="auto"/>
              <w:rPr>
                <w:rFonts w:asciiTheme="minorHAnsi" w:hAnsiTheme="minorHAnsi" w:cs="Helvetica"/>
                <w:szCs w:val="22"/>
                <w:lang w:val="en-US"/>
              </w:rPr>
            </w:pPr>
            <w:r w:rsidRPr="00265B36">
              <w:rPr>
                <w:rFonts w:asciiTheme="minorHAnsi" w:hAnsiTheme="minorHAnsi" w:cs="Helvetica"/>
                <w:szCs w:val="22"/>
                <w:lang w:val="en-US"/>
              </w:rPr>
              <w:t xml:space="preserve">SRF </w:t>
            </w:r>
            <w:r w:rsidR="006825FB" w:rsidRPr="00265B36">
              <w:rPr>
                <w:rFonts w:asciiTheme="minorHAnsi" w:hAnsiTheme="minorHAnsi" w:cs="Helvetica"/>
                <w:szCs w:val="22"/>
                <w:lang w:val="en-US"/>
              </w:rPr>
              <w:t xml:space="preserve">work was </w:t>
            </w:r>
            <w:r w:rsidR="00730E30" w:rsidRPr="00265B36">
              <w:rPr>
                <w:rFonts w:asciiTheme="minorHAnsi" w:hAnsiTheme="minorHAnsi" w:cs="Helvetica"/>
                <w:szCs w:val="22"/>
                <w:lang w:val="en-US"/>
              </w:rPr>
              <w:t>reviewed during</w:t>
            </w:r>
            <w:r w:rsidRPr="00265B36">
              <w:rPr>
                <w:rFonts w:asciiTheme="minorHAnsi" w:hAnsiTheme="minorHAnsi" w:cs="Helvetica"/>
                <w:szCs w:val="22"/>
                <w:lang w:val="en-US"/>
              </w:rPr>
              <w:t xml:space="preserve"> the inception phase</w:t>
            </w:r>
            <w:r w:rsidR="006825FB" w:rsidRPr="00265B36">
              <w:rPr>
                <w:rFonts w:asciiTheme="minorHAnsi" w:hAnsiTheme="minorHAnsi" w:cs="Helvetica"/>
                <w:szCs w:val="22"/>
                <w:lang w:val="en-US"/>
              </w:rPr>
              <w:t xml:space="preserve"> but no </w:t>
            </w:r>
            <w:r w:rsidR="00730E30" w:rsidRPr="00265B36">
              <w:rPr>
                <w:rFonts w:asciiTheme="minorHAnsi" w:hAnsiTheme="minorHAnsi" w:cs="Helvetica"/>
                <w:szCs w:val="22"/>
                <w:lang w:val="en-US"/>
              </w:rPr>
              <w:t>initiative was taken to address some obvious weaknesses, such as duplication, nor in response to the MTR’s concerns about measuring illegal activities and using conviction rates instead.</w:t>
            </w:r>
          </w:p>
        </w:tc>
      </w:tr>
      <w:tr w:rsidR="006825FB" w:rsidRPr="00265B36" w14:paraId="7426DD99" w14:textId="77777777" w:rsidTr="006825FB">
        <w:tc>
          <w:tcPr>
            <w:tcW w:w="558" w:type="dxa"/>
          </w:tcPr>
          <w:p w14:paraId="3EC53F36" w14:textId="02608411" w:rsidR="006825FB" w:rsidRPr="00265B36" w:rsidRDefault="007918F4" w:rsidP="006825FB">
            <w:pPr>
              <w:overflowPunct/>
              <w:spacing w:before="60" w:after="20"/>
              <w:jc w:val="right"/>
              <w:textAlignment w:val="auto"/>
              <w:rPr>
                <w:rFonts w:asciiTheme="minorHAnsi" w:hAnsiTheme="minorHAnsi" w:cs="Corbel"/>
                <w:color w:val="C00000"/>
                <w:szCs w:val="22"/>
                <w:lang w:val="en-US"/>
              </w:rPr>
            </w:pPr>
            <w:r w:rsidRPr="00265B36">
              <w:rPr>
                <w:rFonts w:ascii="Menlo Bold" w:hAnsi="Menlo Bold" w:cs="Menlo Bold"/>
                <w:b/>
                <w:color w:val="FF0000"/>
                <w:szCs w:val="22"/>
                <w:lang w:val="en-US"/>
              </w:rPr>
              <w:t>✖</w:t>
            </w:r>
          </w:p>
        </w:tc>
        <w:tc>
          <w:tcPr>
            <w:tcW w:w="8684" w:type="dxa"/>
          </w:tcPr>
          <w:p w14:paraId="3016C240" w14:textId="4EC082C4" w:rsidR="006825FB" w:rsidRPr="00265B36" w:rsidRDefault="006B29D5" w:rsidP="006B29D5">
            <w:pPr>
              <w:overflowPunct/>
              <w:spacing w:after="60" w:line="240" w:lineRule="atLeast"/>
              <w:jc w:val="both"/>
              <w:textAlignment w:val="auto"/>
              <w:rPr>
                <w:rFonts w:asciiTheme="minorHAnsi" w:hAnsiTheme="minorHAnsi" w:cs="Helvetica"/>
                <w:szCs w:val="22"/>
                <w:lang w:val="en-US"/>
              </w:rPr>
            </w:pPr>
            <w:r w:rsidRPr="00265B36">
              <w:rPr>
                <w:rFonts w:asciiTheme="minorHAnsi" w:hAnsiTheme="minorHAnsi"/>
              </w:rPr>
              <w:t>Risks and assumptions articulated in the ProDoc were not clearly integrated with the SRF. Maybe as a consequence, their subsequent systematic review and reporting appears weak, undermining the fact that they were well managed.</w:t>
            </w:r>
          </w:p>
        </w:tc>
      </w:tr>
    </w:tbl>
    <w:p w14:paraId="27FE4335" w14:textId="33881757" w:rsidR="0008670E" w:rsidRPr="00E22EBA" w:rsidRDefault="009034BA" w:rsidP="0067558E">
      <w:pPr>
        <w:pStyle w:val="Heading2"/>
        <w:numPr>
          <w:ilvl w:val="2"/>
          <w:numId w:val="19"/>
        </w:numPr>
        <w:spacing w:before="240" w:after="120"/>
        <w:ind w:left="709" w:hanging="709"/>
        <w:rPr>
          <w:rFonts w:asciiTheme="minorHAnsi" w:hAnsiTheme="minorHAnsi" w:cs="Calibri"/>
          <w:b/>
          <w:caps w:val="0"/>
        </w:rPr>
      </w:pPr>
      <w:bookmarkStart w:id="148" w:name="_Toc414745332"/>
      <w:r w:rsidRPr="00E22EBA">
        <w:rPr>
          <w:rFonts w:asciiTheme="minorHAnsi" w:hAnsiTheme="minorHAnsi" w:cs="Calibri"/>
          <w:b/>
          <w:caps w:val="0"/>
        </w:rPr>
        <w:t>Implementing Agency (IA) and Implementing Partner (Executing Agency-EA)</w:t>
      </w:r>
      <w:r w:rsidR="00F12160">
        <w:rPr>
          <w:rFonts w:asciiTheme="minorHAnsi" w:hAnsiTheme="minorHAnsi" w:cs="Calibri"/>
          <w:b/>
          <w:caps w:val="0"/>
        </w:rPr>
        <w:t xml:space="preserve"> e</w:t>
      </w:r>
      <w:r w:rsidR="00E903D2" w:rsidRPr="00E22EBA">
        <w:rPr>
          <w:rFonts w:asciiTheme="minorHAnsi" w:hAnsiTheme="minorHAnsi" w:cs="Calibri"/>
          <w:b/>
          <w:caps w:val="0"/>
        </w:rPr>
        <w:t>xecution</w:t>
      </w:r>
      <w:r w:rsidR="00F12160">
        <w:rPr>
          <w:rFonts w:asciiTheme="minorHAnsi" w:hAnsiTheme="minorHAnsi" w:cs="Calibri"/>
          <w:b/>
          <w:caps w:val="0"/>
        </w:rPr>
        <w:t>*, coordination and operational issues</w:t>
      </w:r>
      <w:bookmarkEnd w:id="148"/>
    </w:p>
    <w:p w14:paraId="60650F36" w14:textId="13842080" w:rsidR="009034BA" w:rsidRDefault="005129E9" w:rsidP="000E5849">
      <w:pPr>
        <w:pStyle w:val="BodyText"/>
        <w:shd w:val="clear" w:color="auto" w:fill="215868" w:themeFill="accent5" w:themeFillShade="80"/>
        <w:spacing w:before="120" w:line="240" w:lineRule="auto"/>
        <w:rPr>
          <w:rFonts w:asciiTheme="minorHAnsi" w:hAnsiTheme="minorHAnsi"/>
          <w:b/>
          <w:color w:val="FFFFFF" w:themeColor="background1"/>
        </w:rPr>
      </w:pPr>
      <w:r w:rsidRPr="00E22EBA">
        <w:rPr>
          <w:rFonts w:asciiTheme="minorHAnsi" w:hAnsiTheme="minorHAnsi"/>
          <w:b/>
          <w:color w:val="FFFFFF" w:themeColor="background1"/>
        </w:rPr>
        <w:t xml:space="preserve">Overall </w:t>
      </w:r>
      <w:r w:rsidR="00AA0DF2">
        <w:rPr>
          <w:rFonts w:asciiTheme="minorHAnsi" w:hAnsiTheme="minorHAnsi"/>
          <w:b/>
          <w:color w:val="FFFFFF" w:themeColor="background1"/>
        </w:rPr>
        <w:t>Quality of Implementing Agency and Implementing Partner e</w:t>
      </w:r>
      <w:r w:rsidRPr="00E22EBA">
        <w:rPr>
          <w:rFonts w:asciiTheme="minorHAnsi" w:hAnsiTheme="minorHAnsi"/>
          <w:b/>
          <w:color w:val="FFFFFF" w:themeColor="background1"/>
        </w:rPr>
        <w:t>xecution</w:t>
      </w:r>
      <w:r w:rsidR="00BD579D" w:rsidRPr="00E22EBA">
        <w:rPr>
          <w:rFonts w:asciiTheme="minorHAnsi" w:hAnsiTheme="minorHAnsi"/>
          <w:b/>
          <w:color w:val="FFFFFF" w:themeColor="background1"/>
        </w:rPr>
        <w:t xml:space="preserve">: </w:t>
      </w:r>
      <w:r w:rsidR="00121411" w:rsidRPr="00E22EBA">
        <w:rPr>
          <w:rFonts w:asciiTheme="minorHAnsi" w:hAnsiTheme="minorHAnsi"/>
          <w:b/>
          <w:color w:val="FFFFFF" w:themeColor="background1"/>
        </w:rPr>
        <w:t>Satisfactory</w:t>
      </w:r>
    </w:p>
    <w:p w14:paraId="455216D7" w14:textId="77777777" w:rsidR="00AA516E" w:rsidRDefault="00AA0DF2" w:rsidP="002B1957">
      <w:pPr>
        <w:pStyle w:val="BodyText"/>
        <w:spacing w:before="120" w:line="240" w:lineRule="auto"/>
        <w:rPr>
          <w:rFonts w:asciiTheme="minorHAnsi" w:hAnsiTheme="minorHAnsi"/>
        </w:rPr>
      </w:pPr>
      <w:r w:rsidRPr="00AA0DF2">
        <w:rPr>
          <w:rFonts w:asciiTheme="minorHAnsi" w:hAnsiTheme="minorHAnsi"/>
        </w:rPr>
        <w:t>The</w:t>
      </w:r>
      <w:r w:rsidR="00C85EC3">
        <w:rPr>
          <w:rFonts w:asciiTheme="minorHAnsi" w:hAnsiTheme="minorHAnsi"/>
        </w:rPr>
        <w:t xml:space="preserve"> overall satisfactory quality of project execution is undoubtedly a reflection of the good, solid relations existing between the</w:t>
      </w:r>
      <w:r>
        <w:rPr>
          <w:rFonts w:asciiTheme="minorHAnsi" w:hAnsiTheme="minorHAnsi"/>
        </w:rPr>
        <w:t xml:space="preserve"> Implementing </w:t>
      </w:r>
      <w:r w:rsidR="00C85EC3">
        <w:rPr>
          <w:rFonts w:asciiTheme="minorHAnsi" w:hAnsiTheme="minorHAnsi"/>
        </w:rPr>
        <w:t>Agency</w:t>
      </w:r>
      <w:r>
        <w:rPr>
          <w:rFonts w:asciiTheme="minorHAnsi" w:hAnsiTheme="minorHAnsi"/>
        </w:rPr>
        <w:t xml:space="preserve"> (UNDP) and </w:t>
      </w:r>
      <w:r w:rsidR="00C85EC3">
        <w:rPr>
          <w:rFonts w:asciiTheme="minorHAnsi" w:hAnsiTheme="minorHAnsi"/>
        </w:rPr>
        <w:t xml:space="preserve">its </w:t>
      </w:r>
      <w:r>
        <w:rPr>
          <w:rFonts w:asciiTheme="minorHAnsi" w:hAnsiTheme="minorHAnsi"/>
        </w:rPr>
        <w:t>Implementing Partner (APA)</w:t>
      </w:r>
      <w:r w:rsidR="00C85EC3">
        <w:rPr>
          <w:rFonts w:asciiTheme="minorHAnsi" w:hAnsiTheme="minorHAnsi"/>
        </w:rPr>
        <w:t xml:space="preserve"> and the excellent technical and facilitative role realised by PMU in its engagement with a wide range of partners and other stakeholders</w:t>
      </w:r>
      <w:r w:rsidR="00AA516E">
        <w:rPr>
          <w:rFonts w:asciiTheme="minorHAnsi" w:hAnsiTheme="minorHAnsi"/>
        </w:rPr>
        <w:t xml:space="preserve"> to secure their trust and </w:t>
      </w:r>
      <w:r w:rsidR="00AA516E">
        <w:rPr>
          <w:rFonts w:asciiTheme="minorHAnsi" w:hAnsiTheme="minorHAnsi"/>
        </w:rPr>
        <w:lastRenderedPageBreak/>
        <w:t>participation in the project. The other important ingredient to this satisfactory execution of the project has been the high calibre of the consultants procured by PMU , for which the evidence is based on one-one interviews by the evaluators, review of a selection of their reports and the traction and resonance that their recommendations have found with many of project’s stakeholders.</w:t>
      </w:r>
    </w:p>
    <w:p w14:paraId="6F95A5B1" w14:textId="0193C190" w:rsidR="002B1957" w:rsidRPr="00AA0DF2" w:rsidRDefault="00AA516E" w:rsidP="002B1957">
      <w:pPr>
        <w:pStyle w:val="BodyText"/>
        <w:spacing w:before="120" w:line="240" w:lineRule="auto"/>
        <w:rPr>
          <w:rFonts w:asciiTheme="minorHAnsi" w:hAnsiTheme="minorHAnsi"/>
        </w:rPr>
      </w:pPr>
      <w:r>
        <w:rPr>
          <w:rFonts w:asciiTheme="minorHAnsi" w:hAnsiTheme="minorHAnsi"/>
        </w:rPr>
        <w:t xml:space="preserve">Fundamentally, this project has been extremely well </w:t>
      </w:r>
      <w:r w:rsidR="00345192">
        <w:rPr>
          <w:rFonts w:asciiTheme="minorHAnsi" w:hAnsiTheme="minorHAnsi"/>
        </w:rPr>
        <w:t>executed – with care, timeliness, sound science and commitment that has secured the support of many of its stakeholders and</w:t>
      </w:r>
      <w:r w:rsidR="008E6CA7">
        <w:rPr>
          <w:rFonts w:asciiTheme="minorHAnsi" w:hAnsiTheme="minorHAnsi"/>
        </w:rPr>
        <w:t>,</w:t>
      </w:r>
      <w:r w:rsidR="00345192">
        <w:rPr>
          <w:rFonts w:asciiTheme="minorHAnsi" w:hAnsiTheme="minorHAnsi"/>
        </w:rPr>
        <w:t xml:space="preserve"> most probably</w:t>
      </w:r>
      <w:r w:rsidR="008E6CA7">
        <w:rPr>
          <w:rFonts w:asciiTheme="minorHAnsi" w:hAnsiTheme="minorHAnsi"/>
        </w:rPr>
        <w:t>,</w:t>
      </w:r>
      <w:r w:rsidR="00345192">
        <w:rPr>
          <w:rFonts w:asciiTheme="minorHAnsi" w:hAnsiTheme="minorHAnsi"/>
        </w:rPr>
        <w:t xml:space="preserve"> won </w:t>
      </w:r>
      <w:r w:rsidR="008E6CA7">
        <w:rPr>
          <w:rFonts w:asciiTheme="minorHAnsi" w:hAnsiTheme="minorHAnsi"/>
        </w:rPr>
        <w:t xml:space="preserve">some </w:t>
      </w:r>
      <w:r w:rsidR="00345192">
        <w:rPr>
          <w:rFonts w:asciiTheme="minorHAnsi" w:hAnsiTheme="minorHAnsi"/>
        </w:rPr>
        <w:t>hearts and souls too</w:t>
      </w:r>
      <w:r>
        <w:rPr>
          <w:rFonts w:asciiTheme="minorHAnsi" w:hAnsiTheme="minorHAnsi"/>
        </w:rPr>
        <w:t xml:space="preserve">. </w:t>
      </w:r>
    </w:p>
    <w:p w14:paraId="39695415" w14:textId="5A7BB466" w:rsidR="002B1957" w:rsidRPr="00E22EBA" w:rsidRDefault="002B1957" w:rsidP="002B1957">
      <w:pPr>
        <w:pStyle w:val="BodyText"/>
        <w:shd w:val="clear" w:color="auto" w:fill="215868" w:themeFill="accent5" w:themeFillShade="80"/>
        <w:spacing w:before="120" w:line="240" w:lineRule="auto"/>
        <w:rPr>
          <w:rFonts w:asciiTheme="minorHAnsi" w:hAnsiTheme="minorHAnsi"/>
          <w:b/>
          <w:color w:val="FFFFFF" w:themeColor="background1"/>
        </w:rPr>
      </w:pPr>
      <w:r w:rsidRPr="00E22EBA">
        <w:rPr>
          <w:rFonts w:asciiTheme="minorHAnsi" w:hAnsiTheme="minorHAnsi"/>
          <w:b/>
          <w:color w:val="FFFFFF" w:themeColor="background1"/>
        </w:rPr>
        <w:t xml:space="preserve">Quality of </w:t>
      </w:r>
      <w:r>
        <w:rPr>
          <w:rFonts w:asciiTheme="minorHAnsi" w:hAnsiTheme="minorHAnsi"/>
          <w:b/>
          <w:color w:val="FFFFFF" w:themeColor="background1"/>
        </w:rPr>
        <w:t>Implementing Agency (UNDP) e</w:t>
      </w:r>
      <w:r w:rsidRPr="00E22EBA">
        <w:rPr>
          <w:rFonts w:asciiTheme="minorHAnsi" w:hAnsiTheme="minorHAnsi"/>
          <w:b/>
          <w:color w:val="FFFFFF" w:themeColor="background1"/>
        </w:rPr>
        <w:t xml:space="preserve">xecution is rated as: </w:t>
      </w:r>
      <w:r w:rsidR="00166B3F">
        <w:rPr>
          <w:rFonts w:asciiTheme="minorHAnsi" w:hAnsiTheme="minorHAnsi"/>
          <w:b/>
          <w:color w:val="FFFFFF" w:themeColor="background1"/>
        </w:rPr>
        <w:t xml:space="preserve">Highly </w:t>
      </w:r>
      <w:r w:rsidRPr="00E22EBA">
        <w:rPr>
          <w:rFonts w:asciiTheme="minorHAnsi" w:hAnsiTheme="minorHAnsi"/>
          <w:b/>
          <w:color w:val="FFFFFF" w:themeColor="background1"/>
        </w:rPr>
        <w:t xml:space="preserve">Satisfactory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
        <w:gridCol w:w="8692"/>
      </w:tblGrid>
      <w:tr w:rsidR="00AA73AE" w:rsidRPr="00265B36" w14:paraId="09FFCD46" w14:textId="77777777" w:rsidTr="00610CB4">
        <w:tc>
          <w:tcPr>
            <w:tcW w:w="9242" w:type="dxa"/>
            <w:gridSpan w:val="2"/>
          </w:tcPr>
          <w:p w14:paraId="200564FC" w14:textId="77777777" w:rsidR="00AA73AE" w:rsidRPr="00265B36" w:rsidRDefault="00AA73AE" w:rsidP="00E23363">
            <w:pPr>
              <w:overflowPunct/>
              <w:spacing w:after="120"/>
              <w:textAlignment w:val="auto"/>
              <w:rPr>
                <w:rFonts w:asciiTheme="minorHAnsi" w:hAnsiTheme="minorHAnsi" w:cs="Corbel"/>
                <w:b/>
                <w:sz w:val="24"/>
                <w:szCs w:val="24"/>
                <w:lang w:val="en-US"/>
              </w:rPr>
            </w:pPr>
            <w:r w:rsidRPr="00265B36">
              <w:rPr>
                <w:rFonts w:asciiTheme="minorHAnsi" w:hAnsiTheme="minorHAnsi" w:cs="Corbel"/>
                <w:b/>
                <w:sz w:val="24"/>
                <w:szCs w:val="24"/>
                <w:lang w:val="en-US"/>
              </w:rPr>
              <w:t>Supporting Evidence:</w:t>
            </w:r>
          </w:p>
        </w:tc>
      </w:tr>
      <w:tr w:rsidR="00AA73AE" w:rsidRPr="00265B36" w14:paraId="5FAC48CC" w14:textId="77777777" w:rsidTr="00610CB4">
        <w:tc>
          <w:tcPr>
            <w:tcW w:w="550" w:type="dxa"/>
          </w:tcPr>
          <w:p w14:paraId="3572B2F9" w14:textId="23D691B5" w:rsidR="00AA73AE" w:rsidRPr="00265B36" w:rsidRDefault="00610CB4" w:rsidP="00265B36">
            <w:pPr>
              <w:overflowPunct/>
              <w:spacing w:after="60" w:line="240" w:lineRule="atLeast"/>
              <w:jc w:val="right"/>
              <w:textAlignment w:val="auto"/>
              <w:rPr>
                <w:rFonts w:ascii="Calibri" w:hAnsi="Calibri" w:cs="Corbel"/>
                <w:b/>
                <w:color w:val="00B050"/>
                <w:szCs w:val="22"/>
                <w:lang w:val="en-US"/>
              </w:rPr>
            </w:pPr>
            <w:r w:rsidRPr="00265B36">
              <w:rPr>
                <w:rFonts w:ascii="Menlo Bold" w:hAnsi="Menlo Bold" w:cs="Menlo Bold"/>
                <w:b/>
                <w:color w:val="008000"/>
                <w:szCs w:val="22"/>
                <w:lang w:val="en-US"/>
              </w:rPr>
              <w:t>✔</w:t>
            </w:r>
          </w:p>
        </w:tc>
        <w:tc>
          <w:tcPr>
            <w:tcW w:w="8692" w:type="dxa"/>
          </w:tcPr>
          <w:p w14:paraId="0C48CB4F" w14:textId="0D8AE4D4" w:rsidR="00AA73AE" w:rsidRPr="00265B36" w:rsidRDefault="00786F5D" w:rsidP="00265B36">
            <w:pPr>
              <w:overflowPunct/>
              <w:spacing w:after="60" w:line="240" w:lineRule="atLeast"/>
              <w:jc w:val="both"/>
              <w:textAlignment w:val="auto"/>
              <w:rPr>
                <w:rFonts w:ascii="Calibri" w:hAnsi="Calibri" w:cs="Corbel"/>
                <w:szCs w:val="22"/>
                <w:lang w:val="en-US"/>
              </w:rPr>
            </w:pPr>
            <w:r w:rsidRPr="00265B36">
              <w:rPr>
                <w:rFonts w:ascii="Calibri" w:hAnsi="Calibri"/>
                <w:szCs w:val="22"/>
                <w:lang w:val="en-US"/>
              </w:rPr>
              <w:t xml:space="preserve">UNDP’s wealth of experience on biodiversity projects in </w:t>
            </w:r>
            <w:r w:rsidR="00610CB4" w:rsidRPr="00265B36">
              <w:rPr>
                <w:rFonts w:ascii="Calibri" w:hAnsi="Calibri"/>
                <w:szCs w:val="22"/>
                <w:lang w:val="en-US"/>
              </w:rPr>
              <w:t>Georgia</w:t>
            </w:r>
            <w:r w:rsidRPr="00265B36">
              <w:rPr>
                <w:rFonts w:ascii="Calibri" w:hAnsi="Calibri"/>
                <w:szCs w:val="22"/>
                <w:lang w:val="en-US"/>
              </w:rPr>
              <w:t xml:space="preserve"> and globally and their </w:t>
            </w:r>
            <w:r w:rsidRPr="0051742A">
              <w:rPr>
                <w:rFonts w:ascii="Calibri" w:hAnsi="Calibri"/>
                <w:szCs w:val="22"/>
              </w:rPr>
              <w:t>favo</w:t>
            </w:r>
            <w:r w:rsidR="0051742A" w:rsidRPr="0051742A">
              <w:rPr>
                <w:rFonts w:ascii="Calibri" w:hAnsi="Calibri"/>
                <w:szCs w:val="22"/>
              </w:rPr>
              <w:t>u</w:t>
            </w:r>
            <w:r w:rsidRPr="0051742A">
              <w:rPr>
                <w:rFonts w:ascii="Calibri" w:hAnsi="Calibri"/>
                <w:szCs w:val="22"/>
              </w:rPr>
              <w:t>rable</w:t>
            </w:r>
            <w:r w:rsidRPr="00265B36">
              <w:rPr>
                <w:rFonts w:ascii="Calibri" w:hAnsi="Calibri"/>
                <w:szCs w:val="22"/>
                <w:lang w:val="en-US"/>
              </w:rPr>
              <w:t xml:space="preserve"> standing with the Government of </w:t>
            </w:r>
            <w:r w:rsidR="007C5E08" w:rsidRPr="00265B36">
              <w:rPr>
                <w:rFonts w:ascii="Calibri" w:hAnsi="Calibri"/>
                <w:szCs w:val="22"/>
                <w:lang w:val="en-US"/>
              </w:rPr>
              <w:t>Georgia</w:t>
            </w:r>
            <w:r w:rsidRPr="00265B36">
              <w:rPr>
                <w:rFonts w:ascii="Calibri" w:hAnsi="Calibri"/>
                <w:szCs w:val="22"/>
                <w:lang w:val="en-US"/>
              </w:rPr>
              <w:t xml:space="preserve"> </w:t>
            </w:r>
            <w:r w:rsidR="007C5E08" w:rsidRPr="00265B36">
              <w:rPr>
                <w:rFonts w:ascii="Calibri" w:hAnsi="Calibri"/>
                <w:szCs w:val="22"/>
                <w:lang w:val="en-US"/>
              </w:rPr>
              <w:t>as a respected advocacy partner is</w:t>
            </w:r>
            <w:r w:rsidRPr="00265B36">
              <w:rPr>
                <w:rFonts w:ascii="Calibri" w:hAnsi="Calibri"/>
                <w:szCs w:val="22"/>
                <w:lang w:val="en-US"/>
              </w:rPr>
              <w:t xml:space="preserve"> a strong comparative advantage</w:t>
            </w:r>
            <w:r w:rsidR="00610CB4" w:rsidRPr="00265B36">
              <w:rPr>
                <w:rFonts w:ascii="Calibri" w:hAnsi="Calibri"/>
                <w:szCs w:val="22"/>
                <w:lang w:val="en-US"/>
              </w:rPr>
              <w:t>.</w:t>
            </w:r>
          </w:p>
        </w:tc>
      </w:tr>
      <w:tr w:rsidR="007C5E08" w:rsidRPr="00265B36" w14:paraId="02A6AAAF" w14:textId="77777777" w:rsidTr="007C5E08">
        <w:tc>
          <w:tcPr>
            <w:tcW w:w="550" w:type="dxa"/>
          </w:tcPr>
          <w:p w14:paraId="0CFE1B0F" w14:textId="77777777" w:rsidR="007C5E08" w:rsidRPr="00265B36" w:rsidRDefault="007C5E08" w:rsidP="00265B36">
            <w:pPr>
              <w:overflowPunct/>
              <w:spacing w:after="60" w:line="240" w:lineRule="atLeast"/>
              <w:jc w:val="right"/>
              <w:textAlignment w:val="auto"/>
              <w:rPr>
                <w:rFonts w:ascii="Calibri" w:hAnsi="Calibri" w:cs="Corbel"/>
                <w:b/>
                <w:color w:val="00B050"/>
                <w:szCs w:val="22"/>
                <w:lang w:val="en-US"/>
              </w:rPr>
            </w:pPr>
            <w:r w:rsidRPr="00265B36">
              <w:rPr>
                <w:rFonts w:ascii="Menlo Bold" w:hAnsi="Menlo Bold" w:cs="Menlo Bold"/>
                <w:b/>
                <w:color w:val="008000"/>
                <w:szCs w:val="22"/>
                <w:lang w:val="en-US"/>
              </w:rPr>
              <w:t>✔</w:t>
            </w:r>
          </w:p>
        </w:tc>
        <w:tc>
          <w:tcPr>
            <w:tcW w:w="8692" w:type="dxa"/>
          </w:tcPr>
          <w:p w14:paraId="1B0AA69E" w14:textId="03440BCF" w:rsidR="007C5E08" w:rsidRPr="00265B36" w:rsidRDefault="007C5E08" w:rsidP="00B93570">
            <w:pPr>
              <w:overflowPunct/>
              <w:autoSpaceDE/>
              <w:autoSpaceDN/>
              <w:adjustRightInd/>
              <w:spacing w:after="60" w:line="240" w:lineRule="atLeast"/>
              <w:jc w:val="both"/>
              <w:textAlignment w:val="auto"/>
              <w:rPr>
                <w:rFonts w:ascii="Calibri" w:hAnsi="Calibri"/>
                <w:color w:val="000000"/>
                <w:szCs w:val="22"/>
                <w:lang w:val="en-US"/>
              </w:rPr>
            </w:pPr>
            <w:r w:rsidRPr="00265B36">
              <w:rPr>
                <w:rFonts w:ascii="Calibri" w:hAnsi="Calibri"/>
                <w:color w:val="000000"/>
                <w:szCs w:val="22"/>
                <w:lang w:val="en-US"/>
              </w:rPr>
              <w:t>UNDP CO provided regular support to the project, i</w:t>
            </w:r>
            <w:r w:rsidR="00261D48" w:rsidRPr="00265B36">
              <w:rPr>
                <w:rFonts w:ascii="Calibri" w:hAnsi="Calibri"/>
                <w:color w:val="000000"/>
                <w:szCs w:val="22"/>
                <w:lang w:val="en-US"/>
              </w:rPr>
              <w:t>ncluding: active participation i</w:t>
            </w:r>
            <w:r w:rsidRPr="00265B36">
              <w:rPr>
                <w:rFonts w:ascii="Calibri" w:hAnsi="Calibri"/>
                <w:color w:val="000000"/>
                <w:szCs w:val="22"/>
                <w:lang w:val="en-US"/>
              </w:rPr>
              <w:t>n PEB</w:t>
            </w:r>
            <w:r w:rsidR="00261D48" w:rsidRPr="00265B36">
              <w:rPr>
                <w:rFonts w:ascii="Calibri" w:hAnsi="Calibri"/>
                <w:color w:val="000000"/>
                <w:szCs w:val="22"/>
                <w:lang w:val="en-US"/>
              </w:rPr>
              <w:t>’s bi-annual</w:t>
            </w:r>
            <w:r w:rsidRPr="00265B36">
              <w:rPr>
                <w:rFonts w:ascii="Calibri" w:hAnsi="Calibri"/>
                <w:color w:val="000000"/>
                <w:szCs w:val="22"/>
                <w:lang w:val="en-US"/>
              </w:rPr>
              <w:t xml:space="preserve"> </w:t>
            </w:r>
            <w:r w:rsidR="00261D48" w:rsidRPr="00265B36">
              <w:rPr>
                <w:rFonts w:ascii="Calibri" w:hAnsi="Calibri"/>
                <w:color w:val="000000"/>
                <w:szCs w:val="22"/>
                <w:lang w:val="en-US"/>
              </w:rPr>
              <w:t xml:space="preserve">meetings </w:t>
            </w:r>
            <w:r w:rsidRPr="00265B36">
              <w:rPr>
                <w:rFonts w:ascii="Calibri" w:hAnsi="Calibri"/>
                <w:color w:val="000000"/>
                <w:szCs w:val="22"/>
                <w:lang w:val="en-US"/>
              </w:rPr>
              <w:t xml:space="preserve">in Batumi; </w:t>
            </w:r>
            <w:r w:rsidR="00261D48" w:rsidRPr="00265B36">
              <w:rPr>
                <w:rFonts w:ascii="Calibri" w:hAnsi="Calibri"/>
                <w:color w:val="000000"/>
                <w:szCs w:val="22"/>
                <w:lang w:val="en-US"/>
              </w:rPr>
              <w:t>close</w:t>
            </w:r>
            <w:r w:rsidR="00B93570">
              <w:rPr>
                <w:rFonts w:ascii="Calibri" w:hAnsi="Calibri"/>
                <w:color w:val="000000"/>
                <w:szCs w:val="22"/>
                <w:lang w:val="en-US"/>
              </w:rPr>
              <w:t xml:space="preserve"> working relationship with its Implementing Partner (APA);</w:t>
            </w:r>
            <w:r w:rsidR="00261D48" w:rsidRPr="00265B36">
              <w:rPr>
                <w:rFonts w:ascii="Calibri" w:hAnsi="Calibri"/>
                <w:color w:val="000000"/>
                <w:szCs w:val="22"/>
                <w:lang w:val="en-US"/>
              </w:rPr>
              <w:t xml:space="preserve"> </w:t>
            </w:r>
            <w:r w:rsidR="00B93570">
              <w:rPr>
                <w:rFonts w:ascii="Calibri" w:hAnsi="Calibri"/>
                <w:color w:val="000000"/>
                <w:szCs w:val="22"/>
                <w:lang w:val="en-US"/>
              </w:rPr>
              <w:t>oversight of</w:t>
            </w:r>
            <w:r w:rsidR="00261D48" w:rsidRPr="00265B36">
              <w:rPr>
                <w:rFonts w:ascii="Calibri" w:hAnsi="Calibri"/>
                <w:color w:val="000000"/>
                <w:szCs w:val="22"/>
                <w:lang w:val="en-US"/>
              </w:rPr>
              <w:t xml:space="preserve"> PMU; </w:t>
            </w:r>
            <w:r w:rsidRPr="00265B36">
              <w:rPr>
                <w:rFonts w:ascii="Calibri" w:hAnsi="Calibri"/>
                <w:color w:val="000000"/>
                <w:szCs w:val="22"/>
                <w:lang w:val="en-US"/>
              </w:rPr>
              <w:t xml:space="preserve">and assistance with procurement, logistics, and financial reporting. </w:t>
            </w:r>
          </w:p>
        </w:tc>
      </w:tr>
      <w:tr w:rsidR="00D059A2" w:rsidRPr="00265B36" w14:paraId="2A9BD426" w14:textId="77777777" w:rsidTr="00D059A2">
        <w:tc>
          <w:tcPr>
            <w:tcW w:w="550" w:type="dxa"/>
          </w:tcPr>
          <w:p w14:paraId="503A3889" w14:textId="77777777" w:rsidR="00D059A2" w:rsidRPr="00265B36" w:rsidRDefault="00D059A2" w:rsidP="00265B36">
            <w:pPr>
              <w:overflowPunct/>
              <w:spacing w:after="60" w:line="240" w:lineRule="atLeast"/>
              <w:jc w:val="right"/>
              <w:textAlignment w:val="auto"/>
              <w:rPr>
                <w:rFonts w:ascii="Calibri" w:hAnsi="Calibri" w:cs="Corbel"/>
                <w:b/>
                <w:color w:val="00B050"/>
                <w:szCs w:val="22"/>
                <w:lang w:val="en-US"/>
              </w:rPr>
            </w:pPr>
            <w:r w:rsidRPr="00265B36">
              <w:rPr>
                <w:rFonts w:ascii="Menlo Bold" w:hAnsi="Menlo Bold" w:cs="Menlo Bold"/>
                <w:b/>
                <w:color w:val="008000"/>
                <w:szCs w:val="22"/>
                <w:lang w:val="en-US"/>
              </w:rPr>
              <w:t>✔</w:t>
            </w:r>
          </w:p>
        </w:tc>
        <w:tc>
          <w:tcPr>
            <w:tcW w:w="8692" w:type="dxa"/>
          </w:tcPr>
          <w:p w14:paraId="6497B230" w14:textId="031352B4" w:rsidR="00D059A2" w:rsidRPr="00265B36" w:rsidRDefault="00D059A2" w:rsidP="00265B36">
            <w:pPr>
              <w:overflowPunct/>
              <w:spacing w:after="60" w:line="240" w:lineRule="atLeast"/>
              <w:jc w:val="both"/>
              <w:textAlignment w:val="auto"/>
              <w:rPr>
                <w:rFonts w:ascii="Calibri" w:hAnsi="Calibri" w:cs="Corbel"/>
                <w:szCs w:val="22"/>
                <w:lang w:val="en-US"/>
              </w:rPr>
            </w:pPr>
            <w:r w:rsidRPr="00265B36">
              <w:rPr>
                <w:rFonts w:ascii="Calibri" w:hAnsi="Calibri" w:cs="Corbel"/>
                <w:szCs w:val="22"/>
                <w:lang w:val="en-US"/>
              </w:rPr>
              <w:t xml:space="preserve">The absence of any personnel changes in UNDP’s Energy &amp; Environment Unit, responsible for </w:t>
            </w:r>
            <w:r w:rsidR="00265B36" w:rsidRPr="00265B36">
              <w:rPr>
                <w:rFonts w:ascii="Calibri" w:hAnsi="Calibri" w:cs="Corbel"/>
                <w:szCs w:val="22"/>
                <w:lang w:val="en-US"/>
              </w:rPr>
              <w:t xml:space="preserve">the project’s </w:t>
            </w:r>
            <w:r w:rsidRPr="00265B36">
              <w:rPr>
                <w:rFonts w:ascii="Calibri" w:hAnsi="Calibri" w:cs="Corbel"/>
                <w:szCs w:val="22"/>
                <w:lang w:val="en-US"/>
              </w:rPr>
              <w:t>quality assurance</w:t>
            </w:r>
            <w:r w:rsidR="00265B36" w:rsidRPr="00265B36">
              <w:rPr>
                <w:rFonts w:ascii="Calibri" w:hAnsi="Calibri" w:cs="Corbel"/>
                <w:szCs w:val="22"/>
                <w:lang w:val="en-US"/>
              </w:rPr>
              <w:t>, was</w:t>
            </w:r>
            <w:r w:rsidRPr="00265B36">
              <w:rPr>
                <w:rFonts w:ascii="Calibri" w:hAnsi="Calibri" w:cs="Corbel"/>
                <w:szCs w:val="22"/>
                <w:lang w:val="en-US"/>
              </w:rPr>
              <w:t xml:space="preserve"> huge</w:t>
            </w:r>
            <w:r w:rsidR="00265B36" w:rsidRPr="00265B36">
              <w:rPr>
                <w:rFonts w:ascii="Calibri" w:hAnsi="Calibri" w:cs="Corbel"/>
                <w:szCs w:val="22"/>
                <w:lang w:val="en-US"/>
              </w:rPr>
              <w:t>ly</w:t>
            </w:r>
            <w:r w:rsidRPr="00265B36">
              <w:rPr>
                <w:rFonts w:ascii="Calibri" w:hAnsi="Calibri" w:cs="Corbel"/>
                <w:szCs w:val="22"/>
                <w:lang w:val="en-US"/>
              </w:rPr>
              <w:t xml:space="preserve"> benefi</w:t>
            </w:r>
            <w:r w:rsidR="00265B36" w:rsidRPr="00265B36">
              <w:rPr>
                <w:rFonts w:ascii="Calibri" w:hAnsi="Calibri" w:cs="Corbel"/>
                <w:szCs w:val="22"/>
                <w:lang w:val="en-US"/>
              </w:rPr>
              <w:t xml:space="preserve">cial to </w:t>
            </w:r>
            <w:r w:rsidRPr="00265B36">
              <w:rPr>
                <w:rFonts w:ascii="Calibri" w:hAnsi="Calibri" w:cs="Corbel"/>
                <w:szCs w:val="22"/>
                <w:lang w:val="en-US"/>
              </w:rPr>
              <w:t>build</w:t>
            </w:r>
            <w:r w:rsidR="00265B36" w:rsidRPr="00265B36">
              <w:rPr>
                <w:rFonts w:ascii="Calibri" w:hAnsi="Calibri" w:cs="Corbel"/>
                <w:szCs w:val="22"/>
                <w:lang w:val="en-US"/>
              </w:rPr>
              <w:t>ing</w:t>
            </w:r>
            <w:r w:rsidRPr="00265B36">
              <w:rPr>
                <w:rFonts w:ascii="Calibri" w:hAnsi="Calibri" w:cs="Corbel"/>
                <w:szCs w:val="22"/>
                <w:lang w:val="en-US"/>
              </w:rPr>
              <w:t xml:space="preserve"> a strong and dynamic working relationship with </w:t>
            </w:r>
            <w:r w:rsidR="00265B36" w:rsidRPr="00265B36">
              <w:rPr>
                <w:rFonts w:ascii="Calibri" w:hAnsi="Calibri" w:cs="Corbel"/>
                <w:szCs w:val="22"/>
                <w:lang w:val="en-US"/>
              </w:rPr>
              <w:t>PMU</w:t>
            </w:r>
            <w:r w:rsidRPr="00265B36">
              <w:rPr>
                <w:rFonts w:ascii="Calibri" w:hAnsi="Calibri" w:cs="Corbel"/>
                <w:szCs w:val="22"/>
                <w:lang w:val="en-US"/>
              </w:rPr>
              <w:t xml:space="preserve"> and implementing partners.</w:t>
            </w:r>
          </w:p>
        </w:tc>
      </w:tr>
      <w:tr w:rsidR="00166B3F" w:rsidRPr="00265B36" w14:paraId="0A7A4B13" w14:textId="77777777" w:rsidTr="00166B3F">
        <w:tc>
          <w:tcPr>
            <w:tcW w:w="550" w:type="dxa"/>
          </w:tcPr>
          <w:p w14:paraId="1F5D993B" w14:textId="77777777" w:rsidR="00166B3F" w:rsidRPr="00265B36" w:rsidRDefault="00166B3F" w:rsidP="00166B3F">
            <w:pPr>
              <w:overflowPunct/>
              <w:spacing w:after="60" w:line="240" w:lineRule="atLeast"/>
              <w:jc w:val="right"/>
              <w:textAlignment w:val="auto"/>
              <w:rPr>
                <w:rFonts w:ascii="Calibri" w:hAnsi="Calibri" w:cs="Corbel"/>
                <w:b/>
                <w:color w:val="00B050"/>
                <w:szCs w:val="22"/>
                <w:lang w:val="en-US"/>
              </w:rPr>
            </w:pPr>
            <w:r w:rsidRPr="00265B36">
              <w:rPr>
                <w:rFonts w:ascii="Menlo Bold" w:hAnsi="Menlo Bold" w:cs="Menlo Bold"/>
                <w:b/>
                <w:color w:val="008000"/>
                <w:szCs w:val="22"/>
                <w:lang w:val="en-US"/>
              </w:rPr>
              <w:t>✔</w:t>
            </w:r>
          </w:p>
        </w:tc>
        <w:tc>
          <w:tcPr>
            <w:tcW w:w="8692" w:type="dxa"/>
          </w:tcPr>
          <w:p w14:paraId="64CC3E2E" w14:textId="77777777" w:rsidR="00166B3F" w:rsidRPr="00265B36" w:rsidRDefault="00166B3F" w:rsidP="00166B3F">
            <w:pPr>
              <w:overflowPunct/>
              <w:spacing w:after="60" w:line="240" w:lineRule="atLeast"/>
              <w:jc w:val="both"/>
              <w:textAlignment w:val="auto"/>
              <w:rPr>
                <w:rFonts w:ascii="Calibri" w:hAnsi="Calibri" w:cs="Corbel"/>
                <w:szCs w:val="22"/>
                <w:lang w:val="en-US"/>
              </w:rPr>
            </w:pPr>
            <w:r w:rsidRPr="00265B36">
              <w:rPr>
                <w:rFonts w:ascii="Calibri" w:hAnsi="Calibri" w:cs="Corbel"/>
                <w:szCs w:val="22"/>
                <w:lang w:val="en-US"/>
              </w:rPr>
              <w:t xml:space="preserve">PMU remained intact and consistent throughout the implementation period, with no change in managerial or advisory personnel from start to finish. </w:t>
            </w:r>
            <w:r>
              <w:rPr>
                <w:rFonts w:ascii="Calibri" w:hAnsi="Calibri" w:cs="Corbel"/>
                <w:szCs w:val="22"/>
                <w:lang w:val="en-US"/>
              </w:rPr>
              <w:t xml:space="preserve">This was </w:t>
            </w:r>
            <w:r w:rsidRPr="00265B36">
              <w:rPr>
                <w:rFonts w:ascii="Calibri" w:hAnsi="Calibri" w:cs="Corbel"/>
                <w:szCs w:val="22"/>
                <w:lang w:val="en-US"/>
              </w:rPr>
              <w:t xml:space="preserve">a </w:t>
            </w:r>
            <w:r>
              <w:rPr>
                <w:rFonts w:ascii="Calibri" w:hAnsi="Calibri" w:cs="Corbel"/>
                <w:szCs w:val="22"/>
                <w:lang w:val="en-US"/>
              </w:rPr>
              <w:t>significant benefit that, combined with the fact that the Project Manager was a well respected individual from the project area with experience of working for the regional government, undoubtedly contributed to the close working relations established with PA administrations, municipalities and communities residing in the project area.</w:t>
            </w:r>
          </w:p>
        </w:tc>
      </w:tr>
      <w:tr w:rsidR="00610CB4" w:rsidRPr="00265B36" w14:paraId="798795EB" w14:textId="77777777" w:rsidTr="00610CB4">
        <w:tc>
          <w:tcPr>
            <w:tcW w:w="550" w:type="dxa"/>
          </w:tcPr>
          <w:p w14:paraId="5DCA1748" w14:textId="06EDC019" w:rsidR="00610CB4" w:rsidRPr="00265B36" w:rsidRDefault="0084766A" w:rsidP="00265B36">
            <w:pPr>
              <w:overflowPunct/>
              <w:spacing w:after="60" w:line="240" w:lineRule="atLeast"/>
              <w:jc w:val="right"/>
              <w:textAlignment w:val="auto"/>
              <w:rPr>
                <w:rFonts w:ascii="Calibri" w:hAnsi="Calibri" w:cs="Corbel"/>
                <w:color w:val="C00000"/>
                <w:szCs w:val="22"/>
                <w:lang w:val="en-US"/>
              </w:rPr>
            </w:pPr>
            <w:r w:rsidRPr="00265B36">
              <w:rPr>
                <w:rFonts w:ascii="Menlo Bold" w:hAnsi="Menlo Bold" w:cs="Menlo Bold"/>
                <w:b/>
                <w:color w:val="008000"/>
                <w:szCs w:val="22"/>
                <w:lang w:val="en-US"/>
              </w:rPr>
              <w:t>✔</w:t>
            </w:r>
          </w:p>
        </w:tc>
        <w:tc>
          <w:tcPr>
            <w:tcW w:w="8692" w:type="dxa"/>
          </w:tcPr>
          <w:p w14:paraId="2CEC1FAA" w14:textId="7F4E6D91" w:rsidR="00610CB4" w:rsidRPr="00265B36" w:rsidRDefault="0084766A" w:rsidP="0084766A">
            <w:pPr>
              <w:overflowPunct/>
              <w:spacing w:after="60" w:line="240" w:lineRule="atLeast"/>
              <w:jc w:val="both"/>
              <w:textAlignment w:val="auto"/>
              <w:rPr>
                <w:rFonts w:ascii="Calibri" w:hAnsi="Calibri" w:cs="Corbel"/>
                <w:szCs w:val="22"/>
                <w:lang w:val="en-US"/>
              </w:rPr>
            </w:pPr>
            <w:r>
              <w:rPr>
                <w:rFonts w:ascii="Calibri" w:hAnsi="Calibri" w:cs="Corbel"/>
                <w:szCs w:val="22"/>
                <w:lang w:val="en-US"/>
              </w:rPr>
              <w:t>Establishment of the Technical Coordinating Group (TCG) early on in project implementation provide invaluable in coordinating plans and activities among the several ongoing PA projects ARA, as well as exchanging information and sharing lessons learned from respective initiatives.</w:t>
            </w:r>
          </w:p>
        </w:tc>
      </w:tr>
    </w:tbl>
    <w:p w14:paraId="3527558A" w14:textId="508B7527" w:rsidR="00A84484" w:rsidRPr="00E22EBA" w:rsidRDefault="00A84484" w:rsidP="009E118E">
      <w:pPr>
        <w:pStyle w:val="BodyText"/>
        <w:shd w:val="clear" w:color="auto" w:fill="215868" w:themeFill="accent5" w:themeFillShade="80"/>
        <w:spacing w:before="240" w:line="240" w:lineRule="auto"/>
        <w:rPr>
          <w:rFonts w:asciiTheme="minorHAnsi" w:hAnsiTheme="minorHAnsi"/>
          <w:b/>
          <w:color w:val="FFFFFF" w:themeColor="background1"/>
        </w:rPr>
      </w:pPr>
      <w:r w:rsidRPr="00E22EBA">
        <w:rPr>
          <w:rFonts w:asciiTheme="minorHAnsi" w:hAnsiTheme="minorHAnsi"/>
          <w:b/>
          <w:color w:val="FFFFFF" w:themeColor="background1"/>
        </w:rPr>
        <w:t>Quality of Implementing Partner</w:t>
      </w:r>
      <w:r w:rsidR="00DC05B6">
        <w:rPr>
          <w:rFonts w:asciiTheme="minorHAnsi" w:hAnsiTheme="minorHAnsi"/>
          <w:b/>
          <w:color w:val="FFFFFF" w:themeColor="background1"/>
        </w:rPr>
        <w:t xml:space="preserve"> </w:t>
      </w:r>
      <w:r w:rsidR="00AA0DF2">
        <w:rPr>
          <w:rFonts w:asciiTheme="minorHAnsi" w:hAnsiTheme="minorHAnsi"/>
          <w:b/>
          <w:color w:val="FFFFFF" w:themeColor="background1"/>
        </w:rPr>
        <w:t xml:space="preserve">(APA) </w:t>
      </w:r>
      <w:r w:rsidR="00265B36">
        <w:rPr>
          <w:rFonts w:asciiTheme="minorHAnsi" w:hAnsiTheme="minorHAnsi"/>
          <w:b/>
          <w:color w:val="FFFFFF" w:themeColor="background1"/>
        </w:rPr>
        <w:t>e</w:t>
      </w:r>
      <w:r w:rsidRPr="00E22EBA">
        <w:rPr>
          <w:rFonts w:asciiTheme="minorHAnsi" w:hAnsiTheme="minorHAnsi"/>
          <w:b/>
          <w:color w:val="FFFFFF" w:themeColor="background1"/>
        </w:rPr>
        <w:t>xecu</w:t>
      </w:r>
      <w:r w:rsidR="005372D5" w:rsidRPr="00E22EBA">
        <w:rPr>
          <w:rFonts w:asciiTheme="minorHAnsi" w:hAnsiTheme="minorHAnsi"/>
          <w:b/>
          <w:color w:val="FFFFFF" w:themeColor="background1"/>
        </w:rPr>
        <w:t>tion is rated as: Satisfactory</w:t>
      </w:r>
      <w:r w:rsidRPr="00E22EBA">
        <w:rPr>
          <w:rFonts w:asciiTheme="minorHAnsi" w:hAnsiTheme="minorHAnsi"/>
          <w:b/>
          <w:color w:val="FFFFFF" w:themeColor="background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
        <w:gridCol w:w="8692"/>
      </w:tblGrid>
      <w:tr w:rsidR="00265B36" w:rsidRPr="00265B36" w14:paraId="22B979B2" w14:textId="77777777" w:rsidTr="00265B36">
        <w:tc>
          <w:tcPr>
            <w:tcW w:w="9242" w:type="dxa"/>
            <w:gridSpan w:val="2"/>
          </w:tcPr>
          <w:p w14:paraId="67758699" w14:textId="77777777" w:rsidR="00265B36" w:rsidRPr="00265B36" w:rsidRDefault="00265B36" w:rsidP="00265B36">
            <w:pPr>
              <w:overflowPunct/>
              <w:spacing w:after="120"/>
              <w:textAlignment w:val="auto"/>
              <w:rPr>
                <w:rFonts w:asciiTheme="minorHAnsi" w:hAnsiTheme="minorHAnsi" w:cs="Corbel"/>
                <w:b/>
                <w:sz w:val="24"/>
                <w:szCs w:val="24"/>
                <w:lang w:val="en-US"/>
              </w:rPr>
            </w:pPr>
            <w:r w:rsidRPr="00265B36">
              <w:rPr>
                <w:rFonts w:asciiTheme="minorHAnsi" w:hAnsiTheme="minorHAnsi" w:cs="Corbel"/>
                <w:b/>
                <w:sz w:val="24"/>
                <w:szCs w:val="24"/>
                <w:lang w:val="en-US"/>
              </w:rPr>
              <w:t>Supporting Evidence:</w:t>
            </w:r>
          </w:p>
        </w:tc>
      </w:tr>
      <w:tr w:rsidR="00265B36" w:rsidRPr="00265B36" w14:paraId="1F646301" w14:textId="77777777" w:rsidTr="00265B36">
        <w:tc>
          <w:tcPr>
            <w:tcW w:w="550" w:type="dxa"/>
          </w:tcPr>
          <w:p w14:paraId="0020C59D" w14:textId="77777777" w:rsidR="00265B36" w:rsidRPr="00265B36" w:rsidRDefault="00265B36" w:rsidP="00265B36">
            <w:pPr>
              <w:overflowPunct/>
              <w:spacing w:after="60" w:line="240" w:lineRule="atLeast"/>
              <w:jc w:val="right"/>
              <w:textAlignment w:val="auto"/>
              <w:rPr>
                <w:rFonts w:ascii="Calibri" w:hAnsi="Calibri" w:cs="Corbel"/>
                <w:b/>
                <w:color w:val="00B050"/>
                <w:szCs w:val="22"/>
                <w:lang w:val="en-US"/>
              </w:rPr>
            </w:pPr>
            <w:r w:rsidRPr="00265B36">
              <w:rPr>
                <w:rFonts w:ascii="Menlo Bold" w:hAnsi="Menlo Bold" w:cs="Menlo Bold"/>
                <w:b/>
                <w:color w:val="008000"/>
                <w:szCs w:val="22"/>
                <w:lang w:val="en-US"/>
              </w:rPr>
              <w:t>✔</w:t>
            </w:r>
          </w:p>
        </w:tc>
        <w:tc>
          <w:tcPr>
            <w:tcW w:w="8692" w:type="dxa"/>
          </w:tcPr>
          <w:p w14:paraId="0449D45B" w14:textId="7F272614" w:rsidR="00265B36" w:rsidRPr="00265B36" w:rsidRDefault="00265B36" w:rsidP="00DB0C70">
            <w:pPr>
              <w:overflowPunct/>
              <w:spacing w:after="60" w:line="240" w:lineRule="atLeast"/>
              <w:jc w:val="both"/>
              <w:textAlignment w:val="auto"/>
              <w:rPr>
                <w:rFonts w:ascii="Calibri" w:hAnsi="Calibri" w:cs="Corbel"/>
                <w:szCs w:val="22"/>
                <w:lang w:val="en-US"/>
              </w:rPr>
            </w:pPr>
            <w:r w:rsidRPr="00265B36">
              <w:rPr>
                <w:rFonts w:ascii="Calibri" w:hAnsi="Calibri"/>
                <w:szCs w:val="22"/>
                <w:lang w:val="en-US"/>
              </w:rPr>
              <w:t xml:space="preserve">High level </w:t>
            </w:r>
            <w:r w:rsidR="00DB0C70">
              <w:rPr>
                <w:rFonts w:ascii="Calibri" w:hAnsi="Calibri"/>
                <w:szCs w:val="22"/>
                <w:lang w:val="en-US"/>
              </w:rPr>
              <w:t xml:space="preserve">of ownership and </w:t>
            </w:r>
            <w:r w:rsidRPr="00265B36">
              <w:rPr>
                <w:rFonts w:ascii="Calibri" w:hAnsi="Calibri"/>
                <w:szCs w:val="22"/>
                <w:lang w:val="en-US"/>
              </w:rPr>
              <w:t xml:space="preserve">participation among key officials from </w:t>
            </w:r>
            <w:r w:rsidR="00166B3F">
              <w:rPr>
                <w:rFonts w:ascii="Calibri" w:hAnsi="Calibri"/>
                <w:szCs w:val="22"/>
                <w:lang w:val="en-US"/>
              </w:rPr>
              <w:t xml:space="preserve">APA and its regional </w:t>
            </w:r>
            <w:r w:rsidRPr="00265B36">
              <w:rPr>
                <w:rFonts w:ascii="Calibri" w:hAnsi="Calibri"/>
                <w:szCs w:val="22"/>
                <w:lang w:val="en-US"/>
              </w:rPr>
              <w:t xml:space="preserve">partners </w:t>
            </w:r>
            <w:r w:rsidR="00287A4F">
              <w:rPr>
                <w:rFonts w:ascii="Calibri" w:hAnsi="Calibri"/>
                <w:szCs w:val="22"/>
                <w:lang w:val="en-US"/>
              </w:rPr>
              <w:t xml:space="preserve">that </w:t>
            </w:r>
            <w:r w:rsidRPr="00265B36">
              <w:rPr>
                <w:rFonts w:ascii="Calibri" w:hAnsi="Calibri"/>
                <w:szCs w:val="22"/>
                <w:lang w:val="en-US"/>
              </w:rPr>
              <w:t xml:space="preserve">was consistent throughout the implementation phase, notable being the PEB meetings </w:t>
            </w:r>
            <w:r w:rsidR="00974B07">
              <w:rPr>
                <w:rFonts w:ascii="Calibri" w:hAnsi="Calibri"/>
                <w:szCs w:val="22"/>
                <w:lang w:val="en-US"/>
              </w:rPr>
              <w:t>chaired by APA</w:t>
            </w:r>
            <w:r w:rsidRPr="00265B36">
              <w:rPr>
                <w:rFonts w:ascii="Calibri" w:hAnsi="Calibri"/>
                <w:szCs w:val="22"/>
                <w:lang w:val="en-US"/>
              </w:rPr>
              <w:t>.</w:t>
            </w:r>
          </w:p>
        </w:tc>
      </w:tr>
      <w:tr w:rsidR="00166B3F" w:rsidRPr="00265B36" w14:paraId="594AC555" w14:textId="77777777" w:rsidTr="00166B3F">
        <w:tc>
          <w:tcPr>
            <w:tcW w:w="550" w:type="dxa"/>
          </w:tcPr>
          <w:p w14:paraId="550702E2" w14:textId="23112C7A" w:rsidR="00166B3F" w:rsidRPr="00265B36" w:rsidRDefault="00B93570" w:rsidP="00166B3F">
            <w:pPr>
              <w:overflowPunct/>
              <w:spacing w:after="60" w:line="240" w:lineRule="atLeast"/>
              <w:jc w:val="right"/>
              <w:textAlignment w:val="auto"/>
              <w:rPr>
                <w:rFonts w:ascii="Calibri" w:hAnsi="Calibri" w:cs="Corbel"/>
                <w:color w:val="C00000"/>
                <w:szCs w:val="22"/>
                <w:lang w:val="en-US"/>
              </w:rPr>
            </w:pPr>
            <w:r w:rsidRPr="00265B36">
              <w:rPr>
                <w:rFonts w:ascii="Menlo Bold" w:hAnsi="Menlo Bold" w:cs="Menlo Bold"/>
                <w:b/>
                <w:color w:val="008000"/>
                <w:szCs w:val="22"/>
                <w:lang w:val="en-US"/>
              </w:rPr>
              <w:t>✔</w:t>
            </w:r>
          </w:p>
        </w:tc>
        <w:tc>
          <w:tcPr>
            <w:tcW w:w="8692" w:type="dxa"/>
          </w:tcPr>
          <w:p w14:paraId="09067F35" w14:textId="15F54656" w:rsidR="00166B3F" w:rsidRPr="00265B36" w:rsidRDefault="00166B3F" w:rsidP="0084766A">
            <w:pPr>
              <w:overflowPunct/>
              <w:spacing w:after="60" w:line="240" w:lineRule="atLeast"/>
              <w:jc w:val="both"/>
              <w:textAlignment w:val="auto"/>
              <w:rPr>
                <w:rFonts w:ascii="Calibri" w:hAnsi="Calibri" w:cs="Corbel"/>
                <w:szCs w:val="22"/>
                <w:lang w:val="en-US"/>
              </w:rPr>
            </w:pPr>
            <w:r>
              <w:rPr>
                <w:rFonts w:ascii="Calibri" w:hAnsi="Calibri" w:cs="Corbel"/>
                <w:szCs w:val="22"/>
                <w:lang w:val="en-US"/>
              </w:rPr>
              <w:t xml:space="preserve">PA Administrations in the target sites worked closely with PMU and, as beneficiaries of many of the project activities, contributed to the delivery of </w:t>
            </w:r>
            <w:r w:rsidR="0084766A">
              <w:rPr>
                <w:rFonts w:ascii="Calibri" w:hAnsi="Calibri" w:cs="Corbel"/>
                <w:szCs w:val="22"/>
                <w:lang w:val="en-US"/>
              </w:rPr>
              <w:t>a large number of</w:t>
            </w:r>
            <w:r>
              <w:rPr>
                <w:rFonts w:ascii="Calibri" w:hAnsi="Calibri" w:cs="Corbel"/>
                <w:szCs w:val="22"/>
                <w:lang w:val="en-US"/>
              </w:rPr>
              <w:t xml:space="preserve"> outputs</w:t>
            </w:r>
            <w:r w:rsidR="00B93570">
              <w:rPr>
                <w:rFonts w:ascii="Calibri" w:hAnsi="Calibri" w:cs="Corbel"/>
                <w:szCs w:val="22"/>
                <w:lang w:val="en-US"/>
              </w:rPr>
              <w:t>.</w:t>
            </w:r>
          </w:p>
        </w:tc>
      </w:tr>
      <w:tr w:rsidR="00B91C21" w:rsidRPr="00265B36" w14:paraId="1AC34048" w14:textId="77777777" w:rsidTr="00974B07">
        <w:tc>
          <w:tcPr>
            <w:tcW w:w="550" w:type="dxa"/>
          </w:tcPr>
          <w:p w14:paraId="11E17EBE" w14:textId="12DFE408" w:rsidR="00B91C21" w:rsidRPr="00265B36" w:rsidRDefault="00B91C21" w:rsidP="00974B07">
            <w:pPr>
              <w:overflowPunct/>
              <w:spacing w:after="60" w:line="240" w:lineRule="atLeast"/>
              <w:jc w:val="right"/>
              <w:textAlignment w:val="auto"/>
              <w:rPr>
                <w:rFonts w:ascii="Menlo Bold" w:hAnsi="Menlo Bold" w:cs="Menlo Bold"/>
                <w:b/>
                <w:color w:val="FF0000"/>
                <w:szCs w:val="22"/>
                <w:lang w:val="en-US"/>
              </w:rPr>
            </w:pPr>
            <w:r w:rsidRPr="00265B36">
              <w:rPr>
                <w:rFonts w:ascii="Menlo Bold" w:hAnsi="Menlo Bold" w:cs="Menlo Bold"/>
                <w:b/>
                <w:color w:val="FF0000"/>
                <w:szCs w:val="22"/>
                <w:lang w:val="en-US"/>
              </w:rPr>
              <w:t>✖</w:t>
            </w:r>
          </w:p>
        </w:tc>
        <w:tc>
          <w:tcPr>
            <w:tcW w:w="8692" w:type="dxa"/>
          </w:tcPr>
          <w:p w14:paraId="12C7EC5C" w14:textId="27159DCA" w:rsidR="00B91C21" w:rsidRDefault="00B91C21" w:rsidP="00EF49A7">
            <w:pPr>
              <w:overflowPunct/>
              <w:spacing w:after="60" w:line="240" w:lineRule="atLeast"/>
              <w:jc w:val="both"/>
              <w:textAlignment w:val="auto"/>
              <w:rPr>
                <w:rFonts w:ascii="Calibri" w:hAnsi="Calibri" w:cs="Corbel"/>
                <w:szCs w:val="22"/>
                <w:lang w:val="en-US"/>
              </w:rPr>
            </w:pPr>
            <w:r>
              <w:rPr>
                <w:rFonts w:ascii="Calibri" w:hAnsi="Calibri" w:cs="Corbel"/>
                <w:szCs w:val="22"/>
                <w:lang w:val="en-US"/>
              </w:rPr>
              <w:t>Occasional delays in implementation attributed to APA, such as its initial refusal to accept the zonation plan for Machakhela produced by Ilia State University</w:t>
            </w:r>
            <w:r w:rsidR="00EF49A7">
              <w:rPr>
                <w:rFonts w:ascii="Calibri" w:hAnsi="Calibri" w:cs="Corbel"/>
                <w:szCs w:val="22"/>
                <w:lang w:val="en-US"/>
              </w:rPr>
              <w:t>. This was resolved a month or so later, as reported in the MTR.</w:t>
            </w:r>
          </w:p>
        </w:tc>
      </w:tr>
      <w:tr w:rsidR="00974B07" w:rsidRPr="00265B36" w14:paraId="3747D9A5" w14:textId="77777777" w:rsidTr="00974B07">
        <w:tc>
          <w:tcPr>
            <w:tcW w:w="550" w:type="dxa"/>
          </w:tcPr>
          <w:p w14:paraId="42E37306" w14:textId="58F1EF4C" w:rsidR="00974B07" w:rsidRPr="00265B36" w:rsidRDefault="000975AA" w:rsidP="00974B07">
            <w:pPr>
              <w:overflowPunct/>
              <w:spacing w:after="60" w:line="240" w:lineRule="atLeast"/>
              <w:jc w:val="right"/>
              <w:textAlignment w:val="auto"/>
              <w:rPr>
                <w:rFonts w:ascii="Calibri" w:hAnsi="Calibri" w:cs="Corbel"/>
                <w:color w:val="C00000"/>
                <w:szCs w:val="22"/>
                <w:lang w:val="en-US"/>
              </w:rPr>
            </w:pPr>
            <w:r w:rsidRPr="00265B36">
              <w:rPr>
                <w:rFonts w:ascii="Menlo Bold" w:hAnsi="Menlo Bold" w:cs="Menlo Bold"/>
                <w:b/>
                <w:color w:val="FF0000"/>
                <w:szCs w:val="22"/>
                <w:lang w:val="en-US"/>
              </w:rPr>
              <w:t>✖</w:t>
            </w:r>
          </w:p>
        </w:tc>
        <w:tc>
          <w:tcPr>
            <w:tcW w:w="8692" w:type="dxa"/>
          </w:tcPr>
          <w:p w14:paraId="2AC088AB" w14:textId="51C96332" w:rsidR="00974B07" w:rsidRPr="00265B36" w:rsidRDefault="0075517D" w:rsidP="0075517D">
            <w:pPr>
              <w:overflowPunct/>
              <w:spacing w:after="60" w:line="240" w:lineRule="atLeast"/>
              <w:jc w:val="both"/>
              <w:textAlignment w:val="auto"/>
              <w:rPr>
                <w:rFonts w:ascii="Calibri" w:hAnsi="Calibri" w:cs="Corbel"/>
                <w:szCs w:val="22"/>
                <w:lang w:val="en-US"/>
              </w:rPr>
            </w:pPr>
            <w:r>
              <w:rPr>
                <w:rFonts w:ascii="Calibri" w:hAnsi="Calibri" w:cs="Corbel"/>
                <w:szCs w:val="22"/>
                <w:lang w:val="en-US"/>
              </w:rPr>
              <w:t>Frequent c</w:t>
            </w:r>
            <w:r w:rsidR="00974B07">
              <w:rPr>
                <w:rFonts w:ascii="Calibri" w:hAnsi="Calibri" w:cs="Corbel"/>
                <w:szCs w:val="22"/>
                <w:lang w:val="en-US"/>
              </w:rPr>
              <w:t xml:space="preserve">hanges in staff </w:t>
            </w:r>
            <w:r>
              <w:rPr>
                <w:rFonts w:ascii="Calibri" w:hAnsi="Calibri" w:cs="Corbel"/>
                <w:szCs w:val="22"/>
                <w:lang w:val="en-US"/>
              </w:rPr>
              <w:t>at</w:t>
            </w:r>
            <w:r w:rsidR="00974B07">
              <w:rPr>
                <w:rFonts w:ascii="Calibri" w:hAnsi="Calibri" w:cs="Corbel"/>
                <w:szCs w:val="22"/>
                <w:lang w:val="en-US"/>
              </w:rPr>
              <w:t xml:space="preserve"> APA: notably the NPD changed </w:t>
            </w:r>
            <w:r w:rsidR="00D5497E">
              <w:rPr>
                <w:rFonts w:ascii="Calibri" w:hAnsi="Calibri" w:cs="Corbel"/>
                <w:szCs w:val="22"/>
                <w:lang w:val="en-US"/>
              </w:rPr>
              <w:t>6</w:t>
            </w:r>
            <w:r w:rsidR="00974B07">
              <w:rPr>
                <w:rFonts w:ascii="Calibri" w:hAnsi="Calibri" w:cs="Corbel"/>
                <w:szCs w:val="22"/>
                <w:lang w:val="en-US"/>
              </w:rPr>
              <w:t xml:space="preserve"> times during the 4.5 years of implementation</w:t>
            </w:r>
            <w:r>
              <w:rPr>
                <w:rFonts w:ascii="Calibri" w:hAnsi="Calibri" w:cs="Corbel"/>
                <w:szCs w:val="22"/>
                <w:lang w:val="en-US"/>
              </w:rPr>
              <w:t>, which affects stability of relationships and impacts on decision-making (delays)</w:t>
            </w:r>
            <w:r w:rsidR="00D5497E">
              <w:rPr>
                <w:rFonts w:ascii="Calibri" w:hAnsi="Calibri" w:cs="Corbel"/>
                <w:szCs w:val="22"/>
                <w:lang w:val="en-US"/>
              </w:rPr>
              <w:t xml:space="preserve"> by the project</w:t>
            </w:r>
            <w:r>
              <w:rPr>
                <w:rFonts w:ascii="Calibri" w:hAnsi="Calibri" w:cs="Corbel"/>
                <w:szCs w:val="22"/>
                <w:lang w:val="en-US"/>
              </w:rPr>
              <w:t>.</w:t>
            </w:r>
            <w:r w:rsidR="00974B07">
              <w:rPr>
                <w:rFonts w:ascii="Calibri" w:hAnsi="Calibri" w:cs="Corbel"/>
                <w:szCs w:val="22"/>
                <w:lang w:val="en-US"/>
              </w:rPr>
              <w:t xml:space="preserve"> </w:t>
            </w:r>
            <w:r>
              <w:rPr>
                <w:rFonts w:ascii="Calibri" w:hAnsi="Calibri" w:cs="Corbel"/>
                <w:szCs w:val="22"/>
                <w:lang w:val="en-US"/>
              </w:rPr>
              <w:t>High t</w:t>
            </w:r>
            <w:r w:rsidR="00974B07">
              <w:rPr>
                <w:rFonts w:ascii="Calibri" w:hAnsi="Calibri" w:cs="Corbel"/>
                <w:szCs w:val="22"/>
                <w:lang w:val="en-US"/>
              </w:rPr>
              <w:t>urn-over of PA Administration staff</w:t>
            </w:r>
            <w:r>
              <w:rPr>
                <w:rFonts w:ascii="Calibri" w:hAnsi="Calibri" w:cs="Corbel"/>
                <w:szCs w:val="22"/>
                <w:lang w:val="en-US"/>
              </w:rPr>
              <w:t xml:space="preserve"> attributed to </w:t>
            </w:r>
            <w:r w:rsidR="000975AA">
              <w:rPr>
                <w:rFonts w:ascii="Calibri" w:hAnsi="Calibri" w:cs="Corbel"/>
                <w:szCs w:val="22"/>
                <w:lang w:val="en-US"/>
              </w:rPr>
              <w:t>low</w:t>
            </w:r>
            <w:r w:rsidR="00974B07">
              <w:rPr>
                <w:rFonts w:ascii="Calibri" w:hAnsi="Calibri" w:cs="Corbel"/>
                <w:szCs w:val="22"/>
                <w:lang w:val="en-US"/>
              </w:rPr>
              <w:t xml:space="preserve"> salaries</w:t>
            </w:r>
            <w:r w:rsidR="000975AA">
              <w:rPr>
                <w:rFonts w:ascii="Calibri" w:hAnsi="Calibri" w:cs="Corbel"/>
                <w:szCs w:val="22"/>
                <w:lang w:val="en-US"/>
              </w:rPr>
              <w:t xml:space="preserve">. This is why salaries within selected PAs (NPs) are supplemented by CNF. </w:t>
            </w:r>
          </w:p>
        </w:tc>
      </w:tr>
      <w:tr w:rsidR="00AD2DEB" w:rsidRPr="00265B36" w14:paraId="468C3A70" w14:textId="77777777" w:rsidTr="00AD2DEB">
        <w:tc>
          <w:tcPr>
            <w:tcW w:w="550" w:type="dxa"/>
          </w:tcPr>
          <w:p w14:paraId="280D378F" w14:textId="77777777" w:rsidR="00AD2DEB" w:rsidRPr="00265B36" w:rsidRDefault="00AD2DEB" w:rsidP="00AD2DEB">
            <w:pPr>
              <w:overflowPunct/>
              <w:spacing w:after="60" w:line="240" w:lineRule="atLeast"/>
              <w:jc w:val="right"/>
              <w:textAlignment w:val="auto"/>
              <w:rPr>
                <w:rFonts w:ascii="Calibri" w:hAnsi="Calibri" w:cs="Corbel"/>
                <w:color w:val="C00000"/>
                <w:szCs w:val="22"/>
                <w:lang w:val="en-US"/>
              </w:rPr>
            </w:pPr>
            <w:r w:rsidRPr="00265B36">
              <w:rPr>
                <w:rFonts w:ascii="Menlo Bold" w:hAnsi="Menlo Bold" w:cs="Menlo Bold"/>
                <w:b/>
                <w:color w:val="FF0000"/>
                <w:szCs w:val="22"/>
                <w:lang w:val="en-US"/>
              </w:rPr>
              <w:t>✖</w:t>
            </w:r>
          </w:p>
        </w:tc>
        <w:tc>
          <w:tcPr>
            <w:tcW w:w="8692" w:type="dxa"/>
          </w:tcPr>
          <w:p w14:paraId="1E192AD0" w14:textId="47319B12" w:rsidR="00AD2DEB" w:rsidRPr="00265B36" w:rsidRDefault="00AD2DEB" w:rsidP="00975C55">
            <w:pPr>
              <w:overflowPunct/>
              <w:spacing w:after="60" w:line="240" w:lineRule="atLeast"/>
              <w:jc w:val="both"/>
              <w:textAlignment w:val="auto"/>
              <w:rPr>
                <w:rFonts w:ascii="Calibri" w:hAnsi="Calibri" w:cs="Corbel"/>
                <w:szCs w:val="22"/>
                <w:lang w:val="en-US"/>
              </w:rPr>
            </w:pPr>
            <w:r>
              <w:rPr>
                <w:rFonts w:asciiTheme="minorHAnsi" w:hAnsiTheme="minorHAnsi"/>
              </w:rPr>
              <w:t xml:space="preserve">One of the key assumptions in the SRF: “That APA will allow sufficient ‘de-concentration’ of management to allow more adaptive management… “ has proved to be elusive for APA and its implementing partners, particularly with respect to enabling PAs to become more financially </w:t>
            </w:r>
            <w:r>
              <w:rPr>
                <w:rFonts w:asciiTheme="minorHAnsi" w:hAnsiTheme="minorHAnsi"/>
              </w:rPr>
              <w:lastRenderedPageBreak/>
              <w:t>sustainable as that requires a degree of independence and autonomy that is currently beyond existing policies and legislation. Such ‘adaptive management’ is also needed with respect to governance in order for Machakhela Support Zone to be designated a Protected Landscape.</w:t>
            </w:r>
            <w:r w:rsidR="00975C55">
              <w:rPr>
                <w:rFonts w:asciiTheme="minorHAnsi" w:hAnsiTheme="minorHAnsi"/>
              </w:rPr>
              <w:t xml:space="preserve"> This is also considered further in relation to management effectiveness (</w:t>
            </w:r>
            <w:r w:rsidR="00975C55" w:rsidRPr="00975C55">
              <w:rPr>
                <w:rFonts w:asciiTheme="minorHAnsi" w:hAnsiTheme="minorHAnsi"/>
                <w:b/>
              </w:rPr>
              <w:t>Section 3.3.6</w:t>
            </w:r>
            <w:r w:rsidR="00975C55">
              <w:rPr>
                <w:rFonts w:asciiTheme="minorHAnsi" w:hAnsiTheme="minorHAnsi"/>
              </w:rPr>
              <w:t>).</w:t>
            </w:r>
          </w:p>
        </w:tc>
      </w:tr>
    </w:tbl>
    <w:p w14:paraId="31BF30E4" w14:textId="77777777" w:rsidR="00AD418F" w:rsidRPr="00E22EBA" w:rsidRDefault="001470FE" w:rsidP="0067558E">
      <w:pPr>
        <w:pStyle w:val="Heading2"/>
        <w:numPr>
          <w:ilvl w:val="1"/>
          <w:numId w:val="17"/>
        </w:numPr>
        <w:spacing w:before="240" w:after="120" w:line="240" w:lineRule="auto"/>
        <w:ind w:left="567" w:hanging="567"/>
        <w:rPr>
          <w:rFonts w:asciiTheme="minorHAnsi" w:hAnsiTheme="minorHAnsi" w:cs="Calibri"/>
          <w:b/>
          <w:caps w:val="0"/>
          <w:sz w:val="28"/>
        </w:rPr>
      </w:pPr>
      <w:bookmarkStart w:id="149" w:name="_Toc414745333"/>
      <w:r w:rsidRPr="00E22EBA">
        <w:rPr>
          <w:rFonts w:asciiTheme="minorHAnsi" w:hAnsiTheme="minorHAnsi" w:cs="Calibri"/>
          <w:b/>
          <w:caps w:val="0"/>
          <w:sz w:val="28"/>
        </w:rPr>
        <w:lastRenderedPageBreak/>
        <w:t>Project Results</w:t>
      </w:r>
      <w:bookmarkEnd w:id="149"/>
    </w:p>
    <w:p w14:paraId="0EC355F3" w14:textId="46E3EA86" w:rsidR="008E5AF1" w:rsidRDefault="009E7FED" w:rsidP="0067558E">
      <w:pPr>
        <w:pStyle w:val="Heading2"/>
        <w:numPr>
          <w:ilvl w:val="2"/>
          <w:numId w:val="20"/>
        </w:numPr>
        <w:spacing w:before="240" w:after="120"/>
        <w:ind w:left="709" w:hanging="709"/>
        <w:rPr>
          <w:rFonts w:asciiTheme="minorHAnsi" w:hAnsiTheme="minorHAnsi" w:cs="Calibri"/>
          <w:b/>
          <w:caps w:val="0"/>
        </w:rPr>
      </w:pPr>
      <w:bookmarkStart w:id="150" w:name="_Toc414745334"/>
      <w:r w:rsidRPr="00E22EBA">
        <w:rPr>
          <w:rFonts w:asciiTheme="minorHAnsi" w:hAnsiTheme="minorHAnsi" w:cs="Calibri"/>
          <w:b/>
          <w:caps w:val="0"/>
        </w:rPr>
        <w:t>Overall Results (</w:t>
      </w:r>
      <w:r w:rsidR="000B14AE" w:rsidRPr="00E22EBA">
        <w:rPr>
          <w:rFonts w:asciiTheme="minorHAnsi" w:hAnsiTheme="minorHAnsi" w:cs="Calibri"/>
          <w:b/>
          <w:caps w:val="0"/>
        </w:rPr>
        <w:t>A</w:t>
      </w:r>
      <w:r w:rsidR="00DD5F17" w:rsidRPr="00E22EBA">
        <w:rPr>
          <w:rFonts w:asciiTheme="minorHAnsi" w:hAnsiTheme="minorHAnsi" w:cs="Calibri"/>
          <w:b/>
          <w:caps w:val="0"/>
        </w:rPr>
        <w:t>ttainment</w:t>
      </w:r>
      <w:r w:rsidR="000B14AE" w:rsidRPr="00E22EBA">
        <w:rPr>
          <w:rFonts w:asciiTheme="minorHAnsi" w:hAnsiTheme="minorHAnsi" w:cs="Calibri"/>
          <w:b/>
          <w:caps w:val="0"/>
        </w:rPr>
        <w:t xml:space="preserve"> of Objective</w:t>
      </w:r>
      <w:r w:rsidRPr="00E22EBA">
        <w:rPr>
          <w:rFonts w:asciiTheme="minorHAnsi" w:hAnsiTheme="minorHAnsi" w:cs="Calibri"/>
          <w:b/>
          <w:caps w:val="0"/>
        </w:rPr>
        <w:t>)</w:t>
      </w:r>
      <w:r w:rsidR="009101A8">
        <w:rPr>
          <w:rFonts w:asciiTheme="minorHAnsi" w:hAnsiTheme="minorHAnsi" w:cs="Calibri"/>
          <w:b/>
          <w:caps w:val="0"/>
        </w:rPr>
        <w:t>*</w:t>
      </w:r>
      <w:bookmarkEnd w:id="150"/>
    </w:p>
    <w:p w14:paraId="14902002" w14:textId="421ECAA7" w:rsidR="00962C5E" w:rsidRPr="00962C5E" w:rsidRDefault="00962C5E" w:rsidP="00962C5E">
      <w:pPr>
        <w:spacing w:before="120" w:after="120" w:line="240" w:lineRule="atLeast"/>
        <w:jc w:val="both"/>
        <w:rPr>
          <w:rFonts w:ascii="Calibri" w:hAnsi="Calibri"/>
          <w:color w:val="000000"/>
          <w:sz w:val="24"/>
          <w:szCs w:val="24"/>
          <w:lang w:val="en-US"/>
        </w:rPr>
      </w:pPr>
      <w:r w:rsidRPr="00962C5E">
        <w:rPr>
          <w:rFonts w:ascii="Calibri" w:hAnsi="Calibri"/>
          <w:color w:val="000000"/>
          <w:sz w:val="24"/>
          <w:szCs w:val="24"/>
          <w:lang w:val="en-US"/>
        </w:rPr>
        <w:t>Evaluation of the o</w:t>
      </w:r>
      <w:r w:rsidR="0054795A">
        <w:rPr>
          <w:rFonts w:ascii="Calibri" w:hAnsi="Calibri"/>
          <w:color w:val="000000"/>
          <w:sz w:val="24"/>
          <w:szCs w:val="24"/>
          <w:lang w:val="en-US"/>
        </w:rPr>
        <w:t xml:space="preserve">verall results is informed by </w:t>
      </w:r>
      <w:r w:rsidRPr="00962C5E">
        <w:rPr>
          <w:rFonts w:ascii="Calibri" w:hAnsi="Calibri"/>
          <w:color w:val="000000"/>
          <w:sz w:val="24"/>
          <w:szCs w:val="24"/>
          <w:lang w:val="en-US"/>
        </w:rPr>
        <w:t>more detailed critique</w:t>
      </w:r>
      <w:r w:rsidR="0054795A">
        <w:rPr>
          <w:rFonts w:ascii="Calibri" w:hAnsi="Calibri"/>
          <w:color w:val="000000"/>
          <w:sz w:val="24"/>
          <w:szCs w:val="24"/>
          <w:lang w:val="en-US"/>
        </w:rPr>
        <w:t>s</w:t>
      </w:r>
      <w:r w:rsidRPr="00962C5E">
        <w:rPr>
          <w:rFonts w:ascii="Calibri" w:hAnsi="Calibri"/>
          <w:color w:val="000000"/>
          <w:sz w:val="24"/>
          <w:szCs w:val="24"/>
          <w:lang w:val="en-US"/>
        </w:rPr>
        <w:t xml:space="preserve"> of the SRF in </w:t>
      </w:r>
      <w:r w:rsidRPr="00962C5E">
        <w:rPr>
          <w:rFonts w:ascii="Calibri" w:hAnsi="Calibri"/>
          <w:b/>
          <w:color w:val="000000"/>
          <w:sz w:val="24"/>
          <w:szCs w:val="24"/>
          <w:lang w:val="en-US"/>
        </w:rPr>
        <w:t xml:space="preserve">Annex 6 </w:t>
      </w:r>
      <w:r w:rsidRPr="00962C5E">
        <w:rPr>
          <w:rFonts w:ascii="Calibri" w:hAnsi="Calibri"/>
          <w:color w:val="000000"/>
          <w:sz w:val="24"/>
          <w:szCs w:val="24"/>
          <w:lang w:val="en-US"/>
        </w:rPr>
        <w:t xml:space="preserve">and the project’s outputs in </w:t>
      </w:r>
      <w:r w:rsidRPr="00962C5E">
        <w:rPr>
          <w:rFonts w:ascii="Calibri" w:hAnsi="Calibri"/>
          <w:b/>
          <w:color w:val="000000"/>
          <w:sz w:val="24"/>
          <w:szCs w:val="24"/>
          <w:lang w:val="en-US"/>
        </w:rPr>
        <w:t>Annex 7</w:t>
      </w:r>
      <w:r w:rsidRPr="00962C5E">
        <w:rPr>
          <w:rFonts w:ascii="Calibri" w:hAnsi="Calibri"/>
          <w:color w:val="000000"/>
          <w:sz w:val="24"/>
          <w:szCs w:val="24"/>
          <w:lang w:val="en-US"/>
        </w:rPr>
        <w:t>, both of which should be consulted to benefit from a comprehensive appreciation of the projects achievements, challenges and short-comings.</w:t>
      </w:r>
    </w:p>
    <w:p w14:paraId="76C50AD0" w14:textId="2476BF85" w:rsidR="001276F4" w:rsidRPr="00E22EBA" w:rsidRDefault="00697993" w:rsidP="001276F4">
      <w:pPr>
        <w:pStyle w:val="BodyText"/>
        <w:shd w:val="clear" w:color="auto" w:fill="215868" w:themeFill="accent5" w:themeFillShade="80"/>
        <w:rPr>
          <w:rFonts w:asciiTheme="minorHAnsi" w:hAnsiTheme="minorHAnsi"/>
          <w:b/>
          <w:color w:val="FFFFFF" w:themeColor="background1"/>
        </w:rPr>
      </w:pPr>
      <w:r w:rsidRPr="00E22EBA">
        <w:rPr>
          <w:rFonts w:asciiTheme="minorHAnsi" w:hAnsiTheme="minorHAnsi"/>
          <w:b/>
          <w:color w:val="FFFFFF" w:themeColor="background1"/>
        </w:rPr>
        <w:t>Attainment</w:t>
      </w:r>
      <w:r w:rsidR="006A2D07" w:rsidRPr="00E22EBA">
        <w:rPr>
          <w:rFonts w:asciiTheme="minorHAnsi" w:hAnsiTheme="minorHAnsi"/>
          <w:b/>
          <w:color w:val="FFFFFF" w:themeColor="background1"/>
        </w:rPr>
        <w:t xml:space="preserve"> of the P</w:t>
      </w:r>
      <w:r w:rsidR="001276F4" w:rsidRPr="00E22EBA">
        <w:rPr>
          <w:rFonts w:asciiTheme="minorHAnsi" w:hAnsiTheme="minorHAnsi"/>
          <w:b/>
          <w:color w:val="FFFFFF" w:themeColor="background1"/>
        </w:rPr>
        <w:t>roject Obje</w:t>
      </w:r>
      <w:r w:rsidR="00962C5E">
        <w:rPr>
          <w:rFonts w:asciiTheme="minorHAnsi" w:hAnsiTheme="minorHAnsi"/>
          <w:b/>
          <w:color w:val="FFFFFF" w:themeColor="background1"/>
        </w:rPr>
        <w:t>ctive is rated as:</w:t>
      </w:r>
      <w:r w:rsidR="004223C5" w:rsidRPr="00E22EBA">
        <w:rPr>
          <w:rFonts w:asciiTheme="minorHAnsi" w:hAnsiTheme="minorHAnsi"/>
          <w:b/>
          <w:color w:val="FFFFFF" w:themeColor="background1"/>
        </w:rPr>
        <w:t xml:space="preserve"> </w:t>
      </w:r>
      <w:r w:rsidR="001276F4" w:rsidRPr="00E22EBA">
        <w:rPr>
          <w:rFonts w:asciiTheme="minorHAnsi" w:hAnsiTheme="minorHAnsi"/>
          <w:b/>
          <w:color w:val="FFFFFF" w:themeColor="background1"/>
        </w:rPr>
        <w:t>Satisfactory</w:t>
      </w:r>
    </w:p>
    <w:tbl>
      <w:tblPr>
        <w:tblStyle w:val="TableGrid"/>
        <w:tblW w:w="0" w:type="auto"/>
        <w:jc w:val="center"/>
        <w:tblLook w:val="04A0" w:firstRow="1" w:lastRow="0" w:firstColumn="1" w:lastColumn="0" w:noHBand="0" w:noVBand="1"/>
      </w:tblPr>
      <w:tblGrid>
        <w:gridCol w:w="9242"/>
      </w:tblGrid>
      <w:tr w:rsidR="003A1AE1" w:rsidRPr="00E22EBA" w14:paraId="37DCA7E2" w14:textId="77777777" w:rsidTr="003A1AE1">
        <w:trPr>
          <w:trHeight w:val="809"/>
          <w:jc w:val="center"/>
        </w:trPr>
        <w:tc>
          <w:tcPr>
            <w:tcW w:w="9819" w:type="dxa"/>
            <w:vAlign w:val="center"/>
          </w:tcPr>
          <w:p w14:paraId="003CCEF8" w14:textId="27D3DAAB" w:rsidR="003A1AE1" w:rsidRPr="00E22EBA" w:rsidRDefault="003A1AE1" w:rsidP="00962C5E">
            <w:pPr>
              <w:tabs>
                <w:tab w:val="num" w:pos="0"/>
              </w:tabs>
              <w:spacing w:before="60" w:after="60" w:line="240" w:lineRule="atLeast"/>
              <w:rPr>
                <w:rFonts w:asciiTheme="minorHAnsi" w:hAnsiTheme="minorHAnsi"/>
                <w:b/>
                <w:sz w:val="24"/>
                <w:szCs w:val="24"/>
                <w:lang w:val="en-US"/>
              </w:rPr>
            </w:pPr>
            <w:r w:rsidRPr="00E22EBA">
              <w:rPr>
                <w:rFonts w:asciiTheme="minorHAnsi" w:hAnsiTheme="minorHAnsi"/>
                <w:b/>
                <w:sz w:val="24"/>
                <w:szCs w:val="24"/>
                <w:lang w:val="en-US"/>
              </w:rPr>
              <w:t>Project Objective</w:t>
            </w:r>
            <w:r w:rsidRPr="00962C5E">
              <w:rPr>
                <w:rFonts w:ascii="Calibri" w:hAnsi="Calibri"/>
                <w:color w:val="000000"/>
                <w:sz w:val="24"/>
                <w:szCs w:val="24"/>
                <w:lang w:val="en-US"/>
              </w:rPr>
              <w:t xml:space="preserve">: </w:t>
            </w:r>
            <w:r w:rsidR="00962C5E" w:rsidRPr="00962C5E">
              <w:rPr>
                <w:rFonts w:ascii="Calibri" w:hAnsi="Calibri"/>
                <w:color w:val="000000"/>
                <w:sz w:val="24"/>
                <w:szCs w:val="24"/>
                <w:lang w:val="en-US"/>
              </w:rPr>
              <w:t xml:space="preserve"> </w:t>
            </w:r>
            <w:r w:rsidR="00962C5E" w:rsidRPr="00787EF7">
              <w:rPr>
                <w:rFonts w:ascii="Calibri" w:hAnsi="Calibri"/>
                <w:i/>
                <w:color w:val="000000"/>
                <w:sz w:val="24"/>
                <w:szCs w:val="24"/>
                <w:lang w:val="en-US"/>
              </w:rPr>
              <w:t>To enhance the management effectiveness, biogeographically coverage, and connectivity of Protected Areas to conserve forest ecosystems in the Achara Region</w:t>
            </w:r>
            <w:r w:rsidR="00962C5E" w:rsidRPr="009E7857">
              <w:rPr>
                <w:rFonts w:ascii="Calibri" w:hAnsi="Calibri"/>
                <w:color w:val="000000"/>
                <w:sz w:val="24"/>
                <w:szCs w:val="24"/>
                <w:lang w:val="en-US"/>
              </w:rPr>
              <w:t xml:space="preserve"> </w:t>
            </w:r>
            <w:r w:rsidR="00962C5E">
              <w:rPr>
                <w:rFonts w:ascii="Calibri" w:hAnsi="Calibri"/>
                <w:color w:val="000000"/>
                <w:sz w:val="24"/>
                <w:szCs w:val="24"/>
                <w:lang w:val="en-US"/>
              </w:rPr>
              <w:t>(b</w:t>
            </w:r>
            <w:r w:rsidR="00BA37A7" w:rsidRPr="009E7857">
              <w:rPr>
                <w:rFonts w:ascii="Calibri" w:hAnsi="Calibri"/>
                <w:color w:val="000000"/>
                <w:sz w:val="24"/>
                <w:szCs w:val="24"/>
                <w:lang w:val="en-US"/>
              </w:rPr>
              <w:t xml:space="preserve">y </w:t>
            </w:r>
            <w:r w:rsidR="00962C5E">
              <w:rPr>
                <w:rFonts w:ascii="Calibri" w:hAnsi="Calibri"/>
                <w:color w:val="000000"/>
                <w:sz w:val="24"/>
                <w:szCs w:val="24"/>
                <w:lang w:val="en-US"/>
              </w:rPr>
              <w:t>December 2018)</w:t>
            </w:r>
          </w:p>
        </w:tc>
      </w:tr>
    </w:tbl>
    <w:p w14:paraId="223F37CE" w14:textId="33D25E90" w:rsidR="00787EF7" w:rsidRDefault="00787EF7" w:rsidP="00EE0A4E">
      <w:pPr>
        <w:spacing w:before="120" w:after="120" w:line="240" w:lineRule="atLeast"/>
        <w:jc w:val="both"/>
        <w:rPr>
          <w:rFonts w:ascii="Calibri" w:hAnsi="Calibri"/>
          <w:color w:val="000000"/>
          <w:sz w:val="24"/>
          <w:szCs w:val="24"/>
          <w:lang w:val="en-US"/>
        </w:rPr>
      </w:pPr>
      <w:r>
        <w:rPr>
          <w:rFonts w:ascii="Calibri" w:hAnsi="Calibri"/>
          <w:color w:val="000000"/>
          <w:sz w:val="24"/>
          <w:szCs w:val="24"/>
          <w:lang w:val="en-US"/>
        </w:rPr>
        <w:t>The project has met with considerable success in achieving its objective, as indicated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
        <w:gridCol w:w="8692"/>
      </w:tblGrid>
      <w:tr w:rsidR="008231D3" w:rsidRPr="00265B36" w14:paraId="5A1600AA" w14:textId="77777777" w:rsidTr="008231D3">
        <w:tc>
          <w:tcPr>
            <w:tcW w:w="550" w:type="dxa"/>
          </w:tcPr>
          <w:p w14:paraId="4E150B9A" w14:textId="77777777" w:rsidR="008231D3" w:rsidRPr="00265B36" w:rsidRDefault="008231D3" w:rsidP="008231D3">
            <w:pPr>
              <w:overflowPunct/>
              <w:spacing w:after="60" w:line="240" w:lineRule="atLeast"/>
              <w:jc w:val="right"/>
              <w:textAlignment w:val="auto"/>
              <w:rPr>
                <w:rFonts w:ascii="Calibri" w:hAnsi="Calibri" w:cs="Corbel"/>
                <w:b/>
                <w:color w:val="00B050"/>
                <w:szCs w:val="22"/>
                <w:lang w:val="en-US"/>
              </w:rPr>
            </w:pPr>
            <w:r w:rsidRPr="00265B36">
              <w:rPr>
                <w:rFonts w:ascii="Menlo Bold" w:hAnsi="Menlo Bold" w:cs="Menlo Bold"/>
                <w:b/>
                <w:color w:val="008000"/>
                <w:szCs w:val="22"/>
                <w:lang w:val="en-US"/>
              </w:rPr>
              <w:t>✔</w:t>
            </w:r>
          </w:p>
        </w:tc>
        <w:tc>
          <w:tcPr>
            <w:tcW w:w="8692" w:type="dxa"/>
          </w:tcPr>
          <w:p w14:paraId="17BB35F8" w14:textId="1C72D3AC" w:rsidR="003E7557" w:rsidRDefault="008231D3" w:rsidP="003E7557">
            <w:pPr>
              <w:overflowPunct/>
              <w:spacing w:after="60" w:line="240" w:lineRule="atLeast"/>
              <w:jc w:val="both"/>
              <w:textAlignment w:val="auto"/>
              <w:rPr>
                <w:rFonts w:ascii="Calibri" w:hAnsi="Calibri"/>
                <w:szCs w:val="22"/>
                <w:lang w:val="en-US"/>
              </w:rPr>
            </w:pPr>
            <w:r>
              <w:rPr>
                <w:rFonts w:ascii="Calibri" w:hAnsi="Calibri"/>
                <w:szCs w:val="22"/>
                <w:lang w:val="en-US"/>
              </w:rPr>
              <w:t xml:space="preserve">A 24% increase (7,333 ha) in the coverage of PAs in Achara, </w:t>
            </w:r>
            <w:r w:rsidR="0027633F">
              <w:rPr>
                <w:rFonts w:ascii="Calibri" w:hAnsi="Calibri"/>
                <w:szCs w:val="22"/>
                <w:lang w:val="en-US"/>
              </w:rPr>
              <w:t>from 30,469 ha to 37,802</w:t>
            </w:r>
            <w:r w:rsidR="003E7557">
              <w:rPr>
                <w:rFonts w:ascii="Calibri" w:hAnsi="Calibri"/>
                <w:szCs w:val="22"/>
                <w:lang w:val="en-US"/>
              </w:rPr>
              <w:t>.</w:t>
            </w:r>
            <w:r w:rsidR="0027633F">
              <w:rPr>
                <w:rFonts w:ascii="Calibri" w:hAnsi="Calibri"/>
                <w:szCs w:val="22"/>
                <w:lang w:val="en-US"/>
              </w:rPr>
              <w:t xml:space="preserve"> While this does not currently meet the target of 39,202 ha, th</w:t>
            </w:r>
            <w:r w:rsidR="003E7557">
              <w:rPr>
                <w:rFonts w:ascii="Calibri" w:hAnsi="Calibri"/>
                <w:szCs w:val="22"/>
                <w:lang w:val="en-US"/>
              </w:rPr>
              <w:t>e target</w:t>
            </w:r>
            <w:r w:rsidR="0027633F">
              <w:rPr>
                <w:rFonts w:ascii="Calibri" w:hAnsi="Calibri"/>
                <w:szCs w:val="22"/>
                <w:lang w:val="en-US"/>
              </w:rPr>
              <w:t xml:space="preserve"> will be exceeded by 2,895 ha with the designation of </w:t>
            </w:r>
            <w:r w:rsidR="003E7557">
              <w:rPr>
                <w:rFonts w:ascii="Calibri" w:hAnsi="Calibri"/>
                <w:szCs w:val="22"/>
                <w:lang w:val="en-US"/>
              </w:rPr>
              <w:t xml:space="preserve">the proposed </w:t>
            </w:r>
            <w:r w:rsidR="0027633F">
              <w:rPr>
                <w:rFonts w:ascii="Calibri" w:hAnsi="Calibri"/>
                <w:szCs w:val="22"/>
                <w:lang w:val="en-US"/>
              </w:rPr>
              <w:t>Machakhela Protected Landscape</w:t>
            </w:r>
            <w:r w:rsidR="003E7557">
              <w:rPr>
                <w:rFonts w:ascii="Calibri" w:hAnsi="Calibri"/>
                <w:szCs w:val="22"/>
                <w:lang w:val="en-US"/>
              </w:rPr>
              <w:t>. Thus, the total PAs coverage in Achara would become 42,097 ha.</w:t>
            </w:r>
          </w:p>
          <w:p w14:paraId="39E57DFD" w14:textId="52A6F577" w:rsidR="002E366E" w:rsidRPr="00254632" w:rsidRDefault="002E366E" w:rsidP="0067558E">
            <w:pPr>
              <w:pStyle w:val="ListParagraph"/>
              <w:numPr>
                <w:ilvl w:val="0"/>
                <w:numId w:val="18"/>
              </w:numPr>
              <w:spacing w:after="60" w:line="240" w:lineRule="atLeast"/>
              <w:ind w:left="301" w:hanging="301"/>
              <w:jc w:val="both"/>
            </w:pPr>
            <w:r w:rsidRPr="00254632">
              <w:t>As and when this is achieved, albeit post-project, the extent of the national PAs network will have increased from the project’s baseline of 10.7% of the country to over 12%, exceeding the project’s target of 11.7%.</w:t>
            </w:r>
          </w:p>
          <w:p w14:paraId="186AF3C1" w14:textId="32609C0E" w:rsidR="008231D3" w:rsidRPr="009A5904" w:rsidRDefault="002E366E" w:rsidP="0067558E">
            <w:pPr>
              <w:pStyle w:val="ListParagraph"/>
              <w:numPr>
                <w:ilvl w:val="0"/>
                <w:numId w:val="18"/>
              </w:numPr>
              <w:spacing w:after="60" w:line="240" w:lineRule="atLeast"/>
              <w:ind w:left="301" w:hanging="301"/>
              <w:jc w:val="both"/>
            </w:pPr>
            <w:r w:rsidRPr="00254632">
              <w:t xml:space="preserve">More importantly, the </w:t>
            </w:r>
            <w:r w:rsidR="000B0550" w:rsidRPr="00254632">
              <w:t>deployment of the protected landscape model should ensure that pressures on Machakhela’s Colchic Forest</w:t>
            </w:r>
            <w:r w:rsidR="0027633F" w:rsidRPr="00254632">
              <w:t xml:space="preserve"> will </w:t>
            </w:r>
            <w:r w:rsidR="000B0550" w:rsidRPr="00254632">
              <w:t xml:space="preserve">be addressed in ways that take into </w:t>
            </w:r>
            <w:r w:rsidR="00254632">
              <w:t xml:space="preserve">account communities’ livelihood needs </w:t>
            </w:r>
            <w:r w:rsidR="000B0550" w:rsidRPr="00254632">
              <w:t>using more sustainable land use practices and other alternatives as demonstrated during the project. The proposed Protect</w:t>
            </w:r>
            <w:r w:rsidR="006E2AE7">
              <w:t>ed</w:t>
            </w:r>
            <w:r w:rsidR="000B0550" w:rsidRPr="00254632">
              <w:t xml:space="preserve"> Landscape is supported by </w:t>
            </w:r>
            <w:r w:rsidR="0021021A" w:rsidRPr="00254632">
              <w:t xml:space="preserve">local communities, which represents a tremendous change in their attitudes as a result of specific project interventions, such as the participatory review of Machakhela NP boundaries and </w:t>
            </w:r>
            <w:r w:rsidR="00254632" w:rsidRPr="00254632">
              <w:t xml:space="preserve">development of a </w:t>
            </w:r>
            <w:r w:rsidR="00254632" w:rsidRPr="00254632">
              <w:rPr>
                <w:i/>
              </w:rPr>
              <w:t>Support Zone Community Action Plan</w:t>
            </w:r>
            <w:r w:rsidR="00254632" w:rsidRPr="00254632">
              <w:t xml:space="preserve"> under Outputs 2.1 and 2.3, respectively.</w:t>
            </w:r>
          </w:p>
        </w:tc>
      </w:tr>
      <w:tr w:rsidR="009A5904" w:rsidRPr="00265B36" w14:paraId="106B18F2" w14:textId="77777777" w:rsidTr="008231D3">
        <w:tc>
          <w:tcPr>
            <w:tcW w:w="550" w:type="dxa"/>
          </w:tcPr>
          <w:p w14:paraId="49D5EF2C" w14:textId="5EB47055" w:rsidR="009A5904" w:rsidRPr="00265B36" w:rsidRDefault="009A5904" w:rsidP="008231D3">
            <w:pPr>
              <w:overflowPunct/>
              <w:spacing w:after="60" w:line="240" w:lineRule="atLeast"/>
              <w:jc w:val="right"/>
              <w:textAlignment w:val="auto"/>
              <w:rPr>
                <w:rFonts w:ascii="Menlo Bold" w:hAnsi="Menlo Bold" w:cs="Menlo Bold"/>
                <w:b/>
                <w:color w:val="008000"/>
                <w:szCs w:val="22"/>
                <w:lang w:val="en-US"/>
              </w:rPr>
            </w:pPr>
            <w:r w:rsidRPr="00265B36">
              <w:rPr>
                <w:rFonts w:ascii="Menlo Bold" w:hAnsi="Menlo Bold" w:cs="Menlo Bold"/>
                <w:b/>
                <w:color w:val="008000"/>
                <w:szCs w:val="22"/>
                <w:lang w:val="en-US"/>
              </w:rPr>
              <w:t>✔</w:t>
            </w:r>
          </w:p>
        </w:tc>
        <w:tc>
          <w:tcPr>
            <w:tcW w:w="8692" w:type="dxa"/>
          </w:tcPr>
          <w:p w14:paraId="2F454B6B" w14:textId="05D7A41C" w:rsidR="009A5904" w:rsidRDefault="009A5904" w:rsidP="006E2AE7">
            <w:pPr>
              <w:overflowPunct/>
              <w:spacing w:after="60" w:line="240" w:lineRule="atLeast"/>
              <w:jc w:val="both"/>
              <w:textAlignment w:val="auto"/>
              <w:rPr>
                <w:rFonts w:ascii="Calibri" w:hAnsi="Calibri"/>
                <w:szCs w:val="22"/>
                <w:lang w:val="en-US"/>
              </w:rPr>
            </w:pPr>
            <w:r>
              <w:rPr>
                <w:rFonts w:ascii="Calibri" w:hAnsi="Calibri"/>
                <w:szCs w:val="22"/>
                <w:lang w:val="en-US"/>
              </w:rPr>
              <w:t xml:space="preserve">The increase in extent of the PAs network in ARA has also been mirrored by substantive </w:t>
            </w:r>
            <w:r w:rsidR="00071E9F">
              <w:rPr>
                <w:rFonts w:ascii="Calibri" w:hAnsi="Calibri"/>
                <w:szCs w:val="22"/>
                <w:lang w:val="en-US"/>
              </w:rPr>
              <w:t xml:space="preserve">development in capacity, with targets </w:t>
            </w:r>
            <w:r w:rsidR="006E2AE7">
              <w:rPr>
                <w:rFonts w:ascii="Calibri" w:hAnsi="Calibri"/>
                <w:szCs w:val="22"/>
                <w:lang w:val="en-US"/>
              </w:rPr>
              <w:t>at</w:t>
            </w:r>
            <w:r w:rsidR="00AA19B7">
              <w:rPr>
                <w:rFonts w:ascii="Calibri" w:hAnsi="Calibri"/>
                <w:szCs w:val="22"/>
                <w:lang w:val="en-US"/>
              </w:rPr>
              <w:t xml:space="preserve"> PA system (</w:t>
            </w:r>
            <w:r w:rsidR="00071E9F">
              <w:rPr>
                <w:rFonts w:ascii="Calibri" w:hAnsi="Calibri"/>
                <w:szCs w:val="22"/>
                <w:lang w:val="en-US"/>
              </w:rPr>
              <w:t>20%), institutional (</w:t>
            </w:r>
            <w:r w:rsidR="00AA19B7">
              <w:rPr>
                <w:rFonts w:ascii="Calibri" w:hAnsi="Calibri"/>
                <w:szCs w:val="22"/>
                <w:lang w:val="en-US"/>
              </w:rPr>
              <w:t>29%</w:t>
            </w:r>
            <w:r w:rsidR="00071E9F">
              <w:rPr>
                <w:rFonts w:ascii="Calibri" w:hAnsi="Calibri"/>
                <w:szCs w:val="22"/>
                <w:lang w:val="en-US"/>
              </w:rPr>
              <w:t>) and individual levels (</w:t>
            </w:r>
            <w:r w:rsidR="00AA19B7">
              <w:rPr>
                <w:rFonts w:ascii="Calibri" w:hAnsi="Calibri"/>
                <w:szCs w:val="22"/>
                <w:lang w:val="en-US"/>
              </w:rPr>
              <w:t>13</w:t>
            </w:r>
            <w:r w:rsidR="00071E9F">
              <w:rPr>
                <w:rFonts w:ascii="Calibri" w:hAnsi="Calibri"/>
                <w:szCs w:val="22"/>
                <w:lang w:val="en-US"/>
              </w:rPr>
              <w:t xml:space="preserve">%) </w:t>
            </w:r>
            <w:r w:rsidR="00AA19B7">
              <w:rPr>
                <w:rFonts w:ascii="Calibri" w:hAnsi="Calibri"/>
                <w:szCs w:val="22"/>
                <w:lang w:val="en-US"/>
              </w:rPr>
              <w:t>greatly exceeded (71%, 65% and 54%, respectively).</w:t>
            </w:r>
          </w:p>
        </w:tc>
      </w:tr>
      <w:tr w:rsidR="00AA19B7" w:rsidRPr="00265B36" w14:paraId="5B5AA89E" w14:textId="77777777" w:rsidTr="008231D3">
        <w:tc>
          <w:tcPr>
            <w:tcW w:w="550" w:type="dxa"/>
          </w:tcPr>
          <w:p w14:paraId="68C12C3A" w14:textId="502AD85A" w:rsidR="00AA19B7" w:rsidRPr="00265B36" w:rsidRDefault="00CC6631" w:rsidP="008231D3">
            <w:pPr>
              <w:overflowPunct/>
              <w:spacing w:after="60" w:line="240" w:lineRule="atLeast"/>
              <w:jc w:val="right"/>
              <w:textAlignment w:val="auto"/>
              <w:rPr>
                <w:rFonts w:ascii="Menlo Bold" w:hAnsi="Menlo Bold" w:cs="Menlo Bold"/>
                <w:b/>
                <w:color w:val="008000"/>
                <w:szCs w:val="22"/>
                <w:lang w:val="en-US"/>
              </w:rPr>
            </w:pPr>
            <w:r w:rsidRPr="00265B36">
              <w:rPr>
                <w:rFonts w:ascii="Menlo Bold" w:hAnsi="Menlo Bold" w:cs="Menlo Bold"/>
                <w:b/>
                <w:color w:val="008000"/>
                <w:szCs w:val="22"/>
                <w:lang w:val="en-US"/>
              </w:rPr>
              <w:t>✔</w:t>
            </w:r>
          </w:p>
        </w:tc>
        <w:tc>
          <w:tcPr>
            <w:tcW w:w="8692" w:type="dxa"/>
          </w:tcPr>
          <w:p w14:paraId="55CAACF9" w14:textId="09D64197" w:rsidR="00AA19B7" w:rsidRDefault="00AA19B7" w:rsidP="001923E8">
            <w:pPr>
              <w:overflowPunct/>
              <w:spacing w:after="60" w:line="240" w:lineRule="atLeast"/>
              <w:jc w:val="both"/>
              <w:textAlignment w:val="auto"/>
              <w:rPr>
                <w:rFonts w:ascii="Calibri" w:hAnsi="Calibri"/>
                <w:szCs w:val="22"/>
                <w:lang w:val="en-US"/>
              </w:rPr>
            </w:pPr>
            <w:r>
              <w:rPr>
                <w:rFonts w:ascii="Calibri" w:hAnsi="Calibri"/>
                <w:szCs w:val="22"/>
                <w:lang w:val="en-US"/>
              </w:rPr>
              <w:t xml:space="preserve">Similarly, the effectiveness </w:t>
            </w:r>
            <w:r w:rsidR="00594D4D">
              <w:rPr>
                <w:rFonts w:ascii="Calibri" w:hAnsi="Calibri"/>
                <w:szCs w:val="22"/>
                <w:lang w:val="en-US"/>
              </w:rPr>
              <w:t xml:space="preserve">with which PAs </w:t>
            </w:r>
            <w:r w:rsidR="001923E8">
              <w:rPr>
                <w:rFonts w:ascii="Calibri" w:hAnsi="Calibri"/>
                <w:szCs w:val="22"/>
                <w:lang w:val="en-US"/>
              </w:rPr>
              <w:t>are managed in ARA’s Colchic Forests has also increased significantly and met or exceeded METT targets of 73% for Mtirala NP (73%), 67% for Kintrishi SR (69%), 63% for Kintrish</w:t>
            </w:r>
            <w:r w:rsidR="003C4FE1">
              <w:rPr>
                <w:rFonts w:ascii="Calibri" w:hAnsi="Calibri"/>
                <w:szCs w:val="22"/>
                <w:lang w:val="en-US"/>
              </w:rPr>
              <w:t>i</w:t>
            </w:r>
            <w:r w:rsidR="001923E8">
              <w:rPr>
                <w:rFonts w:ascii="Calibri" w:hAnsi="Calibri"/>
                <w:szCs w:val="22"/>
                <w:lang w:val="en-US"/>
              </w:rPr>
              <w:t xml:space="preserve"> PL (65%) and 71% for Machakhela NP (80%).</w:t>
            </w:r>
          </w:p>
        </w:tc>
      </w:tr>
      <w:tr w:rsidR="00CC6631" w:rsidRPr="00265B36" w14:paraId="7DD537D2" w14:textId="77777777" w:rsidTr="008231D3">
        <w:tc>
          <w:tcPr>
            <w:tcW w:w="550" w:type="dxa"/>
          </w:tcPr>
          <w:p w14:paraId="7A0A7766" w14:textId="77CB5D4F" w:rsidR="00CC6631" w:rsidRPr="00265B36" w:rsidRDefault="00CC6631" w:rsidP="008231D3">
            <w:pPr>
              <w:overflowPunct/>
              <w:spacing w:after="60" w:line="240" w:lineRule="atLeast"/>
              <w:jc w:val="right"/>
              <w:textAlignment w:val="auto"/>
              <w:rPr>
                <w:rFonts w:ascii="Menlo Bold" w:hAnsi="Menlo Bold" w:cs="Menlo Bold"/>
                <w:b/>
                <w:color w:val="008000"/>
                <w:szCs w:val="22"/>
                <w:lang w:val="en-US"/>
              </w:rPr>
            </w:pPr>
            <w:r w:rsidRPr="00265B36">
              <w:rPr>
                <w:rFonts w:ascii="Menlo Bold" w:hAnsi="Menlo Bold" w:cs="Menlo Bold"/>
                <w:b/>
                <w:color w:val="008000"/>
                <w:szCs w:val="22"/>
                <w:lang w:val="en-US"/>
              </w:rPr>
              <w:t>✔</w:t>
            </w:r>
          </w:p>
        </w:tc>
        <w:tc>
          <w:tcPr>
            <w:tcW w:w="8692" w:type="dxa"/>
          </w:tcPr>
          <w:p w14:paraId="7E938EAB" w14:textId="1ED9FE83" w:rsidR="00843662" w:rsidRDefault="00CC6631" w:rsidP="00D91406">
            <w:pPr>
              <w:overflowPunct/>
              <w:spacing w:after="60" w:line="240" w:lineRule="atLeast"/>
              <w:jc w:val="both"/>
              <w:textAlignment w:val="auto"/>
              <w:rPr>
                <w:rFonts w:ascii="Calibri" w:hAnsi="Calibri"/>
                <w:szCs w:val="22"/>
                <w:lang w:val="en-US"/>
              </w:rPr>
            </w:pPr>
            <w:r>
              <w:rPr>
                <w:rFonts w:ascii="Calibri" w:hAnsi="Calibri"/>
                <w:szCs w:val="22"/>
                <w:lang w:val="en-US"/>
              </w:rPr>
              <w:t xml:space="preserve">Strong ownership at all levels of government, national, regional and municipal, and among the communities residing in and around the PAs </w:t>
            </w:r>
            <w:r w:rsidR="00D91406">
              <w:rPr>
                <w:rFonts w:ascii="Calibri" w:hAnsi="Calibri"/>
                <w:szCs w:val="22"/>
                <w:lang w:val="en-US"/>
              </w:rPr>
              <w:t>has been crucial to the overall achievement of the project objective, together with the technical competence, efficiency and commitment of the PMU facilitating the delivery of project outputs in a well-coordinated and cohesive manner under the oversight of a responsive PEB that has met regularly and fulfilled its role with diligence.</w:t>
            </w:r>
          </w:p>
        </w:tc>
      </w:tr>
      <w:tr w:rsidR="008F7EED" w:rsidRPr="00265B36" w14:paraId="26A94AB6" w14:textId="77777777" w:rsidTr="008231D3">
        <w:tc>
          <w:tcPr>
            <w:tcW w:w="550" w:type="dxa"/>
          </w:tcPr>
          <w:p w14:paraId="7F683B23" w14:textId="56A3BFAF" w:rsidR="008F7EED" w:rsidRPr="00265B36" w:rsidRDefault="008F7EED" w:rsidP="008231D3">
            <w:pPr>
              <w:overflowPunct/>
              <w:spacing w:after="60" w:line="240" w:lineRule="atLeast"/>
              <w:jc w:val="right"/>
              <w:textAlignment w:val="auto"/>
              <w:rPr>
                <w:rFonts w:ascii="Menlo Bold" w:hAnsi="Menlo Bold" w:cs="Menlo Bold"/>
                <w:b/>
                <w:color w:val="008000"/>
                <w:szCs w:val="22"/>
                <w:lang w:val="en-US"/>
              </w:rPr>
            </w:pPr>
            <w:r w:rsidRPr="00265B36">
              <w:rPr>
                <w:rFonts w:ascii="Menlo Bold" w:hAnsi="Menlo Bold" w:cs="Menlo Bold"/>
                <w:b/>
                <w:color w:val="008000"/>
                <w:szCs w:val="22"/>
                <w:lang w:val="en-US"/>
              </w:rPr>
              <w:t>✔</w:t>
            </w:r>
          </w:p>
        </w:tc>
        <w:tc>
          <w:tcPr>
            <w:tcW w:w="8692" w:type="dxa"/>
          </w:tcPr>
          <w:p w14:paraId="5CB1A8E5" w14:textId="4BADF1DC" w:rsidR="008F7EED" w:rsidRDefault="008F7EED" w:rsidP="00D91406">
            <w:pPr>
              <w:overflowPunct/>
              <w:spacing w:after="60" w:line="240" w:lineRule="atLeast"/>
              <w:jc w:val="both"/>
              <w:textAlignment w:val="auto"/>
              <w:rPr>
                <w:rFonts w:ascii="Calibri" w:hAnsi="Calibri"/>
                <w:szCs w:val="22"/>
                <w:lang w:val="en-US"/>
              </w:rPr>
            </w:pPr>
            <w:r>
              <w:rPr>
                <w:rFonts w:ascii="Calibri" w:hAnsi="Calibri"/>
                <w:szCs w:val="22"/>
                <w:lang w:val="en-US"/>
              </w:rPr>
              <w:t>The fact that this achievement has been delivered with a grant of little more than US$ 1.3 million is a credit to all stakeholders involved in the project, particularly cofinancing partners whose contributions are estimated to exceed the GEF grant by at least tenfold (</w:t>
            </w:r>
            <w:r w:rsidRPr="00633855">
              <w:rPr>
                <w:rFonts w:ascii="Calibri" w:hAnsi="Calibri"/>
                <w:b/>
                <w:szCs w:val="22"/>
                <w:lang w:val="en-US"/>
              </w:rPr>
              <w:t>Section  3.2.4</w:t>
            </w:r>
            <w:r>
              <w:rPr>
                <w:rFonts w:ascii="Calibri" w:hAnsi="Calibri"/>
                <w:szCs w:val="22"/>
                <w:lang w:val="en-US"/>
              </w:rPr>
              <w:t>).</w:t>
            </w:r>
          </w:p>
        </w:tc>
      </w:tr>
      <w:tr w:rsidR="008F7EED" w:rsidRPr="00265B36" w14:paraId="32693B8F" w14:textId="77777777" w:rsidTr="008231D3">
        <w:tc>
          <w:tcPr>
            <w:tcW w:w="550" w:type="dxa"/>
          </w:tcPr>
          <w:p w14:paraId="245DB868" w14:textId="782539EC" w:rsidR="008F7EED" w:rsidRPr="008F7EED" w:rsidRDefault="008F7EED" w:rsidP="008231D3">
            <w:pPr>
              <w:overflowPunct/>
              <w:spacing w:after="60" w:line="240" w:lineRule="atLeast"/>
              <w:jc w:val="right"/>
              <w:textAlignment w:val="auto"/>
              <w:rPr>
                <w:rFonts w:ascii="Menlo Bold" w:hAnsi="Menlo Bold" w:cs="Menlo Bold"/>
                <w:b/>
                <w:color w:val="008000"/>
                <w:szCs w:val="22"/>
                <w:lang w:val="en-US"/>
              </w:rPr>
            </w:pPr>
            <w:r w:rsidRPr="008F7EED">
              <w:rPr>
                <w:rFonts w:ascii="Menlo Bold" w:hAnsi="Menlo Bold" w:cs="Menlo Bold"/>
                <w:b/>
                <w:color w:val="FF0000"/>
                <w:szCs w:val="22"/>
                <w:lang w:val="en-US"/>
              </w:rPr>
              <w:lastRenderedPageBreak/>
              <w:t>✖</w:t>
            </w:r>
          </w:p>
        </w:tc>
        <w:tc>
          <w:tcPr>
            <w:tcW w:w="8692" w:type="dxa"/>
          </w:tcPr>
          <w:p w14:paraId="3A78412D" w14:textId="5015B7B7" w:rsidR="008F7EED" w:rsidRPr="008F7EED" w:rsidRDefault="008F7EED" w:rsidP="008F7EED">
            <w:pPr>
              <w:overflowPunct/>
              <w:spacing w:after="60" w:line="240" w:lineRule="atLeast"/>
              <w:jc w:val="both"/>
              <w:textAlignment w:val="auto"/>
              <w:rPr>
                <w:rFonts w:ascii="Calibri" w:hAnsi="Calibri"/>
                <w:szCs w:val="22"/>
                <w:lang w:val="en-US"/>
              </w:rPr>
            </w:pPr>
            <w:r w:rsidRPr="008F7EED">
              <w:rPr>
                <w:rFonts w:asciiTheme="minorHAnsi" w:hAnsiTheme="minorHAnsi" w:cs="Menlo Bold"/>
                <w:szCs w:val="22"/>
                <w:lang w:val="en-US"/>
              </w:rPr>
              <w:t>Shortcomings are identified in the respective Outcomes below</w:t>
            </w:r>
            <w:r>
              <w:rPr>
                <w:rFonts w:asciiTheme="minorHAnsi" w:hAnsiTheme="minorHAnsi" w:cs="Menlo Bold"/>
                <w:szCs w:val="22"/>
                <w:lang w:val="en-US"/>
              </w:rPr>
              <w:t>,</w:t>
            </w:r>
            <w:r w:rsidRPr="008F7EED">
              <w:rPr>
                <w:rFonts w:asciiTheme="minorHAnsi" w:hAnsiTheme="minorHAnsi" w:cs="Menlo Bold"/>
                <w:szCs w:val="22"/>
                <w:lang w:val="en-US"/>
              </w:rPr>
              <w:t xml:space="preserve"> re</w:t>
            </w:r>
            <w:r>
              <w:rPr>
                <w:rFonts w:asciiTheme="minorHAnsi" w:hAnsiTheme="minorHAnsi" w:cs="Menlo Bold"/>
                <w:szCs w:val="22"/>
                <w:lang w:val="en-US"/>
              </w:rPr>
              <w:t>lating to</w:t>
            </w:r>
            <w:r w:rsidRPr="008F7EED">
              <w:rPr>
                <w:rFonts w:asciiTheme="minorHAnsi" w:hAnsiTheme="minorHAnsi" w:cs="Menlo Bold"/>
                <w:szCs w:val="22"/>
                <w:lang w:val="en-US"/>
              </w:rPr>
              <w:t xml:space="preserve"> governance and financial sustainability issues in respect of the revamped PA Advisory Councils and the PA Friends Association</w:t>
            </w:r>
            <w:r>
              <w:rPr>
                <w:rFonts w:asciiTheme="minorHAnsi" w:hAnsiTheme="minorHAnsi" w:cs="Menlo Bold"/>
                <w:szCs w:val="22"/>
                <w:lang w:val="en-US"/>
              </w:rPr>
              <w:t>s</w:t>
            </w:r>
            <w:r w:rsidRPr="008F7EED">
              <w:rPr>
                <w:rFonts w:asciiTheme="minorHAnsi" w:hAnsiTheme="minorHAnsi" w:cs="Menlo Bold"/>
                <w:szCs w:val="22"/>
                <w:lang w:val="en-US"/>
              </w:rPr>
              <w:t>.</w:t>
            </w:r>
            <w:r w:rsidR="00B25905">
              <w:rPr>
                <w:rFonts w:asciiTheme="minorHAnsi" w:hAnsiTheme="minorHAnsi" w:cs="Menlo Bold"/>
                <w:szCs w:val="22"/>
                <w:lang w:val="en-US"/>
              </w:rPr>
              <w:t xml:space="preserve"> </w:t>
            </w:r>
          </w:p>
        </w:tc>
      </w:tr>
    </w:tbl>
    <w:p w14:paraId="5A10F870" w14:textId="1AD15A58" w:rsidR="001D162C" w:rsidRDefault="00821D9E" w:rsidP="008F7EED">
      <w:pPr>
        <w:spacing w:before="120" w:after="120" w:line="240" w:lineRule="atLeast"/>
        <w:jc w:val="both"/>
        <w:rPr>
          <w:rFonts w:asciiTheme="minorHAnsi" w:hAnsiTheme="minorHAnsi"/>
          <w:sz w:val="24"/>
          <w:szCs w:val="24"/>
          <w:lang w:val="en-US"/>
        </w:rPr>
      </w:pPr>
      <w:r>
        <w:rPr>
          <w:rFonts w:asciiTheme="minorHAnsi" w:hAnsiTheme="minorHAnsi"/>
          <w:sz w:val="24"/>
          <w:szCs w:val="24"/>
          <w:lang w:val="en-US"/>
        </w:rPr>
        <w:t>Overall</w:t>
      </w:r>
      <w:r w:rsidR="00761AAE">
        <w:rPr>
          <w:rFonts w:asciiTheme="minorHAnsi" w:hAnsiTheme="minorHAnsi"/>
          <w:sz w:val="24"/>
          <w:szCs w:val="24"/>
          <w:lang w:val="en-US"/>
        </w:rPr>
        <w:t xml:space="preserve"> </w:t>
      </w:r>
      <w:r w:rsidR="003C4FE1">
        <w:rPr>
          <w:rFonts w:asciiTheme="minorHAnsi" w:hAnsiTheme="minorHAnsi"/>
          <w:sz w:val="24"/>
          <w:szCs w:val="24"/>
          <w:lang w:val="en-US"/>
        </w:rPr>
        <w:t xml:space="preserve">achievement </w:t>
      </w:r>
      <w:r w:rsidR="0028050E" w:rsidRPr="00E22EBA">
        <w:rPr>
          <w:rFonts w:asciiTheme="minorHAnsi" w:hAnsiTheme="minorHAnsi"/>
          <w:sz w:val="24"/>
          <w:szCs w:val="24"/>
          <w:lang w:val="en-US"/>
        </w:rPr>
        <w:t>is rated as</w:t>
      </w:r>
      <w:r w:rsidR="0028050E" w:rsidRPr="007A7DAA">
        <w:rPr>
          <w:rFonts w:asciiTheme="minorHAnsi" w:hAnsiTheme="minorHAnsi"/>
          <w:b/>
          <w:sz w:val="24"/>
          <w:szCs w:val="24"/>
          <w:lang w:val="en-US"/>
        </w:rPr>
        <w:t xml:space="preserve"> Satisfactory</w:t>
      </w:r>
      <w:r>
        <w:rPr>
          <w:rFonts w:asciiTheme="minorHAnsi" w:hAnsiTheme="minorHAnsi"/>
          <w:sz w:val="24"/>
          <w:szCs w:val="24"/>
          <w:lang w:val="en-US"/>
        </w:rPr>
        <w:t xml:space="preserve">, meaning that the </w:t>
      </w:r>
      <w:r w:rsidR="003C4FE1">
        <w:rPr>
          <w:rFonts w:asciiTheme="minorHAnsi" w:hAnsiTheme="minorHAnsi"/>
          <w:sz w:val="24"/>
          <w:szCs w:val="24"/>
          <w:lang w:val="en-US"/>
        </w:rPr>
        <w:t>project had only minor shortcomings in the achievement of its objective in terms of relevance, effectiveness or efficiency.</w:t>
      </w:r>
    </w:p>
    <w:tbl>
      <w:tblPr>
        <w:tblStyle w:val="TableGrid"/>
        <w:tblW w:w="0" w:type="auto"/>
        <w:jc w:val="center"/>
        <w:tblLook w:val="04A0" w:firstRow="1" w:lastRow="0" w:firstColumn="1" w:lastColumn="0" w:noHBand="0" w:noVBand="1"/>
      </w:tblPr>
      <w:tblGrid>
        <w:gridCol w:w="9242"/>
      </w:tblGrid>
      <w:tr w:rsidR="00AA4538" w:rsidRPr="00033644" w14:paraId="23AEA3F2" w14:textId="77777777" w:rsidTr="00033644">
        <w:trPr>
          <w:trHeight w:val="575"/>
          <w:jc w:val="center"/>
        </w:trPr>
        <w:tc>
          <w:tcPr>
            <w:tcW w:w="9242" w:type="dxa"/>
            <w:vAlign w:val="center"/>
          </w:tcPr>
          <w:p w14:paraId="5817CA09" w14:textId="33F2A5F5" w:rsidR="00AA4538" w:rsidRPr="00033644" w:rsidRDefault="00AA4538" w:rsidP="009D1B40">
            <w:pPr>
              <w:tabs>
                <w:tab w:val="num" w:pos="0"/>
              </w:tabs>
              <w:spacing w:before="60" w:after="60" w:line="240" w:lineRule="atLeast"/>
              <w:rPr>
                <w:rFonts w:asciiTheme="minorHAnsi" w:hAnsiTheme="minorHAnsi"/>
                <w:b/>
                <w:sz w:val="24"/>
                <w:szCs w:val="24"/>
                <w:lang w:val="en-US"/>
              </w:rPr>
            </w:pPr>
            <w:r w:rsidRPr="00033644">
              <w:rPr>
                <w:rFonts w:asciiTheme="minorHAnsi" w:hAnsiTheme="minorHAnsi"/>
                <w:b/>
                <w:sz w:val="24"/>
                <w:szCs w:val="24"/>
                <w:lang w:val="en-US"/>
              </w:rPr>
              <w:t>Outcome 1:</w:t>
            </w:r>
            <w:r w:rsidRPr="00033644">
              <w:rPr>
                <w:rFonts w:asciiTheme="minorHAnsi" w:hAnsiTheme="minorHAnsi"/>
                <w:sz w:val="24"/>
                <w:szCs w:val="24"/>
                <w:lang w:val="en-US"/>
              </w:rPr>
              <w:t xml:space="preserve"> </w:t>
            </w:r>
            <w:r w:rsidR="009D1B40" w:rsidRPr="00033644">
              <w:rPr>
                <w:rFonts w:asciiTheme="minorHAnsi" w:hAnsiTheme="minorHAnsi"/>
                <w:i/>
                <w:color w:val="000000"/>
                <w:sz w:val="24"/>
                <w:szCs w:val="24"/>
                <w:lang w:val="en-US"/>
              </w:rPr>
              <w:t>Enhanced PA management effectiveness in the Achara Region</w:t>
            </w:r>
          </w:p>
        </w:tc>
      </w:tr>
    </w:tbl>
    <w:p w14:paraId="7DD44B3C" w14:textId="75B45803" w:rsidR="00AA4538" w:rsidRPr="00E22EBA" w:rsidRDefault="007A7DAA" w:rsidP="00CA2698">
      <w:pPr>
        <w:spacing w:before="120" w:line="240" w:lineRule="atLeast"/>
        <w:jc w:val="both"/>
        <w:rPr>
          <w:rFonts w:asciiTheme="minorHAnsi" w:hAnsiTheme="minorHAnsi"/>
          <w:sz w:val="24"/>
          <w:szCs w:val="24"/>
          <w:lang w:val="en-US"/>
        </w:rPr>
      </w:pPr>
      <w:r>
        <w:rPr>
          <w:rFonts w:asciiTheme="minorHAnsi" w:hAnsiTheme="minorHAnsi"/>
          <w:sz w:val="24"/>
          <w:szCs w:val="24"/>
          <w:lang w:val="en-US"/>
        </w:rPr>
        <w:t>Indicative budget</w:t>
      </w:r>
      <w:r w:rsidR="00AA4538" w:rsidRPr="00E22EBA">
        <w:rPr>
          <w:rFonts w:asciiTheme="minorHAnsi" w:hAnsiTheme="minorHAnsi"/>
          <w:sz w:val="24"/>
          <w:szCs w:val="24"/>
          <w:lang w:val="en-US"/>
        </w:rPr>
        <w:t xml:space="preserve"> in project document: </w:t>
      </w:r>
      <w:r w:rsidR="00AA4538" w:rsidRPr="00E22EBA">
        <w:rPr>
          <w:rFonts w:asciiTheme="minorHAnsi" w:hAnsiTheme="minorHAnsi"/>
          <w:sz w:val="24"/>
          <w:szCs w:val="24"/>
          <w:lang w:val="en-US"/>
        </w:rPr>
        <w:tab/>
        <w:t>US</w:t>
      </w:r>
      <w:r w:rsidR="009D1B40">
        <w:rPr>
          <w:rFonts w:asciiTheme="minorHAnsi" w:hAnsiTheme="minorHAnsi"/>
          <w:sz w:val="24"/>
          <w:szCs w:val="24"/>
          <w:lang w:val="en-US"/>
        </w:rPr>
        <w:t>$</w:t>
      </w:r>
      <w:r w:rsidR="00AA4538" w:rsidRPr="00E22EBA">
        <w:rPr>
          <w:rFonts w:asciiTheme="minorHAnsi" w:hAnsiTheme="minorHAnsi"/>
          <w:sz w:val="24"/>
          <w:szCs w:val="24"/>
          <w:lang w:val="en-US"/>
        </w:rPr>
        <w:t xml:space="preserve"> </w:t>
      </w:r>
      <w:r w:rsidR="00C03757">
        <w:rPr>
          <w:rFonts w:asciiTheme="minorHAnsi" w:hAnsiTheme="minorHAnsi"/>
          <w:sz w:val="24"/>
          <w:szCs w:val="24"/>
          <w:lang w:val="en-US"/>
        </w:rPr>
        <w:t>382,273</w:t>
      </w:r>
    </w:p>
    <w:p w14:paraId="54573235" w14:textId="39EA6E8B" w:rsidR="00AA4538" w:rsidRPr="00C03757" w:rsidRDefault="00AA4538" w:rsidP="00CA2698">
      <w:pPr>
        <w:spacing w:after="120" w:line="240" w:lineRule="atLeast"/>
        <w:jc w:val="both"/>
        <w:rPr>
          <w:rFonts w:asciiTheme="minorHAnsi" w:hAnsiTheme="minorHAnsi"/>
          <w:szCs w:val="22"/>
          <w:lang w:val="en-US"/>
        </w:rPr>
      </w:pPr>
      <w:r w:rsidRPr="00E22EBA">
        <w:rPr>
          <w:rFonts w:asciiTheme="minorHAnsi" w:hAnsiTheme="minorHAnsi"/>
          <w:sz w:val="24"/>
          <w:szCs w:val="24"/>
          <w:lang w:val="en-US"/>
        </w:rPr>
        <w:t>Actual co</w:t>
      </w:r>
      <w:r w:rsidR="009D1B40">
        <w:rPr>
          <w:rFonts w:asciiTheme="minorHAnsi" w:hAnsiTheme="minorHAnsi"/>
          <w:sz w:val="24"/>
          <w:szCs w:val="24"/>
          <w:lang w:val="en-US"/>
        </w:rPr>
        <w:t>st incurred on this outcome:</w:t>
      </w:r>
      <w:r w:rsidR="009D1B40">
        <w:rPr>
          <w:rFonts w:asciiTheme="minorHAnsi" w:hAnsiTheme="minorHAnsi"/>
          <w:sz w:val="24"/>
          <w:szCs w:val="24"/>
          <w:lang w:val="en-US"/>
        </w:rPr>
        <w:tab/>
        <w:t>US$</w:t>
      </w:r>
      <w:r w:rsidRPr="00E22EBA">
        <w:rPr>
          <w:rFonts w:asciiTheme="minorHAnsi" w:hAnsiTheme="minorHAnsi"/>
          <w:sz w:val="24"/>
          <w:szCs w:val="24"/>
          <w:lang w:val="en-US"/>
        </w:rPr>
        <w:t xml:space="preserve"> </w:t>
      </w:r>
      <w:r w:rsidR="00C03757">
        <w:rPr>
          <w:rFonts w:asciiTheme="minorHAnsi" w:hAnsiTheme="minorHAnsi"/>
          <w:sz w:val="24"/>
          <w:szCs w:val="24"/>
          <w:lang w:val="en-US"/>
        </w:rPr>
        <w:t>331,7</w:t>
      </w:r>
      <w:r w:rsidR="00C03757" w:rsidRPr="002422A3">
        <w:rPr>
          <w:rFonts w:asciiTheme="minorHAnsi" w:hAnsiTheme="minorHAnsi"/>
          <w:sz w:val="24"/>
          <w:szCs w:val="24"/>
          <w:lang w:val="en-US"/>
        </w:rPr>
        <w:t xml:space="preserve">32 </w:t>
      </w:r>
      <w:r w:rsidR="00C03757" w:rsidRPr="002422A3">
        <w:rPr>
          <w:rFonts w:asciiTheme="minorHAnsi" w:hAnsiTheme="minorHAnsi"/>
          <w:szCs w:val="22"/>
          <w:lang w:val="en-US"/>
        </w:rPr>
        <w:t>(to 08-11-2018,</w:t>
      </w:r>
      <w:r w:rsidR="00C03757" w:rsidRPr="00C03757">
        <w:rPr>
          <w:rFonts w:asciiTheme="minorHAnsi" w:hAnsiTheme="minorHAnsi"/>
          <w:szCs w:val="22"/>
          <w:lang w:val="en-US"/>
        </w:rPr>
        <w:t xml:space="preserve"> planned </w:t>
      </w:r>
      <w:r w:rsidR="00C03757">
        <w:rPr>
          <w:rFonts w:asciiTheme="minorHAnsi" w:hAnsiTheme="minorHAnsi"/>
          <w:szCs w:val="22"/>
          <w:lang w:val="en-US"/>
        </w:rPr>
        <w:t>US</w:t>
      </w:r>
      <w:r w:rsidR="00C03757" w:rsidRPr="00C03757">
        <w:rPr>
          <w:rFonts w:asciiTheme="minorHAnsi" w:hAnsiTheme="minorHAnsi"/>
          <w:szCs w:val="22"/>
          <w:lang w:val="en-US"/>
        </w:rPr>
        <w:t>$</w:t>
      </w:r>
      <w:r w:rsidR="00C03757">
        <w:rPr>
          <w:rFonts w:asciiTheme="minorHAnsi" w:hAnsiTheme="minorHAnsi"/>
          <w:szCs w:val="22"/>
          <w:lang w:val="en-US"/>
        </w:rPr>
        <w:t xml:space="preserve"> </w:t>
      </w:r>
      <w:r w:rsidR="00C03757" w:rsidRPr="00C03757">
        <w:rPr>
          <w:rFonts w:asciiTheme="minorHAnsi" w:hAnsiTheme="minorHAnsi"/>
          <w:szCs w:val="22"/>
          <w:lang w:val="en-US"/>
        </w:rPr>
        <w:t xml:space="preserve">396,742) </w:t>
      </w:r>
    </w:p>
    <w:p w14:paraId="1CF17B66" w14:textId="46517EFE" w:rsidR="00B477A2" w:rsidRDefault="00C75161" w:rsidP="00761AAE">
      <w:pPr>
        <w:spacing w:after="120" w:line="240" w:lineRule="atLeast"/>
        <w:jc w:val="both"/>
        <w:rPr>
          <w:rFonts w:asciiTheme="minorHAnsi" w:hAnsiTheme="minorHAnsi"/>
          <w:sz w:val="24"/>
          <w:szCs w:val="24"/>
          <w:lang w:val="en-US"/>
        </w:rPr>
      </w:pPr>
      <w:r>
        <w:rPr>
          <w:rFonts w:asciiTheme="minorHAnsi" w:hAnsiTheme="minorHAnsi"/>
          <w:sz w:val="24"/>
          <w:szCs w:val="24"/>
          <w:lang w:val="en-US"/>
        </w:rPr>
        <w:t xml:space="preserve">As previously elaborated in </w:t>
      </w:r>
      <w:r w:rsidRPr="00C75161">
        <w:rPr>
          <w:rFonts w:asciiTheme="minorHAnsi" w:hAnsiTheme="minorHAnsi"/>
          <w:b/>
          <w:sz w:val="24"/>
          <w:szCs w:val="24"/>
          <w:lang w:val="en-US"/>
        </w:rPr>
        <w:t>Section</w:t>
      </w:r>
      <w:r w:rsidR="00FB6AB6">
        <w:rPr>
          <w:rFonts w:asciiTheme="minorHAnsi" w:hAnsiTheme="minorHAnsi"/>
          <w:b/>
          <w:sz w:val="24"/>
          <w:szCs w:val="24"/>
          <w:lang w:val="en-US"/>
        </w:rPr>
        <w:t xml:space="preserve"> 2.4</w:t>
      </w:r>
      <w:r>
        <w:rPr>
          <w:rFonts w:asciiTheme="minorHAnsi" w:hAnsiTheme="minorHAnsi"/>
          <w:sz w:val="24"/>
          <w:szCs w:val="24"/>
          <w:lang w:val="en-US"/>
        </w:rPr>
        <w:t xml:space="preserve">, the </w:t>
      </w:r>
      <w:r w:rsidR="00661C17">
        <w:rPr>
          <w:rFonts w:asciiTheme="minorHAnsi" w:hAnsiTheme="minorHAnsi"/>
          <w:sz w:val="24"/>
          <w:szCs w:val="24"/>
          <w:lang w:val="en-US"/>
        </w:rPr>
        <w:t xml:space="preserve">two </w:t>
      </w:r>
      <w:r>
        <w:rPr>
          <w:rFonts w:asciiTheme="minorHAnsi" w:hAnsiTheme="minorHAnsi"/>
          <w:sz w:val="24"/>
          <w:szCs w:val="24"/>
          <w:lang w:val="en-US"/>
        </w:rPr>
        <w:t xml:space="preserve">indicators </w:t>
      </w:r>
      <w:r w:rsidR="00661C17">
        <w:rPr>
          <w:rFonts w:asciiTheme="minorHAnsi" w:hAnsiTheme="minorHAnsi"/>
          <w:sz w:val="24"/>
          <w:szCs w:val="24"/>
          <w:lang w:val="en-US"/>
        </w:rPr>
        <w:t xml:space="preserve">in the SRF </w:t>
      </w:r>
      <w:r>
        <w:rPr>
          <w:rFonts w:asciiTheme="minorHAnsi" w:hAnsiTheme="minorHAnsi"/>
          <w:sz w:val="24"/>
          <w:szCs w:val="24"/>
          <w:lang w:val="en-US"/>
        </w:rPr>
        <w:t>for Outcome 1 are inadequate, focusing only on enforcement measures to counter illegal activities, and do not consider out important aspects of effective management delivered under Output 1.2 (threat reduction through engagement with local communities in planning and management)</w:t>
      </w:r>
      <w:r w:rsidR="00FB6AB6">
        <w:rPr>
          <w:rFonts w:asciiTheme="minorHAnsi" w:hAnsiTheme="minorHAnsi"/>
          <w:sz w:val="24"/>
          <w:szCs w:val="24"/>
          <w:lang w:val="en-US"/>
        </w:rPr>
        <w:t xml:space="preserve"> </w:t>
      </w:r>
      <w:r>
        <w:rPr>
          <w:rFonts w:asciiTheme="minorHAnsi" w:hAnsiTheme="minorHAnsi"/>
          <w:sz w:val="24"/>
          <w:szCs w:val="24"/>
          <w:lang w:val="en-US"/>
        </w:rPr>
        <w:t>and Output 1.3</w:t>
      </w:r>
      <w:r w:rsidR="00FB6AB6">
        <w:rPr>
          <w:rFonts w:asciiTheme="minorHAnsi" w:hAnsiTheme="minorHAnsi"/>
          <w:sz w:val="24"/>
          <w:szCs w:val="24"/>
          <w:lang w:val="en-US"/>
        </w:rPr>
        <w:t xml:space="preserve"> (development of sustainable financing mechanisms for Kintrishi and Mtiral</w:t>
      </w:r>
      <w:r w:rsidR="00773AE3">
        <w:rPr>
          <w:rFonts w:asciiTheme="minorHAnsi" w:hAnsiTheme="minorHAnsi"/>
          <w:sz w:val="24"/>
          <w:szCs w:val="24"/>
          <w:lang w:val="en-US"/>
        </w:rPr>
        <w:t>a</w:t>
      </w:r>
      <w:r w:rsidR="00FB6AB6">
        <w:rPr>
          <w:rFonts w:asciiTheme="minorHAnsi" w:hAnsiTheme="minorHAnsi"/>
          <w:sz w:val="24"/>
          <w:szCs w:val="24"/>
          <w:lang w:val="en-US"/>
        </w:rPr>
        <w:t xml:space="preserve"> PAs).</w:t>
      </w:r>
      <w:r w:rsidR="00661C17">
        <w:rPr>
          <w:rFonts w:asciiTheme="minorHAnsi" w:hAnsiTheme="minorHAnsi"/>
          <w:sz w:val="24"/>
          <w:szCs w:val="24"/>
          <w:lang w:val="en-US"/>
        </w:rPr>
        <w:t xml:space="preserve"> They are also somewhat duplicative, using different methods for the same issue. What is clear, however, is that illegal harvesting is not a serious issue</w:t>
      </w:r>
      <w:r w:rsidR="00B477A2">
        <w:rPr>
          <w:rFonts w:asciiTheme="minorHAnsi" w:hAnsiTheme="minorHAnsi"/>
          <w:sz w:val="24"/>
          <w:szCs w:val="24"/>
          <w:lang w:val="en-US"/>
        </w:rPr>
        <w:t xml:space="preserve"> and targets have been met, if the </w:t>
      </w:r>
      <w:r w:rsidR="004266C5">
        <w:rPr>
          <w:rFonts w:asciiTheme="minorHAnsi" w:hAnsiTheme="minorHAnsi"/>
          <w:sz w:val="24"/>
          <w:szCs w:val="24"/>
          <w:lang w:val="en-US"/>
        </w:rPr>
        <w:t xml:space="preserve">method is robust and </w:t>
      </w:r>
      <w:r w:rsidR="00B477A2">
        <w:rPr>
          <w:rFonts w:asciiTheme="minorHAnsi" w:hAnsiTheme="minorHAnsi"/>
          <w:sz w:val="24"/>
          <w:szCs w:val="24"/>
          <w:lang w:val="en-US"/>
        </w:rPr>
        <w:t xml:space="preserve">relatively small differences between monitoring results are statistically </w:t>
      </w:r>
      <w:r w:rsidR="004266C5">
        <w:rPr>
          <w:rFonts w:asciiTheme="minorHAnsi" w:hAnsiTheme="minorHAnsi"/>
          <w:sz w:val="24"/>
          <w:szCs w:val="24"/>
          <w:lang w:val="en-US"/>
        </w:rPr>
        <w:t>valid</w:t>
      </w:r>
      <w:r w:rsidR="00B477A2">
        <w:rPr>
          <w:rFonts w:asciiTheme="minorHAnsi" w:hAnsiTheme="minorHAnsi"/>
          <w:sz w:val="24"/>
          <w:szCs w:val="24"/>
          <w:lang w:val="en-US"/>
        </w:rPr>
        <w:t>.</w:t>
      </w:r>
    </w:p>
    <w:p w14:paraId="2312568A" w14:textId="77777777" w:rsidR="007F3ABB" w:rsidRDefault="00773AE3" w:rsidP="00761AAE">
      <w:pPr>
        <w:spacing w:after="120" w:line="240" w:lineRule="atLeast"/>
        <w:jc w:val="both"/>
        <w:rPr>
          <w:rFonts w:asciiTheme="minorHAnsi" w:hAnsiTheme="minorHAnsi"/>
          <w:sz w:val="24"/>
          <w:szCs w:val="24"/>
          <w:lang w:val="en-US"/>
        </w:rPr>
      </w:pPr>
      <w:r>
        <w:rPr>
          <w:rFonts w:asciiTheme="minorHAnsi" w:hAnsiTheme="minorHAnsi"/>
          <w:sz w:val="24"/>
          <w:szCs w:val="24"/>
          <w:lang w:val="en-US"/>
        </w:rPr>
        <w:t>E</w:t>
      </w:r>
      <w:r w:rsidR="004266C5">
        <w:rPr>
          <w:rFonts w:asciiTheme="minorHAnsi" w:hAnsiTheme="minorHAnsi"/>
          <w:sz w:val="24"/>
          <w:szCs w:val="24"/>
          <w:lang w:val="en-US"/>
        </w:rPr>
        <w:t xml:space="preserve">vidence in </w:t>
      </w:r>
      <w:r w:rsidR="004266C5" w:rsidRPr="00773AE3">
        <w:rPr>
          <w:rFonts w:asciiTheme="minorHAnsi" w:hAnsiTheme="minorHAnsi"/>
          <w:b/>
          <w:sz w:val="24"/>
          <w:szCs w:val="24"/>
          <w:lang w:val="en-US"/>
        </w:rPr>
        <w:t>Annex 7</w:t>
      </w:r>
      <w:r w:rsidR="004266C5">
        <w:rPr>
          <w:rFonts w:asciiTheme="minorHAnsi" w:hAnsiTheme="minorHAnsi"/>
          <w:sz w:val="24"/>
          <w:szCs w:val="24"/>
          <w:lang w:val="en-US"/>
        </w:rPr>
        <w:t xml:space="preserve"> indicate</w:t>
      </w:r>
      <w:r>
        <w:rPr>
          <w:rFonts w:asciiTheme="minorHAnsi" w:hAnsiTheme="minorHAnsi"/>
          <w:sz w:val="24"/>
          <w:szCs w:val="24"/>
          <w:lang w:val="en-US"/>
        </w:rPr>
        <w:t>s</w:t>
      </w:r>
      <w:r w:rsidR="004266C5">
        <w:rPr>
          <w:rFonts w:asciiTheme="minorHAnsi" w:hAnsiTheme="minorHAnsi"/>
          <w:sz w:val="24"/>
          <w:szCs w:val="24"/>
          <w:lang w:val="en-US"/>
        </w:rPr>
        <w:t xml:space="preserve"> that management effectiveness has improved with respect to reducing threats at source by involving local communities in the governance of</w:t>
      </w:r>
      <w:r>
        <w:rPr>
          <w:rFonts w:asciiTheme="minorHAnsi" w:hAnsiTheme="minorHAnsi"/>
          <w:sz w:val="24"/>
          <w:szCs w:val="24"/>
          <w:lang w:val="en-US"/>
        </w:rPr>
        <w:t xml:space="preserve"> Colchic Forests through the establishment of two Friends Associations, one for Kintrishi</w:t>
      </w:r>
      <w:r w:rsidR="00131710">
        <w:rPr>
          <w:rFonts w:asciiTheme="minorHAnsi" w:hAnsiTheme="minorHAnsi"/>
          <w:sz w:val="24"/>
          <w:szCs w:val="24"/>
          <w:lang w:val="en-US"/>
        </w:rPr>
        <w:t xml:space="preserve"> </w:t>
      </w:r>
      <w:r w:rsidR="00B758AC">
        <w:rPr>
          <w:rFonts w:asciiTheme="minorHAnsi" w:hAnsiTheme="minorHAnsi"/>
          <w:sz w:val="24"/>
          <w:szCs w:val="24"/>
          <w:lang w:val="en-US"/>
        </w:rPr>
        <w:t xml:space="preserve">led by KfW and the second for Mtirala and Machakhela by this GEF project. </w:t>
      </w:r>
      <w:r w:rsidR="00172E31">
        <w:rPr>
          <w:rFonts w:asciiTheme="minorHAnsi" w:hAnsiTheme="minorHAnsi"/>
          <w:sz w:val="24"/>
          <w:szCs w:val="24"/>
          <w:lang w:val="en-US"/>
        </w:rPr>
        <w:t xml:space="preserve">Sustainable resource use has also be supported </w:t>
      </w:r>
      <w:r w:rsidR="007F3ABB">
        <w:rPr>
          <w:rFonts w:asciiTheme="minorHAnsi" w:hAnsiTheme="minorHAnsi"/>
          <w:sz w:val="24"/>
          <w:szCs w:val="24"/>
          <w:lang w:val="en-US"/>
        </w:rPr>
        <w:t xml:space="preserve">in buffer zones </w:t>
      </w:r>
      <w:r w:rsidR="00172E31">
        <w:rPr>
          <w:rFonts w:asciiTheme="minorHAnsi" w:hAnsiTheme="minorHAnsi"/>
          <w:sz w:val="24"/>
          <w:szCs w:val="24"/>
          <w:lang w:val="en-US"/>
        </w:rPr>
        <w:t>through the coordinated efforts of this project, EU twinning and KfW projects</w:t>
      </w:r>
      <w:r w:rsidR="007F3ABB">
        <w:rPr>
          <w:rFonts w:asciiTheme="minorHAnsi" w:hAnsiTheme="minorHAnsi"/>
          <w:sz w:val="24"/>
          <w:szCs w:val="24"/>
          <w:lang w:val="en-US"/>
        </w:rPr>
        <w:t>, for example bee-keeping for honey production and a hazelnut cleaning machine to use the waste (shells) for fuel.</w:t>
      </w:r>
    </w:p>
    <w:p w14:paraId="7CB3F462" w14:textId="77777777" w:rsidR="0045555E" w:rsidRDefault="007F3ABB" w:rsidP="00761AAE">
      <w:pPr>
        <w:spacing w:after="120" w:line="240" w:lineRule="atLeast"/>
        <w:jc w:val="both"/>
        <w:rPr>
          <w:rFonts w:asciiTheme="minorHAnsi" w:hAnsiTheme="minorHAnsi"/>
          <w:sz w:val="24"/>
          <w:szCs w:val="24"/>
          <w:lang w:val="en-US"/>
        </w:rPr>
      </w:pPr>
      <w:r>
        <w:rPr>
          <w:rFonts w:asciiTheme="minorHAnsi" w:hAnsiTheme="minorHAnsi"/>
          <w:sz w:val="24"/>
          <w:szCs w:val="24"/>
          <w:lang w:val="en-US"/>
        </w:rPr>
        <w:t xml:space="preserve">In respect of promoting the sustainable financing of PAs, ecosystem services valued, a tourism strategy has been developed </w:t>
      </w:r>
      <w:r w:rsidR="0045555E">
        <w:rPr>
          <w:rFonts w:asciiTheme="minorHAnsi" w:hAnsiTheme="minorHAnsi"/>
          <w:sz w:val="24"/>
          <w:szCs w:val="24"/>
          <w:lang w:val="en-US"/>
        </w:rPr>
        <w:t xml:space="preserve">and the Friends Associations have been exploring options by way of volunteer ranger services. </w:t>
      </w:r>
    </w:p>
    <w:p w14:paraId="0EC9C901" w14:textId="138B8ED0" w:rsidR="00DB5D4D" w:rsidRDefault="0045555E" w:rsidP="00761AAE">
      <w:pPr>
        <w:spacing w:after="120" w:line="240" w:lineRule="atLeast"/>
        <w:jc w:val="both"/>
        <w:rPr>
          <w:rFonts w:asciiTheme="minorHAnsi" w:hAnsiTheme="minorHAnsi"/>
          <w:sz w:val="24"/>
          <w:szCs w:val="24"/>
          <w:lang w:val="en-US"/>
        </w:rPr>
      </w:pPr>
      <w:r>
        <w:rPr>
          <w:rFonts w:asciiTheme="minorHAnsi" w:hAnsiTheme="minorHAnsi"/>
          <w:sz w:val="24"/>
          <w:szCs w:val="24"/>
          <w:lang w:val="en-US"/>
        </w:rPr>
        <w:t>These and other investments in training and capacity development are reflected in the UNDP Capacity Development Scorecard and METT results, for which targets have been exceeded in all cases as discussed above under the project’s objective.</w:t>
      </w:r>
      <w:r w:rsidR="00E077D7">
        <w:rPr>
          <w:rFonts w:asciiTheme="minorHAnsi" w:hAnsiTheme="minorHAnsi"/>
          <w:sz w:val="24"/>
          <w:szCs w:val="24"/>
          <w:lang w:val="en-US"/>
        </w:rPr>
        <w:t xml:space="preserve"> </w:t>
      </w:r>
    </w:p>
    <w:p w14:paraId="4FE5D0B7" w14:textId="5BA66BD8" w:rsidR="0045555E" w:rsidRDefault="00E077D7" w:rsidP="00761AAE">
      <w:pPr>
        <w:spacing w:after="120" w:line="240" w:lineRule="atLeast"/>
        <w:jc w:val="both"/>
        <w:rPr>
          <w:rFonts w:asciiTheme="minorHAnsi" w:hAnsiTheme="minorHAnsi"/>
          <w:sz w:val="24"/>
          <w:szCs w:val="24"/>
          <w:lang w:val="en-US"/>
        </w:rPr>
      </w:pPr>
      <w:r>
        <w:rPr>
          <w:rFonts w:asciiTheme="minorHAnsi" w:hAnsiTheme="minorHAnsi"/>
          <w:sz w:val="24"/>
          <w:szCs w:val="24"/>
          <w:lang w:val="en-US"/>
        </w:rPr>
        <w:t>Disbursement of funds allocated for Outcome 1 is also on track and aligned closely to what was planned in the ProDoc.</w:t>
      </w:r>
      <w:r w:rsidR="00DB5D4D">
        <w:rPr>
          <w:rFonts w:asciiTheme="minorHAnsi" w:hAnsiTheme="minorHAnsi"/>
          <w:sz w:val="24"/>
          <w:szCs w:val="24"/>
          <w:lang w:val="en-US"/>
        </w:rPr>
        <w:t xml:space="preserve"> </w:t>
      </w:r>
    </w:p>
    <w:p w14:paraId="768F55E6" w14:textId="5FA590C9" w:rsidR="00F44C85" w:rsidRDefault="007D65D6" w:rsidP="007D65D6">
      <w:pPr>
        <w:spacing w:after="240" w:line="240" w:lineRule="atLeast"/>
        <w:jc w:val="both"/>
        <w:rPr>
          <w:rFonts w:asciiTheme="minorHAnsi" w:hAnsiTheme="minorHAnsi"/>
          <w:sz w:val="24"/>
          <w:szCs w:val="24"/>
          <w:lang w:val="en-US"/>
        </w:rPr>
      </w:pPr>
      <w:r w:rsidRPr="00DD1963">
        <w:rPr>
          <w:rFonts w:asciiTheme="minorHAnsi" w:hAnsiTheme="minorHAnsi"/>
          <w:sz w:val="24"/>
          <w:szCs w:val="24"/>
          <w:u w:val="single"/>
          <w:lang w:val="en-US"/>
        </w:rPr>
        <w:t xml:space="preserve">Achievement of Outcome 1 is rated as </w:t>
      </w:r>
      <w:r w:rsidRPr="00DD1963">
        <w:rPr>
          <w:rFonts w:asciiTheme="minorHAnsi" w:hAnsiTheme="minorHAnsi"/>
          <w:b/>
          <w:sz w:val="24"/>
          <w:szCs w:val="24"/>
          <w:u w:val="single"/>
          <w:lang w:val="en-US"/>
        </w:rPr>
        <w:t>Satisfactory</w:t>
      </w:r>
      <w:r w:rsidRPr="00E22EBA">
        <w:rPr>
          <w:rFonts w:asciiTheme="minorHAnsi" w:hAnsiTheme="minorHAnsi"/>
          <w:b/>
          <w:sz w:val="24"/>
          <w:szCs w:val="24"/>
          <w:lang w:val="en-US"/>
        </w:rPr>
        <w:t>.</w:t>
      </w:r>
      <w:r w:rsidR="00DB5D4D">
        <w:rPr>
          <w:rFonts w:asciiTheme="minorHAnsi" w:hAnsiTheme="minorHAnsi"/>
          <w:b/>
          <w:sz w:val="24"/>
          <w:szCs w:val="24"/>
          <w:lang w:val="en-US"/>
        </w:rPr>
        <w:t xml:space="preserve"> </w:t>
      </w:r>
      <w:r w:rsidR="00DB5D4D">
        <w:rPr>
          <w:rFonts w:asciiTheme="minorHAnsi" w:hAnsiTheme="minorHAnsi"/>
          <w:sz w:val="24"/>
          <w:szCs w:val="24"/>
          <w:lang w:val="en-US"/>
        </w:rPr>
        <w:t>This achievement is very much a reflection of the excellent cooperation and collaboration between the various donor funded projects, coordinated via the TCG. Th</w:t>
      </w:r>
      <w:r w:rsidR="00E76F01">
        <w:rPr>
          <w:rFonts w:asciiTheme="minorHAnsi" w:hAnsiTheme="minorHAnsi"/>
          <w:sz w:val="24"/>
          <w:szCs w:val="24"/>
          <w:lang w:val="en-US"/>
        </w:rPr>
        <w:t>is coordination</w:t>
      </w:r>
      <w:r w:rsidR="00DB5D4D">
        <w:rPr>
          <w:rFonts w:asciiTheme="minorHAnsi" w:hAnsiTheme="minorHAnsi"/>
          <w:sz w:val="24"/>
          <w:szCs w:val="24"/>
          <w:lang w:val="en-US"/>
        </w:rPr>
        <w:t xml:space="preserve"> ensured</w:t>
      </w:r>
      <w:r w:rsidR="00E76F01">
        <w:rPr>
          <w:rFonts w:asciiTheme="minorHAnsi" w:hAnsiTheme="minorHAnsi"/>
          <w:sz w:val="24"/>
          <w:szCs w:val="24"/>
          <w:lang w:val="en-US"/>
        </w:rPr>
        <w:t xml:space="preserve"> that</w:t>
      </w:r>
      <w:r w:rsidR="00DB5D4D">
        <w:rPr>
          <w:rFonts w:asciiTheme="minorHAnsi" w:hAnsiTheme="minorHAnsi"/>
          <w:sz w:val="24"/>
          <w:szCs w:val="24"/>
          <w:lang w:val="en-US"/>
        </w:rPr>
        <w:t xml:space="preserve"> the respective investments </w:t>
      </w:r>
      <w:r w:rsidR="00E76F01">
        <w:rPr>
          <w:rFonts w:asciiTheme="minorHAnsi" w:hAnsiTheme="minorHAnsi"/>
          <w:sz w:val="24"/>
          <w:szCs w:val="24"/>
          <w:lang w:val="en-US"/>
        </w:rPr>
        <w:t>were effectively dispersed, with minimal duplication of resources and maximum leverage of co-financing from the GEF grant.</w:t>
      </w:r>
    </w:p>
    <w:p w14:paraId="5354F065" w14:textId="7C974015" w:rsidR="00195D6F" w:rsidRDefault="00195D6F">
      <w:pPr>
        <w:overflowPunct/>
        <w:autoSpaceDE/>
        <w:autoSpaceDN/>
        <w:adjustRightInd/>
        <w:textAlignment w:val="auto"/>
        <w:rPr>
          <w:rFonts w:asciiTheme="minorHAnsi" w:hAnsiTheme="minorHAnsi"/>
          <w:sz w:val="24"/>
          <w:szCs w:val="24"/>
          <w:lang w:val="en-US"/>
        </w:rPr>
      </w:pPr>
      <w:r>
        <w:rPr>
          <w:rFonts w:asciiTheme="minorHAnsi" w:hAnsiTheme="minorHAnsi"/>
          <w:sz w:val="24"/>
          <w:szCs w:val="24"/>
          <w:lang w:val="en-US"/>
        </w:rPr>
        <w:br w:type="page"/>
      </w:r>
    </w:p>
    <w:tbl>
      <w:tblPr>
        <w:tblStyle w:val="TableGrid"/>
        <w:tblW w:w="0" w:type="auto"/>
        <w:jc w:val="center"/>
        <w:tblLook w:val="04A0" w:firstRow="1" w:lastRow="0" w:firstColumn="1" w:lastColumn="0" w:noHBand="0" w:noVBand="1"/>
      </w:tblPr>
      <w:tblGrid>
        <w:gridCol w:w="9242"/>
      </w:tblGrid>
      <w:tr w:rsidR="00A87E34" w:rsidRPr="00E22EBA" w14:paraId="59CD22B0" w14:textId="77777777" w:rsidTr="00195D6F">
        <w:trPr>
          <w:trHeight w:val="575"/>
          <w:jc w:val="center"/>
        </w:trPr>
        <w:tc>
          <w:tcPr>
            <w:tcW w:w="9242" w:type="dxa"/>
            <w:vAlign w:val="center"/>
          </w:tcPr>
          <w:p w14:paraId="73DF5502" w14:textId="2BBA0AAE" w:rsidR="00A87E34" w:rsidRPr="00E22EBA" w:rsidRDefault="00A87E34" w:rsidP="00A87E34">
            <w:pPr>
              <w:tabs>
                <w:tab w:val="num" w:pos="0"/>
              </w:tabs>
              <w:spacing w:before="60" w:after="60" w:line="240" w:lineRule="atLeast"/>
              <w:rPr>
                <w:rFonts w:asciiTheme="minorHAnsi" w:hAnsiTheme="minorHAnsi"/>
                <w:b/>
                <w:sz w:val="24"/>
                <w:szCs w:val="24"/>
                <w:lang w:val="en-US"/>
              </w:rPr>
            </w:pPr>
            <w:r w:rsidRPr="00E22EBA">
              <w:rPr>
                <w:rFonts w:asciiTheme="minorHAnsi" w:hAnsiTheme="minorHAnsi"/>
                <w:b/>
                <w:sz w:val="24"/>
                <w:szCs w:val="24"/>
                <w:lang w:val="en-US"/>
              </w:rPr>
              <w:lastRenderedPageBreak/>
              <w:t>Outcome 2:</w:t>
            </w:r>
            <w:r w:rsidRPr="00E22EBA">
              <w:rPr>
                <w:rFonts w:asciiTheme="minorHAnsi" w:hAnsiTheme="minorHAnsi"/>
                <w:sz w:val="24"/>
                <w:szCs w:val="24"/>
                <w:lang w:val="en-US"/>
              </w:rPr>
              <w:t xml:space="preserve"> </w:t>
            </w:r>
            <w:r w:rsidR="0064502E" w:rsidRPr="0064502E">
              <w:rPr>
                <w:rFonts w:ascii="Calibri" w:hAnsi="Calibri"/>
                <w:i/>
                <w:color w:val="000000"/>
                <w:sz w:val="24"/>
                <w:szCs w:val="24"/>
                <w:lang w:val="en-US"/>
              </w:rPr>
              <w:t>PA System expanded to increase functional connectivity of PAs in the West Lesser Caucasus</w:t>
            </w:r>
          </w:p>
        </w:tc>
      </w:tr>
    </w:tbl>
    <w:p w14:paraId="2DB8A89C" w14:textId="3AEDAA71" w:rsidR="00A87E34" w:rsidRPr="00E22EBA" w:rsidRDefault="007A7DAA" w:rsidP="00CA2698">
      <w:pPr>
        <w:spacing w:before="120" w:line="240" w:lineRule="atLeast"/>
        <w:jc w:val="both"/>
        <w:rPr>
          <w:rFonts w:asciiTheme="minorHAnsi" w:hAnsiTheme="minorHAnsi"/>
          <w:sz w:val="24"/>
          <w:szCs w:val="24"/>
          <w:lang w:val="en-US"/>
        </w:rPr>
      </w:pPr>
      <w:r>
        <w:rPr>
          <w:rFonts w:asciiTheme="minorHAnsi" w:hAnsiTheme="minorHAnsi"/>
          <w:sz w:val="24"/>
          <w:szCs w:val="24"/>
          <w:lang w:val="en-US"/>
        </w:rPr>
        <w:t xml:space="preserve">Indicative budget in project document: </w:t>
      </w:r>
      <w:r>
        <w:rPr>
          <w:rFonts w:asciiTheme="minorHAnsi" w:hAnsiTheme="minorHAnsi"/>
          <w:sz w:val="24"/>
          <w:szCs w:val="24"/>
          <w:lang w:val="en-US"/>
        </w:rPr>
        <w:tab/>
        <w:t>US</w:t>
      </w:r>
      <w:r w:rsidR="00C03757">
        <w:rPr>
          <w:rFonts w:asciiTheme="minorHAnsi" w:hAnsiTheme="minorHAnsi"/>
          <w:sz w:val="24"/>
          <w:szCs w:val="24"/>
          <w:lang w:val="en-US"/>
        </w:rPr>
        <w:t>$</w:t>
      </w:r>
      <w:r>
        <w:rPr>
          <w:rFonts w:asciiTheme="minorHAnsi" w:hAnsiTheme="minorHAnsi"/>
          <w:sz w:val="24"/>
          <w:szCs w:val="24"/>
          <w:lang w:val="en-US"/>
        </w:rPr>
        <w:t xml:space="preserve"> </w:t>
      </w:r>
      <w:r w:rsidR="00C03757">
        <w:rPr>
          <w:rFonts w:asciiTheme="minorHAnsi" w:hAnsiTheme="minorHAnsi"/>
          <w:sz w:val="24"/>
          <w:szCs w:val="24"/>
          <w:lang w:val="en-US"/>
        </w:rPr>
        <w:t>789,997</w:t>
      </w:r>
    </w:p>
    <w:p w14:paraId="20292704" w14:textId="2BC3FF04" w:rsidR="00A87E34" w:rsidRPr="0064502E" w:rsidRDefault="00A87E34" w:rsidP="00CA2698">
      <w:pPr>
        <w:spacing w:after="120" w:line="240" w:lineRule="atLeast"/>
        <w:jc w:val="both"/>
        <w:rPr>
          <w:rFonts w:asciiTheme="minorHAnsi" w:hAnsiTheme="minorHAnsi"/>
          <w:szCs w:val="22"/>
          <w:lang w:val="en-US"/>
        </w:rPr>
      </w:pPr>
      <w:r w:rsidRPr="00E22EBA">
        <w:rPr>
          <w:rFonts w:asciiTheme="minorHAnsi" w:hAnsiTheme="minorHAnsi"/>
          <w:sz w:val="24"/>
          <w:szCs w:val="24"/>
          <w:lang w:val="en-US"/>
        </w:rPr>
        <w:t>Actual cost incurred on this outcome:</w:t>
      </w:r>
      <w:r w:rsidRPr="00E22EBA">
        <w:rPr>
          <w:rFonts w:asciiTheme="minorHAnsi" w:hAnsiTheme="minorHAnsi"/>
          <w:sz w:val="24"/>
          <w:szCs w:val="24"/>
          <w:lang w:val="en-US"/>
        </w:rPr>
        <w:tab/>
        <w:t>US</w:t>
      </w:r>
      <w:r w:rsidR="00C03757">
        <w:rPr>
          <w:rFonts w:asciiTheme="minorHAnsi" w:hAnsiTheme="minorHAnsi"/>
          <w:sz w:val="24"/>
          <w:szCs w:val="24"/>
          <w:lang w:val="en-US"/>
        </w:rPr>
        <w:t xml:space="preserve">$ 759,890 </w:t>
      </w:r>
      <w:r w:rsidR="00C03757" w:rsidRPr="0064502E">
        <w:rPr>
          <w:rFonts w:asciiTheme="minorHAnsi" w:hAnsiTheme="minorHAnsi"/>
          <w:szCs w:val="22"/>
          <w:lang w:val="en-US"/>
        </w:rPr>
        <w:t>(to 08-11-2018, planned US$</w:t>
      </w:r>
      <w:r w:rsidR="0064502E" w:rsidRPr="0064502E">
        <w:rPr>
          <w:rFonts w:asciiTheme="minorHAnsi" w:hAnsiTheme="minorHAnsi"/>
          <w:szCs w:val="22"/>
          <w:lang w:val="en-US"/>
        </w:rPr>
        <w:t xml:space="preserve"> 866,395)</w:t>
      </w:r>
    </w:p>
    <w:p w14:paraId="65400FFF" w14:textId="48EA1C46" w:rsidR="002F7B2F" w:rsidRDefault="00D35878" w:rsidP="00D8318C">
      <w:pPr>
        <w:spacing w:after="120" w:line="240" w:lineRule="atLeast"/>
        <w:jc w:val="both"/>
        <w:rPr>
          <w:rFonts w:asciiTheme="minorHAnsi" w:hAnsiTheme="minorHAnsi"/>
          <w:sz w:val="24"/>
          <w:szCs w:val="24"/>
          <w:lang w:val="en-US"/>
        </w:rPr>
      </w:pPr>
      <w:r>
        <w:rPr>
          <w:rFonts w:asciiTheme="minorHAnsi" w:hAnsiTheme="minorHAnsi"/>
          <w:sz w:val="24"/>
          <w:szCs w:val="24"/>
          <w:lang w:val="en-US"/>
        </w:rPr>
        <w:t>Outcome 2 specifically concerns the expansion of the PAs network to include Colchic forest in the Machakhela Gorge by designating the area as a NP. Functional connectivity is somewhat misleading</w:t>
      </w:r>
      <w:r w:rsidR="002F7B2F">
        <w:rPr>
          <w:rFonts w:asciiTheme="minorHAnsi" w:hAnsiTheme="minorHAnsi"/>
          <w:sz w:val="24"/>
          <w:szCs w:val="24"/>
          <w:lang w:val="en-US"/>
        </w:rPr>
        <w:t>,</w:t>
      </w:r>
      <w:r>
        <w:rPr>
          <w:rFonts w:asciiTheme="minorHAnsi" w:hAnsiTheme="minorHAnsi"/>
          <w:sz w:val="24"/>
          <w:szCs w:val="24"/>
          <w:lang w:val="en-US"/>
        </w:rPr>
        <w:t xml:space="preserve"> </w:t>
      </w:r>
      <w:r w:rsidR="00961D8E">
        <w:rPr>
          <w:rFonts w:asciiTheme="minorHAnsi" w:hAnsiTheme="minorHAnsi"/>
          <w:sz w:val="24"/>
          <w:szCs w:val="24"/>
          <w:lang w:val="en-US"/>
        </w:rPr>
        <w:t>as the proposed NP is not contig</w:t>
      </w:r>
      <w:r>
        <w:rPr>
          <w:rFonts w:asciiTheme="minorHAnsi" w:hAnsiTheme="minorHAnsi"/>
          <w:sz w:val="24"/>
          <w:szCs w:val="24"/>
          <w:lang w:val="en-US"/>
        </w:rPr>
        <w:t xml:space="preserve">uous with other existing PAs in </w:t>
      </w:r>
      <w:r w:rsidR="002F7B2F">
        <w:rPr>
          <w:rFonts w:asciiTheme="minorHAnsi" w:hAnsiTheme="minorHAnsi"/>
          <w:sz w:val="24"/>
          <w:szCs w:val="24"/>
          <w:lang w:val="en-US"/>
        </w:rPr>
        <w:t>ARA, but that is a design rather than implementation issue that is picked up in the recommendations (</w:t>
      </w:r>
      <w:r w:rsidR="002F7B2F" w:rsidRPr="002F7B2F">
        <w:rPr>
          <w:rFonts w:asciiTheme="minorHAnsi" w:hAnsiTheme="minorHAnsi"/>
          <w:b/>
          <w:sz w:val="24"/>
          <w:szCs w:val="24"/>
          <w:lang w:val="en-US"/>
        </w:rPr>
        <w:t xml:space="preserve">Section </w:t>
      </w:r>
      <w:r w:rsidR="00961D8E">
        <w:rPr>
          <w:rFonts w:asciiTheme="minorHAnsi" w:hAnsiTheme="minorHAnsi"/>
          <w:b/>
          <w:sz w:val="24"/>
          <w:szCs w:val="24"/>
          <w:lang w:val="en-US"/>
        </w:rPr>
        <w:t>4.2</w:t>
      </w:r>
      <w:r w:rsidR="002F7B2F">
        <w:rPr>
          <w:rFonts w:asciiTheme="minorHAnsi" w:hAnsiTheme="minorHAnsi"/>
          <w:sz w:val="24"/>
          <w:szCs w:val="24"/>
          <w:lang w:val="en-US"/>
        </w:rPr>
        <w:t>).</w:t>
      </w:r>
    </w:p>
    <w:p w14:paraId="156A6CEA" w14:textId="77777777" w:rsidR="00001C19" w:rsidRDefault="00224B80" w:rsidP="00D8318C">
      <w:pPr>
        <w:spacing w:after="120" w:line="240" w:lineRule="atLeast"/>
        <w:jc w:val="both"/>
        <w:rPr>
          <w:rFonts w:asciiTheme="minorHAnsi" w:hAnsiTheme="minorHAnsi"/>
          <w:sz w:val="24"/>
          <w:szCs w:val="24"/>
          <w:lang w:val="en-US"/>
        </w:rPr>
      </w:pPr>
      <w:r>
        <w:rPr>
          <w:rFonts w:asciiTheme="minorHAnsi" w:hAnsiTheme="minorHAnsi"/>
          <w:sz w:val="24"/>
          <w:szCs w:val="24"/>
          <w:lang w:val="en-US"/>
        </w:rPr>
        <w:t xml:space="preserve">Excellent progress was </w:t>
      </w:r>
      <w:r w:rsidR="00827C32">
        <w:rPr>
          <w:rFonts w:asciiTheme="minorHAnsi" w:hAnsiTheme="minorHAnsi"/>
          <w:sz w:val="24"/>
          <w:szCs w:val="24"/>
          <w:lang w:val="en-US"/>
        </w:rPr>
        <w:t>achieved with t</w:t>
      </w:r>
      <w:r>
        <w:rPr>
          <w:rFonts w:asciiTheme="minorHAnsi" w:hAnsiTheme="minorHAnsi"/>
          <w:sz w:val="24"/>
          <w:szCs w:val="24"/>
          <w:lang w:val="en-US"/>
        </w:rPr>
        <w:t xml:space="preserve">he designation of Machakhela as a NP and meeting the target of 8,733 ha by Year 2 (2015). </w:t>
      </w:r>
      <w:r w:rsidR="00827C32">
        <w:rPr>
          <w:rFonts w:asciiTheme="minorHAnsi" w:hAnsiTheme="minorHAnsi"/>
          <w:sz w:val="24"/>
          <w:szCs w:val="24"/>
          <w:lang w:val="en-US"/>
        </w:rPr>
        <w:t xml:space="preserve">However, subsequent demarcation of the boundary resulted in the excision of some 1,400 ha in order to address major concerns of local communities whose access and rights to fuelwood and land for cultivation had been overlooked. Thus, the project had a major </w:t>
      </w:r>
      <w:r w:rsidR="00001C19">
        <w:rPr>
          <w:rFonts w:asciiTheme="minorHAnsi" w:hAnsiTheme="minorHAnsi"/>
          <w:sz w:val="24"/>
          <w:szCs w:val="24"/>
          <w:lang w:val="en-US"/>
        </w:rPr>
        <w:t>unforeseen challenge to address from its outset - to secure the support of the Machakhela’s communities to realize its value as a potential asset for their long-term benefit in terms of ecosystems services provisioning (NTFPs, clean water, ecotourism, production of organic foods etc).</w:t>
      </w:r>
    </w:p>
    <w:p w14:paraId="356A622B" w14:textId="77777777" w:rsidR="007E43A7" w:rsidRDefault="00001C19" w:rsidP="007E43A7">
      <w:pPr>
        <w:spacing w:after="60" w:line="240" w:lineRule="atLeast"/>
        <w:jc w:val="both"/>
        <w:rPr>
          <w:rFonts w:asciiTheme="minorHAnsi" w:hAnsiTheme="minorHAnsi"/>
          <w:sz w:val="24"/>
          <w:szCs w:val="24"/>
          <w:lang w:val="en-US"/>
        </w:rPr>
      </w:pPr>
      <w:r>
        <w:rPr>
          <w:rFonts w:asciiTheme="minorHAnsi" w:hAnsiTheme="minorHAnsi"/>
          <w:sz w:val="24"/>
          <w:szCs w:val="24"/>
          <w:lang w:val="en-US"/>
        </w:rPr>
        <w:t xml:space="preserve">This was achieved with remarkable success through a whole range of interventions including: </w:t>
      </w:r>
    </w:p>
    <w:p w14:paraId="63CEF46E" w14:textId="5522915F" w:rsidR="007E43A7" w:rsidRPr="005F3F2A" w:rsidRDefault="0039788A" w:rsidP="0067558E">
      <w:pPr>
        <w:pStyle w:val="ListParagraph"/>
        <w:numPr>
          <w:ilvl w:val="0"/>
          <w:numId w:val="18"/>
        </w:numPr>
        <w:spacing w:after="60" w:line="240" w:lineRule="atLeast"/>
        <w:ind w:left="301" w:hanging="301"/>
        <w:jc w:val="both"/>
        <w:rPr>
          <w:sz w:val="24"/>
          <w:szCs w:val="24"/>
        </w:rPr>
      </w:pPr>
      <w:r w:rsidRPr="005F3F2A">
        <w:rPr>
          <w:sz w:val="24"/>
          <w:szCs w:val="24"/>
        </w:rPr>
        <w:t>development of a NP management plan in a participatory manner involving the communities and other stakeholders</w:t>
      </w:r>
      <w:r w:rsidR="00281E8D" w:rsidRPr="005F3F2A">
        <w:rPr>
          <w:sz w:val="24"/>
          <w:szCs w:val="24"/>
        </w:rPr>
        <w:t>,</w:t>
      </w:r>
      <w:r w:rsidRPr="005F3F2A">
        <w:rPr>
          <w:sz w:val="24"/>
          <w:szCs w:val="24"/>
        </w:rPr>
        <w:t xml:space="preserve"> establishing an Advisory Council on which communities are represented</w:t>
      </w:r>
      <w:r w:rsidR="00281E8D" w:rsidRPr="005F3F2A">
        <w:rPr>
          <w:sz w:val="24"/>
          <w:szCs w:val="24"/>
        </w:rPr>
        <w:t xml:space="preserve"> and creating the Mtirala and Machakhela Friends Association under which community ranger and junior ranger voluntary services have been established</w:t>
      </w:r>
      <w:r w:rsidRPr="005F3F2A">
        <w:rPr>
          <w:sz w:val="24"/>
          <w:szCs w:val="24"/>
        </w:rPr>
        <w:t xml:space="preserve"> (Output 2.2); </w:t>
      </w:r>
    </w:p>
    <w:p w14:paraId="7052C385" w14:textId="54C45799" w:rsidR="007E43A7" w:rsidRPr="005F3F2A" w:rsidRDefault="00001C19" w:rsidP="0067558E">
      <w:pPr>
        <w:pStyle w:val="ListParagraph"/>
        <w:numPr>
          <w:ilvl w:val="0"/>
          <w:numId w:val="18"/>
        </w:numPr>
        <w:spacing w:after="60" w:line="240" w:lineRule="atLeast"/>
        <w:ind w:left="301" w:hanging="301"/>
        <w:jc w:val="both"/>
        <w:rPr>
          <w:sz w:val="24"/>
          <w:szCs w:val="24"/>
        </w:rPr>
      </w:pPr>
      <w:r w:rsidRPr="005F3F2A">
        <w:rPr>
          <w:sz w:val="24"/>
          <w:szCs w:val="24"/>
        </w:rPr>
        <w:t>infrastruc</w:t>
      </w:r>
      <w:r w:rsidR="00336674" w:rsidRPr="005F3F2A">
        <w:rPr>
          <w:sz w:val="24"/>
          <w:szCs w:val="24"/>
        </w:rPr>
        <w:t>tural investments to improve roa</w:t>
      </w:r>
      <w:r w:rsidRPr="005F3F2A">
        <w:rPr>
          <w:sz w:val="24"/>
          <w:szCs w:val="24"/>
        </w:rPr>
        <w:t>d access and facilities</w:t>
      </w:r>
      <w:r w:rsidR="00336674" w:rsidRPr="005F3F2A">
        <w:rPr>
          <w:sz w:val="24"/>
          <w:szCs w:val="24"/>
        </w:rPr>
        <w:t xml:space="preserve"> (NP administr</w:t>
      </w:r>
      <w:r w:rsidR="007E43A7" w:rsidRPr="005F3F2A">
        <w:rPr>
          <w:sz w:val="24"/>
          <w:szCs w:val="24"/>
        </w:rPr>
        <w:t>ation office and visitor centre), supporting a wide range of community interests such as training in agriculture, traditional folk music, provision of a waste collecting vehicle imported from Germany, establishing cooperatives (e.g. beekeeping, hazelnut cleaning machinery)</w:t>
      </w:r>
      <w:r w:rsidR="00A70F34" w:rsidRPr="005F3F2A">
        <w:rPr>
          <w:sz w:val="24"/>
          <w:szCs w:val="24"/>
        </w:rPr>
        <w:t>;</w:t>
      </w:r>
      <w:r w:rsidR="007E43A7" w:rsidRPr="005F3F2A">
        <w:rPr>
          <w:sz w:val="24"/>
          <w:szCs w:val="24"/>
        </w:rPr>
        <w:t xml:space="preserve"> development of sustainable approaches to tourism (e.g. traditional arts and crafts, inventorying cultural and historic sites, developing hiking trails, publicity materials)</w:t>
      </w:r>
      <w:r w:rsidR="00A70F34" w:rsidRPr="005F3F2A">
        <w:rPr>
          <w:sz w:val="24"/>
          <w:szCs w:val="24"/>
        </w:rPr>
        <w:t>; and reducing conflict with wildlife by deployment of electric fencing around farmers’ fields/orchards and insurance schemes (</w:t>
      </w:r>
      <w:r w:rsidR="007E43A7" w:rsidRPr="005F3F2A">
        <w:rPr>
          <w:sz w:val="24"/>
          <w:szCs w:val="24"/>
        </w:rPr>
        <w:t>Output 2.3</w:t>
      </w:r>
      <w:r w:rsidR="00A70F34" w:rsidRPr="005F3F2A">
        <w:rPr>
          <w:sz w:val="24"/>
          <w:szCs w:val="24"/>
        </w:rPr>
        <w:t>)</w:t>
      </w:r>
      <w:r w:rsidR="007E43A7" w:rsidRPr="005F3F2A">
        <w:rPr>
          <w:sz w:val="24"/>
          <w:szCs w:val="24"/>
        </w:rPr>
        <w:t>;</w:t>
      </w:r>
      <w:r w:rsidR="00A70F34" w:rsidRPr="005F3F2A">
        <w:rPr>
          <w:sz w:val="24"/>
          <w:szCs w:val="24"/>
        </w:rPr>
        <w:t xml:space="preserve"> and, most importantly,</w:t>
      </w:r>
    </w:p>
    <w:p w14:paraId="48F0BF33" w14:textId="7E394F64" w:rsidR="00A70F34" w:rsidRPr="005F3F2A" w:rsidRDefault="00A70F34" w:rsidP="0067558E">
      <w:pPr>
        <w:pStyle w:val="ListParagraph"/>
        <w:numPr>
          <w:ilvl w:val="0"/>
          <w:numId w:val="18"/>
        </w:numPr>
        <w:spacing w:after="60" w:line="240" w:lineRule="atLeast"/>
        <w:ind w:left="301" w:hanging="301"/>
        <w:jc w:val="both"/>
        <w:rPr>
          <w:sz w:val="24"/>
          <w:szCs w:val="24"/>
        </w:rPr>
      </w:pPr>
      <w:r w:rsidRPr="005F3F2A">
        <w:rPr>
          <w:sz w:val="24"/>
          <w:szCs w:val="24"/>
        </w:rPr>
        <w:t xml:space="preserve">undertaking a consultative review of the best options for systematically protecting the Machakhela Support Zone that buffers Machakhela in a way that maintains the landscape for conservation and sustainable production purposes. It is this adaptive management approach </w:t>
      </w:r>
      <w:r w:rsidR="00B70662" w:rsidRPr="005F3F2A">
        <w:rPr>
          <w:sz w:val="24"/>
          <w:szCs w:val="24"/>
        </w:rPr>
        <w:t xml:space="preserve">to project implementation </w:t>
      </w:r>
      <w:r w:rsidRPr="005F3F2A">
        <w:rPr>
          <w:sz w:val="24"/>
          <w:szCs w:val="24"/>
        </w:rPr>
        <w:t>that has led to the designation of the</w:t>
      </w:r>
      <w:r w:rsidR="00DD1963" w:rsidRPr="005F3F2A">
        <w:rPr>
          <w:sz w:val="24"/>
          <w:szCs w:val="24"/>
        </w:rPr>
        <w:t xml:space="preserve"> proposed Machakhela Protected L</w:t>
      </w:r>
      <w:r w:rsidRPr="005F3F2A">
        <w:rPr>
          <w:sz w:val="24"/>
          <w:szCs w:val="24"/>
        </w:rPr>
        <w:t>andscape.</w:t>
      </w:r>
      <w:r w:rsidR="00B70662" w:rsidRPr="005F3F2A">
        <w:rPr>
          <w:sz w:val="24"/>
          <w:szCs w:val="24"/>
        </w:rPr>
        <w:t xml:space="preserve"> </w:t>
      </w:r>
    </w:p>
    <w:p w14:paraId="392F6CB8" w14:textId="202975D2" w:rsidR="005101CA" w:rsidRDefault="00923E1A" w:rsidP="00923E1A">
      <w:pPr>
        <w:spacing w:after="120" w:line="240" w:lineRule="atLeast"/>
        <w:jc w:val="both"/>
        <w:rPr>
          <w:rFonts w:asciiTheme="minorHAnsi" w:hAnsiTheme="minorHAnsi"/>
          <w:sz w:val="24"/>
          <w:szCs w:val="24"/>
          <w:lang w:val="en-US"/>
        </w:rPr>
      </w:pPr>
      <w:r>
        <w:rPr>
          <w:rFonts w:asciiTheme="minorHAnsi" w:hAnsiTheme="minorHAnsi"/>
          <w:sz w:val="24"/>
          <w:szCs w:val="24"/>
          <w:lang w:val="en-US"/>
        </w:rPr>
        <w:t>T</w:t>
      </w:r>
      <w:r w:rsidRPr="00923E1A">
        <w:rPr>
          <w:rFonts w:asciiTheme="minorHAnsi" w:hAnsiTheme="minorHAnsi"/>
          <w:sz w:val="24"/>
          <w:szCs w:val="24"/>
          <w:lang w:val="en-US"/>
        </w:rPr>
        <w:t>hese interventions</w:t>
      </w:r>
      <w:r>
        <w:rPr>
          <w:rFonts w:asciiTheme="minorHAnsi" w:hAnsiTheme="minorHAnsi"/>
          <w:sz w:val="24"/>
          <w:szCs w:val="24"/>
          <w:lang w:val="en-US"/>
        </w:rPr>
        <w:t xml:space="preserve">, about which further details </w:t>
      </w:r>
      <w:r w:rsidRPr="00923E1A">
        <w:rPr>
          <w:rFonts w:asciiTheme="minorHAnsi" w:hAnsiTheme="minorHAnsi"/>
          <w:sz w:val="24"/>
          <w:szCs w:val="24"/>
          <w:lang w:val="en-US"/>
        </w:rPr>
        <w:t xml:space="preserve">can be found in </w:t>
      </w:r>
      <w:r w:rsidRPr="00923E1A">
        <w:rPr>
          <w:rFonts w:asciiTheme="minorHAnsi" w:hAnsiTheme="minorHAnsi"/>
          <w:b/>
          <w:sz w:val="24"/>
          <w:szCs w:val="24"/>
          <w:lang w:val="en-US"/>
        </w:rPr>
        <w:t xml:space="preserve">Annex </w:t>
      </w:r>
      <w:r w:rsidR="00DD1963">
        <w:rPr>
          <w:rFonts w:asciiTheme="minorHAnsi" w:hAnsiTheme="minorHAnsi"/>
          <w:b/>
          <w:sz w:val="24"/>
          <w:szCs w:val="24"/>
          <w:lang w:val="en-US"/>
        </w:rPr>
        <w:t>7</w:t>
      </w:r>
      <w:r>
        <w:rPr>
          <w:rFonts w:asciiTheme="minorHAnsi" w:hAnsiTheme="minorHAnsi"/>
          <w:sz w:val="24"/>
          <w:szCs w:val="24"/>
          <w:lang w:val="en-US"/>
        </w:rPr>
        <w:t>, were crucial to the delivery of a consensually agreed Machakhela NP management plan</w:t>
      </w:r>
      <w:r w:rsidRPr="00923E1A">
        <w:rPr>
          <w:rFonts w:asciiTheme="minorHAnsi" w:hAnsiTheme="minorHAnsi"/>
          <w:sz w:val="24"/>
          <w:szCs w:val="24"/>
          <w:lang w:val="en-US"/>
        </w:rPr>
        <w:t>.</w:t>
      </w:r>
      <w:r w:rsidR="00001C19" w:rsidRPr="00923E1A">
        <w:rPr>
          <w:rFonts w:asciiTheme="minorHAnsi" w:hAnsiTheme="minorHAnsi"/>
          <w:sz w:val="24"/>
          <w:szCs w:val="24"/>
          <w:lang w:val="en-US"/>
        </w:rPr>
        <w:t xml:space="preserve"> </w:t>
      </w:r>
    </w:p>
    <w:p w14:paraId="38867B9A" w14:textId="77777777" w:rsidR="00DD1963" w:rsidRDefault="00DD1963" w:rsidP="00DD1963">
      <w:pPr>
        <w:spacing w:after="120" w:line="240" w:lineRule="atLeast"/>
        <w:jc w:val="both"/>
        <w:rPr>
          <w:rFonts w:asciiTheme="minorHAnsi" w:hAnsiTheme="minorHAnsi"/>
          <w:sz w:val="24"/>
          <w:szCs w:val="24"/>
          <w:lang w:val="en-US"/>
        </w:rPr>
      </w:pPr>
      <w:r>
        <w:rPr>
          <w:rFonts w:asciiTheme="minorHAnsi" w:hAnsiTheme="minorHAnsi"/>
          <w:sz w:val="24"/>
          <w:szCs w:val="24"/>
          <w:lang w:val="en-US"/>
        </w:rPr>
        <w:t xml:space="preserve">Disbursement of funds allocated for Outcome 2 is on track and aligned closely to what was planned in the ProDoc. </w:t>
      </w:r>
    </w:p>
    <w:p w14:paraId="6B6A95F3" w14:textId="418D7811" w:rsidR="00F44C85" w:rsidRDefault="00281E8D" w:rsidP="00741E7B">
      <w:pPr>
        <w:spacing w:after="120" w:line="240" w:lineRule="atLeast"/>
        <w:jc w:val="both"/>
        <w:rPr>
          <w:rFonts w:asciiTheme="minorHAnsi" w:hAnsiTheme="minorHAnsi"/>
          <w:b/>
          <w:sz w:val="24"/>
          <w:szCs w:val="24"/>
          <w:lang w:val="en-US"/>
        </w:rPr>
      </w:pPr>
      <w:r w:rsidRPr="00DD1963">
        <w:rPr>
          <w:rFonts w:asciiTheme="minorHAnsi" w:hAnsiTheme="minorHAnsi"/>
          <w:strike/>
          <w:sz w:val="24"/>
          <w:szCs w:val="24"/>
          <w:u w:val="single"/>
          <w:lang w:val="en-US"/>
        </w:rPr>
        <w:t>A</w:t>
      </w:r>
      <w:r w:rsidR="007D65D6" w:rsidRPr="00DD1963">
        <w:rPr>
          <w:rFonts w:asciiTheme="minorHAnsi" w:hAnsiTheme="minorHAnsi"/>
          <w:sz w:val="24"/>
          <w:szCs w:val="24"/>
          <w:u w:val="single"/>
          <w:lang w:val="en-US"/>
        </w:rPr>
        <w:t>chievement of Outcome 2 is</w:t>
      </w:r>
      <w:r w:rsidR="00741E7B" w:rsidRPr="00DD1963">
        <w:rPr>
          <w:rFonts w:asciiTheme="minorHAnsi" w:hAnsiTheme="minorHAnsi"/>
          <w:sz w:val="24"/>
          <w:szCs w:val="24"/>
          <w:u w:val="single"/>
          <w:lang w:val="en-US"/>
        </w:rPr>
        <w:t>, accordingly,</w:t>
      </w:r>
      <w:r w:rsidR="007D65D6" w:rsidRPr="00DD1963">
        <w:rPr>
          <w:rFonts w:asciiTheme="minorHAnsi" w:hAnsiTheme="minorHAnsi"/>
          <w:sz w:val="24"/>
          <w:szCs w:val="24"/>
          <w:u w:val="single"/>
          <w:lang w:val="en-US"/>
        </w:rPr>
        <w:t xml:space="preserve"> rated as </w:t>
      </w:r>
      <w:r w:rsidRPr="00DD1963">
        <w:rPr>
          <w:rFonts w:asciiTheme="minorHAnsi" w:hAnsiTheme="minorHAnsi"/>
          <w:b/>
          <w:sz w:val="24"/>
          <w:szCs w:val="24"/>
          <w:u w:val="single"/>
          <w:lang w:val="en-US"/>
        </w:rPr>
        <w:t>Highly</w:t>
      </w:r>
      <w:r w:rsidR="007D65D6" w:rsidRPr="00DD1963">
        <w:rPr>
          <w:rFonts w:asciiTheme="minorHAnsi" w:hAnsiTheme="minorHAnsi"/>
          <w:b/>
          <w:sz w:val="24"/>
          <w:szCs w:val="24"/>
          <w:u w:val="single"/>
          <w:lang w:val="en-US"/>
        </w:rPr>
        <w:t xml:space="preserve"> Satisfactory</w:t>
      </w:r>
      <w:r w:rsidR="00CA21EB" w:rsidRPr="00E22EBA">
        <w:rPr>
          <w:rFonts w:asciiTheme="minorHAnsi" w:hAnsiTheme="minorHAnsi"/>
          <w:b/>
          <w:sz w:val="24"/>
          <w:szCs w:val="24"/>
          <w:lang w:val="en-US"/>
        </w:rPr>
        <w:t>.</w:t>
      </w:r>
    </w:p>
    <w:p w14:paraId="4E386628" w14:textId="29BCB120" w:rsidR="00E52565" w:rsidRDefault="00E52565" w:rsidP="0067558E">
      <w:pPr>
        <w:pStyle w:val="Heading2"/>
        <w:numPr>
          <w:ilvl w:val="2"/>
          <w:numId w:val="20"/>
        </w:numPr>
        <w:spacing w:before="240" w:after="120"/>
        <w:ind w:left="709" w:hanging="709"/>
        <w:rPr>
          <w:rFonts w:asciiTheme="minorHAnsi" w:hAnsiTheme="minorHAnsi" w:cs="Calibri"/>
          <w:b/>
          <w:caps w:val="0"/>
        </w:rPr>
      </w:pPr>
      <w:bookmarkStart w:id="151" w:name="_Toc414745335"/>
      <w:r w:rsidRPr="00E22EBA">
        <w:rPr>
          <w:rFonts w:asciiTheme="minorHAnsi" w:hAnsiTheme="minorHAnsi" w:cs="Calibri"/>
          <w:b/>
          <w:caps w:val="0"/>
        </w:rPr>
        <w:lastRenderedPageBreak/>
        <w:t>Relevance</w:t>
      </w:r>
      <w:r w:rsidR="009101A8">
        <w:rPr>
          <w:rFonts w:asciiTheme="minorHAnsi" w:hAnsiTheme="minorHAnsi" w:cs="Calibri"/>
          <w:b/>
          <w:caps w:val="0"/>
        </w:rPr>
        <w:t>*</w:t>
      </w:r>
      <w:bookmarkEnd w:id="151"/>
    </w:p>
    <w:p w14:paraId="6E54F563" w14:textId="77777777" w:rsidR="005071E3" w:rsidRPr="004A08C6" w:rsidRDefault="005071E3" w:rsidP="005071E3">
      <w:pPr>
        <w:widowControl w:val="0"/>
        <w:overflowPunct/>
        <w:spacing w:after="120" w:line="300" w:lineRule="atLeast"/>
        <w:textAlignment w:val="auto"/>
        <w:rPr>
          <w:rFonts w:ascii="Calibri" w:hAnsi="Calibri" w:cs="Arial"/>
          <w:bCs/>
          <w:i/>
          <w:sz w:val="21"/>
          <w:szCs w:val="21"/>
          <w:highlight w:val="lightGray"/>
        </w:rPr>
      </w:pPr>
      <w:r w:rsidRPr="004A08C6">
        <w:rPr>
          <w:rFonts w:ascii="Calibri" w:hAnsi="Calibri" w:cs="Arial"/>
          <w:bCs/>
          <w:i/>
          <w:sz w:val="21"/>
          <w:szCs w:val="21"/>
          <w:highlight w:val="lightGray"/>
        </w:rPr>
        <w:t xml:space="preserve">Extent to which objectives of interventions are consistent with beneficiaries’ requirements, country needs, global priorities and partners’ and donors’ policies. </w:t>
      </w:r>
    </w:p>
    <w:p w14:paraId="64B3EC23" w14:textId="77777777" w:rsidR="00E52565" w:rsidRPr="00E22EBA" w:rsidRDefault="00B939E1" w:rsidP="00CA058E">
      <w:pPr>
        <w:pStyle w:val="BodyText"/>
        <w:shd w:val="clear" w:color="auto" w:fill="215868" w:themeFill="accent5" w:themeFillShade="80"/>
        <w:rPr>
          <w:rFonts w:asciiTheme="minorHAnsi" w:hAnsiTheme="minorHAnsi"/>
          <w:b/>
          <w:color w:val="FFFFFF" w:themeColor="background1"/>
        </w:rPr>
      </w:pPr>
      <w:r w:rsidRPr="00E22EBA">
        <w:rPr>
          <w:rFonts w:asciiTheme="minorHAnsi" w:hAnsiTheme="minorHAnsi"/>
          <w:b/>
          <w:color w:val="FFFFFF" w:themeColor="background1"/>
        </w:rPr>
        <w:t>Relevance is rated as: Relevant</w:t>
      </w:r>
    </w:p>
    <w:p w14:paraId="73099B53" w14:textId="3122A483" w:rsidR="00141F00" w:rsidRPr="00773C9F" w:rsidRDefault="00D221B2" w:rsidP="005716E9">
      <w:pPr>
        <w:spacing w:after="120" w:line="240" w:lineRule="atLeast"/>
        <w:jc w:val="both"/>
        <w:rPr>
          <w:rFonts w:asciiTheme="minorHAnsi" w:hAnsiTheme="minorHAnsi"/>
          <w:sz w:val="24"/>
          <w:szCs w:val="24"/>
          <w:lang w:val="en-US"/>
        </w:rPr>
      </w:pPr>
      <w:r w:rsidRPr="00773C9F">
        <w:rPr>
          <w:rFonts w:asciiTheme="minorHAnsi" w:hAnsiTheme="minorHAnsi"/>
          <w:sz w:val="24"/>
          <w:szCs w:val="24"/>
          <w:lang w:val="en-US"/>
        </w:rPr>
        <w:t xml:space="preserve">The project </w:t>
      </w:r>
      <w:r w:rsidR="00141F00" w:rsidRPr="00773C9F">
        <w:rPr>
          <w:rFonts w:asciiTheme="minorHAnsi" w:hAnsiTheme="minorHAnsi"/>
          <w:sz w:val="24"/>
          <w:szCs w:val="24"/>
          <w:lang w:val="en-US"/>
        </w:rPr>
        <w:t xml:space="preserve">is globally important </w:t>
      </w:r>
      <w:r w:rsidRPr="00773C9F">
        <w:rPr>
          <w:rFonts w:asciiTheme="minorHAnsi" w:hAnsiTheme="minorHAnsi"/>
          <w:sz w:val="24"/>
          <w:szCs w:val="24"/>
          <w:lang w:val="en-US"/>
        </w:rPr>
        <w:t>with respect to conserving Colchic Forest</w:t>
      </w:r>
      <w:r w:rsidR="00141F00" w:rsidRPr="00773C9F">
        <w:rPr>
          <w:rFonts w:asciiTheme="minorHAnsi" w:hAnsiTheme="minorHAnsi"/>
          <w:sz w:val="24"/>
          <w:szCs w:val="24"/>
          <w:lang w:val="en-US"/>
        </w:rPr>
        <w:t>, a feature of the Caucasus</w:t>
      </w:r>
      <w:r w:rsidRPr="00773C9F">
        <w:rPr>
          <w:rFonts w:asciiTheme="minorHAnsi" w:hAnsiTheme="minorHAnsi"/>
          <w:sz w:val="24"/>
          <w:szCs w:val="24"/>
          <w:lang w:val="en-US"/>
        </w:rPr>
        <w:t xml:space="preserve"> </w:t>
      </w:r>
      <w:r w:rsidR="00141F00" w:rsidRPr="00773C9F">
        <w:rPr>
          <w:rFonts w:asciiTheme="minorHAnsi" w:hAnsiTheme="minorHAnsi"/>
          <w:sz w:val="24"/>
          <w:szCs w:val="24"/>
          <w:lang w:val="en-US"/>
        </w:rPr>
        <w:t>Eco-region that is among the world’s 34 biologically richest and most endangered terrestrial ecosystems and currently proposed for inscription on the World Heritage List.</w:t>
      </w:r>
    </w:p>
    <w:p w14:paraId="3B5A482B" w14:textId="13152445" w:rsidR="00D67217" w:rsidRDefault="00D67217" w:rsidP="005716E9">
      <w:pPr>
        <w:pStyle w:val="BodyText"/>
        <w:rPr>
          <w:rFonts w:ascii="Calibri" w:hAnsi="Calibri"/>
        </w:rPr>
      </w:pPr>
      <w:r>
        <w:rPr>
          <w:rFonts w:ascii="Calibri" w:hAnsi="Calibri"/>
        </w:rPr>
        <w:t xml:space="preserve">It </w:t>
      </w:r>
      <w:r w:rsidR="00D221B2" w:rsidRPr="006878CA">
        <w:rPr>
          <w:rFonts w:ascii="Calibri" w:hAnsi="Calibri"/>
        </w:rPr>
        <w:t xml:space="preserve">is aligned with </w:t>
      </w:r>
      <w:r w:rsidR="00D221B2" w:rsidRPr="004C4D56">
        <w:rPr>
          <w:rFonts w:ascii="Calibri" w:hAnsi="Calibri"/>
        </w:rPr>
        <w:t xml:space="preserve">GEF </w:t>
      </w:r>
      <w:r w:rsidR="00D221B2" w:rsidRPr="00D67217">
        <w:rPr>
          <w:rFonts w:ascii="Calibri" w:hAnsi="Calibri"/>
        </w:rPr>
        <w:t>Biodiversity Focal Area Strategic Objective 1</w:t>
      </w:r>
      <w:r w:rsidR="00D221B2">
        <w:rPr>
          <w:rFonts w:ascii="Calibri" w:hAnsi="Calibri"/>
        </w:rPr>
        <w:t xml:space="preserve"> to: </w:t>
      </w:r>
      <w:r w:rsidR="00D221B2">
        <w:rPr>
          <w:rFonts w:ascii="Calibri" w:hAnsi="Calibri"/>
          <w:i/>
        </w:rPr>
        <w:t>i</w:t>
      </w:r>
      <w:r w:rsidR="00D221B2" w:rsidRPr="007C4E94">
        <w:rPr>
          <w:rFonts w:ascii="Calibri" w:hAnsi="Calibri"/>
          <w:i/>
        </w:rPr>
        <w:t>mprove sustainability of PAs</w:t>
      </w:r>
      <w:r w:rsidR="00D221B2">
        <w:rPr>
          <w:rFonts w:ascii="Calibri" w:hAnsi="Calibri"/>
        </w:rPr>
        <w:t xml:space="preserve">, thereby contributing to the </w:t>
      </w:r>
      <w:r>
        <w:rPr>
          <w:rFonts w:ascii="Calibri" w:hAnsi="Calibri"/>
        </w:rPr>
        <w:t>CBD</w:t>
      </w:r>
      <w:r w:rsidR="00D221B2">
        <w:rPr>
          <w:rFonts w:ascii="Calibri" w:hAnsi="Calibri"/>
        </w:rPr>
        <w:t xml:space="preserve"> </w:t>
      </w:r>
      <w:r w:rsidR="00D221B2" w:rsidRPr="00D67217">
        <w:rPr>
          <w:rFonts w:ascii="Calibri" w:hAnsi="Calibri"/>
        </w:rPr>
        <w:t>2011-2020 Strategic Plan, its Programme of Work on PAs (PoWPA) and its Aichi Targets</w:t>
      </w:r>
      <w:r>
        <w:rPr>
          <w:rFonts w:ascii="Calibri" w:hAnsi="Calibri"/>
        </w:rPr>
        <w:t xml:space="preserve"> (see </w:t>
      </w:r>
      <w:r w:rsidRPr="00D67217">
        <w:rPr>
          <w:rFonts w:ascii="Calibri" w:hAnsi="Calibri"/>
          <w:b/>
        </w:rPr>
        <w:t>Section 2.3</w:t>
      </w:r>
      <w:r>
        <w:rPr>
          <w:rFonts w:ascii="Calibri" w:hAnsi="Calibri"/>
        </w:rPr>
        <w:t xml:space="preserve"> for more details).</w:t>
      </w:r>
    </w:p>
    <w:p w14:paraId="4B4B22DB" w14:textId="5859012D" w:rsidR="00EB766D" w:rsidRDefault="00D67217" w:rsidP="005716E9">
      <w:pPr>
        <w:pStyle w:val="NormalWeb"/>
        <w:spacing w:before="0" w:beforeAutospacing="0" w:after="120" w:afterAutospacing="0"/>
        <w:jc w:val="both"/>
        <w:rPr>
          <w:rFonts w:ascii="Calibri" w:hAnsi="Calibri"/>
        </w:rPr>
      </w:pPr>
      <w:r>
        <w:rPr>
          <w:rFonts w:ascii="Calibri" w:hAnsi="Calibri"/>
        </w:rPr>
        <w:t xml:space="preserve">Nationally, the project is aligned with </w:t>
      </w:r>
      <w:r w:rsidR="00CD53F4">
        <w:rPr>
          <w:rFonts w:asciiTheme="minorHAnsi" w:hAnsiTheme="minorHAnsi" w:cs="Arial"/>
          <w:szCs w:val="22"/>
        </w:rPr>
        <w:t>the National Environment Action Plan (2012</w:t>
      </w:r>
      <w:r w:rsidR="0098264C">
        <w:rPr>
          <w:rFonts w:asciiTheme="minorHAnsi" w:hAnsiTheme="minorHAnsi" w:cs="Arial"/>
          <w:szCs w:val="22"/>
        </w:rPr>
        <w:t>-</w:t>
      </w:r>
      <w:r w:rsidR="00CD53F4">
        <w:rPr>
          <w:rFonts w:asciiTheme="minorHAnsi" w:hAnsiTheme="minorHAnsi" w:cs="Arial"/>
          <w:szCs w:val="22"/>
        </w:rPr>
        <w:t>2016)</w:t>
      </w:r>
      <w:r w:rsidR="0098264C">
        <w:rPr>
          <w:rFonts w:asciiTheme="minorHAnsi" w:hAnsiTheme="minorHAnsi" w:cs="Arial"/>
          <w:szCs w:val="22"/>
        </w:rPr>
        <w:t xml:space="preserve">, </w:t>
      </w:r>
      <w:r w:rsidR="00EB766D">
        <w:rPr>
          <w:rFonts w:asciiTheme="minorHAnsi" w:hAnsiTheme="minorHAnsi" w:cs="Arial"/>
          <w:szCs w:val="22"/>
        </w:rPr>
        <w:t xml:space="preserve">National Biodiversity Strategy &amp; Action Plan 2005 – since replaced by the 2014 NBSAP, </w:t>
      </w:r>
      <w:r w:rsidR="00FD1BFD">
        <w:rPr>
          <w:rFonts w:asciiTheme="minorHAnsi" w:hAnsiTheme="minorHAnsi" w:cs="Arial"/>
          <w:szCs w:val="22"/>
        </w:rPr>
        <w:t>and the 2012 Ecoregion Plan for the Caucasus</w:t>
      </w:r>
      <w:r w:rsidR="0067475D">
        <w:rPr>
          <w:rFonts w:asciiTheme="minorHAnsi" w:hAnsiTheme="minorHAnsi" w:cs="Arial"/>
          <w:szCs w:val="22"/>
        </w:rPr>
        <w:t>. Further</w:t>
      </w:r>
      <w:r w:rsidR="00FD1BFD">
        <w:rPr>
          <w:rFonts w:asciiTheme="minorHAnsi" w:hAnsiTheme="minorHAnsi" w:cs="Arial"/>
          <w:szCs w:val="22"/>
        </w:rPr>
        <w:t xml:space="preserve"> details can be found in the ProDoc</w:t>
      </w:r>
      <w:r w:rsidR="0067475D">
        <w:rPr>
          <w:rFonts w:asciiTheme="minorHAnsi" w:hAnsiTheme="minorHAnsi" w:cs="Arial"/>
          <w:szCs w:val="22"/>
        </w:rPr>
        <w:t xml:space="preserve"> and, in the case of the latest NBSAP (2014), National Target C.4 is particularly relevant:</w:t>
      </w:r>
      <w:r w:rsidR="0067475D">
        <w:rPr>
          <w:rFonts w:ascii="Calibri" w:hAnsi="Calibri"/>
          <w:i/>
        </w:rPr>
        <w:t xml:space="preserve"> B</w:t>
      </w:r>
      <w:r w:rsidR="0067475D" w:rsidRPr="0067475D">
        <w:rPr>
          <w:rFonts w:ascii="Calibri" w:hAnsi="Calibri"/>
          <w:i/>
        </w:rPr>
        <w:t>y 2020</w:t>
      </w:r>
      <w:r w:rsidR="0067475D">
        <w:rPr>
          <w:rFonts w:ascii="Calibri" w:hAnsi="Calibri"/>
          <w:i/>
        </w:rPr>
        <w:t>,</w:t>
      </w:r>
      <w:r w:rsidR="0067475D" w:rsidRPr="0067475D">
        <w:rPr>
          <w:rFonts w:ascii="Calibri" w:hAnsi="Calibri"/>
          <w:i/>
        </w:rPr>
        <w:t xml:space="preserve"> at least 12% of the country’s terrestrial and inland water areas and 2.5 % of marine areas are covered by protected areas</w:t>
      </w:r>
      <w:r w:rsidR="0067475D" w:rsidRPr="003F3E02">
        <w:rPr>
          <w:rFonts w:ascii="Calibri" w:hAnsi="Calibri"/>
        </w:rPr>
        <w:t>. Important elements of</w:t>
      </w:r>
      <w:r w:rsidR="00FD1BFD">
        <w:rPr>
          <w:rFonts w:ascii="Calibri" w:hAnsi="Calibri"/>
        </w:rPr>
        <w:t xml:space="preserve"> </w:t>
      </w:r>
      <w:r w:rsidR="0067475D">
        <w:rPr>
          <w:rFonts w:ascii="Calibri" w:hAnsi="Calibri"/>
        </w:rPr>
        <w:t xml:space="preserve">National Target C.4 </w:t>
      </w:r>
      <w:r w:rsidR="00FD1BFD">
        <w:rPr>
          <w:rFonts w:ascii="Calibri" w:hAnsi="Calibri"/>
        </w:rPr>
        <w:t>include</w:t>
      </w:r>
      <w:r w:rsidR="0067475D">
        <w:rPr>
          <w:rFonts w:ascii="Calibri" w:hAnsi="Calibri"/>
        </w:rPr>
        <w:t>:</w:t>
      </w:r>
      <w:r w:rsidR="00FD1BFD">
        <w:rPr>
          <w:rFonts w:ascii="Calibri" w:hAnsi="Calibri"/>
        </w:rPr>
        <w:t xml:space="preserve"> representativeness of the PA network</w:t>
      </w:r>
      <w:r w:rsidR="003F3E02">
        <w:rPr>
          <w:rFonts w:ascii="Calibri" w:hAnsi="Calibri"/>
        </w:rPr>
        <w:t>,</w:t>
      </w:r>
      <w:r w:rsidR="00FD1BFD">
        <w:rPr>
          <w:rFonts w:ascii="Calibri" w:hAnsi="Calibri"/>
        </w:rPr>
        <w:t xml:space="preserve"> international recognition via such conventions as</w:t>
      </w:r>
      <w:r w:rsidR="0067475D">
        <w:rPr>
          <w:rFonts w:ascii="Calibri" w:hAnsi="Calibri"/>
        </w:rPr>
        <w:t xml:space="preserve"> Ramsar and World H</w:t>
      </w:r>
      <w:r w:rsidR="00FD1BFD">
        <w:rPr>
          <w:rFonts w:ascii="Calibri" w:hAnsi="Calibri"/>
        </w:rPr>
        <w:t>eri</w:t>
      </w:r>
      <w:r w:rsidR="0067475D">
        <w:rPr>
          <w:rFonts w:ascii="Calibri" w:hAnsi="Calibri"/>
        </w:rPr>
        <w:t>tage, UNESCO’s Man &amp; Biosp</w:t>
      </w:r>
      <w:r w:rsidR="00FD1BFD">
        <w:rPr>
          <w:rFonts w:ascii="Calibri" w:hAnsi="Calibri"/>
        </w:rPr>
        <w:t xml:space="preserve">here Programme </w:t>
      </w:r>
      <w:r w:rsidR="0067475D">
        <w:rPr>
          <w:rFonts w:ascii="Calibri" w:hAnsi="Calibri"/>
        </w:rPr>
        <w:t xml:space="preserve">for </w:t>
      </w:r>
      <w:r w:rsidR="00FD1BFD">
        <w:rPr>
          <w:rFonts w:ascii="Calibri" w:hAnsi="Calibri"/>
        </w:rPr>
        <w:t>biosphere reserves</w:t>
      </w:r>
      <w:r w:rsidR="003F3E02">
        <w:rPr>
          <w:rFonts w:ascii="Calibri" w:hAnsi="Calibri"/>
        </w:rPr>
        <w:t>,</w:t>
      </w:r>
      <w:r w:rsidR="00FD1BFD">
        <w:rPr>
          <w:rFonts w:ascii="Calibri" w:hAnsi="Calibri"/>
        </w:rPr>
        <w:t xml:space="preserve"> </w:t>
      </w:r>
      <w:r w:rsidR="0067475D">
        <w:rPr>
          <w:rFonts w:ascii="Calibri" w:hAnsi="Calibri"/>
        </w:rPr>
        <w:t>m</w:t>
      </w:r>
      <w:r w:rsidR="00FD1BFD">
        <w:rPr>
          <w:rFonts w:ascii="Calibri" w:hAnsi="Calibri"/>
        </w:rPr>
        <w:t>anagement effectiveness</w:t>
      </w:r>
      <w:r w:rsidR="003F3E02">
        <w:rPr>
          <w:rFonts w:ascii="Calibri" w:hAnsi="Calibri"/>
        </w:rPr>
        <w:t>,</w:t>
      </w:r>
      <w:r w:rsidR="00FD1BFD">
        <w:rPr>
          <w:rFonts w:ascii="Calibri" w:hAnsi="Calibri"/>
        </w:rPr>
        <w:t xml:space="preserve"> participation with local communities and the private sector, and transboundary cooperation, all of which feature in this project. </w:t>
      </w:r>
    </w:p>
    <w:p w14:paraId="114E6A40" w14:textId="5C91E015" w:rsidR="00995336" w:rsidRDefault="00773C9F" w:rsidP="005716E9">
      <w:pPr>
        <w:spacing w:after="120" w:line="240" w:lineRule="atLeast"/>
        <w:jc w:val="both"/>
        <w:rPr>
          <w:rFonts w:asciiTheme="minorHAnsi" w:hAnsiTheme="minorHAnsi"/>
          <w:sz w:val="24"/>
          <w:szCs w:val="24"/>
          <w:lang w:val="en-US"/>
        </w:rPr>
      </w:pPr>
      <w:r>
        <w:rPr>
          <w:rFonts w:asciiTheme="minorHAnsi" w:hAnsiTheme="minorHAnsi"/>
          <w:sz w:val="24"/>
          <w:szCs w:val="24"/>
          <w:lang w:val="en-US"/>
        </w:rPr>
        <w:t>The</w:t>
      </w:r>
      <w:r w:rsidRPr="00773C9F">
        <w:rPr>
          <w:rFonts w:asciiTheme="minorHAnsi" w:hAnsiTheme="minorHAnsi"/>
          <w:sz w:val="24"/>
          <w:szCs w:val="24"/>
          <w:lang w:val="en-US"/>
        </w:rPr>
        <w:t xml:space="preserve"> project contribute</w:t>
      </w:r>
      <w:r>
        <w:rPr>
          <w:rFonts w:asciiTheme="minorHAnsi" w:hAnsiTheme="minorHAnsi"/>
          <w:sz w:val="24"/>
          <w:szCs w:val="24"/>
          <w:lang w:val="en-US"/>
        </w:rPr>
        <w:t>s</w:t>
      </w:r>
      <w:r w:rsidRPr="00773C9F">
        <w:rPr>
          <w:rFonts w:asciiTheme="minorHAnsi" w:hAnsiTheme="minorHAnsi"/>
          <w:sz w:val="24"/>
          <w:szCs w:val="24"/>
          <w:lang w:val="en-US"/>
        </w:rPr>
        <w:t xml:space="preserve"> </w:t>
      </w:r>
      <w:r w:rsidR="005716E9">
        <w:rPr>
          <w:rFonts w:asciiTheme="minorHAnsi" w:hAnsiTheme="minorHAnsi"/>
          <w:sz w:val="24"/>
          <w:szCs w:val="24"/>
          <w:lang w:val="en-US"/>
        </w:rPr>
        <w:t xml:space="preserve">directly </w:t>
      </w:r>
      <w:r w:rsidRPr="00773C9F">
        <w:rPr>
          <w:rFonts w:asciiTheme="minorHAnsi" w:hAnsiTheme="minorHAnsi"/>
          <w:sz w:val="24"/>
          <w:szCs w:val="24"/>
          <w:lang w:val="en-US"/>
        </w:rPr>
        <w:t xml:space="preserve">to achieving </w:t>
      </w:r>
      <w:r w:rsidR="00F64F8F">
        <w:rPr>
          <w:rFonts w:asciiTheme="minorHAnsi" w:hAnsiTheme="minorHAnsi"/>
          <w:sz w:val="24"/>
          <w:szCs w:val="24"/>
          <w:lang w:val="en-US"/>
        </w:rPr>
        <w:t xml:space="preserve">the 2011-2015 </w:t>
      </w:r>
      <w:r w:rsidR="00D822F2">
        <w:rPr>
          <w:rFonts w:asciiTheme="minorHAnsi" w:hAnsiTheme="minorHAnsi"/>
          <w:sz w:val="24"/>
          <w:szCs w:val="24"/>
          <w:lang w:val="en-US"/>
        </w:rPr>
        <w:t>UNDP</w:t>
      </w:r>
      <w:r w:rsidRPr="00773C9F">
        <w:rPr>
          <w:rFonts w:asciiTheme="minorHAnsi" w:hAnsiTheme="minorHAnsi"/>
          <w:sz w:val="24"/>
          <w:szCs w:val="24"/>
          <w:lang w:val="en-US"/>
        </w:rPr>
        <w:t xml:space="preserve"> Country Programme Outcome 3.2.1</w:t>
      </w:r>
      <w:r w:rsidR="00D822F2">
        <w:rPr>
          <w:rFonts w:asciiTheme="minorHAnsi" w:hAnsiTheme="minorHAnsi"/>
          <w:sz w:val="24"/>
          <w:szCs w:val="24"/>
          <w:lang w:val="en-US"/>
        </w:rPr>
        <w:t>:</w:t>
      </w:r>
      <w:r w:rsidRPr="00773C9F">
        <w:rPr>
          <w:rFonts w:asciiTheme="minorHAnsi" w:hAnsiTheme="minorHAnsi"/>
          <w:sz w:val="24"/>
          <w:szCs w:val="24"/>
          <w:lang w:val="en-US"/>
        </w:rPr>
        <w:t xml:space="preserve"> </w:t>
      </w:r>
      <w:r w:rsidRPr="00D822F2">
        <w:rPr>
          <w:rFonts w:asciiTheme="minorHAnsi" w:hAnsiTheme="minorHAnsi"/>
          <w:i/>
          <w:sz w:val="24"/>
          <w:szCs w:val="24"/>
          <w:lang w:val="en-US"/>
        </w:rPr>
        <w:t>Sustainable practices and instruments for the management of chemicals and natural resources, including land, water and biological resources demonstrated at pilot areas and up-</w:t>
      </w:r>
      <w:r w:rsidR="00D822F2" w:rsidRPr="00D822F2">
        <w:rPr>
          <w:rFonts w:asciiTheme="minorHAnsi" w:hAnsiTheme="minorHAnsi"/>
          <w:i/>
          <w:sz w:val="24"/>
          <w:szCs w:val="24"/>
          <w:lang w:val="en-US"/>
        </w:rPr>
        <w:t>scaled at national and/or trans</w:t>
      </w:r>
      <w:r w:rsidRPr="00D822F2">
        <w:rPr>
          <w:rFonts w:asciiTheme="minorHAnsi" w:hAnsiTheme="minorHAnsi"/>
          <w:i/>
          <w:sz w:val="24"/>
          <w:szCs w:val="24"/>
          <w:lang w:val="en-US"/>
        </w:rPr>
        <w:t>boundary levels</w:t>
      </w:r>
      <w:r w:rsidR="00D822F2">
        <w:rPr>
          <w:rFonts w:asciiTheme="minorHAnsi" w:hAnsiTheme="minorHAnsi"/>
          <w:sz w:val="24"/>
          <w:szCs w:val="24"/>
          <w:lang w:val="en-US"/>
        </w:rPr>
        <w:t xml:space="preserve">; for which the output is: </w:t>
      </w:r>
      <w:r w:rsidRPr="00D822F2">
        <w:rPr>
          <w:rFonts w:asciiTheme="minorHAnsi" w:hAnsiTheme="minorHAnsi"/>
          <w:i/>
          <w:sz w:val="24"/>
          <w:szCs w:val="24"/>
          <w:lang w:val="en-US"/>
        </w:rPr>
        <w:t xml:space="preserve">Financial and operational sustainability of </w:t>
      </w:r>
      <w:r w:rsidR="005716E9">
        <w:rPr>
          <w:rFonts w:asciiTheme="minorHAnsi" w:hAnsiTheme="minorHAnsi"/>
          <w:i/>
          <w:sz w:val="24"/>
          <w:szCs w:val="24"/>
          <w:lang w:val="en-US"/>
        </w:rPr>
        <w:t>protected areas</w:t>
      </w:r>
      <w:r w:rsidR="00D822F2" w:rsidRPr="00D822F2">
        <w:rPr>
          <w:rFonts w:asciiTheme="minorHAnsi" w:hAnsiTheme="minorHAnsi"/>
          <w:i/>
          <w:sz w:val="24"/>
          <w:szCs w:val="24"/>
          <w:lang w:val="en-US"/>
        </w:rPr>
        <w:t xml:space="preserve"> </w:t>
      </w:r>
      <w:r w:rsidRPr="00D822F2">
        <w:rPr>
          <w:rFonts w:asciiTheme="minorHAnsi" w:hAnsiTheme="minorHAnsi"/>
          <w:i/>
          <w:sz w:val="24"/>
          <w:szCs w:val="24"/>
          <w:lang w:val="en-US"/>
        </w:rPr>
        <w:t>increased</w:t>
      </w:r>
      <w:r w:rsidR="00D822F2">
        <w:rPr>
          <w:rFonts w:asciiTheme="minorHAnsi" w:hAnsiTheme="minorHAnsi"/>
          <w:sz w:val="24"/>
          <w:szCs w:val="24"/>
          <w:lang w:val="en-US"/>
        </w:rPr>
        <w:t xml:space="preserve">. </w:t>
      </w:r>
    </w:p>
    <w:p w14:paraId="5896D960" w14:textId="78246081" w:rsidR="00773C9F" w:rsidRPr="00773C9F" w:rsidRDefault="00F64F8F" w:rsidP="005716E9">
      <w:pPr>
        <w:spacing w:after="120" w:line="240" w:lineRule="atLeast"/>
        <w:jc w:val="both"/>
        <w:rPr>
          <w:rFonts w:asciiTheme="minorHAnsi" w:hAnsiTheme="minorHAnsi"/>
          <w:sz w:val="24"/>
          <w:szCs w:val="24"/>
          <w:lang w:val="en-US"/>
        </w:rPr>
      </w:pPr>
      <w:r>
        <w:rPr>
          <w:rFonts w:asciiTheme="minorHAnsi" w:hAnsiTheme="minorHAnsi"/>
          <w:sz w:val="24"/>
          <w:szCs w:val="24"/>
          <w:lang w:val="en-US"/>
        </w:rPr>
        <w:t>The project continues to be relevant</w:t>
      </w:r>
      <w:r w:rsidRPr="00F64F8F">
        <w:rPr>
          <w:rFonts w:asciiTheme="minorHAnsi" w:hAnsiTheme="minorHAnsi"/>
          <w:sz w:val="24"/>
          <w:szCs w:val="24"/>
          <w:lang w:val="en-US"/>
        </w:rPr>
        <w:t xml:space="preserve"> </w:t>
      </w:r>
      <w:r>
        <w:rPr>
          <w:rFonts w:asciiTheme="minorHAnsi" w:hAnsiTheme="minorHAnsi"/>
          <w:sz w:val="24"/>
          <w:szCs w:val="24"/>
          <w:lang w:val="en-US"/>
        </w:rPr>
        <w:t>to the 2016-2020 UN</w:t>
      </w:r>
      <w:r w:rsidR="00967F33">
        <w:rPr>
          <w:rFonts w:asciiTheme="minorHAnsi" w:hAnsiTheme="minorHAnsi"/>
          <w:sz w:val="24"/>
          <w:szCs w:val="24"/>
          <w:lang w:val="en-US"/>
        </w:rPr>
        <w:t xml:space="preserve">DP Country Program for Georgia under the </w:t>
      </w:r>
      <w:r w:rsidR="00967F33" w:rsidRPr="00773C9F">
        <w:rPr>
          <w:rFonts w:asciiTheme="minorHAnsi" w:hAnsiTheme="minorHAnsi"/>
          <w:sz w:val="24"/>
          <w:szCs w:val="24"/>
          <w:lang w:val="en-US"/>
        </w:rPr>
        <w:t xml:space="preserve">fourth programme priority </w:t>
      </w:r>
      <w:r w:rsidR="00967F33">
        <w:rPr>
          <w:rFonts w:asciiTheme="minorHAnsi" w:hAnsiTheme="minorHAnsi"/>
          <w:sz w:val="24"/>
          <w:szCs w:val="24"/>
          <w:lang w:val="en-US"/>
        </w:rPr>
        <w:t>to</w:t>
      </w:r>
      <w:r w:rsidR="00967F33" w:rsidRPr="00773C9F">
        <w:rPr>
          <w:rFonts w:asciiTheme="minorHAnsi" w:hAnsiTheme="minorHAnsi"/>
          <w:sz w:val="24"/>
          <w:szCs w:val="24"/>
          <w:lang w:val="en-US"/>
        </w:rPr>
        <w:t xml:space="preserve"> contribute to United Nations Partnersh</w:t>
      </w:r>
      <w:r w:rsidR="00967F33">
        <w:rPr>
          <w:rFonts w:asciiTheme="minorHAnsi" w:hAnsiTheme="minorHAnsi"/>
          <w:sz w:val="24"/>
          <w:szCs w:val="24"/>
          <w:lang w:val="en-US"/>
        </w:rPr>
        <w:t>ip for Sustainable Development O</w:t>
      </w:r>
      <w:r w:rsidR="00967F33" w:rsidRPr="00773C9F">
        <w:rPr>
          <w:rFonts w:asciiTheme="minorHAnsi" w:hAnsiTheme="minorHAnsi"/>
          <w:sz w:val="24"/>
          <w:szCs w:val="24"/>
          <w:lang w:val="en-US"/>
        </w:rPr>
        <w:t>utcome 8</w:t>
      </w:r>
      <w:r w:rsidR="00967F33">
        <w:rPr>
          <w:rFonts w:asciiTheme="minorHAnsi" w:hAnsiTheme="minorHAnsi"/>
          <w:sz w:val="24"/>
          <w:szCs w:val="24"/>
          <w:lang w:val="en-US"/>
        </w:rPr>
        <w:t xml:space="preserve">: </w:t>
      </w:r>
      <w:r w:rsidR="00967F33" w:rsidRPr="00AE55F1">
        <w:rPr>
          <w:rFonts w:asciiTheme="minorHAnsi" w:hAnsiTheme="minorHAnsi"/>
          <w:i/>
          <w:sz w:val="24"/>
          <w:szCs w:val="24"/>
          <w:lang w:val="en-US"/>
        </w:rPr>
        <w:t>Communities enjoy greater resilience through enhanced institutional and legislative systems for environmental protection, sustainable management of natural resources and disaster risk reduction</w:t>
      </w:r>
      <w:r w:rsidR="00967F33">
        <w:rPr>
          <w:rFonts w:asciiTheme="minorHAnsi" w:hAnsiTheme="minorHAnsi"/>
          <w:sz w:val="24"/>
          <w:szCs w:val="24"/>
          <w:lang w:val="en-US"/>
        </w:rPr>
        <w:t>”, and UNDP Strategic Plan Outcomes 5</w:t>
      </w:r>
      <w:r w:rsidR="00967F33" w:rsidRPr="00773C9F">
        <w:rPr>
          <w:rFonts w:asciiTheme="minorHAnsi" w:hAnsiTheme="minorHAnsi"/>
          <w:sz w:val="24"/>
          <w:szCs w:val="24"/>
          <w:lang w:val="en-US"/>
        </w:rPr>
        <w:t xml:space="preserve"> and 6.</w:t>
      </w:r>
      <w:r>
        <w:rPr>
          <w:rFonts w:asciiTheme="minorHAnsi" w:hAnsiTheme="minorHAnsi"/>
          <w:sz w:val="24"/>
          <w:szCs w:val="24"/>
          <w:lang w:val="en-US"/>
        </w:rPr>
        <w:t xml:space="preserve"> This is </w:t>
      </w:r>
      <w:r w:rsidR="00995336">
        <w:rPr>
          <w:rFonts w:asciiTheme="minorHAnsi" w:hAnsiTheme="minorHAnsi"/>
          <w:sz w:val="24"/>
          <w:szCs w:val="24"/>
          <w:lang w:val="en-US"/>
        </w:rPr>
        <w:t>important</w:t>
      </w:r>
      <w:r w:rsidR="00967F33">
        <w:rPr>
          <w:rFonts w:asciiTheme="minorHAnsi" w:hAnsiTheme="minorHAnsi"/>
          <w:sz w:val="24"/>
          <w:szCs w:val="24"/>
          <w:lang w:val="en-US"/>
        </w:rPr>
        <w:t>, not only because the project spans two Country Programmes but also</w:t>
      </w:r>
      <w:r w:rsidR="00995336">
        <w:rPr>
          <w:rFonts w:asciiTheme="minorHAnsi" w:hAnsiTheme="minorHAnsi"/>
          <w:sz w:val="24"/>
          <w:szCs w:val="24"/>
          <w:lang w:val="en-US"/>
        </w:rPr>
        <w:t xml:space="preserve"> in the wake of </w:t>
      </w:r>
      <w:r w:rsidR="00967F33">
        <w:rPr>
          <w:rFonts w:asciiTheme="minorHAnsi" w:hAnsiTheme="minorHAnsi"/>
          <w:sz w:val="24"/>
          <w:szCs w:val="24"/>
          <w:lang w:val="en-US"/>
        </w:rPr>
        <w:t>it</w:t>
      </w:r>
      <w:r w:rsidR="00995336">
        <w:rPr>
          <w:rFonts w:asciiTheme="minorHAnsi" w:hAnsiTheme="minorHAnsi"/>
          <w:sz w:val="24"/>
          <w:szCs w:val="24"/>
          <w:lang w:val="en-US"/>
        </w:rPr>
        <w:t>s six-month extension</w:t>
      </w:r>
      <w:r>
        <w:rPr>
          <w:rFonts w:asciiTheme="minorHAnsi" w:hAnsiTheme="minorHAnsi"/>
          <w:sz w:val="24"/>
          <w:szCs w:val="24"/>
          <w:lang w:val="en-US"/>
        </w:rPr>
        <w:t xml:space="preserve"> to December 2018.</w:t>
      </w:r>
      <w:r w:rsidR="00995336">
        <w:rPr>
          <w:rFonts w:asciiTheme="minorHAnsi" w:hAnsiTheme="minorHAnsi"/>
          <w:sz w:val="24"/>
          <w:szCs w:val="24"/>
          <w:lang w:val="en-US"/>
        </w:rPr>
        <w:t xml:space="preserve"> </w:t>
      </w:r>
    </w:p>
    <w:p w14:paraId="7986EC9A" w14:textId="26C9E0AA" w:rsidR="00E52565" w:rsidRDefault="001B450B" w:rsidP="0067558E">
      <w:pPr>
        <w:pStyle w:val="Heading2"/>
        <w:numPr>
          <w:ilvl w:val="2"/>
          <w:numId w:val="20"/>
        </w:numPr>
        <w:spacing w:before="240" w:after="120"/>
        <w:ind w:left="709" w:hanging="709"/>
        <w:rPr>
          <w:rFonts w:asciiTheme="minorHAnsi" w:hAnsiTheme="minorHAnsi" w:cs="Calibri"/>
          <w:b/>
          <w:caps w:val="0"/>
        </w:rPr>
      </w:pPr>
      <w:bookmarkStart w:id="152" w:name="_Toc414745336"/>
      <w:r>
        <w:rPr>
          <w:rFonts w:asciiTheme="minorHAnsi" w:hAnsiTheme="minorHAnsi" w:cs="Calibri"/>
          <w:b/>
          <w:caps w:val="0"/>
        </w:rPr>
        <w:t xml:space="preserve">Effectiveness &amp; </w:t>
      </w:r>
      <w:r w:rsidR="00E52565" w:rsidRPr="00E22EBA">
        <w:rPr>
          <w:rFonts w:asciiTheme="minorHAnsi" w:hAnsiTheme="minorHAnsi" w:cs="Calibri"/>
          <w:b/>
          <w:caps w:val="0"/>
        </w:rPr>
        <w:t>Efficiency</w:t>
      </w:r>
      <w:r w:rsidR="009101A8">
        <w:rPr>
          <w:rFonts w:asciiTheme="minorHAnsi" w:hAnsiTheme="minorHAnsi" w:cs="Calibri"/>
          <w:b/>
          <w:caps w:val="0"/>
        </w:rPr>
        <w:t>*</w:t>
      </w:r>
      <w:bookmarkEnd w:id="152"/>
    </w:p>
    <w:p w14:paraId="55DB3B69" w14:textId="3FA1370E" w:rsidR="00C36E05" w:rsidRPr="004A08C6" w:rsidRDefault="00C36E05" w:rsidP="004A08C6">
      <w:pPr>
        <w:widowControl w:val="0"/>
        <w:overflowPunct/>
        <w:spacing w:after="120" w:line="300" w:lineRule="atLeast"/>
        <w:textAlignment w:val="auto"/>
        <w:rPr>
          <w:rFonts w:ascii="Calibri" w:hAnsi="Calibri" w:cs="Arial"/>
          <w:bCs/>
          <w:i/>
          <w:sz w:val="21"/>
          <w:szCs w:val="21"/>
          <w:highlight w:val="lightGray"/>
        </w:rPr>
      </w:pPr>
      <w:r w:rsidRPr="004A08C6">
        <w:rPr>
          <w:rFonts w:ascii="Calibri" w:hAnsi="Calibri" w:cs="Arial"/>
          <w:bCs/>
          <w:i/>
          <w:sz w:val="21"/>
          <w:szCs w:val="21"/>
          <w:highlight w:val="lightGray"/>
        </w:rPr>
        <w:t>Effectiveness: extent to which development intervention’s objectives achieved, or expected to be achieved</w:t>
      </w:r>
      <w:r w:rsidR="009101A8">
        <w:rPr>
          <w:rFonts w:ascii="Calibri" w:hAnsi="Calibri" w:cs="Arial"/>
          <w:bCs/>
          <w:i/>
          <w:sz w:val="21"/>
          <w:szCs w:val="21"/>
          <w:highlight w:val="lightGray"/>
        </w:rPr>
        <w:t>.</w:t>
      </w:r>
    </w:p>
    <w:p w14:paraId="482FB9AB" w14:textId="1422CCD3" w:rsidR="00A77741" w:rsidRPr="00E22EBA" w:rsidRDefault="001B450B" w:rsidP="00A77741">
      <w:pPr>
        <w:pStyle w:val="BodyText"/>
        <w:shd w:val="clear" w:color="auto" w:fill="215868" w:themeFill="accent5" w:themeFillShade="80"/>
        <w:rPr>
          <w:rFonts w:asciiTheme="minorHAnsi" w:hAnsiTheme="minorHAnsi"/>
          <w:b/>
          <w:color w:val="FFFFFF" w:themeColor="background1"/>
        </w:rPr>
      </w:pPr>
      <w:r>
        <w:rPr>
          <w:rFonts w:asciiTheme="minorHAnsi" w:hAnsiTheme="minorHAnsi"/>
          <w:b/>
          <w:color w:val="FFFFFF" w:themeColor="background1"/>
        </w:rPr>
        <w:t xml:space="preserve">Effectiveness </w:t>
      </w:r>
      <w:r w:rsidR="00050041">
        <w:rPr>
          <w:rFonts w:asciiTheme="minorHAnsi" w:hAnsiTheme="minorHAnsi"/>
          <w:b/>
          <w:color w:val="FFFFFF" w:themeColor="background1"/>
        </w:rPr>
        <w:t xml:space="preserve">is </w:t>
      </w:r>
      <w:r w:rsidR="001D3AB9">
        <w:rPr>
          <w:rFonts w:asciiTheme="minorHAnsi" w:hAnsiTheme="minorHAnsi"/>
          <w:b/>
          <w:color w:val="FFFFFF" w:themeColor="background1"/>
        </w:rPr>
        <w:t>rated as:</w:t>
      </w:r>
      <w:r w:rsidR="008F7EED">
        <w:rPr>
          <w:rFonts w:asciiTheme="minorHAnsi" w:hAnsiTheme="minorHAnsi"/>
          <w:b/>
          <w:color w:val="FFFFFF" w:themeColor="background1"/>
        </w:rPr>
        <w:t xml:space="preserve"> </w:t>
      </w:r>
      <w:r w:rsidR="00A77741" w:rsidRPr="00E22EBA">
        <w:rPr>
          <w:rFonts w:asciiTheme="minorHAnsi" w:hAnsiTheme="minorHAnsi"/>
          <w:b/>
          <w:color w:val="FFFFFF" w:themeColor="background1"/>
        </w:rPr>
        <w:t>Satisfactory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8694"/>
      </w:tblGrid>
      <w:tr w:rsidR="00D7390F" w:rsidRPr="00E22EBA" w14:paraId="1FE3D162" w14:textId="77777777" w:rsidTr="00050041">
        <w:tc>
          <w:tcPr>
            <w:tcW w:w="9242" w:type="dxa"/>
            <w:gridSpan w:val="2"/>
          </w:tcPr>
          <w:p w14:paraId="69F2BA59" w14:textId="398ADDE7" w:rsidR="00D7390F" w:rsidRPr="00063689" w:rsidRDefault="00D7390F" w:rsidP="008F258A">
            <w:pPr>
              <w:overflowPunct/>
              <w:spacing w:after="120"/>
              <w:jc w:val="both"/>
              <w:textAlignment w:val="auto"/>
              <w:rPr>
                <w:rFonts w:asciiTheme="minorHAnsi" w:hAnsiTheme="minorHAnsi" w:cs="Corbel"/>
                <w:b/>
                <w:sz w:val="24"/>
                <w:szCs w:val="24"/>
                <w:lang w:val="en-US"/>
              </w:rPr>
            </w:pPr>
            <w:r w:rsidRPr="00063689">
              <w:rPr>
                <w:rFonts w:asciiTheme="minorHAnsi" w:hAnsiTheme="minorHAnsi" w:cs="Corbel"/>
                <w:b/>
                <w:sz w:val="24"/>
                <w:szCs w:val="24"/>
                <w:lang w:val="en-US"/>
              </w:rPr>
              <w:t>Supporting Evidence</w:t>
            </w:r>
            <w:r w:rsidR="00686049">
              <w:rPr>
                <w:rFonts w:asciiTheme="minorHAnsi" w:hAnsiTheme="minorHAnsi" w:cs="Corbel"/>
                <w:b/>
                <w:sz w:val="24"/>
                <w:szCs w:val="24"/>
                <w:lang w:val="en-US"/>
              </w:rPr>
              <w:t xml:space="preserve"> </w:t>
            </w:r>
            <w:r w:rsidR="00686049" w:rsidRPr="00686049">
              <w:rPr>
                <w:rFonts w:asciiTheme="minorHAnsi" w:hAnsiTheme="minorHAnsi" w:cs="Corbel"/>
                <w:sz w:val="24"/>
                <w:szCs w:val="24"/>
                <w:lang w:val="en-US"/>
              </w:rPr>
              <w:t>(refer to Annexes 6 and 7 for more details)</w:t>
            </w:r>
            <w:r w:rsidRPr="00686049">
              <w:rPr>
                <w:rFonts w:asciiTheme="minorHAnsi" w:hAnsiTheme="minorHAnsi" w:cs="Corbel"/>
                <w:sz w:val="24"/>
                <w:szCs w:val="24"/>
                <w:lang w:val="en-US"/>
              </w:rPr>
              <w:t>:</w:t>
            </w:r>
          </w:p>
        </w:tc>
      </w:tr>
      <w:tr w:rsidR="00063689" w:rsidRPr="00063689" w14:paraId="1D19FFA0" w14:textId="77777777" w:rsidTr="00730D01">
        <w:tc>
          <w:tcPr>
            <w:tcW w:w="548" w:type="dxa"/>
          </w:tcPr>
          <w:p w14:paraId="01E46968" w14:textId="48CAA4A2" w:rsidR="00063689" w:rsidRPr="00063689" w:rsidRDefault="00063689" w:rsidP="008F258A">
            <w:pPr>
              <w:overflowPunct/>
              <w:spacing w:after="120"/>
              <w:jc w:val="right"/>
              <w:textAlignment w:val="auto"/>
              <w:rPr>
                <w:rFonts w:asciiTheme="minorHAnsi" w:hAnsiTheme="minorHAnsi" w:cs="Corbel"/>
                <w:color w:val="00B050"/>
                <w:szCs w:val="22"/>
                <w:lang w:val="en-US"/>
              </w:rPr>
            </w:pPr>
            <w:r w:rsidRPr="00063689">
              <w:rPr>
                <w:rFonts w:ascii="Menlo Bold" w:hAnsi="Menlo Bold" w:cs="Menlo Bold"/>
                <w:b/>
                <w:color w:val="008000"/>
                <w:szCs w:val="22"/>
                <w:lang w:val="en-US"/>
              </w:rPr>
              <w:t>✔</w:t>
            </w:r>
          </w:p>
        </w:tc>
        <w:tc>
          <w:tcPr>
            <w:tcW w:w="8694" w:type="dxa"/>
          </w:tcPr>
          <w:p w14:paraId="32AC753A" w14:textId="58544BF9" w:rsidR="00063689" w:rsidRPr="00063689" w:rsidRDefault="00063689" w:rsidP="00F97DE6">
            <w:pPr>
              <w:tabs>
                <w:tab w:val="num" w:pos="1440"/>
              </w:tabs>
              <w:overflowPunct/>
              <w:spacing w:after="120"/>
              <w:jc w:val="both"/>
              <w:textAlignment w:val="auto"/>
              <w:rPr>
                <w:rFonts w:asciiTheme="minorHAnsi" w:hAnsiTheme="minorHAnsi" w:cs="Corbel"/>
                <w:szCs w:val="22"/>
                <w:lang w:val="en-US"/>
              </w:rPr>
            </w:pPr>
            <w:r w:rsidRPr="00063689">
              <w:rPr>
                <w:rFonts w:asciiTheme="minorHAnsi" w:hAnsiTheme="minorHAnsi" w:cs="Corbel"/>
                <w:szCs w:val="22"/>
                <w:lang w:val="en-US"/>
              </w:rPr>
              <w:t xml:space="preserve">The project objective has been achieved in terms of enhancing the </w:t>
            </w:r>
            <w:r w:rsidRPr="00063689">
              <w:rPr>
                <w:rFonts w:asciiTheme="minorHAnsi" w:hAnsiTheme="minorHAnsi" w:cs="Corbel"/>
                <w:b/>
                <w:szCs w:val="22"/>
                <w:lang w:val="en-US"/>
              </w:rPr>
              <w:t>biogeographical coverage</w:t>
            </w:r>
            <w:r w:rsidRPr="00063689">
              <w:rPr>
                <w:rFonts w:asciiTheme="minorHAnsi" w:hAnsiTheme="minorHAnsi" w:cs="Corbel"/>
                <w:szCs w:val="22"/>
                <w:lang w:val="en-US"/>
              </w:rPr>
              <w:t xml:space="preserve"> of PAs to conserve Colchic Forest in the Achara Region and, to the extent of reducing the distance between fragments of such forest (‘stepping stones’) from 13 km to 6 km, </w:t>
            </w:r>
            <w:r w:rsidRPr="00063689">
              <w:rPr>
                <w:rFonts w:asciiTheme="minorHAnsi" w:hAnsiTheme="minorHAnsi" w:cs="Corbel"/>
                <w:b/>
                <w:szCs w:val="22"/>
                <w:lang w:val="en-US"/>
              </w:rPr>
              <w:t>connectivity</w:t>
            </w:r>
            <w:r w:rsidRPr="00063689">
              <w:rPr>
                <w:rFonts w:asciiTheme="minorHAnsi" w:hAnsiTheme="minorHAnsi" w:cs="Corbel"/>
                <w:szCs w:val="22"/>
                <w:lang w:val="en-US"/>
              </w:rPr>
              <w:t xml:space="preserve"> has been enhanced.</w:t>
            </w:r>
          </w:p>
        </w:tc>
      </w:tr>
      <w:tr w:rsidR="00063689" w:rsidRPr="00063689" w14:paraId="2E08F7E6" w14:textId="77777777" w:rsidTr="00730D01">
        <w:tc>
          <w:tcPr>
            <w:tcW w:w="548" w:type="dxa"/>
          </w:tcPr>
          <w:p w14:paraId="591B27D2" w14:textId="211AB90A" w:rsidR="00063689" w:rsidRPr="00063689" w:rsidRDefault="00063689" w:rsidP="008F258A">
            <w:pPr>
              <w:overflowPunct/>
              <w:spacing w:after="120"/>
              <w:jc w:val="right"/>
              <w:textAlignment w:val="auto"/>
              <w:rPr>
                <w:rFonts w:asciiTheme="minorHAnsi" w:hAnsiTheme="minorHAnsi" w:cs="Corbel"/>
                <w:color w:val="00B050"/>
                <w:szCs w:val="22"/>
                <w:lang w:val="en-US"/>
              </w:rPr>
            </w:pPr>
            <w:r w:rsidRPr="00063689">
              <w:rPr>
                <w:rFonts w:ascii="Menlo Bold" w:hAnsi="Menlo Bold" w:cs="Menlo Bold"/>
                <w:b/>
                <w:color w:val="008000"/>
                <w:szCs w:val="22"/>
                <w:lang w:val="en-US"/>
              </w:rPr>
              <w:t>✔</w:t>
            </w:r>
          </w:p>
        </w:tc>
        <w:tc>
          <w:tcPr>
            <w:tcW w:w="8694" w:type="dxa"/>
          </w:tcPr>
          <w:p w14:paraId="01D39BB4" w14:textId="0CF81FC0" w:rsidR="00063689" w:rsidRPr="00063689" w:rsidRDefault="00063689" w:rsidP="00F97DE6">
            <w:pPr>
              <w:tabs>
                <w:tab w:val="num" w:pos="1440"/>
              </w:tabs>
              <w:overflowPunct/>
              <w:spacing w:after="120"/>
              <w:jc w:val="both"/>
              <w:textAlignment w:val="auto"/>
              <w:rPr>
                <w:rFonts w:asciiTheme="minorHAnsi" w:hAnsiTheme="minorHAnsi" w:cs="Corbel"/>
                <w:szCs w:val="22"/>
                <w:lang w:val="en-US"/>
              </w:rPr>
            </w:pPr>
            <w:r w:rsidRPr="00063689">
              <w:rPr>
                <w:rFonts w:asciiTheme="minorHAnsi" w:hAnsiTheme="minorHAnsi" w:cs="Corbel"/>
                <w:b/>
                <w:szCs w:val="22"/>
                <w:lang w:val="en-US"/>
              </w:rPr>
              <w:t>Management effectiveness</w:t>
            </w:r>
            <w:r w:rsidRPr="00063689">
              <w:rPr>
                <w:rFonts w:asciiTheme="minorHAnsi" w:hAnsiTheme="minorHAnsi" w:cs="Corbel"/>
                <w:szCs w:val="22"/>
                <w:lang w:val="en-US"/>
              </w:rPr>
              <w:t xml:space="preserve"> has also been enhanced, </w:t>
            </w:r>
            <w:r>
              <w:rPr>
                <w:rFonts w:asciiTheme="minorHAnsi" w:hAnsiTheme="minorHAnsi" w:cs="Corbel"/>
                <w:szCs w:val="22"/>
                <w:lang w:val="en-US"/>
              </w:rPr>
              <w:t xml:space="preserve">principally under Outcome 1, </w:t>
            </w:r>
            <w:r w:rsidRPr="00063689">
              <w:rPr>
                <w:rFonts w:asciiTheme="minorHAnsi" w:hAnsiTheme="minorHAnsi" w:cs="Corbel"/>
                <w:szCs w:val="22"/>
                <w:lang w:val="en-US"/>
              </w:rPr>
              <w:t xml:space="preserve">with METT targets realized and in most cases exceeded for the 4 target PAs. </w:t>
            </w:r>
            <w:r>
              <w:rPr>
                <w:rFonts w:asciiTheme="minorHAnsi" w:hAnsiTheme="minorHAnsi" w:cs="Corbel"/>
                <w:szCs w:val="22"/>
                <w:lang w:val="en-US"/>
              </w:rPr>
              <w:t xml:space="preserve">Outcome 2 was focused </w:t>
            </w:r>
            <w:r>
              <w:rPr>
                <w:rFonts w:asciiTheme="minorHAnsi" w:hAnsiTheme="minorHAnsi" w:cs="Corbel"/>
                <w:szCs w:val="22"/>
                <w:lang w:val="en-US"/>
              </w:rPr>
              <w:lastRenderedPageBreak/>
              <w:t xml:space="preserve">predominantly on Machakhela NP, enabling it to </w:t>
            </w:r>
            <w:r w:rsidR="00071874">
              <w:rPr>
                <w:rFonts w:asciiTheme="minorHAnsi" w:hAnsiTheme="minorHAnsi" w:cs="Corbel"/>
                <w:szCs w:val="22"/>
                <w:lang w:val="en-US"/>
              </w:rPr>
              <w:t xml:space="preserve">begin to </w:t>
            </w:r>
            <w:r>
              <w:rPr>
                <w:rFonts w:asciiTheme="minorHAnsi" w:hAnsiTheme="minorHAnsi" w:cs="Corbel"/>
                <w:szCs w:val="22"/>
                <w:lang w:val="en-US"/>
              </w:rPr>
              <w:t>function effectively</w:t>
            </w:r>
            <w:r w:rsidR="00686049">
              <w:rPr>
                <w:rFonts w:asciiTheme="minorHAnsi" w:hAnsiTheme="minorHAnsi" w:cs="Corbel"/>
                <w:szCs w:val="22"/>
                <w:lang w:val="en-US"/>
              </w:rPr>
              <w:t xml:space="preserve"> as a PA through drawing up its boundaries and planning its management, all of which was undertaken in a participatory manner with local communities and other stakeholders.</w:t>
            </w:r>
          </w:p>
        </w:tc>
      </w:tr>
      <w:tr w:rsidR="00686049" w:rsidRPr="00063689" w14:paraId="03532DC0" w14:textId="77777777" w:rsidTr="00730D01">
        <w:tc>
          <w:tcPr>
            <w:tcW w:w="548" w:type="dxa"/>
          </w:tcPr>
          <w:p w14:paraId="25779AB5" w14:textId="706C9749" w:rsidR="00686049" w:rsidRPr="00063689" w:rsidRDefault="00686049" w:rsidP="008F258A">
            <w:pPr>
              <w:overflowPunct/>
              <w:spacing w:after="120"/>
              <w:jc w:val="right"/>
              <w:textAlignment w:val="auto"/>
              <w:rPr>
                <w:rFonts w:ascii="Menlo Bold" w:hAnsi="Menlo Bold" w:cs="Menlo Bold"/>
                <w:b/>
                <w:color w:val="008000"/>
                <w:szCs w:val="22"/>
                <w:lang w:val="en-US"/>
              </w:rPr>
            </w:pPr>
            <w:r w:rsidRPr="00063689">
              <w:rPr>
                <w:rFonts w:ascii="Menlo Bold" w:hAnsi="Menlo Bold" w:cs="Menlo Bold"/>
                <w:b/>
                <w:color w:val="008000"/>
                <w:szCs w:val="22"/>
                <w:lang w:val="en-US"/>
              </w:rPr>
              <w:lastRenderedPageBreak/>
              <w:t>✔</w:t>
            </w:r>
          </w:p>
        </w:tc>
        <w:tc>
          <w:tcPr>
            <w:tcW w:w="8694" w:type="dxa"/>
          </w:tcPr>
          <w:p w14:paraId="7876DEED" w14:textId="6312416F" w:rsidR="00686049" w:rsidRPr="00730D01" w:rsidRDefault="00F4167D" w:rsidP="00730D01">
            <w:pPr>
              <w:tabs>
                <w:tab w:val="num" w:pos="1440"/>
              </w:tabs>
              <w:overflowPunct/>
              <w:spacing w:after="120"/>
              <w:jc w:val="both"/>
              <w:textAlignment w:val="auto"/>
              <w:rPr>
                <w:rFonts w:asciiTheme="minorHAnsi" w:hAnsiTheme="minorHAnsi" w:cs="Corbel"/>
                <w:szCs w:val="22"/>
                <w:lang w:val="en-US"/>
              </w:rPr>
            </w:pPr>
            <w:r>
              <w:rPr>
                <w:rFonts w:asciiTheme="minorHAnsi" w:hAnsiTheme="minorHAnsi" w:cs="Corbel"/>
                <w:szCs w:val="22"/>
                <w:lang w:val="en-US"/>
              </w:rPr>
              <w:t xml:space="preserve">Although </w:t>
            </w:r>
            <w:r w:rsidR="002675C5">
              <w:rPr>
                <w:rFonts w:asciiTheme="minorHAnsi" w:hAnsiTheme="minorHAnsi" w:cs="Corbel"/>
                <w:szCs w:val="22"/>
                <w:lang w:val="en-US"/>
              </w:rPr>
              <w:t xml:space="preserve">the target for designating </w:t>
            </w:r>
            <w:r>
              <w:rPr>
                <w:rFonts w:asciiTheme="minorHAnsi" w:hAnsiTheme="minorHAnsi" w:cs="Corbel"/>
                <w:szCs w:val="22"/>
                <w:lang w:val="en-US"/>
              </w:rPr>
              <w:t xml:space="preserve">Machakhela as a 8,733ha NP </w:t>
            </w:r>
            <w:r w:rsidR="002675C5">
              <w:rPr>
                <w:rFonts w:asciiTheme="minorHAnsi" w:hAnsiTheme="minorHAnsi" w:cs="Corbel"/>
                <w:szCs w:val="22"/>
                <w:lang w:val="en-US"/>
              </w:rPr>
              <w:t xml:space="preserve">was met </w:t>
            </w:r>
            <w:r>
              <w:rPr>
                <w:rFonts w:asciiTheme="minorHAnsi" w:hAnsiTheme="minorHAnsi" w:cs="Corbel"/>
                <w:szCs w:val="22"/>
                <w:lang w:val="en-US"/>
              </w:rPr>
              <w:t>in 2015</w:t>
            </w:r>
            <w:r w:rsidR="002675C5">
              <w:rPr>
                <w:rFonts w:asciiTheme="minorHAnsi" w:hAnsiTheme="minorHAnsi" w:cs="Corbel"/>
                <w:szCs w:val="22"/>
                <w:lang w:val="en-US"/>
              </w:rPr>
              <w:t>, the area was reduced to 7,333.18 ha following the boundary review</w:t>
            </w:r>
            <w:r>
              <w:rPr>
                <w:rFonts w:asciiTheme="minorHAnsi" w:hAnsiTheme="minorHAnsi" w:cs="Corbel"/>
                <w:szCs w:val="22"/>
                <w:lang w:val="en-US"/>
              </w:rPr>
              <w:t xml:space="preserve"> </w:t>
            </w:r>
            <w:r w:rsidR="002675C5">
              <w:rPr>
                <w:rFonts w:asciiTheme="minorHAnsi" w:hAnsiTheme="minorHAnsi" w:cs="Corbel"/>
                <w:szCs w:val="22"/>
                <w:lang w:val="en-US"/>
              </w:rPr>
              <w:t xml:space="preserve">in order to address community livelihood needs for fuelwood and agricultural land. The ensuing debate about an appropriate PA model for managing the lower populated valleys in Machakhela has led to the proposed Machakhela Protected Landscape that, once designated, will not only exceed the original target in terms of PA coverage but also address local livelihood needs in a more sustainable manner than envisaged in the ProDoc. </w:t>
            </w:r>
            <w:r w:rsidR="00730D01">
              <w:rPr>
                <w:rFonts w:asciiTheme="minorHAnsi" w:hAnsiTheme="minorHAnsi" w:cs="Corbel"/>
                <w:szCs w:val="22"/>
                <w:lang w:val="en-US"/>
              </w:rPr>
              <w:t xml:space="preserve">This is a </w:t>
            </w:r>
            <w:r w:rsidR="00730D01" w:rsidRPr="00730D01">
              <w:rPr>
                <w:rFonts w:asciiTheme="minorHAnsi" w:hAnsiTheme="minorHAnsi" w:cs="Corbel"/>
                <w:b/>
                <w:szCs w:val="22"/>
                <w:lang w:val="en-US"/>
              </w:rPr>
              <w:t>potential post-project coup</w:t>
            </w:r>
            <w:r w:rsidR="00730D01">
              <w:rPr>
                <w:rFonts w:asciiTheme="minorHAnsi" w:hAnsiTheme="minorHAnsi" w:cs="Corbel"/>
                <w:szCs w:val="22"/>
                <w:lang w:val="en-US"/>
              </w:rPr>
              <w:t xml:space="preserve"> that is likely to be realized sometime in 2019.</w:t>
            </w:r>
          </w:p>
        </w:tc>
      </w:tr>
      <w:tr w:rsidR="00071874" w:rsidRPr="00063689" w14:paraId="059BCF87" w14:textId="77777777" w:rsidTr="00730D01">
        <w:tc>
          <w:tcPr>
            <w:tcW w:w="548" w:type="dxa"/>
          </w:tcPr>
          <w:p w14:paraId="6EC26B52" w14:textId="671A2DB5" w:rsidR="00071874" w:rsidRPr="00063689" w:rsidRDefault="00071874" w:rsidP="00C0678F">
            <w:pPr>
              <w:overflowPunct/>
              <w:spacing w:after="120"/>
              <w:jc w:val="right"/>
              <w:textAlignment w:val="auto"/>
              <w:rPr>
                <w:rFonts w:ascii="Menlo Bold" w:hAnsi="Menlo Bold" w:cs="Menlo Bold"/>
                <w:b/>
                <w:color w:val="FF0000"/>
                <w:szCs w:val="22"/>
                <w:lang w:val="en-US"/>
              </w:rPr>
            </w:pPr>
            <w:r w:rsidRPr="00063689">
              <w:rPr>
                <w:rFonts w:ascii="Menlo Bold" w:hAnsi="Menlo Bold" w:cs="Menlo Bold"/>
                <w:b/>
                <w:color w:val="FF0000"/>
                <w:szCs w:val="22"/>
                <w:lang w:val="en-US"/>
              </w:rPr>
              <w:t>✖</w:t>
            </w:r>
          </w:p>
        </w:tc>
        <w:tc>
          <w:tcPr>
            <w:tcW w:w="8694" w:type="dxa"/>
          </w:tcPr>
          <w:p w14:paraId="339C1343" w14:textId="180A2F87" w:rsidR="003A6F70" w:rsidRPr="003A6F70" w:rsidRDefault="003A6F70" w:rsidP="003A6F70">
            <w:pPr>
              <w:overflowPunct/>
              <w:spacing w:before="60" w:after="60"/>
              <w:jc w:val="both"/>
              <w:textAlignment w:val="auto"/>
              <w:rPr>
                <w:rFonts w:asciiTheme="minorHAnsi" w:hAnsiTheme="minorHAnsi" w:cs="Corbel"/>
              </w:rPr>
            </w:pPr>
            <w:r w:rsidRPr="003A6F70">
              <w:rPr>
                <w:rFonts w:asciiTheme="minorHAnsi" w:hAnsiTheme="minorHAnsi" w:cs="Corbel"/>
                <w:b/>
                <w:szCs w:val="22"/>
                <w:lang w:val="en-US"/>
              </w:rPr>
              <w:t>PA Administrations:</w:t>
            </w:r>
            <w:r w:rsidR="00071874">
              <w:rPr>
                <w:rFonts w:asciiTheme="minorHAnsi" w:hAnsiTheme="minorHAnsi" w:cs="Corbel"/>
                <w:szCs w:val="22"/>
                <w:lang w:val="en-US"/>
              </w:rPr>
              <w:t xml:space="preserve"> </w:t>
            </w:r>
            <w:r>
              <w:rPr>
                <w:rFonts w:asciiTheme="minorHAnsi" w:hAnsiTheme="minorHAnsi" w:cs="Corbel"/>
                <w:szCs w:val="22"/>
                <w:lang w:val="en-US"/>
              </w:rPr>
              <w:t xml:space="preserve">There remains a fundamental issue </w:t>
            </w:r>
            <w:r>
              <w:rPr>
                <w:rFonts w:asciiTheme="minorHAnsi" w:hAnsiTheme="minorHAnsi" w:cs="Corbel"/>
              </w:rPr>
              <w:t xml:space="preserve">that the national PAs network continues to be highly centralized with respect to planning and delivery of management within individual PAs. As highlighted in the ProDoc: “… </w:t>
            </w:r>
            <w:r w:rsidRPr="00D4095E">
              <w:rPr>
                <w:rFonts w:asciiTheme="minorHAnsi" w:hAnsiTheme="minorHAnsi" w:cs="Corbel"/>
                <w:i/>
              </w:rPr>
              <w:t>an important prerequisite for PA Administrations to successfully implement management planning is the ability to apply adaptive management. A plan is just a systematic basis for trying to achieve desired objectives and … will require changes and refinements in order … to successfully achieve the desired management objectives set out in plans. Failure to adapt management in response to implementation realities will compromise both the effectiveness to achieve planned objectives and the cost efficiency of PA actions. However, currently PA Administrations face two barriers to being able to apply adaptive management a) they lack the capacity, experience and confidence to adapt management in response to changing conditions b) they lack the opportunity due to the current highly centralization nature of management planning and operations in Georgia.</w:t>
            </w:r>
            <w:r w:rsidRPr="00D4095E">
              <w:rPr>
                <w:rFonts w:asciiTheme="minorHAnsi" w:hAnsiTheme="minorHAnsi" w:cs="Corbel"/>
              </w:rPr>
              <w:t>”</w:t>
            </w:r>
            <w:r>
              <w:rPr>
                <w:rFonts w:asciiTheme="minorHAnsi" w:hAnsiTheme="minorHAnsi" w:cs="Corbel"/>
              </w:rPr>
              <w:t xml:space="preserve"> While the project has been able to address barrier (a) to some extent through training and other forms of capacity building, barrier (b) persists and PA Administrations continue to have little of no autonomy, with no delegated powers or decision-making board for their own PA and no direct access and control over their respective budgets. This is crippling effective and efficient management and undermining the value and potential of other investments in individual PAs and the PA network as a whole.</w:t>
            </w:r>
          </w:p>
        </w:tc>
      </w:tr>
      <w:tr w:rsidR="00686049" w:rsidRPr="00063689" w14:paraId="6C442A69" w14:textId="77777777" w:rsidTr="00730D01">
        <w:tc>
          <w:tcPr>
            <w:tcW w:w="548" w:type="dxa"/>
          </w:tcPr>
          <w:p w14:paraId="1017B68D" w14:textId="1015E413" w:rsidR="00686049" w:rsidRPr="00063689" w:rsidRDefault="00071874" w:rsidP="00C0678F">
            <w:pPr>
              <w:overflowPunct/>
              <w:spacing w:after="120"/>
              <w:jc w:val="right"/>
              <w:textAlignment w:val="auto"/>
              <w:rPr>
                <w:rFonts w:asciiTheme="minorHAnsi" w:hAnsiTheme="minorHAnsi" w:cs="Corbel"/>
                <w:color w:val="C00000"/>
                <w:szCs w:val="22"/>
                <w:lang w:val="en-US"/>
              </w:rPr>
            </w:pPr>
            <w:r w:rsidRPr="00063689">
              <w:rPr>
                <w:rFonts w:ascii="Menlo Bold" w:hAnsi="Menlo Bold" w:cs="Menlo Bold"/>
                <w:b/>
                <w:color w:val="FF0000"/>
                <w:szCs w:val="22"/>
                <w:lang w:val="en-US"/>
              </w:rPr>
              <w:t>✖</w:t>
            </w:r>
          </w:p>
        </w:tc>
        <w:tc>
          <w:tcPr>
            <w:tcW w:w="8694" w:type="dxa"/>
          </w:tcPr>
          <w:p w14:paraId="377D2A3B" w14:textId="1759F435" w:rsidR="00043C2A" w:rsidRPr="00043C2A" w:rsidRDefault="003A6F70" w:rsidP="00043C2A">
            <w:pPr>
              <w:spacing w:after="60" w:line="240" w:lineRule="atLeast"/>
              <w:jc w:val="both"/>
              <w:rPr>
                <w:rFonts w:asciiTheme="minorHAnsi" w:hAnsiTheme="minorHAnsi" w:cs="Corbel"/>
              </w:rPr>
            </w:pPr>
            <w:r w:rsidRPr="00043C2A">
              <w:rPr>
                <w:rFonts w:asciiTheme="minorHAnsi" w:hAnsiTheme="minorHAnsi" w:cs="Corbel"/>
              </w:rPr>
              <w:t xml:space="preserve">Unsurprisingly, therefore, are </w:t>
            </w:r>
            <w:r w:rsidR="00043C2A">
              <w:rPr>
                <w:rFonts w:asciiTheme="minorHAnsi" w:hAnsiTheme="minorHAnsi" w:cs="Corbel"/>
              </w:rPr>
              <w:t>several</w:t>
            </w:r>
            <w:r w:rsidR="001D3AB9" w:rsidRPr="00043C2A">
              <w:rPr>
                <w:rFonts w:asciiTheme="minorHAnsi" w:hAnsiTheme="minorHAnsi" w:cs="Corbel"/>
              </w:rPr>
              <w:t xml:space="preserve"> shortcomings</w:t>
            </w:r>
            <w:r w:rsidR="00730D01" w:rsidRPr="00043C2A">
              <w:rPr>
                <w:rFonts w:asciiTheme="minorHAnsi" w:hAnsiTheme="minorHAnsi" w:cs="Corbel"/>
              </w:rPr>
              <w:t xml:space="preserve"> </w:t>
            </w:r>
            <w:r w:rsidR="00043C2A">
              <w:rPr>
                <w:rFonts w:asciiTheme="minorHAnsi" w:hAnsiTheme="minorHAnsi" w:cs="Corbel"/>
              </w:rPr>
              <w:t>with</w:t>
            </w:r>
            <w:r w:rsidRPr="00043C2A">
              <w:rPr>
                <w:rFonts w:asciiTheme="minorHAnsi" w:hAnsiTheme="minorHAnsi" w:cs="Corbel"/>
              </w:rPr>
              <w:t xml:space="preserve"> initiatives introduced by the project because these </w:t>
            </w:r>
            <w:r w:rsidR="00730D01" w:rsidRPr="00043C2A">
              <w:rPr>
                <w:rFonts w:asciiTheme="minorHAnsi" w:hAnsiTheme="minorHAnsi" w:cs="Corbel"/>
              </w:rPr>
              <w:t>are part of a change process</w:t>
            </w:r>
            <w:r w:rsidR="005B49B0" w:rsidRPr="00043C2A">
              <w:rPr>
                <w:rFonts w:asciiTheme="minorHAnsi" w:hAnsiTheme="minorHAnsi" w:cs="Corbel"/>
              </w:rPr>
              <w:t xml:space="preserve"> </w:t>
            </w:r>
            <w:r w:rsidR="00043C2A">
              <w:rPr>
                <w:rFonts w:asciiTheme="minorHAnsi" w:hAnsiTheme="minorHAnsi" w:cs="Corbel"/>
              </w:rPr>
              <w:t>concerning</w:t>
            </w:r>
            <w:r w:rsidR="005B49B0" w:rsidRPr="00043C2A">
              <w:rPr>
                <w:rFonts w:asciiTheme="minorHAnsi" w:hAnsiTheme="minorHAnsi" w:cs="Corbel"/>
              </w:rPr>
              <w:t xml:space="preserve"> the autonomy of PA administrations and governance of PAs</w:t>
            </w:r>
            <w:r w:rsidR="001D3AB9" w:rsidRPr="00043C2A">
              <w:rPr>
                <w:rFonts w:asciiTheme="minorHAnsi" w:hAnsiTheme="minorHAnsi" w:cs="Corbel"/>
              </w:rPr>
              <w:t xml:space="preserve">, </w:t>
            </w:r>
            <w:r w:rsidR="00730D01" w:rsidRPr="00043C2A">
              <w:rPr>
                <w:rFonts w:asciiTheme="minorHAnsi" w:hAnsiTheme="minorHAnsi" w:cs="Corbel"/>
              </w:rPr>
              <w:t>requir</w:t>
            </w:r>
            <w:r w:rsidR="001D3AB9" w:rsidRPr="00043C2A">
              <w:rPr>
                <w:rFonts w:asciiTheme="minorHAnsi" w:hAnsiTheme="minorHAnsi" w:cs="Corbel"/>
              </w:rPr>
              <w:t>ing</w:t>
            </w:r>
            <w:r w:rsidR="00730D01" w:rsidRPr="00043C2A">
              <w:rPr>
                <w:rFonts w:asciiTheme="minorHAnsi" w:hAnsiTheme="minorHAnsi" w:cs="Corbel"/>
              </w:rPr>
              <w:t xml:space="preserve"> time t</w:t>
            </w:r>
            <w:r w:rsidR="00DD1963" w:rsidRPr="00043C2A">
              <w:rPr>
                <w:rFonts w:asciiTheme="minorHAnsi" w:hAnsiTheme="minorHAnsi" w:cs="Corbel"/>
              </w:rPr>
              <w:t xml:space="preserve">o </w:t>
            </w:r>
            <w:r w:rsidRPr="00043C2A">
              <w:rPr>
                <w:rFonts w:asciiTheme="minorHAnsi" w:hAnsiTheme="minorHAnsi" w:cs="Corbel"/>
              </w:rPr>
              <w:t xml:space="preserve">be </w:t>
            </w:r>
            <w:r w:rsidR="00DD1963" w:rsidRPr="00043C2A">
              <w:rPr>
                <w:rFonts w:asciiTheme="minorHAnsi" w:hAnsiTheme="minorHAnsi" w:cs="Corbel"/>
              </w:rPr>
              <w:t>pilot</w:t>
            </w:r>
            <w:r w:rsidRPr="00043C2A">
              <w:rPr>
                <w:rFonts w:asciiTheme="minorHAnsi" w:hAnsiTheme="minorHAnsi" w:cs="Corbel"/>
              </w:rPr>
              <w:t>ed</w:t>
            </w:r>
            <w:r w:rsidR="00DD1963" w:rsidRPr="00043C2A">
              <w:rPr>
                <w:rFonts w:asciiTheme="minorHAnsi" w:hAnsiTheme="minorHAnsi" w:cs="Corbel"/>
              </w:rPr>
              <w:t>, monitor</w:t>
            </w:r>
            <w:r w:rsidRPr="00043C2A">
              <w:rPr>
                <w:rFonts w:asciiTheme="minorHAnsi" w:hAnsiTheme="minorHAnsi" w:cs="Corbel"/>
              </w:rPr>
              <w:t>ed</w:t>
            </w:r>
            <w:r w:rsidR="00DD1963" w:rsidRPr="00043C2A">
              <w:rPr>
                <w:rFonts w:asciiTheme="minorHAnsi" w:hAnsiTheme="minorHAnsi" w:cs="Corbel"/>
              </w:rPr>
              <w:t xml:space="preserve">, </w:t>
            </w:r>
            <w:r w:rsidRPr="00043C2A">
              <w:rPr>
                <w:rFonts w:asciiTheme="minorHAnsi" w:hAnsiTheme="minorHAnsi" w:cs="Corbel"/>
              </w:rPr>
              <w:t xml:space="preserve">reviewed </w:t>
            </w:r>
            <w:r w:rsidR="00730D01" w:rsidRPr="00043C2A">
              <w:rPr>
                <w:rFonts w:asciiTheme="minorHAnsi" w:hAnsiTheme="minorHAnsi" w:cs="Corbel"/>
              </w:rPr>
              <w:t>and refine</w:t>
            </w:r>
            <w:r w:rsidRPr="00043C2A">
              <w:rPr>
                <w:rFonts w:asciiTheme="minorHAnsi" w:hAnsiTheme="minorHAnsi" w:cs="Corbel"/>
              </w:rPr>
              <w:t>d</w:t>
            </w:r>
            <w:r w:rsidR="001D3AB9" w:rsidRPr="00043C2A">
              <w:rPr>
                <w:rFonts w:asciiTheme="minorHAnsi" w:hAnsiTheme="minorHAnsi" w:cs="Corbel"/>
              </w:rPr>
              <w:t xml:space="preserve">. </w:t>
            </w:r>
            <w:r w:rsidR="00043C2A" w:rsidRPr="00043C2A">
              <w:rPr>
                <w:rFonts w:asciiTheme="minorHAnsi" w:hAnsiTheme="minorHAnsi" w:cs="Corbel"/>
              </w:rPr>
              <w:t>A key example is participatory management involving the local community and other stakeholders, which has improved significantly but requires further attention as outlined below.</w:t>
            </w:r>
          </w:p>
          <w:p w14:paraId="29B4B8DF" w14:textId="53CA8F5F" w:rsidR="00084856" w:rsidRPr="00084856" w:rsidRDefault="00131853" w:rsidP="0067558E">
            <w:pPr>
              <w:pStyle w:val="ListParagraph"/>
              <w:numPr>
                <w:ilvl w:val="0"/>
                <w:numId w:val="18"/>
              </w:numPr>
              <w:spacing w:after="60" w:line="240" w:lineRule="atLeast"/>
              <w:ind w:left="301" w:hanging="301"/>
              <w:jc w:val="both"/>
              <w:rPr>
                <w:rFonts w:asciiTheme="minorHAnsi" w:hAnsiTheme="minorHAnsi" w:cs="Corbel"/>
                <w:b/>
              </w:rPr>
            </w:pPr>
            <w:r w:rsidRPr="00131853">
              <w:rPr>
                <w:b/>
              </w:rPr>
              <w:t xml:space="preserve">Engaging local communities in PA governance: </w:t>
            </w:r>
            <w:r>
              <w:rPr>
                <w:rFonts w:asciiTheme="minorHAnsi" w:hAnsiTheme="minorHAnsi" w:cs="Corbel"/>
              </w:rPr>
              <w:t xml:space="preserve">The former </w:t>
            </w:r>
            <w:r w:rsidR="00422719">
              <w:rPr>
                <w:rFonts w:asciiTheme="minorHAnsi" w:hAnsiTheme="minorHAnsi" w:cs="Corbel"/>
              </w:rPr>
              <w:t xml:space="preserve">PA </w:t>
            </w:r>
            <w:r w:rsidRPr="00131853">
              <w:rPr>
                <w:rFonts w:asciiTheme="minorHAnsi" w:hAnsiTheme="minorHAnsi" w:cs="Corbel"/>
              </w:rPr>
              <w:t xml:space="preserve">Scientific Advisory </w:t>
            </w:r>
            <w:r w:rsidRPr="00422719">
              <w:rPr>
                <w:rFonts w:asciiTheme="minorHAnsi" w:hAnsiTheme="minorHAnsi" w:cs="Corbel"/>
              </w:rPr>
              <w:t>Committees</w:t>
            </w:r>
            <w:r w:rsidR="00422719">
              <w:rPr>
                <w:rFonts w:asciiTheme="minorHAnsi" w:hAnsiTheme="minorHAnsi" w:cs="Corbel"/>
              </w:rPr>
              <w:t>, which were focused purely on the science necessary to inform ecological management and had become all but defunct,</w:t>
            </w:r>
            <w:r w:rsidRPr="00422719">
              <w:rPr>
                <w:rFonts w:asciiTheme="minorHAnsi" w:hAnsiTheme="minorHAnsi" w:cs="Corbel"/>
              </w:rPr>
              <w:t xml:space="preserve"> </w:t>
            </w:r>
            <w:r w:rsidR="00422719" w:rsidRPr="00422719">
              <w:rPr>
                <w:rFonts w:asciiTheme="minorHAnsi" w:hAnsiTheme="minorHAnsi" w:cs="Corbel"/>
              </w:rPr>
              <w:t>were replaced</w:t>
            </w:r>
            <w:r w:rsidR="00422719">
              <w:rPr>
                <w:rFonts w:asciiTheme="minorHAnsi" w:hAnsiTheme="minorHAnsi" w:cs="Corbel"/>
                <w:b/>
              </w:rPr>
              <w:t xml:space="preserve"> </w:t>
            </w:r>
            <w:r w:rsidR="00422719" w:rsidRPr="00422719">
              <w:rPr>
                <w:rFonts w:asciiTheme="minorHAnsi" w:hAnsiTheme="minorHAnsi" w:cs="Corbel"/>
              </w:rPr>
              <w:t>by</w:t>
            </w:r>
            <w:r w:rsidR="00422719">
              <w:rPr>
                <w:rFonts w:asciiTheme="minorHAnsi" w:hAnsiTheme="minorHAnsi" w:cs="Corbel"/>
              </w:rPr>
              <w:t xml:space="preserve"> Advisory Councils</w:t>
            </w:r>
            <w:r w:rsidR="00084856">
              <w:rPr>
                <w:rFonts w:asciiTheme="minorHAnsi" w:hAnsiTheme="minorHAnsi" w:cs="Corbel"/>
              </w:rPr>
              <w:t xml:space="preserve"> that include a much wider range of stakeholders including committee representatives. Observations suggest that these have yet to become fully functional. In the case of some PA Administrations, meetings are held irregularly and at the decisi</w:t>
            </w:r>
            <w:r w:rsidR="00F94BF5">
              <w:rPr>
                <w:rFonts w:asciiTheme="minorHAnsi" w:hAnsiTheme="minorHAnsi" w:cs="Corbel"/>
              </w:rPr>
              <w:t>on of the Director; they tend</w:t>
            </w:r>
            <w:r w:rsidR="00084856">
              <w:rPr>
                <w:rFonts w:asciiTheme="minorHAnsi" w:hAnsiTheme="minorHAnsi" w:cs="Corbel"/>
              </w:rPr>
              <w:t xml:space="preserve"> to be </w:t>
            </w:r>
            <w:r w:rsidR="00F94BF5">
              <w:rPr>
                <w:rFonts w:asciiTheme="minorHAnsi" w:hAnsiTheme="minorHAnsi" w:cs="Corbel"/>
              </w:rPr>
              <w:t xml:space="preserve">narrowly focused </w:t>
            </w:r>
            <w:r w:rsidR="00084856">
              <w:rPr>
                <w:rFonts w:asciiTheme="minorHAnsi" w:hAnsiTheme="minorHAnsi" w:cs="Corbel"/>
              </w:rPr>
              <w:t xml:space="preserve">on NP interests and matters of conflict between the PA and its resident/nearby communities; and they lack structure and a proper framework that is tied into the management plan and annual work </w:t>
            </w:r>
            <w:r w:rsidR="007231B5">
              <w:rPr>
                <w:rFonts w:asciiTheme="minorHAnsi" w:hAnsiTheme="minorHAnsi" w:cs="Corbel"/>
              </w:rPr>
              <w:t>plan</w:t>
            </w:r>
            <w:r w:rsidR="00084856">
              <w:rPr>
                <w:rFonts w:asciiTheme="minorHAnsi" w:hAnsiTheme="minorHAnsi" w:cs="Corbel"/>
              </w:rPr>
              <w:t xml:space="preserve"> or</w:t>
            </w:r>
            <w:r w:rsidR="007231B5">
              <w:rPr>
                <w:rFonts w:asciiTheme="minorHAnsi" w:hAnsiTheme="minorHAnsi" w:cs="Corbel"/>
              </w:rPr>
              <w:t xml:space="preserve"> </w:t>
            </w:r>
            <w:r w:rsidR="00084856">
              <w:rPr>
                <w:rFonts w:asciiTheme="minorHAnsi" w:hAnsiTheme="minorHAnsi" w:cs="Corbel"/>
              </w:rPr>
              <w:t>equivalent.</w:t>
            </w:r>
            <w:r w:rsidR="007231B5">
              <w:rPr>
                <w:rFonts w:asciiTheme="minorHAnsi" w:hAnsiTheme="minorHAnsi" w:cs="Corbel"/>
              </w:rPr>
              <w:t xml:space="preserve"> Mutual accountability between the PA and its Advisory Council has yet to be realized.</w:t>
            </w:r>
          </w:p>
          <w:p w14:paraId="78C30282" w14:textId="1EDB0EEA" w:rsidR="00686049" w:rsidRPr="00131853" w:rsidRDefault="00084856" w:rsidP="00961D8E">
            <w:pPr>
              <w:pStyle w:val="ListParagraph"/>
              <w:numPr>
                <w:ilvl w:val="0"/>
                <w:numId w:val="18"/>
              </w:numPr>
              <w:spacing w:after="60" w:line="240" w:lineRule="atLeast"/>
              <w:ind w:left="301" w:hanging="301"/>
              <w:jc w:val="both"/>
              <w:rPr>
                <w:rFonts w:asciiTheme="minorHAnsi" w:hAnsiTheme="minorHAnsi" w:cs="Corbel"/>
                <w:b/>
              </w:rPr>
            </w:pPr>
            <w:r>
              <w:rPr>
                <w:b/>
              </w:rPr>
              <w:t xml:space="preserve">Friends Associations: </w:t>
            </w:r>
            <w:r w:rsidRPr="007231B5">
              <w:t xml:space="preserve">Similarly, </w:t>
            </w:r>
            <w:r w:rsidR="007231B5">
              <w:t>two of these have been establi</w:t>
            </w:r>
            <w:r w:rsidR="007231B5" w:rsidRPr="007231B5">
              <w:t>shed</w:t>
            </w:r>
            <w:r w:rsidR="007304C1">
              <w:t xml:space="preserve"> recently</w:t>
            </w:r>
            <w:r w:rsidR="007231B5">
              <w:t>, initially one for</w:t>
            </w:r>
            <w:r w:rsidR="007231B5" w:rsidRPr="007231B5">
              <w:t xml:space="preserve"> Kintrishi </w:t>
            </w:r>
            <w:r w:rsidR="007304C1">
              <w:t xml:space="preserve">by KfW under the SSPA project </w:t>
            </w:r>
            <w:r w:rsidR="007231B5">
              <w:t>and, more recent</w:t>
            </w:r>
            <w:r w:rsidR="007304C1">
              <w:t>l</w:t>
            </w:r>
            <w:r w:rsidR="007231B5">
              <w:t>y, a second for</w:t>
            </w:r>
            <w:r w:rsidR="007304C1">
              <w:t xml:space="preserve"> </w:t>
            </w:r>
            <w:r w:rsidR="007231B5">
              <w:t>Mtiral</w:t>
            </w:r>
            <w:r w:rsidR="007304C1">
              <w:t>a</w:t>
            </w:r>
            <w:r w:rsidR="007231B5">
              <w:t xml:space="preserve"> </w:t>
            </w:r>
            <w:r w:rsidR="007304C1">
              <w:t xml:space="preserve">and Machakhela under the GEF project. The latter has made some good progress, as reported in </w:t>
            </w:r>
            <w:r w:rsidR="007304C1" w:rsidRPr="007304C1">
              <w:rPr>
                <w:b/>
              </w:rPr>
              <w:t>Section</w:t>
            </w:r>
            <w:r w:rsidR="00961D8E">
              <w:rPr>
                <w:b/>
              </w:rPr>
              <w:t>s</w:t>
            </w:r>
            <w:r w:rsidR="007304C1" w:rsidRPr="007304C1">
              <w:rPr>
                <w:b/>
              </w:rPr>
              <w:t xml:space="preserve"> </w:t>
            </w:r>
            <w:r w:rsidR="00961D8E">
              <w:rPr>
                <w:b/>
              </w:rPr>
              <w:t xml:space="preserve">3.2.1 </w:t>
            </w:r>
            <w:r w:rsidR="00961D8E">
              <w:t>and</w:t>
            </w:r>
            <w:r w:rsidR="00961D8E">
              <w:rPr>
                <w:b/>
              </w:rPr>
              <w:t xml:space="preserve"> 3.2.2</w:t>
            </w:r>
            <w:r w:rsidR="007304C1">
              <w:t xml:space="preserve">, </w:t>
            </w:r>
            <w:r w:rsidR="00DD1963">
              <w:t xml:space="preserve">but it has yet to become embedded in the governance of the two PAs, including membership on the respective Advisory Councils, and their long-term continuation is not yet assured in financial </w:t>
            </w:r>
            <w:r w:rsidR="00F94BF5">
              <w:t>sustainability</w:t>
            </w:r>
            <w:r w:rsidR="00DD1963">
              <w:t xml:space="preserve"> terms. </w:t>
            </w:r>
          </w:p>
        </w:tc>
      </w:tr>
    </w:tbl>
    <w:p w14:paraId="6466AEDF" w14:textId="77777777" w:rsidR="00050041" w:rsidRPr="004A08C6" w:rsidRDefault="00050041" w:rsidP="00050041">
      <w:pPr>
        <w:widowControl w:val="0"/>
        <w:overflowPunct/>
        <w:spacing w:before="120" w:after="120" w:line="300" w:lineRule="atLeast"/>
        <w:textAlignment w:val="auto"/>
        <w:rPr>
          <w:rFonts w:ascii="Calibri" w:hAnsi="Calibri" w:cs="Arial"/>
          <w:bCs/>
          <w:i/>
          <w:sz w:val="21"/>
          <w:szCs w:val="21"/>
          <w:highlight w:val="lightGray"/>
        </w:rPr>
      </w:pPr>
      <w:r w:rsidRPr="004A08C6">
        <w:rPr>
          <w:rFonts w:ascii="Calibri" w:hAnsi="Calibri" w:cs="Arial"/>
          <w:bCs/>
          <w:i/>
          <w:sz w:val="21"/>
          <w:szCs w:val="21"/>
          <w:highlight w:val="lightGray"/>
        </w:rPr>
        <w:lastRenderedPageBreak/>
        <w:t>Efficiency: cost effectiveness of delivery of results</w:t>
      </w:r>
    </w:p>
    <w:p w14:paraId="5F729EA9" w14:textId="43DBCA10" w:rsidR="00050041" w:rsidRPr="00E22EBA" w:rsidRDefault="00050041" w:rsidP="00050041">
      <w:pPr>
        <w:pStyle w:val="BodyText"/>
        <w:shd w:val="clear" w:color="auto" w:fill="215868" w:themeFill="accent5" w:themeFillShade="80"/>
        <w:spacing w:before="120"/>
        <w:rPr>
          <w:rFonts w:asciiTheme="minorHAnsi" w:hAnsiTheme="minorHAnsi"/>
          <w:b/>
          <w:color w:val="FFFFFF" w:themeColor="background1"/>
        </w:rPr>
      </w:pPr>
      <w:r w:rsidRPr="00E22EBA">
        <w:rPr>
          <w:rFonts w:asciiTheme="minorHAnsi" w:hAnsiTheme="minorHAnsi"/>
          <w:b/>
          <w:color w:val="FFFFFF" w:themeColor="background1"/>
        </w:rPr>
        <w:t xml:space="preserve">Efficiency </w:t>
      </w:r>
      <w:r>
        <w:rPr>
          <w:rFonts w:asciiTheme="minorHAnsi" w:hAnsiTheme="minorHAnsi"/>
          <w:b/>
          <w:color w:val="FFFFFF" w:themeColor="background1"/>
        </w:rPr>
        <w:t>is</w:t>
      </w:r>
      <w:r w:rsidRPr="00E22EBA">
        <w:rPr>
          <w:rFonts w:asciiTheme="minorHAnsi" w:hAnsiTheme="minorHAnsi"/>
          <w:b/>
          <w:color w:val="FFFFFF" w:themeColor="background1"/>
        </w:rPr>
        <w:t xml:space="preserve"> rated as:</w:t>
      </w:r>
      <w:r w:rsidR="00CB2009">
        <w:rPr>
          <w:rFonts w:asciiTheme="minorHAnsi" w:hAnsiTheme="minorHAnsi"/>
          <w:b/>
          <w:color w:val="FFFFFF" w:themeColor="background1"/>
        </w:rPr>
        <w:t xml:space="preserve"> Highly</w:t>
      </w:r>
      <w:r w:rsidRPr="00E22EBA">
        <w:rPr>
          <w:rFonts w:asciiTheme="minorHAnsi" w:hAnsiTheme="minorHAnsi"/>
          <w:b/>
          <w:color w:val="FFFFFF" w:themeColor="background1"/>
        </w:rPr>
        <w:t xml:space="preserve"> Satisfactory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8694"/>
      </w:tblGrid>
      <w:tr w:rsidR="00730D01" w:rsidRPr="00E22EBA" w14:paraId="7003C891" w14:textId="77777777" w:rsidTr="00730D01">
        <w:tc>
          <w:tcPr>
            <w:tcW w:w="9242" w:type="dxa"/>
            <w:gridSpan w:val="2"/>
          </w:tcPr>
          <w:p w14:paraId="0D9A3584" w14:textId="6E011B18" w:rsidR="00730D01" w:rsidRPr="00063689" w:rsidRDefault="00730D01" w:rsidP="008856EB">
            <w:pPr>
              <w:overflowPunct/>
              <w:spacing w:after="120"/>
              <w:jc w:val="both"/>
              <w:textAlignment w:val="auto"/>
              <w:rPr>
                <w:rFonts w:asciiTheme="minorHAnsi" w:hAnsiTheme="minorHAnsi" w:cs="Corbel"/>
                <w:b/>
                <w:sz w:val="24"/>
                <w:szCs w:val="24"/>
                <w:lang w:val="en-US"/>
              </w:rPr>
            </w:pPr>
            <w:r w:rsidRPr="00063689">
              <w:rPr>
                <w:rFonts w:asciiTheme="minorHAnsi" w:hAnsiTheme="minorHAnsi" w:cs="Corbel"/>
                <w:b/>
                <w:sz w:val="24"/>
                <w:szCs w:val="24"/>
                <w:lang w:val="en-US"/>
              </w:rPr>
              <w:t>Supporting Evidence</w:t>
            </w:r>
            <w:r>
              <w:rPr>
                <w:rFonts w:asciiTheme="minorHAnsi" w:hAnsiTheme="minorHAnsi" w:cs="Corbel"/>
                <w:b/>
                <w:sz w:val="24"/>
                <w:szCs w:val="24"/>
                <w:lang w:val="en-US"/>
              </w:rPr>
              <w:t xml:space="preserve"> </w:t>
            </w:r>
            <w:r w:rsidRPr="00686049">
              <w:rPr>
                <w:rFonts w:asciiTheme="minorHAnsi" w:hAnsiTheme="minorHAnsi" w:cs="Corbel"/>
                <w:sz w:val="24"/>
                <w:szCs w:val="24"/>
                <w:lang w:val="en-US"/>
              </w:rPr>
              <w:t xml:space="preserve">(refer to </w:t>
            </w:r>
            <w:r w:rsidR="008F7EED">
              <w:rPr>
                <w:rFonts w:asciiTheme="minorHAnsi" w:hAnsiTheme="minorHAnsi" w:cs="Corbel"/>
                <w:sz w:val="24"/>
                <w:szCs w:val="24"/>
                <w:lang w:val="en-US"/>
              </w:rPr>
              <w:t xml:space="preserve">Section </w:t>
            </w:r>
            <w:r w:rsidR="008856EB">
              <w:rPr>
                <w:rFonts w:asciiTheme="minorHAnsi" w:hAnsiTheme="minorHAnsi" w:cs="Corbel"/>
                <w:sz w:val="24"/>
                <w:szCs w:val="24"/>
                <w:lang w:val="en-US"/>
              </w:rPr>
              <w:t xml:space="preserve">3.2.4 </w:t>
            </w:r>
            <w:r w:rsidRPr="00686049">
              <w:rPr>
                <w:rFonts w:asciiTheme="minorHAnsi" w:hAnsiTheme="minorHAnsi" w:cs="Corbel"/>
                <w:sz w:val="24"/>
                <w:szCs w:val="24"/>
                <w:lang w:val="en-US"/>
              </w:rPr>
              <w:t>for more details):</w:t>
            </w:r>
          </w:p>
        </w:tc>
      </w:tr>
      <w:tr w:rsidR="00730D01" w:rsidRPr="00063689" w14:paraId="713A4B69" w14:textId="77777777" w:rsidTr="00730D01">
        <w:tc>
          <w:tcPr>
            <w:tcW w:w="548" w:type="dxa"/>
          </w:tcPr>
          <w:p w14:paraId="74425398" w14:textId="77777777" w:rsidR="00730D01" w:rsidRPr="00063689" w:rsidRDefault="00730D01" w:rsidP="00730D01">
            <w:pPr>
              <w:overflowPunct/>
              <w:spacing w:after="120"/>
              <w:jc w:val="right"/>
              <w:textAlignment w:val="auto"/>
              <w:rPr>
                <w:rFonts w:asciiTheme="minorHAnsi" w:hAnsiTheme="minorHAnsi" w:cs="Corbel"/>
                <w:color w:val="00B050"/>
                <w:szCs w:val="22"/>
                <w:lang w:val="en-US"/>
              </w:rPr>
            </w:pPr>
            <w:r w:rsidRPr="00063689">
              <w:rPr>
                <w:rFonts w:ascii="Menlo Bold" w:hAnsi="Menlo Bold" w:cs="Menlo Bold"/>
                <w:b/>
                <w:color w:val="008000"/>
                <w:szCs w:val="22"/>
                <w:lang w:val="en-US"/>
              </w:rPr>
              <w:t>✔</w:t>
            </w:r>
          </w:p>
        </w:tc>
        <w:tc>
          <w:tcPr>
            <w:tcW w:w="8694" w:type="dxa"/>
          </w:tcPr>
          <w:p w14:paraId="15A22A68" w14:textId="64F5C2CE" w:rsidR="00C27BEB" w:rsidRDefault="00730D01" w:rsidP="00C27BEB">
            <w:pPr>
              <w:overflowPunct/>
              <w:spacing w:after="60"/>
              <w:jc w:val="both"/>
              <w:textAlignment w:val="auto"/>
              <w:rPr>
                <w:rFonts w:asciiTheme="minorHAnsi" w:hAnsiTheme="minorHAnsi" w:cs="Corbel"/>
                <w:szCs w:val="22"/>
                <w:lang w:val="en-US"/>
              </w:rPr>
            </w:pPr>
            <w:r w:rsidRPr="00C27BEB">
              <w:rPr>
                <w:rFonts w:asciiTheme="minorHAnsi" w:hAnsiTheme="minorHAnsi" w:cs="Corbel"/>
                <w:szCs w:val="22"/>
                <w:lang w:val="en-US"/>
              </w:rPr>
              <w:t xml:space="preserve">The total co-financing contribution </w:t>
            </w:r>
            <w:r w:rsidR="008856EB" w:rsidRPr="00C27BEB">
              <w:rPr>
                <w:rFonts w:asciiTheme="minorHAnsi" w:hAnsiTheme="minorHAnsi" w:cs="Corbel"/>
                <w:szCs w:val="22"/>
                <w:lang w:val="en-US"/>
              </w:rPr>
              <w:t xml:space="preserve">leveraged by the GEF grant was over tenfold (nearly US$ 15 million) in the ProDoc. This has increased </w:t>
            </w:r>
            <w:r w:rsidR="002C4A20" w:rsidRPr="00C27BEB">
              <w:rPr>
                <w:rFonts w:asciiTheme="minorHAnsi" w:hAnsiTheme="minorHAnsi" w:cs="Corbel"/>
                <w:szCs w:val="22"/>
                <w:lang w:val="en-US"/>
              </w:rPr>
              <w:t xml:space="preserve">from US$ 7.6 million to potentially US$ 43.4 million </w:t>
            </w:r>
            <w:r w:rsidR="008856EB" w:rsidRPr="00C27BEB">
              <w:rPr>
                <w:rFonts w:asciiTheme="minorHAnsi" w:hAnsiTheme="minorHAnsi" w:cs="Corbel"/>
                <w:szCs w:val="22"/>
                <w:lang w:val="en-US"/>
              </w:rPr>
              <w:t>during implementation on account of large investments in infrastructure</w:t>
            </w:r>
            <w:r w:rsidR="001D6718" w:rsidRPr="00C27BEB">
              <w:rPr>
                <w:rFonts w:asciiTheme="minorHAnsi" w:hAnsiTheme="minorHAnsi" w:cs="Corbel"/>
                <w:szCs w:val="22"/>
                <w:lang w:val="en-US"/>
              </w:rPr>
              <w:t xml:space="preserve"> by ARA</w:t>
            </w:r>
            <w:r w:rsidR="008856EB" w:rsidRPr="00C27BEB">
              <w:rPr>
                <w:rFonts w:asciiTheme="minorHAnsi" w:hAnsiTheme="minorHAnsi" w:cs="Corbel"/>
                <w:szCs w:val="22"/>
                <w:lang w:val="en-US"/>
              </w:rPr>
              <w:t xml:space="preserve">. </w:t>
            </w:r>
            <w:r w:rsidR="001D6718" w:rsidRPr="00C27BEB">
              <w:rPr>
                <w:rFonts w:asciiTheme="minorHAnsi" w:hAnsiTheme="minorHAnsi" w:cs="Corbel"/>
                <w:szCs w:val="22"/>
                <w:lang w:val="en-US"/>
              </w:rPr>
              <w:t xml:space="preserve">APA also increased its co-financing </w:t>
            </w:r>
            <w:r w:rsidR="00883C35">
              <w:rPr>
                <w:rFonts w:asciiTheme="minorHAnsi" w:hAnsiTheme="minorHAnsi" w:cs="Corbel"/>
                <w:szCs w:val="22"/>
                <w:lang w:val="en-US"/>
              </w:rPr>
              <w:t xml:space="preserve">from </w:t>
            </w:r>
            <w:r w:rsidR="001D6718" w:rsidRPr="00C27BEB">
              <w:rPr>
                <w:rFonts w:asciiTheme="minorHAnsi" w:hAnsiTheme="minorHAnsi" w:cs="Corbel"/>
                <w:szCs w:val="22"/>
                <w:lang w:val="en-US"/>
              </w:rPr>
              <w:t>US$ 1.4 million to US$ 1.8 million</w:t>
            </w:r>
            <w:r w:rsidR="00883C35">
              <w:rPr>
                <w:rFonts w:asciiTheme="minorHAnsi" w:hAnsiTheme="minorHAnsi" w:cs="Corbel"/>
                <w:szCs w:val="22"/>
                <w:lang w:val="en-US"/>
              </w:rPr>
              <w:t xml:space="preserve"> during implementation</w:t>
            </w:r>
            <w:r w:rsidR="001D6718" w:rsidRPr="00C27BEB">
              <w:rPr>
                <w:rFonts w:asciiTheme="minorHAnsi" w:hAnsiTheme="minorHAnsi" w:cs="Corbel"/>
                <w:szCs w:val="22"/>
                <w:lang w:val="en-US"/>
              </w:rPr>
              <w:t xml:space="preserve">. </w:t>
            </w:r>
          </w:p>
          <w:p w14:paraId="2F8DE295" w14:textId="607CE427" w:rsidR="00730D01" w:rsidRPr="00C27BEB" w:rsidRDefault="00883C35" w:rsidP="002C4A20">
            <w:pPr>
              <w:overflowPunct/>
              <w:spacing w:after="120"/>
              <w:jc w:val="both"/>
              <w:textAlignment w:val="auto"/>
              <w:rPr>
                <w:rFonts w:asciiTheme="minorHAnsi" w:hAnsiTheme="minorHAnsi" w:cs="Corbel"/>
                <w:szCs w:val="22"/>
                <w:lang w:val="en-US"/>
              </w:rPr>
            </w:pPr>
            <w:r>
              <w:rPr>
                <w:rFonts w:asciiTheme="minorHAnsi" w:hAnsiTheme="minorHAnsi" w:cs="Corbel"/>
                <w:szCs w:val="22"/>
                <w:lang w:val="en-US"/>
              </w:rPr>
              <w:t>ARA has not provided any breakdown of the additional co-financing but</w:t>
            </w:r>
            <w:r w:rsidR="002C4A20" w:rsidRPr="00C27BEB">
              <w:rPr>
                <w:rFonts w:asciiTheme="minorHAnsi" w:hAnsiTheme="minorHAnsi" w:cs="Corbel"/>
                <w:szCs w:val="22"/>
                <w:lang w:val="en-US"/>
              </w:rPr>
              <w:t xml:space="preserve"> it is known that not all qualifies </w:t>
            </w:r>
            <w:r w:rsidR="001D6718" w:rsidRPr="00C27BEB">
              <w:rPr>
                <w:rFonts w:asciiTheme="minorHAnsi" w:hAnsiTheme="minorHAnsi" w:cs="Corbel"/>
                <w:szCs w:val="22"/>
                <w:lang w:val="en-US"/>
              </w:rPr>
              <w:t>as co-financing in terms of rela</w:t>
            </w:r>
            <w:r w:rsidR="002C4A20" w:rsidRPr="00C27BEB">
              <w:rPr>
                <w:rFonts w:asciiTheme="minorHAnsi" w:hAnsiTheme="minorHAnsi" w:cs="Corbel"/>
                <w:szCs w:val="22"/>
                <w:lang w:val="en-US"/>
              </w:rPr>
              <w:t>ting directly to the dev</w:t>
            </w:r>
            <w:r w:rsidR="001D6718" w:rsidRPr="00C27BEB">
              <w:rPr>
                <w:rFonts w:asciiTheme="minorHAnsi" w:hAnsiTheme="minorHAnsi" w:cs="Corbel"/>
                <w:szCs w:val="22"/>
                <w:lang w:val="en-US"/>
              </w:rPr>
              <w:t>e</w:t>
            </w:r>
            <w:r w:rsidR="002C4A20" w:rsidRPr="00C27BEB">
              <w:rPr>
                <w:rFonts w:asciiTheme="minorHAnsi" w:hAnsiTheme="minorHAnsi" w:cs="Corbel"/>
                <w:szCs w:val="22"/>
                <w:lang w:val="en-US"/>
              </w:rPr>
              <w:t>lopment objective of this GEF project.</w:t>
            </w:r>
            <w:r w:rsidR="001D6718" w:rsidRPr="00C27BEB">
              <w:rPr>
                <w:rFonts w:asciiTheme="minorHAnsi" w:hAnsiTheme="minorHAnsi" w:cs="Corbel"/>
                <w:szCs w:val="22"/>
                <w:lang w:val="en-US"/>
              </w:rPr>
              <w:t xml:space="preserve"> </w:t>
            </w:r>
            <w:r w:rsidRPr="00C27BEB">
              <w:rPr>
                <w:rFonts w:asciiTheme="minorHAnsi" w:hAnsiTheme="minorHAnsi" w:cs="Corbel"/>
                <w:szCs w:val="22"/>
                <w:lang w:val="en-US"/>
              </w:rPr>
              <w:t>Nonetheless</w:t>
            </w:r>
            <w:r w:rsidR="001D6718" w:rsidRPr="00C27BEB">
              <w:rPr>
                <w:rFonts w:asciiTheme="minorHAnsi" w:hAnsiTheme="minorHAnsi" w:cs="Corbel"/>
                <w:szCs w:val="22"/>
                <w:lang w:val="en-US"/>
              </w:rPr>
              <w:t xml:space="preserve">, strong </w:t>
            </w:r>
            <w:r>
              <w:rPr>
                <w:rFonts w:asciiTheme="minorHAnsi" w:hAnsiTheme="minorHAnsi" w:cs="Corbel"/>
                <w:szCs w:val="22"/>
                <w:lang w:val="en-US"/>
              </w:rPr>
              <w:t>financial ownership has been shown by</w:t>
            </w:r>
            <w:r w:rsidR="001D6718" w:rsidRPr="00C27BEB">
              <w:rPr>
                <w:rFonts w:asciiTheme="minorHAnsi" w:hAnsiTheme="minorHAnsi" w:cs="Corbel"/>
                <w:szCs w:val="22"/>
                <w:lang w:val="en-US"/>
              </w:rPr>
              <w:t xml:space="preserve"> </w:t>
            </w:r>
            <w:r>
              <w:rPr>
                <w:rFonts w:asciiTheme="minorHAnsi" w:hAnsiTheme="minorHAnsi" w:cs="Corbel"/>
                <w:szCs w:val="22"/>
                <w:lang w:val="en-US"/>
              </w:rPr>
              <w:t xml:space="preserve">national, regional and local government - </w:t>
            </w:r>
            <w:r w:rsidR="001D6718" w:rsidRPr="00C27BEB">
              <w:rPr>
                <w:rFonts w:asciiTheme="minorHAnsi" w:hAnsiTheme="minorHAnsi" w:cs="Corbel"/>
                <w:szCs w:val="22"/>
                <w:lang w:val="en-US"/>
              </w:rPr>
              <w:t>APA, ARA and Khelvachauri Municipality</w:t>
            </w:r>
            <w:r w:rsidR="00C27BEB">
              <w:rPr>
                <w:rFonts w:asciiTheme="minorHAnsi" w:hAnsiTheme="minorHAnsi" w:cs="Corbel"/>
                <w:szCs w:val="22"/>
                <w:lang w:val="en-US"/>
              </w:rPr>
              <w:t xml:space="preserve"> (</w:t>
            </w:r>
            <w:r w:rsidR="001D6718" w:rsidRPr="00C27BEB">
              <w:rPr>
                <w:rFonts w:asciiTheme="minorHAnsi" w:hAnsiTheme="minorHAnsi" w:cs="Corbel"/>
                <w:b/>
                <w:szCs w:val="22"/>
                <w:lang w:val="en-US"/>
              </w:rPr>
              <w:t>Table 3.3</w:t>
            </w:r>
            <w:r w:rsidR="001D6718" w:rsidRPr="00C27BEB">
              <w:rPr>
                <w:rFonts w:asciiTheme="minorHAnsi" w:hAnsiTheme="minorHAnsi" w:cs="Corbel"/>
                <w:szCs w:val="22"/>
                <w:lang w:val="en-US"/>
              </w:rPr>
              <w:t xml:space="preserve">). </w:t>
            </w:r>
          </w:p>
        </w:tc>
      </w:tr>
      <w:tr w:rsidR="00730D01" w:rsidRPr="00063689" w14:paraId="1DA8CCC6" w14:textId="77777777" w:rsidTr="00730D01">
        <w:tc>
          <w:tcPr>
            <w:tcW w:w="548" w:type="dxa"/>
          </w:tcPr>
          <w:p w14:paraId="646C00D1" w14:textId="201E1F98" w:rsidR="00730D01" w:rsidRPr="00063689" w:rsidRDefault="00730D01" w:rsidP="00730D01">
            <w:pPr>
              <w:overflowPunct/>
              <w:spacing w:after="120"/>
              <w:jc w:val="right"/>
              <w:textAlignment w:val="auto"/>
              <w:rPr>
                <w:rFonts w:asciiTheme="minorHAnsi" w:hAnsiTheme="minorHAnsi" w:cs="Corbel"/>
                <w:color w:val="00B050"/>
                <w:szCs w:val="22"/>
                <w:lang w:val="en-US"/>
              </w:rPr>
            </w:pPr>
            <w:r w:rsidRPr="00063689">
              <w:rPr>
                <w:rFonts w:ascii="Menlo Bold" w:hAnsi="Menlo Bold" w:cs="Menlo Bold"/>
                <w:b/>
                <w:color w:val="008000"/>
                <w:szCs w:val="22"/>
                <w:lang w:val="en-US"/>
              </w:rPr>
              <w:t>✔</w:t>
            </w:r>
          </w:p>
        </w:tc>
        <w:tc>
          <w:tcPr>
            <w:tcW w:w="8694" w:type="dxa"/>
          </w:tcPr>
          <w:p w14:paraId="1E682D91" w14:textId="706B1554" w:rsidR="00730D01" w:rsidRPr="00063689" w:rsidRDefault="00883C35" w:rsidP="00AC0E18">
            <w:pPr>
              <w:overflowPunct/>
              <w:spacing w:after="120"/>
              <w:jc w:val="both"/>
              <w:textAlignment w:val="auto"/>
              <w:rPr>
                <w:rFonts w:asciiTheme="minorHAnsi" w:hAnsiTheme="minorHAnsi" w:cs="Corbel"/>
                <w:szCs w:val="22"/>
                <w:lang w:val="en-US"/>
              </w:rPr>
            </w:pPr>
            <w:r>
              <w:rPr>
                <w:rFonts w:asciiTheme="minorHAnsi" w:hAnsiTheme="minorHAnsi" w:cs="Corbel"/>
                <w:szCs w:val="22"/>
                <w:lang w:val="en-US"/>
              </w:rPr>
              <w:t xml:space="preserve">Good coordination between donors has contributed significantly to </w:t>
            </w:r>
            <w:r w:rsidR="00AC0E18">
              <w:rPr>
                <w:rFonts w:asciiTheme="minorHAnsi" w:hAnsiTheme="minorHAnsi" w:cs="Corbel"/>
                <w:szCs w:val="22"/>
                <w:lang w:val="en-US"/>
              </w:rPr>
              <w:t>cost effective</w:t>
            </w:r>
            <w:r>
              <w:rPr>
                <w:rFonts w:asciiTheme="minorHAnsi" w:hAnsiTheme="minorHAnsi" w:cs="Corbel"/>
                <w:szCs w:val="22"/>
                <w:lang w:val="en-US"/>
              </w:rPr>
              <w:t xml:space="preserve"> implementation, facilitated by the TCG that was established by the project</w:t>
            </w:r>
            <w:r w:rsidR="00D42795">
              <w:rPr>
                <w:rFonts w:asciiTheme="minorHAnsi" w:hAnsiTheme="minorHAnsi" w:cs="Corbel"/>
                <w:szCs w:val="22"/>
                <w:lang w:val="en-US"/>
              </w:rPr>
              <w:t xml:space="preserve"> (</w:t>
            </w:r>
            <w:r w:rsidR="00D42795" w:rsidRPr="00D42795">
              <w:rPr>
                <w:rFonts w:asciiTheme="minorHAnsi" w:hAnsiTheme="minorHAnsi" w:cs="Corbel"/>
                <w:b/>
                <w:szCs w:val="22"/>
                <w:lang w:val="en-US"/>
              </w:rPr>
              <w:t>Section 3.1.8</w:t>
            </w:r>
            <w:r w:rsidR="00D42795">
              <w:rPr>
                <w:rFonts w:asciiTheme="minorHAnsi" w:hAnsiTheme="minorHAnsi" w:cs="Corbel"/>
                <w:szCs w:val="22"/>
                <w:lang w:val="en-US"/>
              </w:rPr>
              <w:t>).</w:t>
            </w:r>
          </w:p>
        </w:tc>
      </w:tr>
      <w:tr w:rsidR="00D42795" w:rsidRPr="00063689" w14:paraId="59462762" w14:textId="77777777" w:rsidTr="00730D01">
        <w:tc>
          <w:tcPr>
            <w:tcW w:w="548" w:type="dxa"/>
          </w:tcPr>
          <w:p w14:paraId="3C1BBF94" w14:textId="52DB9C22" w:rsidR="00D42795" w:rsidRPr="00063689" w:rsidRDefault="00D42795" w:rsidP="00730D01">
            <w:pPr>
              <w:overflowPunct/>
              <w:spacing w:after="120"/>
              <w:jc w:val="right"/>
              <w:textAlignment w:val="auto"/>
              <w:rPr>
                <w:rFonts w:ascii="Menlo Bold" w:hAnsi="Menlo Bold" w:cs="Menlo Bold"/>
                <w:b/>
                <w:color w:val="008000"/>
                <w:szCs w:val="22"/>
                <w:lang w:val="en-US"/>
              </w:rPr>
            </w:pPr>
            <w:r w:rsidRPr="00063689">
              <w:rPr>
                <w:rFonts w:ascii="Menlo Bold" w:hAnsi="Menlo Bold" w:cs="Menlo Bold"/>
                <w:b/>
                <w:color w:val="008000"/>
                <w:szCs w:val="22"/>
                <w:lang w:val="en-US"/>
              </w:rPr>
              <w:t>✔</w:t>
            </w:r>
          </w:p>
        </w:tc>
        <w:tc>
          <w:tcPr>
            <w:tcW w:w="8694" w:type="dxa"/>
          </w:tcPr>
          <w:p w14:paraId="0F916E6E" w14:textId="3BEEAB0E" w:rsidR="00D42795" w:rsidRDefault="00D42795" w:rsidP="00C55E4E">
            <w:pPr>
              <w:overflowPunct/>
              <w:spacing w:after="120"/>
              <w:jc w:val="both"/>
              <w:textAlignment w:val="auto"/>
              <w:rPr>
                <w:rFonts w:asciiTheme="minorHAnsi" w:hAnsiTheme="minorHAnsi" w:cs="Corbel"/>
                <w:szCs w:val="22"/>
                <w:lang w:val="en-US"/>
              </w:rPr>
            </w:pPr>
            <w:r>
              <w:rPr>
                <w:rFonts w:asciiTheme="minorHAnsi" w:hAnsiTheme="minorHAnsi" w:cs="Corbel"/>
                <w:szCs w:val="22"/>
                <w:lang w:val="en-US"/>
              </w:rPr>
              <w:t xml:space="preserve">The budget has been monitored carefully, ensuring that </w:t>
            </w:r>
            <w:r w:rsidR="00CB2009">
              <w:rPr>
                <w:rFonts w:asciiTheme="minorHAnsi" w:hAnsiTheme="minorHAnsi" w:cs="Corbel"/>
                <w:szCs w:val="22"/>
                <w:lang w:val="en-US"/>
              </w:rPr>
              <w:t xml:space="preserve">disbursement of the GEF funds did not become unduly delayed post inception phase, as evident from </w:t>
            </w:r>
            <w:r w:rsidR="00CB2009" w:rsidRPr="00CB2009">
              <w:rPr>
                <w:rFonts w:asciiTheme="minorHAnsi" w:hAnsiTheme="minorHAnsi" w:cs="Corbel"/>
                <w:b/>
                <w:szCs w:val="22"/>
                <w:lang w:val="en-US"/>
              </w:rPr>
              <w:t>Figure 3.2</w:t>
            </w:r>
            <w:r w:rsidR="00CB2009">
              <w:rPr>
                <w:rFonts w:asciiTheme="minorHAnsi" w:hAnsiTheme="minorHAnsi" w:cs="Corbel"/>
                <w:szCs w:val="22"/>
                <w:lang w:val="en-US"/>
              </w:rPr>
              <w:t xml:space="preserve">. </w:t>
            </w:r>
            <w:r w:rsidR="00E27383">
              <w:rPr>
                <w:rFonts w:asciiTheme="minorHAnsi" w:hAnsiTheme="minorHAnsi" w:cs="Corbel"/>
                <w:szCs w:val="22"/>
                <w:lang w:val="en-US"/>
              </w:rPr>
              <w:t xml:space="preserve">Although the </w:t>
            </w:r>
            <w:r w:rsidR="00C55E4E">
              <w:rPr>
                <w:rFonts w:asciiTheme="minorHAnsi" w:hAnsiTheme="minorHAnsi" w:cs="Corbel"/>
                <w:szCs w:val="22"/>
                <w:lang w:val="en-US"/>
              </w:rPr>
              <w:t xml:space="preserve">total </w:t>
            </w:r>
            <w:r w:rsidR="00E27383">
              <w:rPr>
                <w:rFonts w:asciiTheme="minorHAnsi" w:hAnsiTheme="minorHAnsi" w:cs="Corbel"/>
                <w:szCs w:val="22"/>
                <w:lang w:val="en-US"/>
              </w:rPr>
              <w:t xml:space="preserve">budget was reported as only 40% spent at the time of the MTR mission (September 2016), </w:t>
            </w:r>
            <w:r w:rsidR="00C55E4E">
              <w:rPr>
                <w:rFonts w:asciiTheme="minorHAnsi" w:hAnsiTheme="minorHAnsi" w:cs="Corbel"/>
                <w:szCs w:val="22"/>
                <w:lang w:val="en-US"/>
              </w:rPr>
              <w:t>58% had been spent by the end of 2016 (</w:t>
            </w:r>
            <w:r w:rsidR="00C55E4E" w:rsidRPr="00C55E4E">
              <w:rPr>
                <w:rFonts w:asciiTheme="minorHAnsi" w:hAnsiTheme="minorHAnsi" w:cs="Corbel"/>
                <w:b/>
                <w:szCs w:val="22"/>
                <w:lang w:val="en-US"/>
              </w:rPr>
              <w:t>Table 3.5</w:t>
            </w:r>
            <w:r w:rsidR="00C55E4E">
              <w:rPr>
                <w:rFonts w:asciiTheme="minorHAnsi" w:hAnsiTheme="minorHAnsi" w:cs="Corbel"/>
                <w:szCs w:val="22"/>
                <w:lang w:val="en-US"/>
              </w:rPr>
              <w:t xml:space="preserve">). </w:t>
            </w:r>
            <w:r w:rsidR="00CB2009">
              <w:rPr>
                <w:rFonts w:asciiTheme="minorHAnsi" w:hAnsiTheme="minorHAnsi" w:cs="Corbel"/>
                <w:szCs w:val="22"/>
                <w:lang w:val="en-US"/>
              </w:rPr>
              <w:t>T</w:t>
            </w:r>
            <w:r>
              <w:rPr>
                <w:rFonts w:asciiTheme="minorHAnsi" w:hAnsiTheme="minorHAnsi" w:cs="Corbel"/>
                <w:szCs w:val="22"/>
                <w:lang w:val="en-US"/>
              </w:rPr>
              <w:t xml:space="preserve">he project was on track for disbursing </w:t>
            </w:r>
            <w:r w:rsidR="00CB2009">
              <w:rPr>
                <w:rFonts w:asciiTheme="minorHAnsi" w:hAnsiTheme="minorHAnsi" w:cs="Corbel"/>
                <w:szCs w:val="22"/>
                <w:lang w:val="en-US"/>
              </w:rPr>
              <w:t>the entire budget by project closure (December 2018).</w:t>
            </w:r>
          </w:p>
        </w:tc>
      </w:tr>
      <w:tr w:rsidR="00832BC7" w:rsidRPr="00063689" w14:paraId="4A4E8FD7" w14:textId="77777777" w:rsidTr="00832BC7">
        <w:tc>
          <w:tcPr>
            <w:tcW w:w="548" w:type="dxa"/>
          </w:tcPr>
          <w:p w14:paraId="26B5A005" w14:textId="75F7AE0A" w:rsidR="00832BC7" w:rsidRPr="00063689" w:rsidRDefault="00832BC7" w:rsidP="00832BC7">
            <w:pPr>
              <w:overflowPunct/>
              <w:spacing w:after="120"/>
              <w:jc w:val="right"/>
              <w:textAlignment w:val="auto"/>
              <w:rPr>
                <w:rFonts w:asciiTheme="minorHAnsi" w:hAnsiTheme="minorHAnsi" w:cs="Corbel"/>
                <w:color w:val="C00000"/>
                <w:szCs w:val="22"/>
                <w:lang w:val="en-US"/>
              </w:rPr>
            </w:pPr>
            <w:r w:rsidRPr="00063689">
              <w:rPr>
                <w:rFonts w:ascii="Menlo Bold" w:hAnsi="Menlo Bold" w:cs="Menlo Bold"/>
                <w:b/>
                <w:color w:val="008000"/>
                <w:szCs w:val="22"/>
                <w:lang w:val="en-US"/>
              </w:rPr>
              <w:t>✔</w:t>
            </w:r>
          </w:p>
        </w:tc>
        <w:tc>
          <w:tcPr>
            <w:tcW w:w="8694" w:type="dxa"/>
          </w:tcPr>
          <w:p w14:paraId="20C896D1" w14:textId="603926F1" w:rsidR="00832BC7" w:rsidRPr="00063689" w:rsidRDefault="00832BC7" w:rsidP="00832BC7">
            <w:pPr>
              <w:overflowPunct/>
              <w:spacing w:before="60" w:after="60"/>
              <w:jc w:val="both"/>
              <w:textAlignment w:val="auto"/>
              <w:rPr>
                <w:rFonts w:asciiTheme="minorHAnsi" w:hAnsiTheme="minorHAnsi" w:cs="Corbel"/>
                <w:szCs w:val="22"/>
                <w:lang w:val="en-US"/>
              </w:rPr>
            </w:pPr>
            <w:r>
              <w:rPr>
                <w:rFonts w:asciiTheme="minorHAnsi" w:hAnsiTheme="minorHAnsi" w:cs="Corbel"/>
                <w:szCs w:val="22"/>
                <w:lang w:val="en-US"/>
              </w:rPr>
              <w:t>Overall, the project results have been delivered in a highly cost effective manner, particularly given the relatively small GEF grant of US$ 1.4 million in relation to the wide range of outputs delivered across three Colchic Forests (target areas) in collaboration with several other donors, the tenfold plus co-financing leverage of additional financial support towards the establishing and management of PAs, including improved access to them for potentially sustainable tourism benefits. Also, considered is the six-month extension at no extra cost and critical with respect to delivering consensus on the proposed Protected Landscape that emerged as the adaptive management solution to the future management of the inhabited lower valleys of Machakhela Gorge.</w:t>
            </w:r>
          </w:p>
        </w:tc>
      </w:tr>
      <w:tr w:rsidR="00730D01" w:rsidRPr="00063689" w14:paraId="36901692" w14:textId="77777777" w:rsidTr="00730D01">
        <w:tc>
          <w:tcPr>
            <w:tcW w:w="548" w:type="dxa"/>
          </w:tcPr>
          <w:p w14:paraId="6FC48B23" w14:textId="25FE537E" w:rsidR="00730D01" w:rsidRPr="00063689" w:rsidRDefault="00730D01" w:rsidP="00730D01">
            <w:pPr>
              <w:overflowPunct/>
              <w:spacing w:after="120"/>
              <w:jc w:val="right"/>
              <w:textAlignment w:val="auto"/>
              <w:rPr>
                <w:rFonts w:asciiTheme="minorHAnsi" w:hAnsiTheme="minorHAnsi" w:cs="Corbel"/>
                <w:color w:val="C00000"/>
                <w:szCs w:val="22"/>
                <w:lang w:val="en-US"/>
              </w:rPr>
            </w:pPr>
            <w:r w:rsidRPr="00063689">
              <w:rPr>
                <w:rFonts w:ascii="Menlo Bold" w:hAnsi="Menlo Bold" w:cs="Menlo Bold"/>
                <w:b/>
                <w:color w:val="FF0000"/>
                <w:szCs w:val="22"/>
                <w:lang w:val="en-US"/>
              </w:rPr>
              <w:t>✖</w:t>
            </w:r>
          </w:p>
        </w:tc>
        <w:tc>
          <w:tcPr>
            <w:tcW w:w="8694" w:type="dxa"/>
          </w:tcPr>
          <w:p w14:paraId="621ABB4B" w14:textId="723D6717" w:rsidR="00730D01" w:rsidRPr="00063689" w:rsidRDefault="00385108" w:rsidP="00385108">
            <w:pPr>
              <w:overflowPunct/>
              <w:spacing w:before="60" w:after="60"/>
              <w:jc w:val="both"/>
              <w:textAlignment w:val="auto"/>
              <w:rPr>
                <w:rFonts w:asciiTheme="minorHAnsi" w:hAnsiTheme="minorHAnsi" w:cs="Corbel"/>
                <w:szCs w:val="22"/>
                <w:lang w:val="en-US"/>
              </w:rPr>
            </w:pPr>
            <w:r>
              <w:rPr>
                <w:rFonts w:asciiTheme="minorHAnsi" w:hAnsiTheme="minorHAnsi" w:cs="Corbel"/>
                <w:szCs w:val="22"/>
                <w:lang w:val="en-US"/>
              </w:rPr>
              <w:t>Note that t</w:t>
            </w:r>
            <w:r w:rsidR="00955050">
              <w:rPr>
                <w:rFonts w:asciiTheme="minorHAnsi" w:hAnsiTheme="minorHAnsi" w:cs="Corbel"/>
                <w:szCs w:val="22"/>
                <w:lang w:val="en-US"/>
              </w:rPr>
              <w:t>he limited m</w:t>
            </w:r>
            <w:r w:rsidR="00F94BF5">
              <w:rPr>
                <w:rFonts w:asciiTheme="minorHAnsi" w:hAnsiTheme="minorHAnsi" w:cs="Corbel"/>
                <w:szCs w:val="22"/>
                <w:lang w:val="en-US"/>
              </w:rPr>
              <w:t xml:space="preserve">onitoring of co-financing </w:t>
            </w:r>
            <w:r w:rsidR="00955050">
              <w:rPr>
                <w:rFonts w:asciiTheme="minorHAnsi" w:hAnsiTheme="minorHAnsi" w:cs="Corbel"/>
                <w:szCs w:val="22"/>
                <w:lang w:val="en-US"/>
              </w:rPr>
              <w:t xml:space="preserve">was identified in the MTR, which recommended that up-to-date records be maintained. A database for so doing </w:t>
            </w:r>
            <w:r>
              <w:rPr>
                <w:rFonts w:asciiTheme="minorHAnsi" w:hAnsiTheme="minorHAnsi" w:cs="Corbel"/>
                <w:szCs w:val="22"/>
                <w:lang w:val="en-US"/>
              </w:rPr>
              <w:t xml:space="preserve">was completed </w:t>
            </w:r>
            <w:r w:rsidR="00955050">
              <w:rPr>
                <w:rFonts w:asciiTheme="minorHAnsi" w:hAnsiTheme="minorHAnsi" w:cs="Corbel"/>
                <w:szCs w:val="22"/>
                <w:lang w:val="en-US"/>
              </w:rPr>
              <w:t xml:space="preserve">by mid-2017 </w:t>
            </w:r>
            <w:r>
              <w:rPr>
                <w:rFonts w:asciiTheme="minorHAnsi" w:hAnsiTheme="minorHAnsi" w:cs="Corbel"/>
                <w:szCs w:val="22"/>
                <w:lang w:val="en-US"/>
              </w:rPr>
              <w:t xml:space="preserve">but its subsequent regular and systematic updating was postponed to December 2018 due to other project extension priorities. Hence, such data were not available for TE purposes. </w:t>
            </w:r>
          </w:p>
        </w:tc>
      </w:tr>
    </w:tbl>
    <w:p w14:paraId="5BADD74F" w14:textId="77777777" w:rsidR="00E52565" w:rsidRDefault="00E52565" w:rsidP="0067558E">
      <w:pPr>
        <w:pStyle w:val="Heading2"/>
        <w:numPr>
          <w:ilvl w:val="2"/>
          <w:numId w:val="20"/>
        </w:numPr>
        <w:spacing w:before="240" w:after="120"/>
        <w:ind w:left="709" w:hanging="709"/>
        <w:rPr>
          <w:rFonts w:asciiTheme="minorHAnsi" w:hAnsiTheme="minorHAnsi" w:cs="Calibri"/>
          <w:b/>
          <w:caps w:val="0"/>
        </w:rPr>
      </w:pPr>
      <w:bookmarkStart w:id="153" w:name="_Toc414745337"/>
      <w:r w:rsidRPr="00E22EBA">
        <w:rPr>
          <w:rFonts w:asciiTheme="minorHAnsi" w:hAnsiTheme="minorHAnsi" w:cs="Calibri"/>
          <w:b/>
          <w:caps w:val="0"/>
        </w:rPr>
        <w:t>Country Ownership</w:t>
      </w:r>
      <w:bookmarkEnd w:id="153"/>
    </w:p>
    <w:p w14:paraId="51F50AC2" w14:textId="77777777" w:rsidR="00C50719" w:rsidRDefault="00C50719" w:rsidP="004A08C6">
      <w:pPr>
        <w:widowControl w:val="0"/>
        <w:overflowPunct/>
        <w:spacing w:after="120" w:line="300" w:lineRule="atLeast"/>
        <w:textAlignment w:val="auto"/>
        <w:rPr>
          <w:rFonts w:ascii="Calibri" w:hAnsi="Calibri" w:cs="Arial"/>
          <w:bCs/>
          <w:i/>
          <w:sz w:val="21"/>
          <w:szCs w:val="21"/>
          <w:highlight w:val="lightGray"/>
        </w:rPr>
      </w:pPr>
      <w:r w:rsidRPr="004A08C6">
        <w:rPr>
          <w:rFonts w:ascii="Calibri" w:hAnsi="Calibri" w:cs="Arial"/>
          <w:bCs/>
          <w:i/>
          <w:sz w:val="21"/>
          <w:szCs w:val="21"/>
          <w:highlight w:val="lightGray"/>
        </w:rPr>
        <w:t xml:space="preserve">Relevance of the project to national development and environmental agendas, recipient country commitment, and regional and international agreements where applicable.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8694"/>
      </w:tblGrid>
      <w:tr w:rsidR="0042238B" w:rsidRPr="00E22EBA" w14:paraId="5C6D427D" w14:textId="77777777" w:rsidTr="0042238B">
        <w:tc>
          <w:tcPr>
            <w:tcW w:w="9242" w:type="dxa"/>
            <w:gridSpan w:val="2"/>
          </w:tcPr>
          <w:p w14:paraId="26B081B8" w14:textId="67AE0328" w:rsidR="0042238B" w:rsidRPr="00063689" w:rsidRDefault="0042238B" w:rsidP="0042238B">
            <w:pPr>
              <w:overflowPunct/>
              <w:spacing w:after="120"/>
              <w:jc w:val="both"/>
              <w:textAlignment w:val="auto"/>
              <w:rPr>
                <w:rFonts w:asciiTheme="minorHAnsi" w:hAnsiTheme="minorHAnsi" w:cs="Corbel"/>
                <w:b/>
                <w:sz w:val="24"/>
                <w:szCs w:val="24"/>
                <w:lang w:val="en-US"/>
              </w:rPr>
            </w:pPr>
            <w:r w:rsidRPr="00063689">
              <w:rPr>
                <w:rFonts w:asciiTheme="minorHAnsi" w:hAnsiTheme="minorHAnsi" w:cs="Corbel"/>
                <w:b/>
                <w:sz w:val="24"/>
                <w:szCs w:val="24"/>
                <w:lang w:val="en-US"/>
              </w:rPr>
              <w:t>Supporting Evidence</w:t>
            </w:r>
            <w:r w:rsidRPr="00686049">
              <w:rPr>
                <w:rFonts w:asciiTheme="minorHAnsi" w:hAnsiTheme="minorHAnsi" w:cs="Corbel"/>
                <w:sz w:val="24"/>
                <w:szCs w:val="24"/>
                <w:lang w:val="en-US"/>
              </w:rPr>
              <w:t>:</w:t>
            </w:r>
          </w:p>
        </w:tc>
      </w:tr>
      <w:tr w:rsidR="0042238B" w:rsidRPr="00063689" w14:paraId="07421C26" w14:textId="77777777" w:rsidTr="0042238B">
        <w:tc>
          <w:tcPr>
            <w:tcW w:w="548" w:type="dxa"/>
          </w:tcPr>
          <w:p w14:paraId="669C9CA9" w14:textId="77777777" w:rsidR="0042238B" w:rsidRPr="00063689" w:rsidRDefault="0042238B" w:rsidP="0042238B">
            <w:pPr>
              <w:overflowPunct/>
              <w:spacing w:after="120"/>
              <w:jc w:val="right"/>
              <w:textAlignment w:val="auto"/>
              <w:rPr>
                <w:rFonts w:asciiTheme="minorHAnsi" w:hAnsiTheme="minorHAnsi" w:cs="Corbel"/>
                <w:color w:val="00B050"/>
                <w:szCs w:val="22"/>
                <w:lang w:val="en-US"/>
              </w:rPr>
            </w:pPr>
            <w:r w:rsidRPr="00063689">
              <w:rPr>
                <w:rFonts w:ascii="Menlo Bold" w:hAnsi="Menlo Bold" w:cs="Menlo Bold"/>
                <w:b/>
                <w:color w:val="008000"/>
                <w:szCs w:val="22"/>
                <w:lang w:val="en-US"/>
              </w:rPr>
              <w:t>✔</w:t>
            </w:r>
          </w:p>
        </w:tc>
        <w:tc>
          <w:tcPr>
            <w:tcW w:w="8694" w:type="dxa"/>
          </w:tcPr>
          <w:p w14:paraId="387F508E" w14:textId="4C7F2093" w:rsidR="0042238B" w:rsidRPr="00C27BEB" w:rsidRDefault="0042238B" w:rsidP="0042238B">
            <w:pPr>
              <w:overflowPunct/>
              <w:spacing w:after="120"/>
              <w:jc w:val="both"/>
              <w:textAlignment w:val="auto"/>
              <w:rPr>
                <w:rFonts w:asciiTheme="minorHAnsi" w:hAnsiTheme="minorHAnsi" w:cs="Corbel"/>
                <w:szCs w:val="22"/>
                <w:lang w:val="en-US"/>
              </w:rPr>
            </w:pPr>
            <w:r>
              <w:rPr>
                <w:rFonts w:asciiTheme="minorHAnsi" w:hAnsiTheme="minorHAnsi" w:cs="Corbel"/>
                <w:sz w:val="24"/>
                <w:szCs w:val="24"/>
                <w:lang w:val="en-US"/>
              </w:rPr>
              <w:t xml:space="preserve">As a Party to the UN Convention on Biological Diversity (CBD), Georgia is committed to implement the Programme of Work on Protected Areas (PoWPA) that includes many activities applicable to the GEF project, such as: promoting participation of indigenous and local communities; strengthening collaboration across national boundaries;  site-based participatory planning; effective management; and capacity needs assessment and capacity building. (Refer to other details in </w:t>
            </w:r>
            <w:r w:rsidRPr="008D1E44">
              <w:rPr>
                <w:rFonts w:asciiTheme="minorHAnsi" w:hAnsiTheme="minorHAnsi" w:cs="Corbel"/>
                <w:b/>
                <w:sz w:val="24"/>
                <w:szCs w:val="24"/>
                <w:lang w:val="en-US"/>
              </w:rPr>
              <w:t>Section 2.3.)</w:t>
            </w:r>
          </w:p>
        </w:tc>
      </w:tr>
      <w:tr w:rsidR="0042238B" w:rsidRPr="00063689" w14:paraId="61436124" w14:textId="77777777" w:rsidTr="0042238B">
        <w:tc>
          <w:tcPr>
            <w:tcW w:w="548" w:type="dxa"/>
          </w:tcPr>
          <w:p w14:paraId="0E3E9900" w14:textId="77777777" w:rsidR="0042238B" w:rsidRPr="00063689" w:rsidRDefault="0042238B" w:rsidP="0042238B">
            <w:pPr>
              <w:overflowPunct/>
              <w:spacing w:after="120"/>
              <w:jc w:val="right"/>
              <w:textAlignment w:val="auto"/>
              <w:rPr>
                <w:rFonts w:asciiTheme="minorHAnsi" w:hAnsiTheme="minorHAnsi" w:cs="Corbel"/>
                <w:color w:val="00B050"/>
                <w:szCs w:val="22"/>
                <w:lang w:val="en-US"/>
              </w:rPr>
            </w:pPr>
            <w:r w:rsidRPr="00063689">
              <w:rPr>
                <w:rFonts w:ascii="Menlo Bold" w:hAnsi="Menlo Bold" w:cs="Menlo Bold"/>
                <w:b/>
                <w:color w:val="008000"/>
                <w:szCs w:val="22"/>
                <w:lang w:val="en-US"/>
              </w:rPr>
              <w:t>✔</w:t>
            </w:r>
          </w:p>
        </w:tc>
        <w:tc>
          <w:tcPr>
            <w:tcW w:w="8694" w:type="dxa"/>
          </w:tcPr>
          <w:p w14:paraId="12805B83" w14:textId="5ADA99F3" w:rsidR="0042238B" w:rsidRPr="00063689" w:rsidRDefault="0042238B" w:rsidP="0042238B">
            <w:pPr>
              <w:overflowPunct/>
              <w:spacing w:after="120"/>
              <w:jc w:val="both"/>
              <w:textAlignment w:val="auto"/>
              <w:rPr>
                <w:rFonts w:asciiTheme="minorHAnsi" w:hAnsiTheme="minorHAnsi" w:cs="Corbel"/>
                <w:szCs w:val="22"/>
                <w:lang w:val="en-US"/>
              </w:rPr>
            </w:pPr>
            <w:r>
              <w:rPr>
                <w:rFonts w:asciiTheme="minorHAnsi" w:hAnsiTheme="minorHAnsi" w:cs="Corbel"/>
                <w:sz w:val="24"/>
                <w:szCs w:val="24"/>
                <w:lang w:val="en-US"/>
              </w:rPr>
              <w:t>The 4</w:t>
            </w:r>
            <w:r w:rsidRPr="008D1E44">
              <w:rPr>
                <w:rFonts w:asciiTheme="minorHAnsi" w:hAnsiTheme="minorHAnsi" w:cs="Corbel"/>
                <w:sz w:val="24"/>
                <w:szCs w:val="24"/>
                <w:vertAlign w:val="superscript"/>
                <w:lang w:val="en-US"/>
              </w:rPr>
              <w:t>th</w:t>
            </w:r>
            <w:r>
              <w:rPr>
                <w:rFonts w:asciiTheme="minorHAnsi" w:hAnsiTheme="minorHAnsi" w:cs="Corbel"/>
                <w:sz w:val="24"/>
                <w:szCs w:val="24"/>
                <w:lang w:val="en-US"/>
              </w:rPr>
              <w:t xml:space="preserve"> National Framework Report on Georgia’s Biodiversity (2009) confirms the high priority placed by government on creating and managing a system of PAs to conserve </w:t>
            </w:r>
            <w:r>
              <w:rPr>
                <w:rFonts w:asciiTheme="minorHAnsi" w:hAnsiTheme="minorHAnsi" w:cs="Corbel"/>
                <w:sz w:val="24"/>
                <w:szCs w:val="24"/>
                <w:lang w:val="en-US"/>
              </w:rPr>
              <w:lastRenderedPageBreak/>
              <w:t xml:space="preserve">biodiversity </w:t>
            </w:r>
            <w:r w:rsidRPr="008D1E44">
              <w:rPr>
                <w:rFonts w:asciiTheme="minorHAnsi" w:hAnsiTheme="minorHAnsi" w:cs="Corbel"/>
                <w:i/>
                <w:sz w:val="24"/>
                <w:szCs w:val="24"/>
                <w:lang w:val="en-US"/>
              </w:rPr>
              <w:t>in situ</w:t>
            </w:r>
            <w:r>
              <w:rPr>
                <w:rFonts w:asciiTheme="minorHAnsi" w:hAnsiTheme="minorHAnsi" w:cs="Corbel"/>
                <w:sz w:val="24"/>
                <w:szCs w:val="24"/>
                <w:lang w:val="en-US"/>
              </w:rPr>
              <w:t xml:space="preserve"> , while reocognising that the greatest threats to the ecological integrity of PAs is habitat destruction/degradation and the extensive extraction of biological resources.</w:t>
            </w:r>
          </w:p>
        </w:tc>
      </w:tr>
      <w:tr w:rsidR="0042238B" w:rsidRPr="00063689" w14:paraId="280E402D" w14:textId="77777777" w:rsidTr="0042238B">
        <w:tc>
          <w:tcPr>
            <w:tcW w:w="548" w:type="dxa"/>
          </w:tcPr>
          <w:p w14:paraId="70F296E3" w14:textId="77777777" w:rsidR="0042238B" w:rsidRPr="00063689" w:rsidRDefault="0042238B" w:rsidP="0042238B">
            <w:pPr>
              <w:overflowPunct/>
              <w:spacing w:after="120"/>
              <w:jc w:val="right"/>
              <w:textAlignment w:val="auto"/>
              <w:rPr>
                <w:rFonts w:ascii="Menlo Bold" w:hAnsi="Menlo Bold" w:cs="Menlo Bold"/>
                <w:b/>
                <w:color w:val="008000"/>
                <w:szCs w:val="22"/>
                <w:lang w:val="en-US"/>
              </w:rPr>
            </w:pPr>
            <w:r w:rsidRPr="00063689">
              <w:rPr>
                <w:rFonts w:ascii="Menlo Bold" w:hAnsi="Menlo Bold" w:cs="Menlo Bold"/>
                <w:b/>
                <w:color w:val="008000"/>
                <w:szCs w:val="22"/>
                <w:lang w:val="en-US"/>
              </w:rPr>
              <w:lastRenderedPageBreak/>
              <w:t>✔</w:t>
            </w:r>
          </w:p>
        </w:tc>
        <w:tc>
          <w:tcPr>
            <w:tcW w:w="8694" w:type="dxa"/>
          </w:tcPr>
          <w:p w14:paraId="2593897D" w14:textId="1D94CC5E" w:rsidR="0042238B" w:rsidRDefault="0042238B" w:rsidP="0042238B">
            <w:pPr>
              <w:overflowPunct/>
              <w:spacing w:after="120"/>
              <w:jc w:val="both"/>
              <w:textAlignment w:val="auto"/>
              <w:rPr>
                <w:rFonts w:asciiTheme="minorHAnsi" w:hAnsiTheme="minorHAnsi" w:cs="Corbel"/>
                <w:szCs w:val="22"/>
                <w:lang w:val="en-US"/>
              </w:rPr>
            </w:pPr>
            <w:r>
              <w:rPr>
                <w:rFonts w:asciiTheme="minorHAnsi" w:hAnsiTheme="minorHAnsi" w:cs="Corbel"/>
                <w:sz w:val="24"/>
                <w:szCs w:val="24"/>
                <w:lang w:val="en-US"/>
              </w:rPr>
              <w:t>Relevant country representatives, including governmental officials at national and regional levels, civil society representatives and academic professionals have been actively involved in the project.</w:t>
            </w:r>
          </w:p>
        </w:tc>
      </w:tr>
      <w:tr w:rsidR="0042238B" w:rsidRPr="00063689" w14:paraId="3BF9F84A" w14:textId="77777777" w:rsidTr="0042238B">
        <w:tc>
          <w:tcPr>
            <w:tcW w:w="548" w:type="dxa"/>
          </w:tcPr>
          <w:p w14:paraId="45C0C7ED" w14:textId="77777777" w:rsidR="0042238B" w:rsidRPr="00063689" w:rsidRDefault="0042238B" w:rsidP="0042238B">
            <w:pPr>
              <w:overflowPunct/>
              <w:spacing w:after="120"/>
              <w:jc w:val="right"/>
              <w:textAlignment w:val="auto"/>
              <w:rPr>
                <w:rFonts w:asciiTheme="minorHAnsi" w:hAnsiTheme="minorHAnsi" w:cs="Corbel"/>
                <w:color w:val="C00000"/>
                <w:szCs w:val="22"/>
                <w:lang w:val="en-US"/>
              </w:rPr>
            </w:pPr>
            <w:r w:rsidRPr="00063689">
              <w:rPr>
                <w:rFonts w:ascii="Menlo Bold" w:hAnsi="Menlo Bold" w:cs="Menlo Bold"/>
                <w:b/>
                <w:color w:val="008000"/>
                <w:szCs w:val="22"/>
                <w:lang w:val="en-US"/>
              </w:rPr>
              <w:t>✔</w:t>
            </w:r>
          </w:p>
        </w:tc>
        <w:tc>
          <w:tcPr>
            <w:tcW w:w="8694" w:type="dxa"/>
          </w:tcPr>
          <w:p w14:paraId="0FC2B72D" w14:textId="3303B66A" w:rsidR="0042238B" w:rsidRPr="00063689" w:rsidRDefault="0042238B" w:rsidP="0042238B">
            <w:pPr>
              <w:overflowPunct/>
              <w:spacing w:before="60" w:after="60"/>
              <w:jc w:val="both"/>
              <w:textAlignment w:val="auto"/>
              <w:rPr>
                <w:rFonts w:asciiTheme="minorHAnsi" w:hAnsiTheme="minorHAnsi" w:cs="Corbel"/>
                <w:szCs w:val="22"/>
                <w:lang w:val="en-US"/>
              </w:rPr>
            </w:pPr>
            <w:r>
              <w:rPr>
                <w:rFonts w:asciiTheme="minorHAnsi" w:hAnsiTheme="minorHAnsi" w:cs="Corbel"/>
                <w:sz w:val="24"/>
                <w:szCs w:val="24"/>
                <w:lang w:val="en-US"/>
              </w:rPr>
              <w:t xml:space="preserve">At least US$ 11 million of leveraged resources were contributed by national, regional and municipal government, and potentially much more from ARA (see </w:t>
            </w:r>
            <w:r w:rsidRPr="00165B5B">
              <w:rPr>
                <w:rFonts w:asciiTheme="minorHAnsi" w:hAnsiTheme="minorHAnsi" w:cs="Corbel"/>
                <w:b/>
                <w:sz w:val="24"/>
                <w:szCs w:val="24"/>
                <w:lang w:val="en-US"/>
              </w:rPr>
              <w:t>Table 3.3).</w:t>
            </w:r>
          </w:p>
        </w:tc>
      </w:tr>
      <w:tr w:rsidR="0042238B" w:rsidRPr="00063689" w14:paraId="5198A2E5" w14:textId="77777777" w:rsidTr="0042238B">
        <w:tc>
          <w:tcPr>
            <w:tcW w:w="548" w:type="dxa"/>
          </w:tcPr>
          <w:p w14:paraId="7FB6F889" w14:textId="77777777" w:rsidR="0042238B" w:rsidRPr="00063689" w:rsidRDefault="0042238B" w:rsidP="0042238B">
            <w:pPr>
              <w:overflowPunct/>
              <w:spacing w:after="120"/>
              <w:jc w:val="right"/>
              <w:textAlignment w:val="auto"/>
              <w:rPr>
                <w:rFonts w:asciiTheme="minorHAnsi" w:hAnsiTheme="minorHAnsi" w:cs="Corbel"/>
                <w:color w:val="C00000"/>
                <w:szCs w:val="22"/>
                <w:lang w:val="en-US"/>
              </w:rPr>
            </w:pPr>
            <w:r w:rsidRPr="00063689">
              <w:rPr>
                <w:rFonts w:ascii="Menlo Bold" w:hAnsi="Menlo Bold" w:cs="Menlo Bold"/>
                <w:b/>
                <w:color w:val="FF0000"/>
                <w:szCs w:val="22"/>
                <w:lang w:val="en-US"/>
              </w:rPr>
              <w:t>✖</w:t>
            </w:r>
          </w:p>
        </w:tc>
        <w:tc>
          <w:tcPr>
            <w:tcW w:w="8694" w:type="dxa"/>
          </w:tcPr>
          <w:p w14:paraId="29698ED1" w14:textId="3D9A9C40" w:rsidR="0042238B" w:rsidRPr="00063689" w:rsidRDefault="0042238B" w:rsidP="00085F7A">
            <w:pPr>
              <w:overflowPunct/>
              <w:spacing w:before="60" w:after="60"/>
              <w:jc w:val="both"/>
              <w:textAlignment w:val="auto"/>
              <w:rPr>
                <w:rFonts w:asciiTheme="minorHAnsi" w:hAnsiTheme="minorHAnsi" w:cs="Corbel"/>
                <w:szCs w:val="22"/>
                <w:lang w:val="en-US"/>
              </w:rPr>
            </w:pPr>
            <w:r>
              <w:rPr>
                <w:rFonts w:asciiTheme="minorHAnsi" w:hAnsiTheme="minorHAnsi" w:cs="Corbel"/>
                <w:sz w:val="24"/>
                <w:szCs w:val="24"/>
                <w:lang w:val="en-US"/>
              </w:rPr>
              <w:t>In some respects, APA’s current PA policy and legislation contradicts what government is trying to achieve through this project, which is a financially sustainable network of effectively managed PAs that are representative of Georgia’s biodiversity. The contradiction arises from APA</w:t>
            </w:r>
            <w:r w:rsidR="00D5497E">
              <w:rPr>
                <w:rFonts w:asciiTheme="minorHAnsi" w:hAnsiTheme="minorHAnsi" w:cs="Corbel"/>
                <w:sz w:val="24"/>
                <w:szCs w:val="24"/>
                <w:lang w:val="en-US"/>
              </w:rPr>
              <w:t>’</w:t>
            </w:r>
            <w:r>
              <w:rPr>
                <w:rFonts w:asciiTheme="minorHAnsi" w:hAnsiTheme="minorHAnsi" w:cs="Corbel"/>
                <w:sz w:val="24"/>
                <w:szCs w:val="24"/>
                <w:lang w:val="en-US"/>
              </w:rPr>
              <w:t xml:space="preserve">s centralized institutional structure that </w:t>
            </w:r>
            <w:r w:rsidR="00085F7A">
              <w:rPr>
                <w:rFonts w:asciiTheme="minorHAnsi" w:hAnsiTheme="minorHAnsi" w:cs="Corbel"/>
                <w:sz w:val="24"/>
                <w:szCs w:val="24"/>
                <w:lang w:val="en-US"/>
              </w:rPr>
              <w:t>limits</w:t>
            </w:r>
            <w:r>
              <w:rPr>
                <w:rFonts w:asciiTheme="minorHAnsi" w:hAnsiTheme="minorHAnsi" w:cs="Corbel"/>
                <w:sz w:val="24"/>
                <w:szCs w:val="24"/>
                <w:lang w:val="en-US"/>
              </w:rPr>
              <w:t xml:space="preserve"> </w:t>
            </w:r>
            <w:r w:rsidR="00D5497E">
              <w:rPr>
                <w:rFonts w:asciiTheme="minorHAnsi" w:hAnsiTheme="minorHAnsi" w:cs="Corbel"/>
                <w:sz w:val="24"/>
                <w:szCs w:val="24"/>
                <w:lang w:val="en-US"/>
              </w:rPr>
              <w:t xml:space="preserve">devolvement of powers </w:t>
            </w:r>
            <w:r>
              <w:rPr>
                <w:rFonts w:asciiTheme="minorHAnsi" w:hAnsiTheme="minorHAnsi" w:cs="Corbel"/>
                <w:sz w:val="24"/>
                <w:szCs w:val="24"/>
                <w:lang w:val="en-US"/>
              </w:rPr>
              <w:t>to it</w:t>
            </w:r>
            <w:r w:rsidR="00D5497E">
              <w:rPr>
                <w:rFonts w:asciiTheme="minorHAnsi" w:hAnsiTheme="minorHAnsi" w:cs="Corbel"/>
                <w:sz w:val="24"/>
                <w:szCs w:val="24"/>
                <w:lang w:val="en-US"/>
              </w:rPr>
              <w:t>s</w:t>
            </w:r>
            <w:r>
              <w:rPr>
                <w:rFonts w:asciiTheme="minorHAnsi" w:hAnsiTheme="minorHAnsi" w:cs="Corbel"/>
                <w:sz w:val="24"/>
                <w:szCs w:val="24"/>
                <w:lang w:val="en-US"/>
              </w:rPr>
              <w:t xml:space="preserve"> PA</w:t>
            </w:r>
            <w:r w:rsidR="00085F7A">
              <w:rPr>
                <w:rFonts w:asciiTheme="minorHAnsi" w:hAnsiTheme="minorHAnsi" w:cs="Corbel"/>
                <w:sz w:val="24"/>
                <w:szCs w:val="24"/>
                <w:lang w:val="en-US"/>
              </w:rPr>
              <w:t xml:space="preserve"> administration</w:t>
            </w:r>
            <w:r>
              <w:rPr>
                <w:rFonts w:asciiTheme="minorHAnsi" w:hAnsiTheme="minorHAnsi" w:cs="Corbel"/>
                <w:sz w:val="24"/>
                <w:szCs w:val="24"/>
                <w:lang w:val="en-US"/>
              </w:rPr>
              <w:t xml:space="preserve">s and lacks provisions for stakeholders to engage in planning and management processes. (Refer to </w:t>
            </w:r>
            <w:r w:rsidRPr="00E53C19">
              <w:rPr>
                <w:rFonts w:asciiTheme="minorHAnsi" w:hAnsiTheme="minorHAnsi" w:cs="Corbel"/>
                <w:b/>
                <w:sz w:val="24"/>
                <w:szCs w:val="24"/>
                <w:lang w:val="en-US"/>
              </w:rPr>
              <w:t xml:space="preserve">Section </w:t>
            </w:r>
            <w:r w:rsidR="00085F7A">
              <w:rPr>
                <w:rFonts w:asciiTheme="minorHAnsi" w:hAnsiTheme="minorHAnsi" w:cs="Corbel"/>
                <w:b/>
                <w:sz w:val="24"/>
                <w:szCs w:val="24"/>
                <w:lang w:val="en-US"/>
              </w:rPr>
              <w:t>3.2.1</w:t>
            </w:r>
            <w:r>
              <w:rPr>
                <w:rFonts w:asciiTheme="minorHAnsi" w:hAnsiTheme="minorHAnsi" w:cs="Corbel"/>
                <w:sz w:val="24"/>
                <w:szCs w:val="24"/>
                <w:lang w:val="en-US"/>
              </w:rPr>
              <w:t xml:space="preserve"> for details.)</w:t>
            </w:r>
          </w:p>
        </w:tc>
      </w:tr>
    </w:tbl>
    <w:p w14:paraId="3730DD88" w14:textId="77777777" w:rsidR="00E52565" w:rsidRPr="00E22EBA" w:rsidRDefault="00E52565" w:rsidP="0067558E">
      <w:pPr>
        <w:pStyle w:val="Heading2"/>
        <w:numPr>
          <w:ilvl w:val="2"/>
          <w:numId w:val="20"/>
        </w:numPr>
        <w:spacing w:before="240" w:after="120"/>
        <w:ind w:left="709" w:hanging="709"/>
        <w:rPr>
          <w:rFonts w:asciiTheme="minorHAnsi" w:hAnsiTheme="minorHAnsi" w:cs="Calibri"/>
          <w:b/>
          <w:caps w:val="0"/>
        </w:rPr>
      </w:pPr>
      <w:bookmarkStart w:id="154" w:name="_Toc414745338"/>
      <w:r w:rsidRPr="00E22EBA">
        <w:rPr>
          <w:rFonts w:asciiTheme="minorHAnsi" w:hAnsiTheme="minorHAnsi" w:cs="Calibri"/>
          <w:b/>
          <w:caps w:val="0"/>
        </w:rPr>
        <w:t>Mainstreaming</w:t>
      </w:r>
      <w:bookmarkEnd w:id="154"/>
    </w:p>
    <w:p w14:paraId="669C0DB1" w14:textId="03B49503" w:rsidR="00DA59BC" w:rsidRDefault="00DA59BC" w:rsidP="00DA59BC">
      <w:pPr>
        <w:widowControl w:val="0"/>
        <w:overflowPunct/>
        <w:spacing w:after="120" w:line="300" w:lineRule="atLeast"/>
        <w:jc w:val="both"/>
        <w:textAlignment w:val="auto"/>
        <w:rPr>
          <w:rFonts w:ascii="Calibri" w:hAnsi="Calibri" w:cs="Arial"/>
          <w:bCs/>
          <w:i/>
          <w:sz w:val="21"/>
          <w:szCs w:val="21"/>
          <w:highlight w:val="lightGray"/>
        </w:rPr>
      </w:pPr>
      <w:r>
        <w:rPr>
          <w:rFonts w:ascii="Calibri" w:hAnsi="Calibri" w:cs="Arial"/>
          <w:bCs/>
          <w:i/>
          <w:sz w:val="21"/>
          <w:szCs w:val="21"/>
          <w:highlight w:val="lightGray"/>
        </w:rPr>
        <w:t xml:space="preserve">Extent to which project </w:t>
      </w:r>
      <w:r w:rsidRPr="00DA59BC">
        <w:rPr>
          <w:rFonts w:ascii="Calibri" w:hAnsi="Calibri" w:cs="Arial"/>
          <w:bCs/>
          <w:i/>
          <w:sz w:val="21"/>
          <w:szCs w:val="21"/>
          <w:highlight w:val="lightGray"/>
        </w:rPr>
        <w:t>successfully mainstream</w:t>
      </w:r>
      <w:r>
        <w:rPr>
          <w:rFonts w:ascii="Calibri" w:hAnsi="Calibri" w:cs="Arial"/>
          <w:bCs/>
          <w:i/>
          <w:sz w:val="21"/>
          <w:szCs w:val="21"/>
          <w:highlight w:val="lightGray"/>
        </w:rPr>
        <w:t>ed</w:t>
      </w:r>
      <w:r w:rsidRPr="00DA59BC">
        <w:rPr>
          <w:rFonts w:ascii="Calibri" w:hAnsi="Calibri" w:cs="Arial"/>
          <w:bCs/>
          <w:i/>
          <w:sz w:val="21"/>
          <w:szCs w:val="21"/>
          <w:highlight w:val="lightGray"/>
        </w:rPr>
        <w:t xml:space="preserve"> other UNDP priorities, including poverty alleviation, improved </w:t>
      </w:r>
      <w:r>
        <w:rPr>
          <w:rFonts w:ascii="Calibri" w:hAnsi="Calibri" w:cs="Arial"/>
          <w:bCs/>
          <w:i/>
          <w:sz w:val="21"/>
          <w:szCs w:val="21"/>
          <w:highlight w:val="lightGray"/>
        </w:rPr>
        <w:t>governance, prevention/</w:t>
      </w:r>
      <w:r w:rsidRPr="00DA59BC">
        <w:rPr>
          <w:rFonts w:ascii="Calibri" w:hAnsi="Calibri" w:cs="Arial"/>
          <w:bCs/>
          <w:i/>
          <w:sz w:val="21"/>
          <w:szCs w:val="21"/>
          <w:highlight w:val="lightGray"/>
        </w:rPr>
        <w:t>recovery from natural disa</w:t>
      </w:r>
      <w:r>
        <w:rPr>
          <w:rFonts w:ascii="Calibri" w:hAnsi="Calibri" w:cs="Arial"/>
          <w:bCs/>
          <w:i/>
          <w:sz w:val="21"/>
          <w:szCs w:val="21"/>
          <w:highlight w:val="lightGray"/>
        </w:rPr>
        <w:t>sters and women's empowerment.</w:t>
      </w:r>
    </w:p>
    <w:p w14:paraId="3C5D1F04" w14:textId="355DCBCC" w:rsidR="00D17CB4" w:rsidRPr="003A0687" w:rsidRDefault="00372A4D" w:rsidP="003A0687">
      <w:pPr>
        <w:spacing w:after="60" w:line="240" w:lineRule="atLeast"/>
        <w:jc w:val="both"/>
        <w:rPr>
          <w:rFonts w:asciiTheme="minorHAnsi" w:hAnsiTheme="minorHAnsi"/>
          <w:sz w:val="24"/>
          <w:szCs w:val="24"/>
          <w:lang w:val="en-US"/>
        </w:rPr>
      </w:pPr>
      <w:r w:rsidRPr="003A0687">
        <w:rPr>
          <w:rFonts w:asciiTheme="minorHAnsi" w:hAnsiTheme="minorHAnsi"/>
          <w:sz w:val="24"/>
          <w:szCs w:val="24"/>
          <w:lang w:val="en-US"/>
        </w:rPr>
        <w:t>The</w:t>
      </w:r>
      <w:r w:rsidR="009F4D88" w:rsidRPr="003A0687">
        <w:rPr>
          <w:rFonts w:asciiTheme="minorHAnsi" w:hAnsiTheme="minorHAnsi"/>
          <w:sz w:val="24"/>
          <w:szCs w:val="24"/>
          <w:lang w:val="en-US"/>
        </w:rPr>
        <w:t xml:space="preserve"> project objective </w:t>
      </w:r>
      <w:r w:rsidR="008323A0" w:rsidRPr="003A0687">
        <w:rPr>
          <w:rFonts w:asciiTheme="minorHAnsi" w:hAnsiTheme="minorHAnsi"/>
          <w:sz w:val="24"/>
          <w:szCs w:val="24"/>
          <w:lang w:val="en-US"/>
        </w:rPr>
        <w:t xml:space="preserve">conforms </w:t>
      </w:r>
      <w:r w:rsidR="00D17CB4" w:rsidRPr="003A0687">
        <w:rPr>
          <w:rFonts w:asciiTheme="minorHAnsi" w:hAnsiTheme="minorHAnsi"/>
          <w:sz w:val="24"/>
          <w:szCs w:val="24"/>
          <w:lang w:val="en-US"/>
        </w:rPr>
        <w:t xml:space="preserve">specifically </w:t>
      </w:r>
      <w:r w:rsidR="008323A0" w:rsidRPr="003A0687">
        <w:rPr>
          <w:rFonts w:asciiTheme="minorHAnsi" w:hAnsiTheme="minorHAnsi"/>
          <w:sz w:val="24"/>
          <w:szCs w:val="24"/>
          <w:lang w:val="en-US"/>
        </w:rPr>
        <w:t>with</w:t>
      </w:r>
      <w:r w:rsidR="009F4D88" w:rsidRPr="003A0687">
        <w:rPr>
          <w:rFonts w:asciiTheme="minorHAnsi" w:hAnsiTheme="minorHAnsi"/>
          <w:sz w:val="24"/>
          <w:szCs w:val="24"/>
          <w:lang w:val="en-US"/>
        </w:rPr>
        <w:t xml:space="preserve"> </w:t>
      </w:r>
      <w:r w:rsidR="00D17CB4" w:rsidRPr="003A0687">
        <w:rPr>
          <w:rFonts w:asciiTheme="minorHAnsi" w:hAnsiTheme="minorHAnsi"/>
          <w:sz w:val="24"/>
          <w:szCs w:val="24"/>
          <w:lang w:val="en-US"/>
        </w:rPr>
        <w:t>Outcome 3.2 of</w:t>
      </w:r>
      <w:r w:rsidR="009F4D88" w:rsidRPr="003A0687">
        <w:rPr>
          <w:rFonts w:asciiTheme="minorHAnsi" w:hAnsiTheme="minorHAnsi"/>
          <w:sz w:val="24"/>
          <w:szCs w:val="24"/>
          <w:lang w:val="en-US"/>
        </w:rPr>
        <w:t xml:space="preserve"> the UNDP </w:t>
      </w:r>
      <w:r w:rsidR="008323A0" w:rsidRPr="003A0687">
        <w:rPr>
          <w:rFonts w:asciiTheme="minorHAnsi" w:hAnsiTheme="minorHAnsi"/>
          <w:sz w:val="24"/>
          <w:szCs w:val="24"/>
          <w:lang w:val="en-US"/>
        </w:rPr>
        <w:t>Georgia Country P</w:t>
      </w:r>
      <w:r w:rsidR="009F4D88" w:rsidRPr="003A0687">
        <w:rPr>
          <w:rFonts w:asciiTheme="minorHAnsi" w:hAnsiTheme="minorHAnsi"/>
          <w:sz w:val="24"/>
          <w:szCs w:val="24"/>
          <w:lang w:val="en-US"/>
        </w:rPr>
        <w:t>rogram</w:t>
      </w:r>
      <w:r w:rsidR="008323A0" w:rsidRPr="003A0687">
        <w:rPr>
          <w:rFonts w:asciiTheme="minorHAnsi" w:hAnsiTheme="minorHAnsi"/>
          <w:sz w:val="24"/>
          <w:szCs w:val="24"/>
          <w:lang w:val="en-US"/>
        </w:rPr>
        <w:t>mme</w:t>
      </w:r>
      <w:r w:rsidR="009F4D88" w:rsidRPr="003A0687">
        <w:rPr>
          <w:rFonts w:asciiTheme="minorHAnsi" w:hAnsiTheme="minorHAnsi"/>
          <w:sz w:val="24"/>
          <w:szCs w:val="24"/>
          <w:lang w:val="en-US"/>
        </w:rPr>
        <w:t xml:space="preserve"> for 201</w:t>
      </w:r>
      <w:r w:rsidR="008323A0" w:rsidRPr="003A0687">
        <w:rPr>
          <w:rFonts w:asciiTheme="minorHAnsi" w:hAnsiTheme="minorHAnsi"/>
          <w:sz w:val="24"/>
          <w:szCs w:val="24"/>
          <w:lang w:val="en-US"/>
        </w:rPr>
        <w:t xml:space="preserve">1-2015: </w:t>
      </w:r>
      <w:r w:rsidR="008323A0" w:rsidRPr="003A0687">
        <w:rPr>
          <w:rFonts w:asciiTheme="minorHAnsi" w:hAnsiTheme="minorHAnsi"/>
          <w:i/>
          <w:sz w:val="24"/>
          <w:szCs w:val="24"/>
          <w:lang w:val="en-US"/>
        </w:rPr>
        <w:t xml:space="preserve">Underlying disaster risk factors are reduced, focusing on sustainable environmental and natural resource management </w:t>
      </w:r>
      <w:r w:rsidR="003A0687" w:rsidRPr="003A0687">
        <w:rPr>
          <w:rFonts w:asciiTheme="minorHAnsi" w:hAnsiTheme="minorHAnsi"/>
          <w:sz w:val="24"/>
          <w:szCs w:val="24"/>
          <w:lang w:val="en-US"/>
        </w:rPr>
        <w:t>and its respective o</w:t>
      </w:r>
      <w:r w:rsidR="00D17CB4" w:rsidRPr="003A0687">
        <w:rPr>
          <w:rFonts w:asciiTheme="minorHAnsi" w:hAnsiTheme="minorHAnsi"/>
          <w:sz w:val="24"/>
          <w:szCs w:val="24"/>
          <w:lang w:val="en-US"/>
        </w:rPr>
        <w:t>utputs:</w:t>
      </w:r>
    </w:p>
    <w:p w14:paraId="0779EA39" w14:textId="77777777" w:rsidR="00520B05" w:rsidRDefault="00D17CB4" w:rsidP="0067558E">
      <w:pPr>
        <w:pStyle w:val="ListParagraph"/>
        <w:numPr>
          <w:ilvl w:val="0"/>
          <w:numId w:val="18"/>
        </w:numPr>
        <w:spacing w:after="60" w:line="240" w:lineRule="atLeast"/>
        <w:ind w:left="301" w:hanging="301"/>
        <w:contextualSpacing w:val="0"/>
        <w:jc w:val="both"/>
      </w:pPr>
      <w:r w:rsidRPr="003A0687">
        <w:rPr>
          <w:b/>
        </w:rPr>
        <w:t>3.2.1</w:t>
      </w:r>
      <w:r w:rsidR="003A0687" w:rsidRPr="003A0687">
        <w:rPr>
          <w:b/>
        </w:rPr>
        <w:t xml:space="preserve"> </w:t>
      </w:r>
      <w:r w:rsidR="003A0687" w:rsidRPr="003A0687">
        <w:t>Sustainable practices and instruments for the management of chemicals and natural resources, including land, water and biological resources demonstrated at pilot areas and up-scaled at nationa</w:t>
      </w:r>
      <w:r w:rsidR="003A0687">
        <w:t xml:space="preserve">l and/or trans- boundary levels; </w:t>
      </w:r>
    </w:p>
    <w:p w14:paraId="70C77BDF" w14:textId="48629B8E" w:rsidR="003A0687" w:rsidRPr="00520B05" w:rsidRDefault="00520B05" w:rsidP="0067558E">
      <w:pPr>
        <w:pStyle w:val="ListParagraph"/>
        <w:numPr>
          <w:ilvl w:val="0"/>
          <w:numId w:val="18"/>
        </w:numPr>
        <w:spacing w:after="60" w:line="240" w:lineRule="atLeast"/>
        <w:ind w:left="301" w:hanging="301"/>
        <w:contextualSpacing w:val="0"/>
        <w:jc w:val="both"/>
        <w:rPr>
          <w:b/>
        </w:rPr>
      </w:pPr>
      <w:r w:rsidRPr="00520B05">
        <w:rPr>
          <w:b/>
        </w:rPr>
        <w:t xml:space="preserve">3.2.2. </w:t>
      </w:r>
      <w:r w:rsidRPr="00520B05">
        <w:t xml:space="preserve">System, institutional and staff level capacities enhanced for implementation of national environmental commitments and major international agreements on climate change, biodiversity, land degradation and chemicals; </w:t>
      </w:r>
      <w:r w:rsidR="003A0687" w:rsidRPr="00520B05">
        <w:t>and</w:t>
      </w:r>
    </w:p>
    <w:p w14:paraId="62D5FA6E" w14:textId="3BC5EAB3" w:rsidR="003A0687" w:rsidRPr="003A0687" w:rsidRDefault="003A0687" w:rsidP="0067558E">
      <w:pPr>
        <w:pStyle w:val="ListParagraph"/>
        <w:numPr>
          <w:ilvl w:val="0"/>
          <w:numId w:val="18"/>
        </w:numPr>
        <w:spacing w:after="60" w:line="240" w:lineRule="atLeast"/>
        <w:ind w:left="301" w:hanging="301"/>
        <w:jc w:val="both"/>
      </w:pPr>
      <w:r>
        <w:rPr>
          <w:b/>
        </w:rPr>
        <w:t>3.2.5</w:t>
      </w:r>
      <w:r w:rsidRPr="003A0687">
        <w:t xml:space="preserve"> Financial and operational sustainability of protected areas increased </w:t>
      </w:r>
    </w:p>
    <w:p w14:paraId="23CD5F8C" w14:textId="77777777" w:rsidR="00487843" w:rsidRDefault="00D17CB4" w:rsidP="00487843">
      <w:pPr>
        <w:spacing w:before="120" w:after="60" w:line="240" w:lineRule="atLeast"/>
        <w:jc w:val="both"/>
        <w:rPr>
          <w:rFonts w:asciiTheme="minorHAnsi" w:hAnsiTheme="minorHAnsi"/>
          <w:sz w:val="24"/>
          <w:szCs w:val="24"/>
          <w:lang w:val="en-US"/>
        </w:rPr>
      </w:pPr>
      <w:r w:rsidRPr="003A0687">
        <w:rPr>
          <w:rFonts w:asciiTheme="minorHAnsi" w:hAnsiTheme="minorHAnsi"/>
          <w:sz w:val="24"/>
          <w:szCs w:val="24"/>
          <w:lang w:val="en-US"/>
        </w:rPr>
        <w:t xml:space="preserve">It also </w:t>
      </w:r>
      <w:r w:rsidR="003A0687">
        <w:rPr>
          <w:rFonts w:asciiTheme="minorHAnsi" w:hAnsiTheme="minorHAnsi"/>
          <w:sz w:val="24"/>
          <w:szCs w:val="24"/>
          <w:lang w:val="en-US"/>
        </w:rPr>
        <w:t xml:space="preserve">contributes to mainstreaming </w:t>
      </w:r>
      <w:r w:rsidR="00772C36">
        <w:rPr>
          <w:rFonts w:asciiTheme="minorHAnsi" w:hAnsiTheme="minorHAnsi"/>
          <w:sz w:val="24"/>
          <w:szCs w:val="24"/>
          <w:lang w:val="en-US"/>
        </w:rPr>
        <w:t xml:space="preserve">the two </w:t>
      </w:r>
      <w:r w:rsidR="003A0687">
        <w:rPr>
          <w:rFonts w:asciiTheme="minorHAnsi" w:hAnsiTheme="minorHAnsi"/>
          <w:sz w:val="24"/>
          <w:szCs w:val="24"/>
          <w:lang w:val="en-US"/>
        </w:rPr>
        <w:t>other priorities</w:t>
      </w:r>
      <w:r w:rsidR="00772C36">
        <w:rPr>
          <w:rFonts w:asciiTheme="minorHAnsi" w:hAnsiTheme="minorHAnsi"/>
          <w:sz w:val="24"/>
          <w:szCs w:val="24"/>
          <w:lang w:val="en-US"/>
        </w:rPr>
        <w:t xml:space="preserve">, democratic development and poverty alleviation, </w:t>
      </w:r>
      <w:r w:rsidR="003A0687">
        <w:rPr>
          <w:rFonts w:asciiTheme="minorHAnsi" w:hAnsiTheme="minorHAnsi"/>
          <w:sz w:val="24"/>
          <w:szCs w:val="24"/>
          <w:lang w:val="en-US"/>
        </w:rPr>
        <w:t xml:space="preserve">in the Country Programme </w:t>
      </w:r>
      <w:r w:rsidR="00772C36">
        <w:rPr>
          <w:rFonts w:asciiTheme="minorHAnsi" w:hAnsiTheme="minorHAnsi"/>
          <w:sz w:val="24"/>
          <w:szCs w:val="24"/>
          <w:lang w:val="en-US"/>
        </w:rPr>
        <w:t xml:space="preserve">that are identified under UNDAF. Some examples of Country Programme outputs to which the project has contributed by way of </w:t>
      </w:r>
      <w:r w:rsidR="00487843">
        <w:rPr>
          <w:rFonts w:asciiTheme="minorHAnsi" w:hAnsiTheme="minorHAnsi"/>
          <w:sz w:val="24"/>
          <w:szCs w:val="24"/>
          <w:lang w:val="en-US"/>
        </w:rPr>
        <w:t>improving governance through participatory processes and demonstrating best practices in sustainable management of natural resources include:</w:t>
      </w:r>
    </w:p>
    <w:p w14:paraId="57311AB0" w14:textId="308A76FA" w:rsidR="008E39EA" w:rsidRDefault="008E39EA" w:rsidP="0067558E">
      <w:pPr>
        <w:pStyle w:val="ListParagraph"/>
        <w:numPr>
          <w:ilvl w:val="0"/>
          <w:numId w:val="18"/>
        </w:numPr>
        <w:spacing w:after="60" w:line="240" w:lineRule="atLeast"/>
        <w:ind w:left="301" w:hanging="301"/>
        <w:contextualSpacing w:val="0"/>
        <w:jc w:val="both"/>
      </w:pPr>
      <w:r w:rsidRPr="008E39EA">
        <w:rPr>
          <w:b/>
        </w:rPr>
        <w:t xml:space="preserve">1.1.3. Value added chains targeting the poor are developed in rural areas </w:t>
      </w:r>
      <w:r>
        <w:rPr>
          <w:b/>
        </w:rPr>
        <w:t xml:space="preserve"> </w:t>
      </w:r>
      <w:r w:rsidRPr="008E39EA">
        <w:t xml:space="preserve">- e.g. </w:t>
      </w:r>
      <w:r>
        <w:t xml:space="preserve">waste from </w:t>
      </w:r>
      <w:r w:rsidRPr="008E39EA">
        <w:t>hazelnut</w:t>
      </w:r>
      <w:r>
        <w:t>s</w:t>
      </w:r>
      <w:r w:rsidRPr="008E39EA">
        <w:t xml:space="preserve"> </w:t>
      </w:r>
      <w:r>
        <w:t>(i.e. shells) used for fuel as an alternative to firewood</w:t>
      </w:r>
      <w:r w:rsidR="00A7086B">
        <w:t>; honey production (essentially organic, from natural forest) by small cooperatives; and wine traditionally produced from Ilia’s Wine Cellar</w:t>
      </w:r>
      <w:r w:rsidR="00547CDB">
        <w:t xml:space="preserve"> [</w:t>
      </w:r>
      <w:r w:rsidR="00547CDB" w:rsidRPr="00547CDB">
        <w:t>https://www.facebook.com/Iliawinecellar/</w:t>
      </w:r>
      <w:r w:rsidR="00547CDB">
        <w:t>]</w:t>
      </w:r>
      <w:r>
        <w:t>.</w:t>
      </w:r>
    </w:p>
    <w:p w14:paraId="417184E3" w14:textId="2078728C" w:rsidR="00520B05" w:rsidRPr="00520B05" w:rsidRDefault="00520B05" w:rsidP="0067558E">
      <w:pPr>
        <w:pStyle w:val="ListParagraph"/>
        <w:numPr>
          <w:ilvl w:val="0"/>
          <w:numId w:val="18"/>
        </w:numPr>
        <w:spacing w:after="60" w:line="240" w:lineRule="atLeast"/>
        <w:ind w:left="301" w:hanging="301"/>
        <w:contextualSpacing w:val="0"/>
        <w:jc w:val="both"/>
        <w:rPr>
          <w:b/>
        </w:rPr>
      </w:pPr>
      <w:r w:rsidRPr="00520B05">
        <w:rPr>
          <w:b/>
        </w:rPr>
        <w:t xml:space="preserve">1.2.3. Employment generation schemes tested and developed, targeting vulnerable population, including IDPs, people with disabilities, rural women and youth </w:t>
      </w:r>
      <w:r>
        <w:t xml:space="preserve">– e.g. establishment of cooperatives in communities residing within or nearby PAs; </w:t>
      </w:r>
      <w:r w:rsidR="000B3C3B">
        <w:t xml:space="preserve">establishment of volunteer community rangers and junior ranger programmes (work experience that provides competitive edge for future employmeny). </w:t>
      </w:r>
    </w:p>
    <w:p w14:paraId="38EBDB9F" w14:textId="53AA4A2A" w:rsidR="00520B05" w:rsidRPr="00520B05" w:rsidRDefault="00520B05" w:rsidP="0067558E">
      <w:pPr>
        <w:pStyle w:val="ListParagraph"/>
        <w:numPr>
          <w:ilvl w:val="0"/>
          <w:numId w:val="18"/>
        </w:numPr>
        <w:spacing w:after="60" w:line="240" w:lineRule="atLeast"/>
        <w:ind w:left="301" w:hanging="301"/>
        <w:contextualSpacing w:val="0"/>
        <w:jc w:val="both"/>
        <w:rPr>
          <w:b/>
        </w:rPr>
      </w:pPr>
      <w:r w:rsidRPr="00520B05">
        <w:rPr>
          <w:b/>
        </w:rPr>
        <w:t xml:space="preserve">2.2.2. Capacities of local and regional authorities strengthened to plan, deliver and </w:t>
      </w:r>
      <w:r w:rsidR="000B3C3B">
        <w:rPr>
          <w:b/>
        </w:rPr>
        <w:t>monitor public services locally</w:t>
      </w:r>
      <w:r w:rsidR="000B3C3B">
        <w:t xml:space="preserve"> – e.g. technical assistance provided to PA Administrations, regional </w:t>
      </w:r>
      <w:r w:rsidR="000B3C3B">
        <w:lastRenderedPageBreak/>
        <w:t xml:space="preserve">government agencies and municipalities in natural resource management, ecotourism, sustainable financing and waste management. </w:t>
      </w:r>
      <w:r w:rsidRPr="00520B05">
        <w:rPr>
          <w:b/>
        </w:rPr>
        <w:t> </w:t>
      </w:r>
    </w:p>
    <w:p w14:paraId="6D87CFBB" w14:textId="35A18C0C" w:rsidR="00520B05" w:rsidRPr="00520B05" w:rsidRDefault="00520B05" w:rsidP="0067558E">
      <w:pPr>
        <w:pStyle w:val="ListParagraph"/>
        <w:numPr>
          <w:ilvl w:val="0"/>
          <w:numId w:val="18"/>
        </w:numPr>
        <w:spacing w:after="60" w:line="240" w:lineRule="atLeast"/>
        <w:ind w:left="301" w:hanging="301"/>
        <w:contextualSpacing w:val="0"/>
        <w:jc w:val="both"/>
        <w:rPr>
          <w:b/>
        </w:rPr>
      </w:pPr>
      <w:r w:rsidRPr="00520B05">
        <w:rPr>
          <w:b/>
        </w:rPr>
        <w:t>2.4.2. NGOs and CSOs at local level empowered to participate in the deci</w:t>
      </w:r>
      <w:r w:rsidR="000B3C3B">
        <w:rPr>
          <w:b/>
        </w:rPr>
        <w:t xml:space="preserve">sion making and agenda setting </w:t>
      </w:r>
      <w:r w:rsidR="00D94872">
        <w:rPr>
          <w:b/>
        </w:rPr>
        <w:t xml:space="preserve">- </w:t>
      </w:r>
      <w:r w:rsidR="000B3C3B">
        <w:t xml:space="preserve">e.g. </w:t>
      </w:r>
      <w:r w:rsidR="00657C6B">
        <w:t>establishment of PA</w:t>
      </w:r>
      <w:r w:rsidR="00D94872">
        <w:t xml:space="preserve"> Friends Associations and representation of communities on </w:t>
      </w:r>
      <w:r w:rsidR="00657C6B">
        <w:t>PA</w:t>
      </w:r>
      <w:r w:rsidR="00D94872">
        <w:t xml:space="preserve"> Advisory Councils.</w:t>
      </w:r>
    </w:p>
    <w:p w14:paraId="209B78E7" w14:textId="40F9D9C2" w:rsidR="00520B05" w:rsidRPr="00520B05" w:rsidRDefault="00520B05" w:rsidP="0067558E">
      <w:pPr>
        <w:pStyle w:val="ListParagraph"/>
        <w:numPr>
          <w:ilvl w:val="0"/>
          <w:numId w:val="18"/>
        </w:numPr>
        <w:spacing w:after="60" w:line="240" w:lineRule="atLeast"/>
        <w:ind w:left="301" w:hanging="301"/>
        <w:contextualSpacing w:val="0"/>
        <w:jc w:val="both"/>
        <w:rPr>
          <w:b/>
        </w:rPr>
      </w:pPr>
      <w:r w:rsidRPr="00520B05">
        <w:rPr>
          <w:b/>
        </w:rPr>
        <w:t>2.5.1. Efficiency and effectiveness of government and public institutions enhanced contribut</w:t>
      </w:r>
      <w:r w:rsidR="00D94872">
        <w:rPr>
          <w:b/>
        </w:rPr>
        <w:t>e to the Country’s development</w:t>
      </w:r>
      <w:r w:rsidR="00D94872">
        <w:t xml:space="preserve"> – increased efficiency of NP Administrations.</w:t>
      </w:r>
    </w:p>
    <w:p w14:paraId="6E8FA578" w14:textId="721B1312" w:rsidR="006973B1" w:rsidRDefault="00372A4D" w:rsidP="00372A4D">
      <w:pPr>
        <w:pStyle w:val="BodyText"/>
        <w:rPr>
          <w:rFonts w:asciiTheme="minorHAnsi" w:hAnsiTheme="minorHAnsi"/>
        </w:rPr>
      </w:pPr>
      <w:r w:rsidRPr="00E22EBA">
        <w:rPr>
          <w:rFonts w:asciiTheme="minorHAnsi" w:hAnsiTheme="minorHAnsi"/>
        </w:rPr>
        <w:t>The Project did not have a specific gender objective</w:t>
      </w:r>
      <w:r w:rsidR="0098391C">
        <w:rPr>
          <w:rFonts w:asciiTheme="minorHAnsi" w:hAnsiTheme="minorHAnsi"/>
        </w:rPr>
        <w:t xml:space="preserve"> but it should be noted that w</w:t>
      </w:r>
      <w:r w:rsidR="00EA5126">
        <w:rPr>
          <w:rFonts w:asciiTheme="minorHAnsi" w:hAnsiTheme="minorHAnsi"/>
        </w:rPr>
        <w:t>omen were</w:t>
      </w:r>
      <w:r w:rsidR="0098391C" w:rsidRPr="00E22EBA">
        <w:rPr>
          <w:rFonts w:asciiTheme="minorHAnsi" w:hAnsiTheme="minorHAnsi"/>
        </w:rPr>
        <w:t xml:space="preserve"> represented </w:t>
      </w:r>
      <w:r w:rsidR="0098391C">
        <w:rPr>
          <w:rFonts w:asciiTheme="minorHAnsi" w:hAnsiTheme="minorHAnsi"/>
        </w:rPr>
        <w:t>among the key stakeholders</w:t>
      </w:r>
      <w:r w:rsidR="0098391C" w:rsidRPr="00E22EBA">
        <w:rPr>
          <w:rFonts w:asciiTheme="minorHAnsi" w:hAnsiTheme="minorHAnsi"/>
        </w:rPr>
        <w:t xml:space="preserve">, including </w:t>
      </w:r>
      <w:r w:rsidR="0098391C">
        <w:rPr>
          <w:rFonts w:asciiTheme="minorHAnsi" w:hAnsiTheme="minorHAnsi"/>
        </w:rPr>
        <w:t xml:space="preserve">UNDP </w:t>
      </w:r>
      <w:r w:rsidR="00EA5126">
        <w:rPr>
          <w:rFonts w:asciiTheme="minorHAnsi" w:hAnsiTheme="minorHAnsi"/>
        </w:rPr>
        <w:t>and APA representatives,</w:t>
      </w:r>
      <w:r w:rsidR="006973B1">
        <w:rPr>
          <w:rFonts w:asciiTheme="minorHAnsi" w:hAnsiTheme="minorHAnsi"/>
        </w:rPr>
        <w:t xml:space="preserve"> other implementing partners, PEB</w:t>
      </w:r>
      <w:r w:rsidR="00547CDB">
        <w:rPr>
          <w:rFonts w:asciiTheme="minorHAnsi" w:hAnsiTheme="minorHAnsi"/>
        </w:rPr>
        <w:t>,</w:t>
      </w:r>
      <w:r w:rsidR="006973B1">
        <w:rPr>
          <w:rFonts w:asciiTheme="minorHAnsi" w:hAnsiTheme="minorHAnsi"/>
        </w:rPr>
        <w:t xml:space="preserve"> TCG </w:t>
      </w:r>
      <w:r w:rsidR="00547CDB">
        <w:rPr>
          <w:rFonts w:asciiTheme="minorHAnsi" w:hAnsiTheme="minorHAnsi"/>
        </w:rPr>
        <w:t xml:space="preserve">and Friends Association </w:t>
      </w:r>
      <w:r w:rsidR="006973B1">
        <w:rPr>
          <w:rFonts w:asciiTheme="minorHAnsi" w:hAnsiTheme="minorHAnsi"/>
        </w:rPr>
        <w:t>members, community-</w:t>
      </w:r>
      <w:r w:rsidR="00EA5126">
        <w:rPr>
          <w:rFonts w:asciiTheme="minorHAnsi" w:hAnsiTheme="minorHAnsi"/>
        </w:rPr>
        <w:t>based</w:t>
      </w:r>
      <w:r w:rsidR="006973B1">
        <w:rPr>
          <w:rFonts w:asciiTheme="minorHAnsi" w:hAnsiTheme="minorHAnsi"/>
        </w:rPr>
        <w:t xml:space="preserve"> cooperatives</w:t>
      </w:r>
      <w:r w:rsidR="006973B1" w:rsidRPr="006973B1">
        <w:rPr>
          <w:rFonts w:asciiTheme="minorHAnsi" w:hAnsiTheme="minorHAnsi"/>
        </w:rPr>
        <w:t xml:space="preserve"> </w:t>
      </w:r>
      <w:r w:rsidR="006973B1">
        <w:rPr>
          <w:rFonts w:asciiTheme="minorHAnsi" w:hAnsiTheme="minorHAnsi"/>
        </w:rPr>
        <w:t>and consultants.</w:t>
      </w:r>
    </w:p>
    <w:p w14:paraId="26972FE6" w14:textId="77777777" w:rsidR="00967F33" w:rsidRDefault="00547CDB" w:rsidP="00547CDB">
      <w:pPr>
        <w:spacing w:before="120" w:after="120" w:line="240" w:lineRule="atLeast"/>
        <w:jc w:val="both"/>
        <w:rPr>
          <w:rFonts w:asciiTheme="minorHAnsi" w:hAnsiTheme="minorHAnsi"/>
          <w:sz w:val="24"/>
          <w:szCs w:val="24"/>
          <w:lang w:val="en-US"/>
        </w:rPr>
      </w:pPr>
      <w:r>
        <w:rPr>
          <w:rFonts w:asciiTheme="minorHAnsi" w:hAnsiTheme="minorHAnsi"/>
          <w:sz w:val="24"/>
          <w:szCs w:val="24"/>
          <w:lang w:val="en-US"/>
        </w:rPr>
        <w:t xml:space="preserve">As previously mentioned in </w:t>
      </w:r>
      <w:r w:rsidRPr="00547CDB">
        <w:rPr>
          <w:rFonts w:asciiTheme="minorHAnsi" w:hAnsiTheme="minorHAnsi"/>
          <w:b/>
          <w:sz w:val="24"/>
          <w:szCs w:val="24"/>
          <w:lang w:val="en-US"/>
        </w:rPr>
        <w:t>Section 3.3.5</w:t>
      </w:r>
      <w:r>
        <w:rPr>
          <w:rFonts w:asciiTheme="minorHAnsi" w:hAnsiTheme="minorHAnsi"/>
          <w:sz w:val="24"/>
          <w:szCs w:val="24"/>
          <w:lang w:val="en-US"/>
        </w:rPr>
        <w:t xml:space="preserve">, the project continues to be relevant to the 2016-2020 UNDP Country Program for Georgia. </w:t>
      </w:r>
    </w:p>
    <w:p w14:paraId="19207B10" w14:textId="1D800947" w:rsidR="00E52565" w:rsidRPr="00E22EBA" w:rsidRDefault="00E52565" w:rsidP="0067558E">
      <w:pPr>
        <w:pStyle w:val="Heading2"/>
        <w:numPr>
          <w:ilvl w:val="2"/>
          <w:numId w:val="20"/>
        </w:numPr>
        <w:spacing w:before="240" w:after="120"/>
        <w:ind w:left="709" w:hanging="709"/>
        <w:rPr>
          <w:rFonts w:asciiTheme="minorHAnsi" w:hAnsiTheme="minorHAnsi" w:cs="Calibri"/>
          <w:b/>
          <w:caps w:val="0"/>
        </w:rPr>
      </w:pPr>
      <w:bookmarkStart w:id="155" w:name="_Toc414745339"/>
      <w:r w:rsidRPr="00E22EBA">
        <w:rPr>
          <w:rFonts w:asciiTheme="minorHAnsi" w:hAnsiTheme="minorHAnsi" w:cs="Calibri"/>
          <w:b/>
          <w:caps w:val="0"/>
        </w:rPr>
        <w:t>Sustainability</w:t>
      </w:r>
      <w:r w:rsidR="009878AB">
        <w:rPr>
          <w:rFonts w:asciiTheme="minorHAnsi" w:hAnsiTheme="minorHAnsi" w:cs="Calibri"/>
          <w:b/>
          <w:caps w:val="0"/>
        </w:rPr>
        <w:t>*</w:t>
      </w:r>
      <w:bookmarkEnd w:id="155"/>
    </w:p>
    <w:p w14:paraId="2CFB4035" w14:textId="62AF13FA" w:rsidR="004C142D" w:rsidRPr="004A08C6" w:rsidRDefault="004C142D" w:rsidP="004A08C6">
      <w:pPr>
        <w:widowControl w:val="0"/>
        <w:overflowPunct/>
        <w:spacing w:after="120" w:line="300" w:lineRule="atLeast"/>
        <w:textAlignment w:val="auto"/>
        <w:rPr>
          <w:rFonts w:ascii="Calibri" w:hAnsi="Calibri" w:cs="Arial"/>
          <w:bCs/>
          <w:i/>
          <w:sz w:val="21"/>
          <w:szCs w:val="21"/>
          <w:highlight w:val="lightGray"/>
        </w:rPr>
      </w:pPr>
      <w:r w:rsidRPr="004A08C6">
        <w:rPr>
          <w:rFonts w:ascii="Calibri" w:hAnsi="Calibri" w:cs="Arial"/>
          <w:bCs/>
          <w:i/>
          <w:sz w:val="21"/>
          <w:szCs w:val="21"/>
          <w:highlight w:val="lightGray"/>
        </w:rPr>
        <w:t>Extent to which environmental, financial and social benefits are likely to continue, within or outside the project domain, after GEF assistance/external assistance has ended.</w:t>
      </w:r>
    </w:p>
    <w:p w14:paraId="16F982F9" w14:textId="77777777" w:rsidR="003853DA" w:rsidRPr="00E22EBA" w:rsidRDefault="003853DA" w:rsidP="003853DA">
      <w:pPr>
        <w:pStyle w:val="BodyText"/>
        <w:shd w:val="clear" w:color="auto" w:fill="215868" w:themeFill="accent5" w:themeFillShade="80"/>
        <w:rPr>
          <w:rFonts w:asciiTheme="minorHAnsi" w:hAnsiTheme="minorHAnsi"/>
          <w:b/>
          <w:color w:val="FFFFFF" w:themeColor="background1"/>
        </w:rPr>
      </w:pPr>
      <w:r>
        <w:rPr>
          <w:rFonts w:asciiTheme="minorHAnsi" w:hAnsiTheme="minorHAnsi"/>
          <w:b/>
          <w:color w:val="FFFFFF" w:themeColor="background1"/>
        </w:rPr>
        <w:t>The o</w:t>
      </w:r>
      <w:r w:rsidRPr="00E22EBA">
        <w:rPr>
          <w:rFonts w:asciiTheme="minorHAnsi" w:hAnsiTheme="minorHAnsi"/>
          <w:b/>
          <w:color w:val="FFFFFF" w:themeColor="background1"/>
        </w:rPr>
        <w:t>verall</w:t>
      </w:r>
      <w:r>
        <w:rPr>
          <w:rFonts w:asciiTheme="minorHAnsi" w:hAnsiTheme="minorHAnsi"/>
          <w:b/>
          <w:color w:val="FFFFFF" w:themeColor="background1"/>
        </w:rPr>
        <w:t xml:space="preserve"> Likelihood of Sustainability is rated as</w:t>
      </w:r>
      <w:r w:rsidRPr="00E22EBA">
        <w:rPr>
          <w:rFonts w:asciiTheme="minorHAnsi" w:hAnsiTheme="minorHAnsi"/>
          <w:b/>
          <w:color w:val="FFFFFF" w:themeColor="background1"/>
        </w:rPr>
        <w:t xml:space="preserve">: Moderately </w:t>
      </w:r>
      <w:r>
        <w:rPr>
          <w:rFonts w:asciiTheme="minorHAnsi" w:hAnsiTheme="minorHAnsi"/>
          <w:b/>
          <w:color w:val="FFFFFF" w:themeColor="background1"/>
        </w:rPr>
        <w:t>L</w:t>
      </w:r>
      <w:r w:rsidRPr="00E22EBA">
        <w:rPr>
          <w:rFonts w:asciiTheme="minorHAnsi" w:hAnsiTheme="minorHAnsi"/>
          <w:b/>
          <w:color w:val="FFFFFF" w:themeColor="background1"/>
        </w:rPr>
        <w:t>ikely</w:t>
      </w:r>
    </w:p>
    <w:p w14:paraId="6D88FAB0" w14:textId="260AC75C" w:rsidR="003853DA" w:rsidRDefault="00F54D76" w:rsidP="003853DA">
      <w:pPr>
        <w:pStyle w:val="BodyText"/>
        <w:rPr>
          <w:rFonts w:asciiTheme="minorHAnsi" w:hAnsiTheme="minorHAnsi"/>
        </w:rPr>
      </w:pPr>
      <w:r w:rsidRPr="00E22EBA">
        <w:rPr>
          <w:rFonts w:asciiTheme="minorHAnsi" w:hAnsiTheme="minorHAnsi"/>
        </w:rPr>
        <w:t xml:space="preserve">Sustainability is generally considered to be the likelihood of continued benefits after the </w:t>
      </w:r>
      <w:r w:rsidR="00B724E7">
        <w:rPr>
          <w:rFonts w:asciiTheme="minorHAnsi" w:hAnsiTheme="minorHAnsi"/>
        </w:rPr>
        <w:t xml:space="preserve">GEF </w:t>
      </w:r>
      <w:r w:rsidRPr="00E22EBA">
        <w:rPr>
          <w:rFonts w:asciiTheme="minorHAnsi" w:hAnsiTheme="minorHAnsi"/>
        </w:rPr>
        <w:t>funding ends.</w:t>
      </w:r>
      <w:r w:rsidR="00790D85" w:rsidRPr="00E22EBA">
        <w:rPr>
          <w:rFonts w:asciiTheme="minorHAnsi" w:hAnsiTheme="minorHAnsi"/>
        </w:rPr>
        <w:t xml:space="preserve"> </w:t>
      </w:r>
      <w:r w:rsidR="00E962F0" w:rsidRPr="00E22EBA">
        <w:rPr>
          <w:rFonts w:asciiTheme="minorHAnsi" w:hAnsiTheme="minorHAnsi"/>
        </w:rPr>
        <w:t>Under GEF criteria, each sustainability dimension is critical, so the overall ranking cannot be higher than the lowest one.</w:t>
      </w:r>
      <w:r w:rsidR="003853DA">
        <w:rPr>
          <w:rFonts w:asciiTheme="minorHAnsi" w:hAnsiTheme="minorHAnsi"/>
        </w:rPr>
        <w:t xml:space="preserve"> </w:t>
      </w:r>
      <w:r w:rsidR="003853DA" w:rsidRPr="003853DA">
        <w:rPr>
          <w:rFonts w:asciiTheme="minorHAnsi" w:hAnsiTheme="minorHAnsi"/>
        </w:rPr>
        <w:t xml:space="preserve">The four dimensions of sustainability are </w:t>
      </w:r>
      <w:r w:rsidR="003853DA" w:rsidRPr="00D170BB">
        <w:rPr>
          <w:rFonts w:asciiTheme="minorHAnsi" w:hAnsiTheme="minorHAnsi"/>
        </w:rPr>
        <w:t xml:space="preserve">rated in </w:t>
      </w:r>
      <w:r w:rsidR="003853DA" w:rsidRPr="00D170BB">
        <w:rPr>
          <w:rFonts w:asciiTheme="minorHAnsi" w:hAnsiTheme="minorHAnsi"/>
          <w:b/>
        </w:rPr>
        <w:t>Table 3.6</w:t>
      </w:r>
      <w:r w:rsidR="003853DA" w:rsidRPr="00D170BB">
        <w:rPr>
          <w:rFonts w:asciiTheme="minorHAnsi" w:hAnsiTheme="minorHAnsi"/>
        </w:rPr>
        <w:t>, with evidence provided alongside.</w:t>
      </w:r>
      <w:r w:rsidR="003853DA" w:rsidRPr="003853DA">
        <w:rPr>
          <w:rFonts w:asciiTheme="minorHAnsi" w:hAnsiTheme="minorHAnsi"/>
        </w:rPr>
        <w:t xml:space="preserve"> </w:t>
      </w:r>
    </w:p>
    <w:p w14:paraId="108EB6D2" w14:textId="77777777" w:rsidR="0077168C" w:rsidRDefault="0077168C" w:rsidP="0077168C">
      <w:pPr>
        <w:tabs>
          <w:tab w:val="left" w:pos="1100"/>
        </w:tabs>
        <w:spacing w:before="240" w:after="120"/>
        <w:ind w:left="1100" w:hanging="1100"/>
        <w:rPr>
          <w:rFonts w:ascii="Arial" w:hAnsi="Arial" w:cs="Arial"/>
          <w:bCs/>
          <w:sz w:val="21"/>
          <w:szCs w:val="21"/>
        </w:rPr>
      </w:pPr>
      <w:r w:rsidRPr="000C43EB">
        <w:rPr>
          <w:rFonts w:ascii="Arial" w:hAnsi="Arial" w:cs="Arial"/>
          <w:b/>
          <w:sz w:val="21"/>
          <w:szCs w:val="21"/>
        </w:rPr>
        <w:t>Table 3.</w:t>
      </w:r>
      <w:r>
        <w:rPr>
          <w:rFonts w:ascii="Arial" w:hAnsi="Arial" w:cs="Arial"/>
          <w:b/>
          <w:sz w:val="21"/>
          <w:szCs w:val="21"/>
        </w:rPr>
        <w:t>6</w:t>
      </w:r>
      <w:r w:rsidRPr="000C43EB">
        <w:rPr>
          <w:rFonts w:ascii="Arial" w:hAnsi="Arial" w:cs="Arial"/>
          <w:b/>
          <w:sz w:val="21"/>
          <w:szCs w:val="21"/>
        </w:rPr>
        <w:tab/>
      </w:r>
      <w:r w:rsidRPr="00E807F2">
        <w:rPr>
          <w:rFonts w:ascii="Arial" w:hAnsi="Arial" w:cs="Arial"/>
          <w:sz w:val="21"/>
          <w:szCs w:val="21"/>
        </w:rPr>
        <w:t>Sustainability</w:t>
      </w:r>
      <w:r w:rsidRPr="00E807F2">
        <w:rPr>
          <w:rFonts w:ascii="Arial" w:hAnsi="Arial" w:cs="Arial"/>
          <w:bCs/>
          <w:sz w:val="21"/>
          <w:szCs w:val="21"/>
        </w:rPr>
        <w:t xml:space="preserve"> ratings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3"/>
        <w:gridCol w:w="711"/>
        <w:gridCol w:w="7007"/>
      </w:tblGrid>
      <w:tr w:rsidR="0077168C" w:rsidRPr="00DF600A" w14:paraId="1CA1CCBA" w14:textId="77777777" w:rsidTr="00C613AC">
        <w:trPr>
          <w:trHeight w:val="212"/>
        </w:trPr>
        <w:tc>
          <w:tcPr>
            <w:tcW w:w="801" w:type="pct"/>
            <w:tcBorders>
              <w:bottom w:val="single" w:sz="4" w:space="0" w:color="auto"/>
            </w:tcBorders>
            <w:shd w:val="clear" w:color="auto" w:fill="CCCCCC"/>
            <w:tcMar>
              <w:top w:w="113" w:type="dxa"/>
              <w:left w:w="57" w:type="dxa"/>
              <w:bottom w:w="113" w:type="dxa"/>
              <w:right w:w="57" w:type="dxa"/>
            </w:tcMar>
          </w:tcPr>
          <w:p w14:paraId="4E0852B8" w14:textId="77777777" w:rsidR="0077168C" w:rsidRPr="00DF600A" w:rsidRDefault="0077168C" w:rsidP="00C613AC">
            <w:pPr>
              <w:jc w:val="center"/>
              <w:rPr>
                <w:rFonts w:ascii="Calibri" w:eastAsia="MS Mincho" w:hAnsi="Calibri" w:cs="Arial"/>
                <w:b/>
                <w:sz w:val="20"/>
              </w:rPr>
            </w:pPr>
            <w:r w:rsidRPr="00DF600A">
              <w:rPr>
                <w:rFonts w:ascii="Calibri" w:eastAsia="MS Mincho" w:hAnsi="Calibri" w:cs="Arial"/>
                <w:b/>
                <w:sz w:val="20"/>
              </w:rPr>
              <w:t>Criteria</w:t>
            </w:r>
          </w:p>
        </w:tc>
        <w:tc>
          <w:tcPr>
            <w:tcW w:w="387" w:type="pct"/>
            <w:tcBorders>
              <w:bottom w:val="single" w:sz="4" w:space="0" w:color="auto"/>
            </w:tcBorders>
            <w:shd w:val="clear" w:color="auto" w:fill="CCCCCC"/>
            <w:tcMar>
              <w:top w:w="113" w:type="dxa"/>
              <w:left w:w="28" w:type="dxa"/>
              <w:bottom w:w="113" w:type="dxa"/>
              <w:right w:w="28" w:type="dxa"/>
            </w:tcMar>
          </w:tcPr>
          <w:p w14:paraId="305A366C" w14:textId="77777777" w:rsidR="0077168C" w:rsidRPr="00DF600A" w:rsidRDefault="0077168C" w:rsidP="00C613AC">
            <w:pPr>
              <w:jc w:val="center"/>
              <w:rPr>
                <w:rFonts w:ascii="Calibri" w:eastAsia="MS Mincho" w:hAnsi="Calibri" w:cs="Arial"/>
                <w:b/>
                <w:sz w:val="20"/>
              </w:rPr>
            </w:pPr>
            <w:r w:rsidRPr="00DF600A">
              <w:rPr>
                <w:rFonts w:ascii="Calibri" w:eastAsia="MS Mincho" w:hAnsi="Calibri" w:cs="Arial"/>
                <w:b/>
                <w:sz w:val="20"/>
              </w:rPr>
              <w:t>Rating</w:t>
            </w:r>
          </w:p>
        </w:tc>
        <w:tc>
          <w:tcPr>
            <w:tcW w:w="3812" w:type="pct"/>
            <w:tcBorders>
              <w:bottom w:val="single" w:sz="4" w:space="0" w:color="auto"/>
            </w:tcBorders>
            <w:shd w:val="clear" w:color="auto" w:fill="CCCCCC"/>
            <w:tcMar>
              <w:top w:w="113" w:type="dxa"/>
              <w:bottom w:w="113" w:type="dxa"/>
            </w:tcMar>
          </w:tcPr>
          <w:p w14:paraId="0FE699AA" w14:textId="77777777" w:rsidR="0077168C" w:rsidRPr="00DF600A" w:rsidRDefault="0077168C" w:rsidP="00C613AC">
            <w:pPr>
              <w:jc w:val="center"/>
              <w:rPr>
                <w:rFonts w:ascii="Calibri" w:eastAsia="MS Mincho" w:hAnsi="Calibri" w:cs="Arial"/>
                <w:sz w:val="20"/>
              </w:rPr>
            </w:pPr>
            <w:r w:rsidRPr="00DF600A">
              <w:rPr>
                <w:rFonts w:ascii="Calibri" w:eastAsia="MS Mincho" w:hAnsi="Calibri" w:cs="Arial"/>
                <w:b/>
                <w:sz w:val="20"/>
              </w:rPr>
              <w:t>Comments</w:t>
            </w:r>
          </w:p>
        </w:tc>
      </w:tr>
      <w:tr w:rsidR="0077168C" w:rsidRPr="00DF600A" w14:paraId="228242AE" w14:textId="77777777" w:rsidTr="00C613AC">
        <w:tc>
          <w:tcPr>
            <w:tcW w:w="5000" w:type="pct"/>
            <w:gridSpan w:val="3"/>
            <w:shd w:val="clear" w:color="auto" w:fill="E6E6E6"/>
            <w:tcMar>
              <w:top w:w="28" w:type="dxa"/>
              <w:left w:w="57" w:type="dxa"/>
              <w:bottom w:w="28" w:type="dxa"/>
              <w:right w:w="57" w:type="dxa"/>
            </w:tcMar>
          </w:tcPr>
          <w:p w14:paraId="0637B75E" w14:textId="77777777" w:rsidR="0077168C" w:rsidRPr="00DF600A" w:rsidRDefault="0077168C" w:rsidP="00C613AC">
            <w:pPr>
              <w:rPr>
                <w:rFonts w:ascii="Calibri" w:eastAsia="MS Mincho" w:hAnsi="Calibri" w:cs="Arial"/>
                <w:sz w:val="20"/>
              </w:rPr>
            </w:pPr>
            <w:r w:rsidRPr="00DF600A">
              <w:rPr>
                <w:rFonts w:ascii="Calibri" w:eastAsia="MS Mincho" w:hAnsi="Calibri" w:cs="Arial"/>
                <w:b/>
                <w:sz w:val="20"/>
              </w:rPr>
              <w:t>Sustainability</w:t>
            </w:r>
            <w:r w:rsidRPr="00DF600A">
              <w:rPr>
                <w:rFonts w:ascii="Calibri" w:eastAsia="MS Mincho" w:hAnsi="Calibri" w:cs="Arial"/>
                <w:bCs/>
                <w:sz w:val="20"/>
              </w:rPr>
              <w:t xml:space="preserve"> (using 4-point likelihood scale)</w:t>
            </w:r>
            <w:r w:rsidRPr="00DF600A">
              <w:rPr>
                <w:rStyle w:val="FootnoteReference"/>
                <w:rFonts w:eastAsia="MS Mincho" w:cs="Arial"/>
                <w:sz w:val="20"/>
              </w:rPr>
              <w:t xml:space="preserve"> </w:t>
            </w:r>
          </w:p>
        </w:tc>
      </w:tr>
      <w:tr w:rsidR="0077168C" w:rsidRPr="00DF600A" w14:paraId="6DF7B599" w14:textId="77777777" w:rsidTr="00C613AC">
        <w:trPr>
          <w:trHeight w:val="396"/>
        </w:trPr>
        <w:tc>
          <w:tcPr>
            <w:tcW w:w="801" w:type="pct"/>
            <w:shd w:val="clear" w:color="auto" w:fill="auto"/>
            <w:tcMar>
              <w:left w:w="57" w:type="dxa"/>
            </w:tcMar>
          </w:tcPr>
          <w:p w14:paraId="7A44C328" w14:textId="77777777" w:rsidR="0077168C" w:rsidRPr="00DF600A" w:rsidRDefault="0077168C" w:rsidP="00C613AC">
            <w:pPr>
              <w:rPr>
                <w:rFonts w:ascii="Calibri" w:eastAsia="MS Mincho" w:hAnsi="Calibri" w:cs="Arial"/>
                <w:b/>
                <w:sz w:val="20"/>
              </w:rPr>
            </w:pPr>
            <w:r w:rsidRPr="00DF600A">
              <w:rPr>
                <w:rFonts w:ascii="Calibri" w:eastAsia="MS Mincho" w:hAnsi="Calibri" w:cs="Arial"/>
                <w:sz w:val="20"/>
              </w:rPr>
              <w:t xml:space="preserve">Overall likelihood of </w:t>
            </w:r>
            <w:r w:rsidRPr="0037067B">
              <w:rPr>
                <w:rFonts w:ascii="Calibri" w:eastAsia="MS Mincho" w:hAnsi="Calibri" w:cs="Arial"/>
                <w:strike/>
                <w:sz w:val="20"/>
                <w:highlight w:val="lightGray"/>
              </w:rPr>
              <w:t>risks to</w:t>
            </w:r>
            <w:r w:rsidRPr="00DF600A">
              <w:rPr>
                <w:rFonts w:ascii="Calibri" w:eastAsia="MS Mincho" w:hAnsi="Calibri" w:cs="Arial"/>
                <w:sz w:val="20"/>
              </w:rPr>
              <w:t xml:space="preserve"> sustainability</w:t>
            </w:r>
            <w:r w:rsidRPr="00DF600A">
              <w:rPr>
                <w:rStyle w:val="FootnoteReference"/>
                <w:rFonts w:eastAsia="MS Mincho" w:cs="Arial"/>
                <w:sz w:val="20"/>
              </w:rPr>
              <w:footnoteReference w:id="32"/>
            </w:r>
          </w:p>
        </w:tc>
        <w:tc>
          <w:tcPr>
            <w:tcW w:w="387" w:type="pct"/>
            <w:tcMar>
              <w:top w:w="28" w:type="dxa"/>
              <w:left w:w="57" w:type="dxa"/>
              <w:bottom w:w="28" w:type="dxa"/>
              <w:right w:w="57" w:type="dxa"/>
            </w:tcMar>
          </w:tcPr>
          <w:p w14:paraId="3AFFCD58" w14:textId="77777777" w:rsidR="0077168C" w:rsidRPr="00DF600A" w:rsidRDefault="0077168C" w:rsidP="00C613AC">
            <w:pPr>
              <w:jc w:val="center"/>
              <w:rPr>
                <w:rFonts w:ascii="Calibri" w:eastAsia="MS Mincho" w:hAnsi="Calibri" w:cs="Arial"/>
                <w:b/>
                <w:sz w:val="20"/>
              </w:rPr>
            </w:pPr>
            <w:r w:rsidRPr="00DF600A">
              <w:rPr>
                <w:rFonts w:ascii="Calibri" w:eastAsia="MS Mincho" w:hAnsi="Calibri" w:cs="Arial"/>
                <w:b/>
                <w:sz w:val="20"/>
              </w:rPr>
              <w:t>ML</w:t>
            </w:r>
          </w:p>
        </w:tc>
        <w:tc>
          <w:tcPr>
            <w:tcW w:w="3812" w:type="pct"/>
            <w:tcMar>
              <w:left w:w="57" w:type="dxa"/>
              <w:right w:w="57" w:type="dxa"/>
            </w:tcMar>
          </w:tcPr>
          <w:p w14:paraId="02756D88" w14:textId="17BCCC82" w:rsidR="0077168C" w:rsidRPr="00DF600A" w:rsidRDefault="0077168C" w:rsidP="00C613AC">
            <w:pPr>
              <w:spacing w:after="40"/>
              <w:rPr>
                <w:rFonts w:ascii="Calibri" w:eastAsia="MS Mincho" w:hAnsi="Calibri" w:cs="Arial"/>
                <w:sz w:val="20"/>
              </w:rPr>
            </w:pPr>
            <w:r w:rsidRPr="00AD0771">
              <w:rPr>
                <w:rFonts w:ascii="Calibri" w:eastAsia="MS Mincho" w:hAnsi="Calibri" w:cs="Arial"/>
                <w:sz w:val="20"/>
              </w:rPr>
              <w:t xml:space="preserve">Under GEF criteria, each sustainability dimension is critical, so the overall ranking cannot be higher than the lowest one. The four dimensions of sustainability are rated </w:t>
            </w:r>
            <w:r>
              <w:rPr>
                <w:rFonts w:ascii="Calibri" w:eastAsia="MS Mincho" w:hAnsi="Calibri" w:cs="Arial"/>
                <w:sz w:val="20"/>
              </w:rPr>
              <w:t>below</w:t>
            </w:r>
            <w:r w:rsidRPr="00AD0771">
              <w:rPr>
                <w:rFonts w:ascii="Calibri" w:eastAsia="MS Mincho" w:hAnsi="Calibri" w:cs="Arial"/>
                <w:sz w:val="20"/>
              </w:rPr>
              <w:t>, with evidence provided alongside.</w:t>
            </w:r>
          </w:p>
        </w:tc>
      </w:tr>
      <w:tr w:rsidR="0077168C" w:rsidRPr="00DF600A" w14:paraId="369F00D8" w14:textId="77777777" w:rsidTr="00C613AC">
        <w:tc>
          <w:tcPr>
            <w:tcW w:w="801" w:type="pct"/>
            <w:shd w:val="clear" w:color="auto" w:fill="auto"/>
            <w:tcMar>
              <w:left w:w="57" w:type="dxa"/>
            </w:tcMar>
          </w:tcPr>
          <w:p w14:paraId="52FE9B74" w14:textId="77777777" w:rsidR="0077168C" w:rsidRPr="00DF600A" w:rsidRDefault="0077168C" w:rsidP="00C613AC">
            <w:pPr>
              <w:rPr>
                <w:rFonts w:ascii="Calibri" w:eastAsia="MS Mincho" w:hAnsi="Calibri" w:cs="Arial"/>
                <w:i/>
                <w:sz w:val="20"/>
              </w:rPr>
            </w:pPr>
            <w:r w:rsidRPr="00DF600A">
              <w:rPr>
                <w:rFonts w:ascii="Calibri" w:eastAsia="MS Mincho" w:hAnsi="Calibri" w:cs="Arial"/>
                <w:i/>
                <w:sz w:val="20"/>
              </w:rPr>
              <w:t>Financial resources</w:t>
            </w:r>
          </w:p>
        </w:tc>
        <w:tc>
          <w:tcPr>
            <w:tcW w:w="387" w:type="pct"/>
            <w:tcMar>
              <w:top w:w="28" w:type="dxa"/>
              <w:left w:w="57" w:type="dxa"/>
              <w:bottom w:w="28" w:type="dxa"/>
              <w:right w:w="57" w:type="dxa"/>
            </w:tcMar>
          </w:tcPr>
          <w:p w14:paraId="0C9E9F10" w14:textId="77777777" w:rsidR="0077168C" w:rsidRPr="00DF600A" w:rsidRDefault="0077168C" w:rsidP="00C613AC">
            <w:pPr>
              <w:jc w:val="center"/>
              <w:rPr>
                <w:rFonts w:ascii="Calibri" w:eastAsia="MS Mincho" w:hAnsi="Calibri" w:cs="Arial"/>
                <w:b/>
                <w:sz w:val="20"/>
              </w:rPr>
            </w:pPr>
            <w:r w:rsidRPr="00DF600A">
              <w:rPr>
                <w:rFonts w:ascii="Calibri" w:eastAsia="MS Mincho" w:hAnsi="Calibri" w:cs="Arial"/>
                <w:b/>
                <w:sz w:val="20"/>
              </w:rPr>
              <w:t>ML</w:t>
            </w:r>
            <w:r w:rsidRPr="00DF600A">
              <w:rPr>
                <w:rFonts w:ascii="Calibri" w:eastAsia="MS Mincho" w:hAnsi="Calibri" w:cs="Arial"/>
                <w:sz w:val="20"/>
              </w:rPr>
              <w:t xml:space="preserve"> </w:t>
            </w:r>
          </w:p>
        </w:tc>
        <w:tc>
          <w:tcPr>
            <w:tcW w:w="3812" w:type="pct"/>
            <w:tcMar>
              <w:left w:w="57" w:type="dxa"/>
              <w:right w:w="57" w:type="dxa"/>
            </w:tcMar>
          </w:tcPr>
          <w:p w14:paraId="3C48EE32" w14:textId="77777777" w:rsidR="0077168C" w:rsidRPr="00DF600A" w:rsidRDefault="0077168C" w:rsidP="00C613AC">
            <w:pPr>
              <w:spacing w:after="40"/>
              <w:rPr>
                <w:rFonts w:ascii="Calibri" w:eastAsia="MS Mincho" w:hAnsi="Calibri" w:cs="Arial"/>
                <w:sz w:val="20"/>
              </w:rPr>
            </w:pPr>
            <w:r w:rsidRPr="00DF600A">
              <w:rPr>
                <w:rFonts w:ascii="Calibri" w:eastAsia="MS Mincho" w:hAnsi="Calibri" w:cs="Arial"/>
                <w:sz w:val="20"/>
              </w:rPr>
              <w:t xml:space="preserve">The risk of government failing to commit sufficient financial support to new PAs planning and management, resulting in a shortfall that PAs are unable to finance, is rated </w:t>
            </w:r>
            <w:r w:rsidRPr="00DF600A">
              <w:rPr>
                <w:rFonts w:ascii="Calibri" w:eastAsia="MS Mincho" w:hAnsi="Calibri" w:cs="Arial"/>
                <w:sz w:val="20"/>
                <w:u w:val="single"/>
              </w:rPr>
              <w:t>high</w:t>
            </w:r>
            <w:r w:rsidRPr="00DF600A">
              <w:rPr>
                <w:rFonts w:ascii="Calibri" w:eastAsia="MS Mincho" w:hAnsi="Calibri" w:cs="Arial"/>
                <w:sz w:val="20"/>
              </w:rPr>
              <w:t xml:space="preserve"> in the ProDoc. The assumption cited in the SRF is that government will gazette Machakhela NP and meet the full management costs. This high risk has been reduced, albeit sustainable funding of PAs will remain an issue for as long as APA maintains, rather than delegates, its authority over PA budgets and management, as discussed in </w:t>
            </w:r>
            <w:r w:rsidRPr="00DF600A">
              <w:rPr>
                <w:rFonts w:ascii="Calibri" w:eastAsia="MS Mincho" w:hAnsi="Calibri" w:cs="Arial"/>
                <w:b/>
                <w:sz w:val="20"/>
              </w:rPr>
              <w:t>Section 3.2.1</w:t>
            </w:r>
            <w:r w:rsidRPr="00DF600A">
              <w:rPr>
                <w:rFonts w:ascii="Calibri" w:eastAsia="MS Mincho" w:hAnsi="Calibri" w:cs="Arial"/>
                <w:sz w:val="20"/>
              </w:rPr>
              <w:t>.</w:t>
            </w:r>
          </w:p>
          <w:p w14:paraId="54E6D5A5" w14:textId="77777777" w:rsidR="0077168C" w:rsidRPr="00DF600A" w:rsidRDefault="0077168C" w:rsidP="00C613AC">
            <w:pPr>
              <w:spacing w:after="40"/>
              <w:rPr>
                <w:rFonts w:ascii="Calibri" w:eastAsia="MS Mincho" w:hAnsi="Calibri" w:cs="Arial"/>
                <w:sz w:val="20"/>
              </w:rPr>
            </w:pPr>
            <w:r w:rsidRPr="00DF600A">
              <w:rPr>
                <w:rFonts w:ascii="Calibri" w:eastAsia="MS Mincho" w:hAnsi="Calibri" w:cs="Arial"/>
                <w:sz w:val="20"/>
              </w:rPr>
              <w:t xml:space="preserve">Considerable country ownership of this project has been demonstrated at national, regional and municipal levels, which is also reflected in the co-financing secured from each of these levels, all of which is evidence to suggest that the proposed Machakhela Protected Landscape will benefit from regional and municipal funds not </w:t>
            </w:r>
            <w:r w:rsidRPr="00DF600A">
              <w:rPr>
                <w:rFonts w:ascii="Calibri" w:eastAsia="MS Mincho" w:hAnsi="Calibri" w:cs="Arial"/>
                <w:sz w:val="20"/>
              </w:rPr>
              <w:lastRenderedPageBreak/>
              <w:t xml:space="preserve">available to NPs, once its management is passed to Khelvachauri Municipality in accordance with 1996 Law on the System of Protected Territories. Meanwhile, Machakhela NP, with its recently revised boundaries, will receive additional funding for staff salaries from CNF as from 2019. Project initiatives, such as creating NP Friends Associations, provide a mechanism for increasing PA resources that is independent of the current legislative restrictions imposed on PA Administrations. Also, PA policy and legislation is currently under review as part of a GIZ-funded project that is expected to help modernise the current institutional approach to PAs. Thus, the prognosis for financial sustainability is deemed to be </w:t>
            </w:r>
            <w:r w:rsidRPr="00DF600A">
              <w:rPr>
                <w:rFonts w:ascii="Calibri" w:eastAsia="MS Mincho" w:hAnsi="Calibri" w:cs="Arial"/>
                <w:b/>
                <w:sz w:val="20"/>
              </w:rPr>
              <w:t>Moderately Likely</w:t>
            </w:r>
            <w:r w:rsidRPr="00DF600A">
              <w:rPr>
                <w:rFonts w:ascii="Calibri" w:eastAsia="MS Mincho" w:hAnsi="Calibri" w:cs="Arial"/>
                <w:sz w:val="20"/>
              </w:rPr>
              <w:t>.</w:t>
            </w:r>
          </w:p>
        </w:tc>
      </w:tr>
      <w:tr w:rsidR="0077168C" w:rsidRPr="00DF600A" w14:paraId="06AC0AA3" w14:textId="77777777" w:rsidTr="00C613AC">
        <w:tc>
          <w:tcPr>
            <w:tcW w:w="801" w:type="pct"/>
            <w:shd w:val="clear" w:color="auto" w:fill="auto"/>
            <w:tcMar>
              <w:left w:w="57" w:type="dxa"/>
            </w:tcMar>
          </w:tcPr>
          <w:p w14:paraId="0CF03983" w14:textId="77777777" w:rsidR="0077168C" w:rsidRPr="00DF600A" w:rsidRDefault="0077168C" w:rsidP="00C613AC">
            <w:pPr>
              <w:rPr>
                <w:rFonts w:ascii="Calibri" w:eastAsia="MS Mincho" w:hAnsi="Calibri" w:cs="Arial"/>
                <w:i/>
                <w:sz w:val="20"/>
              </w:rPr>
            </w:pPr>
            <w:r w:rsidRPr="00DF600A">
              <w:rPr>
                <w:rFonts w:ascii="Calibri" w:eastAsia="MS Mincho" w:hAnsi="Calibri" w:cs="Arial"/>
                <w:i/>
                <w:sz w:val="20"/>
              </w:rPr>
              <w:lastRenderedPageBreak/>
              <w:t>Socio-economic</w:t>
            </w:r>
          </w:p>
        </w:tc>
        <w:tc>
          <w:tcPr>
            <w:tcW w:w="387" w:type="pct"/>
            <w:tcMar>
              <w:top w:w="28" w:type="dxa"/>
              <w:left w:w="57" w:type="dxa"/>
              <w:bottom w:w="28" w:type="dxa"/>
              <w:right w:w="57" w:type="dxa"/>
            </w:tcMar>
          </w:tcPr>
          <w:p w14:paraId="76DAFE4C" w14:textId="77777777" w:rsidR="0077168C" w:rsidRPr="00DF600A" w:rsidRDefault="0077168C" w:rsidP="00C613AC">
            <w:pPr>
              <w:jc w:val="center"/>
              <w:rPr>
                <w:rFonts w:ascii="Calibri" w:eastAsia="MS Mincho" w:hAnsi="Calibri" w:cs="Arial"/>
                <w:b/>
                <w:sz w:val="20"/>
              </w:rPr>
            </w:pPr>
            <w:r w:rsidRPr="00DF600A">
              <w:rPr>
                <w:rFonts w:ascii="Calibri" w:eastAsia="MS Mincho" w:hAnsi="Calibri" w:cs="Arial"/>
                <w:b/>
                <w:sz w:val="20"/>
              </w:rPr>
              <w:t>ML</w:t>
            </w:r>
          </w:p>
        </w:tc>
        <w:tc>
          <w:tcPr>
            <w:tcW w:w="3812" w:type="pct"/>
            <w:tcMar>
              <w:left w:w="57" w:type="dxa"/>
              <w:right w:w="57" w:type="dxa"/>
            </w:tcMar>
          </w:tcPr>
          <w:p w14:paraId="4A5AB427" w14:textId="77777777" w:rsidR="0077168C" w:rsidRPr="00DF600A" w:rsidRDefault="0077168C" w:rsidP="00C613AC">
            <w:pPr>
              <w:spacing w:after="40"/>
              <w:rPr>
                <w:rFonts w:ascii="Calibri" w:eastAsia="MS Mincho" w:hAnsi="Calibri" w:cs="Arial"/>
                <w:sz w:val="20"/>
              </w:rPr>
            </w:pPr>
            <w:r w:rsidRPr="00DF600A">
              <w:rPr>
                <w:rFonts w:ascii="Calibri" w:eastAsia="MS Mincho" w:hAnsi="Calibri" w:cs="Arial"/>
                <w:sz w:val="20"/>
              </w:rPr>
              <w:t xml:space="preserve">Conflicts and misunderstandings among public and private sector partners, NGOs and resource users are identified in the ProDoc as a </w:t>
            </w:r>
            <w:r w:rsidRPr="00DF600A">
              <w:rPr>
                <w:rFonts w:ascii="Calibri" w:eastAsia="MS Mincho" w:hAnsi="Calibri" w:cs="Arial"/>
                <w:sz w:val="20"/>
                <w:u w:val="single"/>
              </w:rPr>
              <w:t>moderate risk</w:t>
            </w:r>
            <w:r w:rsidRPr="00DF600A">
              <w:rPr>
                <w:rFonts w:ascii="Calibri" w:eastAsia="MS Mincho" w:hAnsi="Calibri" w:cs="Arial"/>
                <w:sz w:val="20"/>
              </w:rPr>
              <w:t xml:space="preserve"> that undermines socio-economic sustainability. Much has been achieved by the project, particularly in Machakhela Gorge, to engage communities in participatory processes and initiatives, such a review of the NP boundary, management planning, Mtirala &amp; Machakhela NPs Friends Association (including its Community Rangers and Junior Rangers programmes), cooperatives for honey and fuel (from hazelnut shells) production and handicrafts, to raise their awareness of the importance and value of their natural heritage and support its conservation, as a means of enhancing and securing their own livelihoods. </w:t>
            </w:r>
          </w:p>
          <w:p w14:paraId="14BE1077" w14:textId="4CDC0868" w:rsidR="0077168C" w:rsidRPr="00DF600A" w:rsidRDefault="0077168C" w:rsidP="00C613AC">
            <w:pPr>
              <w:spacing w:after="40"/>
              <w:rPr>
                <w:rFonts w:ascii="Calibri" w:eastAsia="MS Mincho" w:hAnsi="Calibri" w:cs="Arial"/>
                <w:sz w:val="20"/>
              </w:rPr>
            </w:pPr>
            <w:r w:rsidRPr="00DF600A">
              <w:rPr>
                <w:rFonts w:ascii="Calibri" w:eastAsia="MS Mincho" w:hAnsi="Calibri" w:cs="Arial"/>
                <w:sz w:val="20"/>
              </w:rPr>
              <w:t>The MTR raises concerns about the small scale of these interventions but they are intended as demonstrations for replicating and mainstreaming, as appropriate and the next step of planning for the future vision and its realisation is underway. The revision of Machakhela NP’s boundaries and development of a 6-year management plan (including its zonation), together with the consensus in support of the proposed Machakhela PL are clear evidence of the trust and support gained from communities and other stakeholders living, working or having other interests in this area. Both of these initiatives, to conserve biodiversity and secure ecosystems services for public benefits, are closely integrated within a PAs complex that serves to protect biodiversity within the NP and buffer it from thr</w:t>
            </w:r>
            <w:r w:rsidR="001749E4">
              <w:rPr>
                <w:rFonts w:ascii="Calibri" w:eastAsia="MS Mincho" w:hAnsi="Calibri" w:cs="Arial"/>
                <w:sz w:val="20"/>
              </w:rPr>
              <w:t xml:space="preserve">eats and pressures by means of </w:t>
            </w:r>
            <w:r w:rsidRPr="00DF600A">
              <w:rPr>
                <w:rFonts w:ascii="Calibri" w:eastAsia="MS Mincho" w:hAnsi="Calibri" w:cs="Arial"/>
                <w:sz w:val="20"/>
              </w:rPr>
              <w:t xml:space="preserve">the PL in which land and water resources are protected from pollutants and used sustainably in the interests of local livelihoods and visitors wishing to enjoy the natural beauty, historic heritage and local culture of Machakhela Gorge. </w:t>
            </w:r>
          </w:p>
          <w:p w14:paraId="5A8A65F8" w14:textId="77777777" w:rsidR="0077168C" w:rsidRPr="00DF600A" w:rsidRDefault="0077168C" w:rsidP="00C613AC">
            <w:pPr>
              <w:spacing w:after="40"/>
              <w:rPr>
                <w:rFonts w:ascii="Calibri" w:eastAsia="MS Mincho" w:hAnsi="Calibri" w:cs="Arial"/>
                <w:sz w:val="20"/>
              </w:rPr>
            </w:pPr>
            <w:r w:rsidRPr="00DF600A">
              <w:rPr>
                <w:rFonts w:ascii="Calibri" w:eastAsia="MS Mincho" w:hAnsi="Calibri" w:cs="Arial"/>
                <w:sz w:val="20"/>
              </w:rPr>
              <w:t>Other initiatives are also being considered, such as the inclusion of Machakhela (or part of it) in the nomination of Colchic Forests for inscription on the World Heritage List; and the establishment of one or more villages and their landscapes as destinations for cultural tourism heritage – all of which will contribute to the socio-economy of the area. More immediate economic opportunities include ecologically sustainable forms of tourism, with an emphasis on ‘quiet’ enjoyment, and the emerging Local Action Groups (LAGs) programme due to be implemented by Achara’s Ministry of Agriculture.</w:t>
            </w:r>
          </w:p>
          <w:p w14:paraId="0A76B28A" w14:textId="77777777" w:rsidR="0077168C" w:rsidRPr="00DF600A" w:rsidRDefault="0077168C" w:rsidP="00C613AC">
            <w:pPr>
              <w:spacing w:after="40"/>
              <w:rPr>
                <w:rFonts w:ascii="Calibri" w:eastAsia="MS Mincho" w:hAnsi="Calibri" w:cs="Arial"/>
                <w:sz w:val="20"/>
              </w:rPr>
            </w:pPr>
            <w:r w:rsidRPr="00DF600A">
              <w:rPr>
                <w:rFonts w:ascii="Calibri" w:eastAsia="MS Mincho" w:hAnsi="Calibri" w:cs="Arial"/>
                <w:sz w:val="20"/>
              </w:rPr>
              <w:t xml:space="preserve">The Protected Landscape approach paves the way for socio-economic revival within the lower valleys of Machakhela, provided adequate planning in terms of resource use and safeguards are in place to ensure that the natural, cultural and historic resources are not eroded. Socio-economic sustainability is </w:t>
            </w:r>
            <w:r w:rsidRPr="00DF600A">
              <w:rPr>
                <w:rFonts w:ascii="Calibri" w:eastAsia="MS Mincho" w:hAnsi="Calibri" w:cs="Arial"/>
                <w:b/>
                <w:sz w:val="20"/>
              </w:rPr>
              <w:t>Moderately Likely</w:t>
            </w:r>
            <w:r w:rsidRPr="00DF600A">
              <w:rPr>
                <w:rFonts w:ascii="Calibri" w:eastAsia="MS Mincho" w:hAnsi="Calibri" w:cs="Arial"/>
                <w:sz w:val="20"/>
              </w:rPr>
              <w:t xml:space="preserve">, increasing to </w:t>
            </w:r>
            <w:r w:rsidRPr="00DF600A">
              <w:rPr>
                <w:rFonts w:ascii="Calibri" w:eastAsia="MS Mincho" w:hAnsi="Calibri" w:cs="Arial"/>
                <w:b/>
                <w:sz w:val="20"/>
              </w:rPr>
              <w:t>Likely</w:t>
            </w:r>
            <w:r w:rsidRPr="00DF600A">
              <w:rPr>
                <w:rFonts w:ascii="Calibri" w:eastAsia="MS Mincho" w:hAnsi="Calibri" w:cs="Arial"/>
                <w:sz w:val="20"/>
              </w:rPr>
              <w:t xml:space="preserve"> once </w:t>
            </w:r>
            <w:r>
              <w:rPr>
                <w:rFonts w:ascii="Calibri" w:eastAsia="MS Mincho" w:hAnsi="Calibri" w:cs="Arial"/>
                <w:sz w:val="20"/>
              </w:rPr>
              <w:t>Machakhela</w:t>
            </w:r>
            <w:r w:rsidRPr="00DF600A">
              <w:rPr>
                <w:rFonts w:ascii="Calibri" w:eastAsia="MS Mincho" w:hAnsi="Calibri" w:cs="Arial"/>
                <w:sz w:val="20"/>
              </w:rPr>
              <w:t xml:space="preserve"> PL is legally designated. </w:t>
            </w:r>
          </w:p>
        </w:tc>
      </w:tr>
      <w:tr w:rsidR="0077168C" w:rsidRPr="00DF600A" w14:paraId="340D2879" w14:textId="77777777" w:rsidTr="00C613AC">
        <w:tc>
          <w:tcPr>
            <w:tcW w:w="801" w:type="pct"/>
            <w:shd w:val="clear" w:color="auto" w:fill="auto"/>
            <w:tcMar>
              <w:left w:w="57" w:type="dxa"/>
            </w:tcMar>
          </w:tcPr>
          <w:p w14:paraId="1120D307" w14:textId="77777777" w:rsidR="0077168C" w:rsidRPr="00DF600A" w:rsidRDefault="0077168C" w:rsidP="00C613AC">
            <w:pPr>
              <w:rPr>
                <w:rFonts w:ascii="Calibri" w:eastAsia="MS Mincho" w:hAnsi="Calibri" w:cs="Arial"/>
                <w:i/>
                <w:sz w:val="20"/>
              </w:rPr>
            </w:pPr>
            <w:r w:rsidRPr="00DF600A">
              <w:rPr>
                <w:rFonts w:ascii="Calibri" w:eastAsia="MS Mincho" w:hAnsi="Calibri" w:cs="Arial"/>
                <w:i/>
                <w:sz w:val="20"/>
              </w:rPr>
              <w:t>Institutional framework and governance</w:t>
            </w:r>
          </w:p>
        </w:tc>
        <w:tc>
          <w:tcPr>
            <w:tcW w:w="387" w:type="pct"/>
            <w:tcMar>
              <w:top w:w="28" w:type="dxa"/>
              <w:left w:w="57" w:type="dxa"/>
              <w:bottom w:w="28" w:type="dxa"/>
              <w:right w:w="57" w:type="dxa"/>
            </w:tcMar>
          </w:tcPr>
          <w:p w14:paraId="334C75C8" w14:textId="77777777" w:rsidR="0077168C" w:rsidRPr="00DF600A" w:rsidRDefault="0077168C" w:rsidP="00C613AC">
            <w:pPr>
              <w:jc w:val="center"/>
              <w:rPr>
                <w:rFonts w:ascii="Calibri" w:eastAsia="MS Mincho" w:hAnsi="Calibri" w:cs="Arial"/>
                <w:b/>
                <w:sz w:val="20"/>
              </w:rPr>
            </w:pPr>
            <w:r w:rsidRPr="00DF600A">
              <w:rPr>
                <w:rFonts w:ascii="Calibri" w:eastAsia="MS Mincho" w:hAnsi="Calibri" w:cs="Arial"/>
                <w:b/>
                <w:sz w:val="20"/>
              </w:rPr>
              <w:t>M</w:t>
            </w:r>
            <w:r>
              <w:rPr>
                <w:rFonts w:ascii="Calibri" w:eastAsia="MS Mincho" w:hAnsi="Calibri" w:cs="Arial"/>
                <w:b/>
                <w:sz w:val="20"/>
              </w:rPr>
              <w:t>U</w:t>
            </w:r>
          </w:p>
        </w:tc>
        <w:tc>
          <w:tcPr>
            <w:tcW w:w="3812" w:type="pct"/>
            <w:tcMar>
              <w:left w:w="57" w:type="dxa"/>
              <w:right w:w="57" w:type="dxa"/>
            </w:tcMar>
          </w:tcPr>
          <w:p w14:paraId="174F4304" w14:textId="78F51202" w:rsidR="0077168C" w:rsidRPr="00494A51" w:rsidRDefault="0077168C" w:rsidP="00C613AC">
            <w:pPr>
              <w:spacing w:after="40"/>
              <w:rPr>
                <w:rFonts w:ascii="Calibri" w:eastAsia="MS Mincho" w:hAnsi="Calibri" w:cs="Arial"/>
                <w:sz w:val="20"/>
              </w:rPr>
            </w:pPr>
            <w:r w:rsidRPr="00494A51">
              <w:rPr>
                <w:rFonts w:ascii="Calibri" w:eastAsia="MS Mincho" w:hAnsi="Calibri" w:cs="Arial"/>
                <w:sz w:val="20"/>
              </w:rPr>
              <w:t>The fact that current institutions show limited support for “de-concentration”</w:t>
            </w:r>
            <w:r w:rsidRPr="00085F7A">
              <w:rPr>
                <w:rFonts w:ascii="Calibri" w:eastAsia="MS Mincho" w:hAnsi="Calibri" w:cs="Arial"/>
                <w:sz w:val="20"/>
                <w:vertAlign w:val="superscript"/>
              </w:rPr>
              <w:footnoteReference w:id="33"/>
            </w:r>
            <w:r w:rsidRPr="0042238B">
              <w:rPr>
                <w:rFonts w:ascii="Calibri" w:eastAsia="MS Mincho" w:hAnsi="Calibri" w:cs="Arial"/>
                <w:sz w:val="20"/>
                <w:vertAlign w:val="superscript"/>
              </w:rPr>
              <w:t xml:space="preserve"> </w:t>
            </w:r>
            <w:r w:rsidRPr="00494A51">
              <w:rPr>
                <w:rFonts w:ascii="Calibri" w:eastAsia="MS Mincho" w:hAnsi="Calibri" w:cs="Arial"/>
                <w:sz w:val="20"/>
              </w:rPr>
              <w:t xml:space="preserve">[of] management authority to PA administrations or to changes needed to improve PA management cost-effectiveness is identified as a </w:t>
            </w:r>
            <w:r w:rsidRPr="00494A51">
              <w:rPr>
                <w:rFonts w:ascii="Calibri" w:eastAsia="MS Mincho" w:hAnsi="Calibri" w:cs="Arial"/>
                <w:sz w:val="20"/>
                <w:u w:val="single"/>
              </w:rPr>
              <w:t>moderate risk</w:t>
            </w:r>
            <w:r w:rsidRPr="00494A51">
              <w:rPr>
                <w:rFonts w:ascii="Calibri" w:eastAsia="MS Mincho" w:hAnsi="Calibri" w:cs="Arial"/>
                <w:sz w:val="20"/>
              </w:rPr>
              <w:t>.</w:t>
            </w:r>
            <w:r>
              <w:rPr>
                <w:rFonts w:ascii="Calibri" w:eastAsia="MS Mincho" w:hAnsi="Calibri" w:cs="Arial"/>
                <w:sz w:val="20"/>
              </w:rPr>
              <w:t xml:space="preserve"> The assumption in the ProDoc</w:t>
            </w:r>
            <w:r w:rsidRPr="00494A51">
              <w:rPr>
                <w:rFonts w:ascii="Calibri" w:eastAsia="MS Mincho" w:hAnsi="Calibri" w:cs="Arial"/>
                <w:sz w:val="20"/>
              </w:rPr>
              <w:t xml:space="preserve"> that APA w</w:t>
            </w:r>
            <w:r>
              <w:rPr>
                <w:rFonts w:ascii="Calibri" w:eastAsia="MS Mincho" w:hAnsi="Calibri" w:cs="Arial"/>
                <w:sz w:val="20"/>
              </w:rPr>
              <w:t>ould</w:t>
            </w:r>
            <w:r w:rsidRPr="00494A51">
              <w:rPr>
                <w:rFonts w:ascii="Calibri" w:eastAsia="MS Mincho" w:hAnsi="Calibri" w:cs="Arial"/>
                <w:sz w:val="20"/>
              </w:rPr>
              <w:t xml:space="preserve"> delegate more authority to PAs to</w:t>
            </w:r>
            <w:r>
              <w:rPr>
                <w:rFonts w:ascii="Calibri" w:eastAsia="MS Mincho" w:hAnsi="Calibri" w:cs="Arial"/>
                <w:sz w:val="20"/>
              </w:rPr>
              <w:t xml:space="preserve"> allow more adaptive management </w:t>
            </w:r>
            <w:r w:rsidRPr="00494A51">
              <w:rPr>
                <w:rFonts w:ascii="Calibri" w:eastAsia="MS Mincho" w:hAnsi="Calibri" w:cs="Arial"/>
                <w:sz w:val="20"/>
              </w:rPr>
              <w:t>proved to be over-optimistic</w:t>
            </w:r>
            <w:r>
              <w:rPr>
                <w:rFonts w:ascii="Calibri" w:eastAsia="MS Mincho" w:hAnsi="Calibri" w:cs="Arial"/>
                <w:sz w:val="20"/>
              </w:rPr>
              <w:t xml:space="preserve">, although there has been some progress </w:t>
            </w:r>
            <w:r w:rsidR="001749E4">
              <w:rPr>
                <w:rFonts w:ascii="Calibri" w:eastAsia="MS Mincho" w:hAnsi="Calibri" w:cs="Arial"/>
                <w:sz w:val="20"/>
              </w:rPr>
              <w:t>regarding</w:t>
            </w:r>
            <w:r>
              <w:rPr>
                <w:rFonts w:ascii="Calibri" w:eastAsia="MS Mincho" w:hAnsi="Calibri" w:cs="Arial"/>
                <w:sz w:val="20"/>
              </w:rPr>
              <w:t xml:space="preserve"> stakeholder involvement in PA governance (see </w:t>
            </w:r>
            <w:r w:rsidRPr="002E016D">
              <w:rPr>
                <w:rFonts w:ascii="Calibri" w:eastAsia="MS Mincho" w:hAnsi="Calibri" w:cs="Arial"/>
                <w:b/>
                <w:sz w:val="20"/>
              </w:rPr>
              <w:t>Sections 3.2.2</w:t>
            </w:r>
            <w:r>
              <w:rPr>
                <w:rFonts w:ascii="Calibri" w:eastAsia="MS Mincho" w:hAnsi="Calibri" w:cs="Arial"/>
                <w:sz w:val="20"/>
              </w:rPr>
              <w:t>).</w:t>
            </w:r>
          </w:p>
          <w:p w14:paraId="56CA9D42" w14:textId="77777777" w:rsidR="0077168C" w:rsidRPr="00494A51" w:rsidRDefault="0077168C" w:rsidP="00C613AC">
            <w:pPr>
              <w:spacing w:after="40"/>
              <w:rPr>
                <w:rFonts w:ascii="Calibri" w:eastAsia="MS Mincho" w:hAnsi="Calibri" w:cs="Arial"/>
                <w:sz w:val="20"/>
              </w:rPr>
            </w:pPr>
            <w:r>
              <w:rPr>
                <w:rFonts w:ascii="Calibri" w:eastAsia="MS Mincho" w:hAnsi="Calibri" w:cs="Arial"/>
                <w:sz w:val="20"/>
              </w:rPr>
              <w:t xml:space="preserve">Another constraint identified in the MTR and this TE is the high turnover of staff </w:t>
            </w:r>
            <w:r>
              <w:rPr>
                <w:rFonts w:ascii="Calibri" w:eastAsia="MS Mincho" w:hAnsi="Calibri" w:cs="Arial"/>
                <w:sz w:val="20"/>
              </w:rPr>
              <w:lastRenderedPageBreak/>
              <w:t>within APA, both at senior levels (e.g. NPD in the case of this project) and within PA Administrations, especially among the rangers (due to their low salaries), all of which fosters instability and undermines working relationships.</w:t>
            </w:r>
          </w:p>
          <w:p w14:paraId="35FFDEA5" w14:textId="77777777" w:rsidR="0077168C" w:rsidRPr="00DF600A" w:rsidRDefault="0077168C" w:rsidP="00C613AC">
            <w:pPr>
              <w:rPr>
                <w:rFonts w:ascii="Calibri" w:eastAsia="MS Mincho" w:hAnsi="Calibri" w:cs="Arial"/>
                <w:sz w:val="20"/>
              </w:rPr>
            </w:pPr>
            <w:r>
              <w:rPr>
                <w:rFonts w:ascii="Calibri" w:eastAsia="MS Mincho" w:hAnsi="Calibri" w:cs="Arial"/>
                <w:sz w:val="20"/>
              </w:rPr>
              <w:t xml:space="preserve">This situation deemed likely to remain </w:t>
            </w:r>
            <w:r w:rsidRPr="00B72EA8">
              <w:rPr>
                <w:rFonts w:ascii="Calibri" w:eastAsia="MS Mincho" w:hAnsi="Calibri" w:cs="Arial"/>
                <w:b/>
                <w:sz w:val="20"/>
              </w:rPr>
              <w:t>Moderately Unsustainable</w:t>
            </w:r>
            <w:r>
              <w:rPr>
                <w:rFonts w:ascii="Calibri" w:eastAsia="MS Mincho" w:hAnsi="Calibri" w:cs="Arial"/>
                <w:sz w:val="20"/>
              </w:rPr>
              <w:t xml:space="preserve"> until such time as the PA policy and legislation is revised, enabling APA to decentralise its operations and provide more autonomy to PA Administrations.</w:t>
            </w:r>
            <w:r w:rsidRPr="00DF600A">
              <w:rPr>
                <w:rFonts w:ascii="Calibri" w:eastAsia="MS Mincho" w:hAnsi="Calibri" w:cs="Arial"/>
                <w:sz w:val="20"/>
              </w:rPr>
              <w:t xml:space="preserve"> </w:t>
            </w:r>
          </w:p>
        </w:tc>
      </w:tr>
      <w:tr w:rsidR="0077168C" w:rsidRPr="00DF600A" w14:paraId="4A1DD365" w14:textId="77777777" w:rsidTr="00C613AC">
        <w:tc>
          <w:tcPr>
            <w:tcW w:w="801" w:type="pct"/>
            <w:tcBorders>
              <w:bottom w:val="single" w:sz="4" w:space="0" w:color="auto"/>
            </w:tcBorders>
            <w:shd w:val="clear" w:color="auto" w:fill="auto"/>
            <w:tcMar>
              <w:left w:w="57" w:type="dxa"/>
            </w:tcMar>
          </w:tcPr>
          <w:p w14:paraId="77D67D33" w14:textId="77777777" w:rsidR="0077168C" w:rsidRPr="00DF600A" w:rsidRDefault="0077168C" w:rsidP="00C613AC">
            <w:pPr>
              <w:rPr>
                <w:rFonts w:ascii="Calibri" w:eastAsia="MS Mincho" w:hAnsi="Calibri" w:cs="Arial"/>
                <w:i/>
                <w:sz w:val="20"/>
              </w:rPr>
            </w:pPr>
            <w:r w:rsidRPr="00DF600A">
              <w:rPr>
                <w:rFonts w:ascii="Calibri" w:eastAsia="MS Mincho" w:hAnsi="Calibri" w:cs="Arial"/>
                <w:i/>
                <w:sz w:val="20"/>
              </w:rPr>
              <w:lastRenderedPageBreak/>
              <w:t>Environmental</w:t>
            </w:r>
          </w:p>
        </w:tc>
        <w:tc>
          <w:tcPr>
            <w:tcW w:w="387" w:type="pct"/>
            <w:tcBorders>
              <w:bottom w:val="single" w:sz="4" w:space="0" w:color="auto"/>
            </w:tcBorders>
            <w:tcMar>
              <w:top w:w="28" w:type="dxa"/>
              <w:left w:w="57" w:type="dxa"/>
              <w:bottom w:w="28" w:type="dxa"/>
              <w:right w:w="57" w:type="dxa"/>
            </w:tcMar>
          </w:tcPr>
          <w:p w14:paraId="7A8E0629" w14:textId="77777777" w:rsidR="0077168C" w:rsidRPr="00DF600A" w:rsidRDefault="0077168C" w:rsidP="00C613AC">
            <w:pPr>
              <w:jc w:val="center"/>
              <w:rPr>
                <w:rFonts w:ascii="Calibri" w:eastAsia="MS Mincho" w:hAnsi="Calibri" w:cs="Arial"/>
                <w:b/>
                <w:sz w:val="20"/>
              </w:rPr>
            </w:pPr>
            <w:r w:rsidRPr="00DF600A">
              <w:rPr>
                <w:rFonts w:ascii="Calibri" w:eastAsia="MS Mincho" w:hAnsi="Calibri" w:cs="Arial"/>
                <w:b/>
                <w:sz w:val="20"/>
              </w:rPr>
              <w:t>L</w:t>
            </w:r>
          </w:p>
        </w:tc>
        <w:tc>
          <w:tcPr>
            <w:tcW w:w="3812" w:type="pct"/>
            <w:tcBorders>
              <w:bottom w:val="single" w:sz="4" w:space="0" w:color="auto"/>
            </w:tcBorders>
            <w:tcMar>
              <w:left w:w="57" w:type="dxa"/>
              <w:right w:w="57" w:type="dxa"/>
            </w:tcMar>
          </w:tcPr>
          <w:p w14:paraId="358F3DD1" w14:textId="77777777" w:rsidR="0077168C" w:rsidRPr="007E4A63" w:rsidRDefault="0077168C" w:rsidP="00C613AC">
            <w:pPr>
              <w:spacing w:after="40"/>
              <w:rPr>
                <w:rFonts w:ascii="Calibri" w:eastAsia="MS Mincho" w:hAnsi="Calibri" w:cs="Arial"/>
                <w:sz w:val="20"/>
              </w:rPr>
            </w:pPr>
            <w:r w:rsidRPr="007E4A63">
              <w:rPr>
                <w:rFonts w:ascii="Calibri" w:eastAsia="MS Mincho" w:hAnsi="Calibri" w:cs="Arial"/>
                <w:sz w:val="20"/>
              </w:rPr>
              <w:t xml:space="preserve">The resilience of ecosystems and their biological and physical integrity are identified in the ProDoc as being </w:t>
            </w:r>
            <w:r w:rsidRPr="007E4A63">
              <w:rPr>
                <w:rFonts w:ascii="Calibri" w:eastAsia="MS Mincho" w:hAnsi="Calibri" w:cs="Arial"/>
                <w:sz w:val="20"/>
                <w:u w:val="single"/>
              </w:rPr>
              <w:t>moderately at risk</w:t>
            </w:r>
            <w:r w:rsidRPr="007E4A63">
              <w:rPr>
                <w:rFonts w:ascii="Calibri" w:eastAsia="MS Mincho" w:hAnsi="Calibri" w:cs="Arial"/>
                <w:sz w:val="20"/>
              </w:rPr>
              <w:t xml:space="preserve"> from the incremental impacts of climate change. As highlighted in the MTR, despite the project’s focus on enhancing management effectiveness and PAs coverage, climate changes poses a significant risk to the conservation of Colchic Forests that are expected to shift to higher altitudes in the later part of the 21st century, resulting in an expansion of invasive species and loss of species with specialised habitat requirements. </w:t>
            </w:r>
          </w:p>
          <w:p w14:paraId="53435C8E" w14:textId="77777777" w:rsidR="0077168C" w:rsidRDefault="0077168C" w:rsidP="00C613AC">
            <w:pPr>
              <w:spacing w:after="40"/>
              <w:rPr>
                <w:rFonts w:ascii="Calibri" w:eastAsia="MS Mincho" w:hAnsi="Calibri" w:cs="Arial"/>
                <w:sz w:val="20"/>
              </w:rPr>
            </w:pPr>
            <w:r w:rsidRPr="007E4A63">
              <w:rPr>
                <w:rFonts w:ascii="Calibri" w:eastAsia="MS Mincho" w:hAnsi="Calibri" w:cs="Arial"/>
                <w:sz w:val="20"/>
              </w:rPr>
              <w:t>Other concerns are: the limited science available to inform management and, even when it is available, the likelihood of it being ignored or rejected</w:t>
            </w:r>
            <w:r>
              <w:rPr>
                <w:rFonts w:ascii="Calibri" w:eastAsia="MS Mincho" w:hAnsi="Calibri" w:cs="Arial"/>
                <w:sz w:val="20"/>
              </w:rPr>
              <w:t>, as in the case of the zonation plan produced by Ilia State University (</w:t>
            </w:r>
            <w:r w:rsidRPr="007E4A63">
              <w:rPr>
                <w:rFonts w:ascii="Calibri" w:eastAsia="MS Mincho" w:hAnsi="Calibri" w:cs="Arial"/>
                <w:b/>
                <w:sz w:val="20"/>
              </w:rPr>
              <w:t>Section 3.2.6</w:t>
            </w:r>
            <w:r>
              <w:rPr>
                <w:rFonts w:ascii="Calibri" w:eastAsia="MS Mincho" w:hAnsi="Calibri" w:cs="Arial"/>
                <w:sz w:val="20"/>
              </w:rPr>
              <w:t>)</w:t>
            </w:r>
            <w:r w:rsidRPr="007E4A63">
              <w:rPr>
                <w:rFonts w:ascii="Calibri" w:eastAsia="MS Mincho" w:hAnsi="Calibri" w:cs="Arial"/>
                <w:sz w:val="20"/>
              </w:rPr>
              <w:t>; and the hostile political environment in which the likes of APA are operating in the face of powerful sectors, such as the Ministry of Energy</w:t>
            </w:r>
            <w:r>
              <w:rPr>
                <w:rFonts w:ascii="Calibri" w:eastAsia="MS Mincho" w:hAnsi="Calibri" w:cs="Arial"/>
                <w:sz w:val="20"/>
              </w:rPr>
              <w:t xml:space="preserve"> with its controversial</w:t>
            </w:r>
            <w:r w:rsidRPr="007E4A63">
              <w:rPr>
                <w:rFonts w:ascii="Calibri" w:eastAsia="MS Mincho" w:hAnsi="Calibri" w:cs="Arial"/>
                <w:sz w:val="20"/>
              </w:rPr>
              <w:t xml:space="preserve"> hydroelectric installation in Machakhela Gorge.</w:t>
            </w:r>
          </w:p>
          <w:p w14:paraId="5A42A76C" w14:textId="77777777" w:rsidR="0077168C" w:rsidRPr="00DF600A" w:rsidRDefault="0077168C" w:rsidP="00C613AC">
            <w:pPr>
              <w:spacing w:after="40"/>
              <w:rPr>
                <w:rFonts w:ascii="Calibri" w:eastAsia="MS Mincho" w:hAnsi="Calibri" w:cs="Arial"/>
                <w:sz w:val="20"/>
              </w:rPr>
            </w:pPr>
            <w:r>
              <w:rPr>
                <w:rFonts w:ascii="Calibri" w:eastAsia="MS Mincho" w:hAnsi="Calibri" w:cs="Arial"/>
                <w:sz w:val="20"/>
              </w:rPr>
              <w:t xml:space="preserve">On balance, the benefits accrued as a result of implementation are </w:t>
            </w:r>
            <w:r w:rsidRPr="00F270A2">
              <w:rPr>
                <w:rFonts w:ascii="Calibri" w:eastAsia="MS Mincho" w:hAnsi="Calibri" w:cs="Arial"/>
                <w:b/>
                <w:sz w:val="20"/>
              </w:rPr>
              <w:t>likely to be sustained</w:t>
            </w:r>
            <w:r>
              <w:rPr>
                <w:rFonts w:ascii="Calibri" w:eastAsia="MS Mincho" w:hAnsi="Calibri" w:cs="Arial"/>
                <w:sz w:val="20"/>
              </w:rPr>
              <w:t xml:space="preserve"> post-project, provided the designation of Machakhela PL is realised. </w:t>
            </w:r>
          </w:p>
        </w:tc>
      </w:tr>
      <w:tr w:rsidR="0077168C" w:rsidRPr="00AD1FDE" w14:paraId="38161EDE" w14:textId="77777777" w:rsidTr="00C613AC">
        <w:tc>
          <w:tcPr>
            <w:tcW w:w="5000" w:type="pct"/>
            <w:gridSpan w:val="3"/>
            <w:tcBorders>
              <w:left w:val="nil"/>
              <w:bottom w:val="nil"/>
              <w:right w:val="nil"/>
            </w:tcBorders>
            <w:shd w:val="clear" w:color="auto" w:fill="auto"/>
            <w:tcMar>
              <w:top w:w="28" w:type="dxa"/>
              <w:left w:w="0" w:type="dxa"/>
              <w:bottom w:w="28" w:type="dxa"/>
              <w:right w:w="0" w:type="dxa"/>
            </w:tcMar>
          </w:tcPr>
          <w:p w14:paraId="75439883" w14:textId="77777777" w:rsidR="0077168C" w:rsidRDefault="0077168C" w:rsidP="00C613AC">
            <w:pPr>
              <w:ind w:left="1758" w:hanging="1701"/>
              <w:rPr>
                <w:rFonts w:ascii="Calibri" w:hAnsi="Calibri" w:cs="Arial"/>
                <w:sz w:val="18"/>
                <w:szCs w:val="18"/>
              </w:rPr>
            </w:pPr>
            <w:r w:rsidRPr="00AD1FDE">
              <w:rPr>
                <w:rFonts w:ascii="Calibri" w:hAnsi="Calibri" w:cs="Arial"/>
                <w:b/>
                <w:bCs/>
                <w:sz w:val="18"/>
                <w:szCs w:val="18"/>
              </w:rPr>
              <w:t>Satisfaction scale</w:t>
            </w:r>
            <w:r w:rsidRPr="00AD1FDE">
              <w:rPr>
                <w:rFonts w:ascii="Calibri" w:hAnsi="Calibri" w:cs="Arial"/>
                <w:sz w:val="18"/>
                <w:szCs w:val="18"/>
              </w:rPr>
              <w:t>:</w:t>
            </w:r>
            <w:r w:rsidRPr="00AD1FDE">
              <w:rPr>
                <w:rFonts w:ascii="Calibri" w:hAnsi="Calibri" w:cs="Arial"/>
                <w:sz w:val="18"/>
                <w:szCs w:val="18"/>
              </w:rPr>
              <w:tab/>
            </w:r>
            <w:r w:rsidRPr="00AD1FDE">
              <w:rPr>
                <w:rFonts w:ascii="Calibri" w:hAnsi="Calibri" w:cs="Arial"/>
                <w:b/>
                <w:sz w:val="18"/>
                <w:szCs w:val="18"/>
              </w:rPr>
              <w:t>H</w:t>
            </w:r>
            <w:r w:rsidRPr="00AD1FDE">
              <w:rPr>
                <w:rFonts w:ascii="Calibri" w:hAnsi="Calibri" w:cs="Arial"/>
                <w:sz w:val="18"/>
                <w:szCs w:val="18"/>
              </w:rPr>
              <w:t xml:space="preserve">ighly </w:t>
            </w:r>
            <w:r w:rsidRPr="00AD1FDE">
              <w:rPr>
                <w:rFonts w:ascii="Calibri" w:hAnsi="Calibri" w:cs="Arial"/>
                <w:b/>
                <w:sz w:val="18"/>
                <w:szCs w:val="18"/>
              </w:rPr>
              <w:t>S</w:t>
            </w:r>
            <w:r w:rsidRPr="00AD1FDE">
              <w:rPr>
                <w:rFonts w:ascii="Calibri" w:hAnsi="Calibri" w:cs="Arial"/>
                <w:sz w:val="18"/>
                <w:szCs w:val="18"/>
              </w:rPr>
              <w:t>atisfactory,</w:t>
            </w:r>
            <w:r w:rsidRPr="00AD1FDE">
              <w:rPr>
                <w:rFonts w:ascii="Calibri" w:hAnsi="Calibri" w:cs="Arial"/>
                <w:b/>
                <w:sz w:val="18"/>
                <w:szCs w:val="18"/>
              </w:rPr>
              <w:t xml:space="preserve"> S</w:t>
            </w:r>
            <w:r w:rsidRPr="00AD1FDE">
              <w:rPr>
                <w:rFonts w:ascii="Calibri" w:hAnsi="Calibri" w:cs="Arial"/>
                <w:sz w:val="18"/>
                <w:szCs w:val="18"/>
              </w:rPr>
              <w:t>atisfactory,</w:t>
            </w:r>
            <w:r w:rsidRPr="00AD1FDE">
              <w:rPr>
                <w:rFonts w:ascii="Calibri" w:hAnsi="Calibri" w:cs="Arial"/>
                <w:b/>
                <w:sz w:val="18"/>
                <w:szCs w:val="18"/>
              </w:rPr>
              <w:t xml:space="preserve"> M</w:t>
            </w:r>
            <w:r w:rsidRPr="00AD1FDE">
              <w:rPr>
                <w:rFonts w:ascii="Calibri" w:hAnsi="Calibri" w:cs="Arial"/>
                <w:sz w:val="18"/>
                <w:szCs w:val="18"/>
              </w:rPr>
              <w:t xml:space="preserve">oderately </w:t>
            </w:r>
            <w:r w:rsidRPr="00AD1FDE">
              <w:rPr>
                <w:rFonts w:ascii="Calibri" w:hAnsi="Calibri" w:cs="Arial"/>
                <w:b/>
                <w:sz w:val="18"/>
                <w:szCs w:val="18"/>
              </w:rPr>
              <w:t>S</w:t>
            </w:r>
            <w:r w:rsidRPr="00AD1FDE">
              <w:rPr>
                <w:rFonts w:ascii="Calibri" w:hAnsi="Calibri" w:cs="Arial"/>
                <w:sz w:val="18"/>
                <w:szCs w:val="18"/>
              </w:rPr>
              <w:t xml:space="preserve">atisfactory, </w:t>
            </w:r>
          </w:p>
          <w:p w14:paraId="3D3EDD17" w14:textId="77777777" w:rsidR="0077168C" w:rsidRPr="00AD1FDE" w:rsidRDefault="0077168C" w:rsidP="00C613AC">
            <w:pPr>
              <w:ind w:left="1758"/>
              <w:rPr>
                <w:rFonts w:ascii="Calibri" w:hAnsi="Calibri" w:cs="Arial"/>
                <w:b/>
                <w:bCs/>
                <w:sz w:val="18"/>
                <w:szCs w:val="18"/>
              </w:rPr>
            </w:pPr>
            <w:r w:rsidRPr="00AD1FDE">
              <w:rPr>
                <w:rFonts w:ascii="Calibri" w:hAnsi="Calibri" w:cs="Arial"/>
                <w:b/>
                <w:sz w:val="18"/>
                <w:szCs w:val="18"/>
              </w:rPr>
              <w:t>M</w:t>
            </w:r>
            <w:r w:rsidRPr="00AD1FDE">
              <w:rPr>
                <w:rFonts w:ascii="Calibri" w:hAnsi="Calibri" w:cs="Arial"/>
                <w:sz w:val="18"/>
                <w:szCs w:val="18"/>
              </w:rPr>
              <w:t xml:space="preserve">oderately </w:t>
            </w:r>
            <w:r w:rsidRPr="00AD1FDE">
              <w:rPr>
                <w:rFonts w:ascii="Calibri" w:hAnsi="Calibri" w:cs="Arial"/>
                <w:b/>
                <w:sz w:val="18"/>
                <w:szCs w:val="18"/>
              </w:rPr>
              <w:t>U</w:t>
            </w:r>
            <w:r w:rsidRPr="00AD1FDE">
              <w:rPr>
                <w:rFonts w:ascii="Calibri" w:hAnsi="Calibri" w:cs="Arial"/>
                <w:sz w:val="18"/>
                <w:szCs w:val="18"/>
              </w:rPr>
              <w:t>nsatisfactory,</w:t>
            </w:r>
            <w:r w:rsidRPr="00AD1FDE">
              <w:rPr>
                <w:rFonts w:ascii="Calibri" w:hAnsi="Calibri" w:cs="Arial"/>
                <w:b/>
                <w:sz w:val="18"/>
                <w:szCs w:val="18"/>
              </w:rPr>
              <w:t xml:space="preserve"> U</w:t>
            </w:r>
            <w:r w:rsidRPr="00AD1FDE">
              <w:rPr>
                <w:rFonts w:ascii="Calibri" w:hAnsi="Calibri" w:cs="Arial"/>
                <w:sz w:val="18"/>
                <w:szCs w:val="18"/>
              </w:rPr>
              <w:t xml:space="preserve">nsatisfactory, </w:t>
            </w:r>
            <w:r w:rsidRPr="00AD1FDE">
              <w:rPr>
                <w:rFonts w:ascii="Calibri" w:hAnsi="Calibri" w:cs="Arial"/>
                <w:b/>
                <w:sz w:val="18"/>
                <w:szCs w:val="18"/>
              </w:rPr>
              <w:t>H</w:t>
            </w:r>
            <w:r w:rsidRPr="00AD1FDE">
              <w:rPr>
                <w:rFonts w:ascii="Calibri" w:hAnsi="Calibri" w:cs="Arial"/>
                <w:sz w:val="18"/>
                <w:szCs w:val="18"/>
              </w:rPr>
              <w:t xml:space="preserve">ighly </w:t>
            </w:r>
            <w:r w:rsidRPr="00AD1FDE">
              <w:rPr>
                <w:rFonts w:ascii="Calibri" w:hAnsi="Calibri" w:cs="Arial"/>
                <w:b/>
                <w:sz w:val="18"/>
                <w:szCs w:val="18"/>
              </w:rPr>
              <w:t>U</w:t>
            </w:r>
            <w:r w:rsidRPr="00AD1FDE">
              <w:rPr>
                <w:rFonts w:ascii="Calibri" w:hAnsi="Calibri" w:cs="Arial"/>
                <w:sz w:val="18"/>
                <w:szCs w:val="18"/>
              </w:rPr>
              <w:t>nsatisfactory</w:t>
            </w:r>
            <w:r w:rsidRPr="00AD1FDE">
              <w:rPr>
                <w:rFonts w:ascii="Calibri" w:hAnsi="Calibri" w:cs="Arial"/>
                <w:b/>
                <w:bCs/>
                <w:sz w:val="18"/>
                <w:szCs w:val="18"/>
              </w:rPr>
              <w:t xml:space="preserve"> </w:t>
            </w:r>
          </w:p>
          <w:p w14:paraId="2FB48CCE" w14:textId="77777777" w:rsidR="0077168C" w:rsidRPr="00AD1FDE" w:rsidRDefault="0077168C" w:rsidP="00C613AC">
            <w:pPr>
              <w:tabs>
                <w:tab w:val="left" w:pos="1758"/>
              </w:tabs>
              <w:ind w:left="1758" w:hanging="1701"/>
              <w:rPr>
                <w:rFonts w:ascii="Calibri" w:eastAsia="MS Mincho" w:hAnsi="Calibri" w:cs="Arial"/>
                <w:b/>
                <w:bCs/>
                <w:sz w:val="18"/>
                <w:szCs w:val="18"/>
              </w:rPr>
            </w:pPr>
            <w:r w:rsidRPr="00AD1FDE">
              <w:rPr>
                <w:rFonts w:ascii="Calibri" w:hAnsi="Calibri" w:cs="Arial"/>
                <w:b/>
                <w:bCs/>
                <w:sz w:val="18"/>
                <w:szCs w:val="18"/>
              </w:rPr>
              <w:t>Relevance scale:</w:t>
            </w:r>
            <w:r w:rsidRPr="00AD1FDE">
              <w:rPr>
                <w:rFonts w:ascii="Calibri" w:hAnsi="Calibri" w:cs="Arial"/>
                <w:sz w:val="18"/>
                <w:szCs w:val="18"/>
              </w:rPr>
              <w:tab/>
            </w:r>
            <w:r w:rsidRPr="00AD1FDE">
              <w:rPr>
                <w:rFonts w:ascii="Calibri" w:hAnsi="Calibri" w:cs="Arial"/>
                <w:b/>
                <w:bCs/>
                <w:sz w:val="18"/>
                <w:szCs w:val="18"/>
              </w:rPr>
              <w:t>R</w:t>
            </w:r>
            <w:r w:rsidRPr="00AD1FDE">
              <w:rPr>
                <w:rFonts w:ascii="Calibri" w:hAnsi="Calibri" w:cs="Arial"/>
                <w:sz w:val="18"/>
                <w:szCs w:val="18"/>
              </w:rPr>
              <w:t xml:space="preserve">elevant; </w:t>
            </w:r>
            <w:r w:rsidRPr="00AD1FDE">
              <w:rPr>
                <w:rFonts w:ascii="Calibri" w:hAnsi="Calibri" w:cs="Arial"/>
                <w:b/>
                <w:bCs/>
                <w:sz w:val="18"/>
                <w:szCs w:val="18"/>
              </w:rPr>
              <w:t>N</w:t>
            </w:r>
            <w:r w:rsidRPr="00AD1FDE">
              <w:rPr>
                <w:rFonts w:ascii="Calibri" w:hAnsi="Calibri" w:cs="Arial"/>
                <w:sz w:val="18"/>
                <w:szCs w:val="18"/>
              </w:rPr>
              <w:t>ot</w:t>
            </w:r>
            <w:r w:rsidRPr="00AD1FDE">
              <w:rPr>
                <w:rFonts w:ascii="Calibri" w:hAnsi="Calibri" w:cs="Arial"/>
                <w:b/>
                <w:bCs/>
                <w:sz w:val="18"/>
                <w:szCs w:val="18"/>
              </w:rPr>
              <w:t xml:space="preserve"> R</w:t>
            </w:r>
            <w:r w:rsidRPr="00AD1FDE">
              <w:rPr>
                <w:rFonts w:ascii="Calibri" w:hAnsi="Calibri" w:cs="Arial"/>
                <w:sz w:val="18"/>
                <w:szCs w:val="18"/>
              </w:rPr>
              <w:t>elevant</w:t>
            </w:r>
          </w:p>
          <w:p w14:paraId="3C8A7F52" w14:textId="77777777" w:rsidR="0077168C" w:rsidRPr="00AD1FDE" w:rsidRDefault="0077168C" w:rsidP="00C613AC">
            <w:pPr>
              <w:tabs>
                <w:tab w:val="left" w:pos="1499"/>
              </w:tabs>
              <w:ind w:left="1758" w:hanging="1701"/>
              <w:rPr>
                <w:rFonts w:ascii="Calibri" w:hAnsi="Calibri" w:cs="Arial"/>
                <w:sz w:val="18"/>
                <w:szCs w:val="18"/>
              </w:rPr>
            </w:pPr>
            <w:r w:rsidRPr="00AD1FDE">
              <w:rPr>
                <w:rFonts w:ascii="Calibri" w:hAnsi="Calibri" w:cs="Arial"/>
                <w:b/>
                <w:bCs/>
                <w:sz w:val="18"/>
                <w:szCs w:val="18"/>
              </w:rPr>
              <w:t>Sustainability scale:</w:t>
            </w:r>
            <w:r w:rsidRPr="00AD1FDE">
              <w:rPr>
                <w:rFonts w:ascii="Calibri" w:hAnsi="Calibri" w:cs="Arial"/>
                <w:sz w:val="18"/>
                <w:szCs w:val="18"/>
              </w:rPr>
              <w:tab/>
            </w:r>
            <w:r w:rsidRPr="00AD1FDE">
              <w:rPr>
                <w:rFonts w:ascii="Calibri" w:hAnsi="Calibri" w:cs="Arial"/>
                <w:b/>
                <w:sz w:val="18"/>
                <w:szCs w:val="18"/>
              </w:rPr>
              <w:t>L</w:t>
            </w:r>
            <w:r w:rsidRPr="00AD1FDE">
              <w:rPr>
                <w:rFonts w:ascii="Calibri" w:hAnsi="Calibri" w:cs="Arial"/>
                <w:sz w:val="18"/>
                <w:szCs w:val="18"/>
              </w:rPr>
              <w:t xml:space="preserve">ikely, </w:t>
            </w:r>
            <w:r w:rsidRPr="00AD1FDE">
              <w:rPr>
                <w:rFonts w:ascii="Calibri" w:hAnsi="Calibri" w:cs="Arial"/>
                <w:b/>
                <w:sz w:val="18"/>
                <w:szCs w:val="18"/>
              </w:rPr>
              <w:t>M</w:t>
            </w:r>
            <w:r w:rsidRPr="00AD1FDE">
              <w:rPr>
                <w:rFonts w:ascii="Calibri" w:hAnsi="Calibri" w:cs="Arial"/>
                <w:sz w:val="18"/>
                <w:szCs w:val="18"/>
              </w:rPr>
              <w:t xml:space="preserve">oderately </w:t>
            </w:r>
            <w:r w:rsidRPr="00AD1FDE">
              <w:rPr>
                <w:rFonts w:ascii="Calibri" w:hAnsi="Calibri" w:cs="Arial"/>
                <w:b/>
                <w:sz w:val="18"/>
                <w:szCs w:val="18"/>
              </w:rPr>
              <w:t>L</w:t>
            </w:r>
            <w:r w:rsidRPr="00AD1FDE">
              <w:rPr>
                <w:rFonts w:ascii="Calibri" w:hAnsi="Calibri" w:cs="Arial"/>
                <w:sz w:val="18"/>
                <w:szCs w:val="18"/>
              </w:rPr>
              <w:t xml:space="preserve">ikely, </w:t>
            </w:r>
            <w:r w:rsidRPr="00AD1FDE">
              <w:rPr>
                <w:rFonts w:ascii="Calibri" w:hAnsi="Calibri" w:cs="Arial"/>
                <w:b/>
                <w:sz w:val="18"/>
                <w:szCs w:val="18"/>
              </w:rPr>
              <w:t>M</w:t>
            </w:r>
            <w:r w:rsidRPr="00AD1FDE">
              <w:rPr>
                <w:rFonts w:ascii="Calibri" w:hAnsi="Calibri" w:cs="Arial"/>
                <w:sz w:val="18"/>
                <w:szCs w:val="18"/>
              </w:rPr>
              <w:t xml:space="preserve">oderately </w:t>
            </w:r>
            <w:r w:rsidRPr="00AD1FDE">
              <w:rPr>
                <w:rFonts w:ascii="Calibri" w:hAnsi="Calibri" w:cs="Arial"/>
                <w:b/>
                <w:sz w:val="18"/>
                <w:szCs w:val="18"/>
              </w:rPr>
              <w:t>U</w:t>
            </w:r>
            <w:r w:rsidRPr="00AD1FDE">
              <w:rPr>
                <w:rFonts w:ascii="Calibri" w:hAnsi="Calibri" w:cs="Arial"/>
                <w:sz w:val="18"/>
                <w:szCs w:val="18"/>
              </w:rPr>
              <w:t xml:space="preserve">nlikely, </w:t>
            </w:r>
            <w:r w:rsidRPr="00AD1FDE">
              <w:rPr>
                <w:rFonts w:ascii="Calibri" w:hAnsi="Calibri" w:cs="Arial"/>
                <w:b/>
                <w:sz w:val="18"/>
                <w:szCs w:val="18"/>
              </w:rPr>
              <w:t>U</w:t>
            </w:r>
            <w:r w:rsidRPr="00AD1FDE">
              <w:rPr>
                <w:rFonts w:ascii="Calibri" w:hAnsi="Calibri" w:cs="Arial"/>
                <w:sz w:val="18"/>
                <w:szCs w:val="18"/>
              </w:rPr>
              <w:t>nlikely</w:t>
            </w:r>
          </w:p>
          <w:p w14:paraId="28434761" w14:textId="77777777" w:rsidR="0077168C" w:rsidRPr="00AD1FDE" w:rsidRDefault="0077168C" w:rsidP="00C613AC">
            <w:pPr>
              <w:tabs>
                <w:tab w:val="left" w:pos="1758"/>
              </w:tabs>
              <w:ind w:left="1758" w:hanging="1701"/>
              <w:rPr>
                <w:rFonts w:ascii="Calibri" w:eastAsia="MS Mincho" w:hAnsi="Calibri" w:cs="Arial"/>
                <w:sz w:val="18"/>
                <w:szCs w:val="18"/>
              </w:rPr>
            </w:pPr>
            <w:r w:rsidRPr="00AD1FDE">
              <w:rPr>
                <w:rFonts w:ascii="Calibri" w:hAnsi="Calibri" w:cs="Arial"/>
                <w:b/>
                <w:bCs/>
                <w:sz w:val="18"/>
                <w:szCs w:val="18"/>
              </w:rPr>
              <w:t>Impact scale:</w:t>
            </w:r>
            <w:r w:rsidRPr="00AD1FDE">
              <w:rPr>
                <w:rFonts w:ascii="Calibri" w:hAnsi="Calibri" w:cs="Arial"/>
                <w:sz w:val="18"/>
                <w:szCs w:val="18"/>
              </w:rPr>
              <w:tab/>
            </w:r>
            <w:r w:rsidRPr="00AD1FDE">
              <w:rPr>
                <w:rFonts w:ascii="Calibri" w:hAnsi="Calibri" w:cs="Arial"/>
                <w:b/>
                <w:bCs/>
                <w:sz w:val="18"/>
                <w:szCs w:val="18"/>
              </w:rPr>
              <w:t>S</w:t>
            </w:r>
            <w:r w:rsidRPr="00AD1FDE">
              <w:rPr>
                <w:rFonts w:ascii="Calibri" w:hAnsi="Calibri" w:cs="Arial"/>
                <w:sz w:val="18"/>
                <w:szCs w:val="18"/>
              </w:rPr>
              <w:t xml:space="preserve">ignificant, </w:t>
            </w:r>
            <w:r w:rsidRPr="00AD1FDE">
              <w:rPr>
                <w:rFonts w:ascii="Calibri" w:hAnsi="Calibri" w:cs="Arial"/>
                <w:b/>
                <w:bCs/>
                <w:sz w:val="18"/>
                <w:szCs w:val="18"/>
              </w:rPr>
              <w:t>M</w:t>
            </w:r>
            <w:r w:rsidRPr="00AD1FDE">
              <w:rPr>
                <w:rFonts w:ascii="Calibri" w:hAnsi="Calibri" w:cs="Arial"/>
                <w:sz w:val="18"/>
                <w:szCs w:val="18"/>
              </w:rPr>
              <w:t xml:space="preserve">inimal, </w:t>
            </w:r>
            <w:r w:rsidRPr="00AD1FDE">
              <w:rPr>
                <w:rFonts w:ascii="Calibri" w:hAnsi="Calibri" w:cs="Arial"/>
                <w:b/>
                <w:bCs/>
                <w:sz w:val="18"/>
                <w:szCs w:val="18"/>
              </w:rPr>
              <w:t>N</w:t>
            </w:r>
            <w:r w:rsidRPr="00AD1FDE">
              <w:rPr>
                <w:rFonts w:ascii="Calibri" w:hAnsi="Calibri" w:cs="Arial"/>
                <w:sz w:val="18"/>
                <w:szCs w:val="18"/>
              </w:rPr>
              <w:t>egligible</w:t>
            </w:r>
          </w:p>
        </w:tc>
      </w:tr>
    </w:tbl>
    <w:p w14:paraId="3EE9D51D" w14:textId="7AC1404C" w:rsidR="0021747B" w:rsidRDefault="0021747B" w:rsidP="0067558E">
      <w:pPr>
        <w:pStyle w:val="Heading2"/>
        <w:numPr>
          <w:ilvl w:val="2"/>
          <w:numId w:val="20"/>
        </w:numPr>
        <w:spacing w:before="240" w:after="120"/>
        <w:ind w:left="709" w:hanging="709"/>
        <w:rPr>
          <w:rFonts w:asciiTheme="minorHAnsi" w:hAnsiTheme="minorHAnsi" w:cs="Calibri"/>
          <w:b/>
          <w:caps w:val="0"/>
        </w:rPr>
      </w:pPr>
      <w:bookmarkStart w:id="156" w:name="_Toc414745340"/>
      <w:r>
        <w:rPr>
          <w:rFonts w:asciiTheme="minorHAnsi" w:hAnsiTheme="minorHAnsi" w:cs="Calibri"/>
          <w:b/>
          <w:caps w:val="0"/>
        </w:rPr>
        <w:t>Catalytic Role</w:t>
      </w:r>
      <w:bookmarkEnd w:id="156"/>
    </w:p>
    <w:p w14:paraId="60EBA657" w14:textId="5C0B96B5" w:rsidR="0021747B" w:rsidRPr="0021747B" w:rsidRDefault="0021747B" w:rsidP="0021747B">
      <w:pPr>
        <w:widowControl w:val="0"/>
        <w:overflowPunct/>
        <w:spacing w:after="120" w:line="300" w:lineRule="atLeast"/>
        <w:textAlignment w:val="auto"/>
        <w:rPr>
          <w:rFonts w:ascii="Calibri" w:hAnsi="Calibri" w:cs="Arial"/>
          <w:bCs/>
          <w:i/>
          <w:sz w:val="21"/>
          <w:szCs w:val="21"/>
          <w:highlight w:val="lightGray"/>
        </w:rPr>
      </w:pPr>
      <w:r>
        <w:rPr>
          <w:rFonts w:ascii="Calibri" w:hAnsi="Calibri" w:cs="Arial"/>
          <w:bCs/>
          <w:i/>
          <w:sz w:val="21"/>
          <w:szCs w:val="21"/>
          <w:highlight w:val="lightGray"/>
        </w:rPr>
        <w:t>E</w:t>
      </w:r>
      <w:r w:rsidRPr="0021747B">
        <w:rPr>
          <w:rFonts w:ascii="Calibri" w:hAnsi="Calibri" w:cs="Arial"/>
          <w:bCs/>
          <w:i/>
          <w:sz w:val="21"/>
          <w:szCs w:val="21"/>
          <w:highlight w:val="lightGray"/>
        </w:rPr>
        <w:t>xtent to which the project has demonstrated: a) production of a public good, b) demonstration, c) replication, and d) scaling up</w:t>
      </w:r>
      <w:r>
        <w:rPr>
          <w:rFonts w:ascii="Calibri" w:hAnsi="Calibri" w:cs="Arial"/>
          <w:bCs/>
          <w:i/>
          <w:sz w:val="21"/>
          <w:szCs w:val="21"/>
          <w:highlight w:val="lightGray"/>
        </w:rPr>
        <w:t>.</w:t>
      </w:r>
      <w:r w:rsidRPr="0021747B">
        <w:rPr>
          <w:rFonts w:ascii="Calibri" w:hAnsi="Calibri" w:cs="Arial"/>
          <w:bCs/>
          <w:i/>
          <w:sz w:val="21"/>
          <w:szCs w:val="21"/>
          <w:highlight w:val="lightGray"/>
        </w:rPr>
        <w:t xml:space="preserve"> </w:t>
      </w:r>
    </w:p>
    <w:p w14:paraId="748F20AB" w14:textId="77777777" w:rsidR="00077316" w:rsidRDefault="00E45C1B" w:rsidP="00CB3CFE">
      <w:pPr>
        <w:tabs>
          <w:tab w:val="num" w:pos="0"/>
        </w:tabs>
        <w:spacing w:after="120" w:line="240" w:lineRule="atLeast"/>
        <w:jc w:val="both"/>
        <w:rPr>
          <w:rFonts w:asciiTheme="minorHAnsi" w:hAnsiTheme="minorHAnsi"/>
          <w:sz w:val="24"/>
          <w:szCs w:val="24"/>
        </w:rPr>
      </w:pPr>
      <w:r>
        <w:rPr>
          <w:rFonts w:asciiTheme="minorHAnsi" w:hAnsiTheme="minorHAnsi"/>
          <w:sz w:val="24"/>
          <w:szCs w:val="24"/>
        </w:rPr>
        <w:t>The catalytic role of the project</w:t>
      </w:r>
      <w:r w:rsidR="00CB3CFE">
        <w:rPr>
          <w:rFonts w:asciiTheme="minorHAnsi" w:hAnsiTheme="minorHAnsi"/>
          <w:sz w:val="24"/>
          <w:szCs w:val="24"/>
        </w:rPr>
        <w:t xml:space="preserve"> has been immense, as evident from a quick scan of the many project outputs documented in </w:t>
      </w:r>
      <w:r w:rsidR="00CB3CFE" w:rsidRPr="00CB3CFE">
        <w:rPr>
          <w:rFonts w:asciiTheme="minorHAnsi" w:hAnsiTheme="minorHAnsi"/>
          <w:b/>
          <w:sz w:val="24"/>
          <w:szCs w:val="24"/>
        </w:rPr>
        <w:t>Annex 7</w:t>
      </w:r>
      <w:r w:rsidR="00CB3CFE">
        <w:rPr>
          <w:rFonts w:asciiTheme="minorHAnsi" w:hAnsiTheme="minorHAnsi"/>
          <w:sz w:val="24"/>
          <w:szCs w:val="24"/>
        </w:rPr>
        <w:t xml:space="preserve">. As mentioned in </w:t>
      </w:r>
      <w:r w:rsidR="00CB3CFE" w:rsidRPr="00CB3CFE">
        <w:rPr>
          <w:rFonts w:asciiTheme="minorHAnsi" w:hAnsiTheme="minorHAnsi"/>
          <w:b/>
          <w:sz w:val="24"/>
          <w:szCs w:val="24"/>
        </w:rPr>
        <w:t>Section 3.1.5</w:t>
      </w:r>
      <w:r w:rsidR="00CB3CFE">
        <w:rPr>
          <w:rFonts w:asciiTheme="minorHAnsi" w:hAnsiTheme="minorHAnsi"/>
          <w:sz w:val="24"/>
          <w:szCs w:val="24"/>
        </w:rPr>
        <w:t>, the project was designed with demonstrations, best practices, replication and scaling up very much in mind</w:t>
      </w:r>
      <w:r w:rsidRPr="002D0C91">
        <w:rPr>
          <w:rFonts w:asciiTheme="minorHAnsi" w:hAnsiTheme="minorHAnsi"/>
          <w:sz w:val="24"/>
          <w:szCs w:val="24"/>
        </w:rPr>
        <w:t xml:space="preserve"> </w:t>
      </w:r>
      <w:r w:rsidR="00CB3CFE">
        <w:rPr>
          <w:rFonts w:asciiTheme="minorHAnsi" w:hAnsiTheme="minorHAnsi"/>
          <w:sz w:val="24"/>
          <w:szCs w:val="24"/>
        </w:rPr>
        <w:t>through the establishment of the TCG as a platform for sharing experiences among other projects in Achara to learn lessons, maximise s</w:t>
      </w:r>
      <w:r w:rsidR="00077316">
        <w:rPr>
          <w:rFonts w:asciiTheme="minorHAnsi" w:hAnsiTheme="minorHAnsi"/>
          <w:sz w:val="24"/>
          <w:szCs w:val="24"/>
        </w:rPr>
        <w:t>ynergies and avoid duplication.</w:t>
      </w:r>
    </w:p>
    <w:p w14:paraId="4A3753DC" w14:textId="5B6F7555" w:rsidR="000C7C78" w:rsidRDefault="00CB3CFE" w:rsidP="00CB3CFE">
      <w:pPr>
        <w:tabs>
          <w:tab w:val="num" w:pos="0"/>
        </w:tabs>
        <w:spacing w:after="120" w:line="240" w:lineRule="atLeast"/>
        <w:jc w:val="both"/>
        <w:rPr>
          <w:rFonts w:asciiTheme="minorHAnsi" w:hAnsiTheme="minorHAnsi"/>
          <w:sz w:val="24"/>
          <w:szCs w:val="24"/>
        </w:rPr>
      </w:pPr>
      <w:r>
        <w:rPr>
          <w:rFonts w:asciiTheme="minorHAnsi" w:hAnsiTheme="minorHAnsi"/>
          <w:sz w:val="24"/>
          <w:szCs w:val="24"/>
        </w:rPr>
        <w:t xml:space="preserve">Furthermore, </w:t>
      </w:r>
      <w:r w:rsidR="00077316">
        <w:rPr>
          <w:rFonts w:asciiTheme="minorHAnsi" w:hAnsiTheme="minorHAnsi"/>
          <w:sz w:val="24"/>
          <w:szCs w:val="24"/>
        </w:rPr>
        <w:t xml:space="preserve">as noted in </w:t>
      </w:r>
      <w:r w:rsidR="00077316" w:rsidRPr="00077316">
        <w:rPr>
          <w:rFonts w:asciiTheme="minorHAnsi" w:hAnsiTheme="minorHAnsi"/>
          <w:b/>
          <w:sz w:val="24"/>
          <w:szCs w:val="24"/>
        </w:rPr>
        <w:t>Section 3.1.5</w:t>
      </w:r>
      <w:r w:rsidR="00077316">
        <w:rPr>
          <w:rFonts w:asciiTheme="minorHAnsi" w:hAnsiTheme="minorHAnsi"/>
          <w:sz w:val="24"/>
          <w:szCs w:val="24"/>
        </w:rPr>
        <w:t xml:space="preserve">, financial </w:t>
      </w:r>
      <w:r>
        <w:rPr>
          <w:rFonts w:asciiTheme="minorHAnsi" w:hAnsiTheme="minorHAnsi"/>
          <w:sz w:val="24"/>
          <w:szCs w:val="24"/>
        </w:rPr>
        <w:t xml:space="preserve">provision is made in the ProDoc for </w:t>
      </w:r>
      <w:r w:rsidR="00077316">
        <w:rPr>
          <w:rFonts w:asciiTheme="minorHAnsi" w:hAnsiTheme="minorHAnsi"/>
          <w:sz w:val="24"/>
          <w:szCs w:val="24"/>
        </w:rPr>
        <w:t xml:space="preserve">the fruits of this catalytic role to be documented and disseminated for </w:t>
      </w:r>
      <w:r>
        <w:rPr>
          <w:rFonts w:asciiTheme="minorHAnsi" w:hAnsiTheme="minorHAnsi"/>
          <w:sz w:val="24"/>
          <w:szCs w:val="24"/>
        </w:rPr>
        <w:t>their wider replication and upscaling.</w:t>
      </w:r>
      <w:r w:rsidR="000C7C78">
        <w:rPr>
          <w:rFonts w:asciiTheme="minorHAnsi" w:hAnsiTheme="minorHAnsi"/>
          <w:sz w:val="24"/>
          <w:szCs w:val="24"/>
        </w:rPr>
        <w:t xml:space="preserve"> Examples include the following:</w:t>
      </w:r>
    </w:p>
    <w:p w14:paraId="63323CA8" w14:textId="76393C29" w:rsidR="000C7C78" w:rsidRDefault="000C7C78" w:rsidP="0067558E">
      <w:pPr>
        <w:pStyle w:val="ListParagraph"/>
        <w:numPr>
          <w:ilvl w:val="0"/>
          <w:numId w:val="18"/>
        </w:numPr>
        <w:spacing w:after="60" w:line="240" w:lineRule="atLeast"/>
        <w:ind w:left="301" w:hanging="301"/>
        <w:contextualSpacing w:val="0"/>
        <w:jc w:val="both"/>
      </w:pPr>
      <w:r w:rsidRPr="000C7C78">
        <w:rPr>
          <w:b/>
        </w:rPr>
        <w:t>Public good</w:t>
      </w:r>
      <w:r>
        <w:t xml:space="preserve">: wide range of training provided </w:t>
      </w:r>
      <w:r w:rsidR="007C3184">
        <w:t xml:space="preserve">to PA Administration staff </w:t>
      </w:r>
      <w:r>
        <w:t>in response to capacity needs assessment</w:t>
      </w:r>
      <w:r w:rsidR="007C3184">
        <w:t xml:space="preserve"> for</w:t>
      </w:r>
      <w:r w:rsidR="00D675A8">
        <w:t xml:space="preserve"> development of enforcement capacity (Output 1.1); </w:t>
      </w:r>
      <w:r w:rsidR="007C3184">
        <w:t>cost-sharing of four infrastructures with local communities – bus stop shelter, water supply, ritual service centre for arrangement of funerals; training for villages residents in agriculture, forest management, greenhouses, local marketin</w:t>
      </w:r>
      <w:r w:rsidR="00D97955">
        <w:t>g; and support to folk music choir.</w:t>
      </w:r>
    </w:p>
    <w:p w14:paraId="16419E66" w14:textId="77777777" w:rsidR="00715432" w:rsidRDefault="00715432" w:rsidP="0067558E">
      <w:pPr>
        <w:pStyle w:val="ListParagraph"/>
        <w:numPr>
          <w:ilvl w:val="0"/>
          <w:numId w:val="18"/>
        </w:numPr>
        <w:spacing w:after="60" w:line="240" w:lineRule="atLeast"/>
        <w:ind w:left="301" w:hanging="301"/>
        <w:contextualSpacing w:val="0"/>
        <w:jc w:val="both"/>
      </w:pPr>
      <w:r>
        <w:t>Piloting fuelwood alternatives in 16 households (11 with hazelnut shells, 5 with solar) and 1 school (hazelnut shells, briquette, solar water heaters). Replicated in 2018 with another 65 households (60 with hazelnut shells, 5 with solar). Hazelnut shells upscaled to within WWF forestry activities to establish eco-corridor in Khulo District.</w:t>
      </w:r>
    </w:p>
    <w:p w14:paraId="6E665CC2" w14:textId="1D6412A6" w:rsidR="00715432" w:rsidRDefault="0040134E" w:rsidP="0067558E">
      <w:pPr>
        <w:pStyle w:val="ListParagraph"/>
        <w:numPr>
          <w:ilvl w:val="0"/>
          <w:numId w:val="18"/>
        </w:numPr>
        <w:spacing w:after="60" w:line="240" w:lineRule="atLeast"/>
        <w:ind w:left="301" w:hanging="301"/>
        <w:contextualSpacing w:val="0"/>
        <w:jc w:val="both"/>
      </w:pPr>
      <w:r>
        <w:t>E</w:t>
      </w:r>
      <w:r w:rsidR="00715432">
        <w:t xml:space="preserve">lectric fence </w:t>
      </w:r>
      <w:r>
        <w:t xml:space="preserve">piloted </w:t>
      </w:r>
      <w:r w:rsidR="00715432">
        <w:t xml:space="preserve">to </w:t>
      </w:r>
      <w:r>
        <w:t xml:space="preserve">protect orchards and cultivations from marauding </w:t>
      </w:r>
      <w:r w:rsidR="00715432">
        <w:t>bears and wild</w:t>
      </w:r>
      <w:r>
        <w:t xml:space="preserve"> boar.</w:t>
      </w:r>
    </w:p>
    <w:p w14:paraId="0D07034F" w14:textId="19EB81AE" w:rsidR="00E45C1B" w:rsidRPr="00D97955" w:rsidRDefault="00E45C1B" w:rsidP="0067558E">
      <w:pPr>
        <w:pStyle w:val="ListParagraph"/>
        <w:numPr>
          <w:ilvl w:val="0"/>
          <w:numId w:val="18"/>
        </w:numPr>
        <w:spacing w:after="60" w:line="240" w:lineRule="atLeast"/>
        <w:ind w:left="301" w:hanging="301"/>
        <w:contextualSpacing w:val="0"/>
        <w:jc w:val="both"/>
      </w:pPr>
      <w:r w:rsidRPr="00D97955">
        <w:lastRenderedPageBreak/>
        <w:t>Procurement of a suitably sized waste collection truck from Germany for Khelvachauri Municipality to use in Machakhela Gorge, where remote villages are only accessible via narrow, mountain roads. This initiative has been shared with municipalities in Samegrelo and Zemo Svaneti Region, who are now seeking support from ADB and EU funded projects</w:t>
      </w:r>
      <w:r w:rsidRPr="00D97955">
        <w:rPr>
          <w:vertAlign w:val="superscript"/>
        </w:rPr>
        <w:footnoteReference w:id="34"/>
      </w:r>
      <w:r w:rsidRPr="00D97955">
        <w:t>.</w:t>
      </w:r>
    </w:p>
    <w:p w14:paraId="157C69F9" w14:textId="08DE847B" w:rsidR="00D675A8" w:rsidRPr="00D97955" w:rsidRDefault="00D675A8" w:rsidP="0067558E">
      <w:pPr>
        <w:pStyle w:val="ListParagraph"/>
        <w:numPr>
          <w:ilvl w:val="0"/>
          <w:numId w:val="18"/>
        </w:numPr>
        <w:spacing w:after="60" w:line="240" w:lineRule="atLeast"/>
        <w:ind w:left="301" w:hanging="301"/>
        <w:contextualSpacing w:val="0"/>
        <w:jc w:val="both"/>
      </w:pPr>
      <w:r w:rsidRPr="00D97955">
        <w:t xml:space="preserve">Modifying the role and structure of the all but defunct PA Scientific Advisory Committees to provide a mechanism for local communities to </w:t>
      </w:r>
      <w:r w:rsidR="00D97955">
        <w:t xml:space="preserve">be </w:t>
      </w:r>
      <w:r w:rsidRPr="00D97955">
        <w:t>involved in PA governance and management.</w:t>
      </w:r>
    </w:p>
    <w:p w14:paraId="60FA3BE3" w14:textId="77777777" w:rsidR="00D675A8" w:rsidRPr="00D97955" w:rsidRDefault="00D675A8" w:rsidP="0067558E">
      <w:pPr>
        <w:pStyle w:val="ListParagraph"/>
        <w:numPr>
          <w:ilvl w:val="0"/>
          <w:numId w:val="18"/>
        </w:numPr>
        <w:spacing w:after="60" w:line="240" w:lineRule="atLeast"/>
        <w:ind w:left="301" w:hanging="301"/>
        <w:contextualSpacing w:val="0"/>
        <w:jc w:val="both"/>
      </w:pPr>
      <w:r w:rsidRPr="00D97955">
        <w:t>Establishing Friends Associations to support PA management through a range of initiatives, including the recruitment of ‘junior’ and ‘community’ rangers for such purposes as raising awareness, monitoring and patrolling.</w:t>
      </w:r>
    </w:p>
    <w:p w14:paraId="7AD869C6" w14:textId="77777777" w:rsidR="00D675A8" w:rsidRDefault="00D675A8" w:rsidP="0067558E">
      <w:pPr>
        <w:pStyle w:val="ListParagraph"/>
        <w:numPr>
          <w:ilvl w:val="0"/>
          <w:numId w:val="18"/>
        </w:numPr>
        <w:spacing w:after="60" w:line="240" w:lineRule="atLeast"/>
        <w:ind w:left="301" w:hanging="301"/>
        <w:contextualSpacing w:val="0"/>
        <w:jc w:val="both"/>
      </w:pPr>
      <w:r w:rsidRPr="00D97955">
        <w:t>Applying the Protected Landscape approach to governance piloted in Kintrishi PA complex in 2007 to the lower valley of Machakhela, which is inhabited and provides a protective buffer to the largely intact Colchic forests in the higher valleys. Elsewhere in Georgia, the Protected Landscape approach has been used only in Tusheti.</w:t>
      </w:r>
    </w:p>
    <w:p w14:paraId="4A35BC19" w14:textId="77777777" w:rsidR="0028792E" w:rsidRPr="00E22EBA" w:rsidRDefault="00E52565" w:rsidP="0067558E">
      <w:pPr>
        <w:pStyle w:val="Heading2"/>
        <w:numPr>
          <w:ilvl w:val="2"/>
          <w:numId w:val="20"/>
        </w:numPr>
        <w:spacing w:before="240" w:after="120"/>
        <w:ind w:left="709" w:hanging="709"/>
        <w:rPr>
          <w:rFonts w:asciiTheme="minorHAnsi" w:hAnsiTheme="minorHAnsi" w:cs="Calibri"/>
          <w:b/>
          <w:caps w:val="0"/>
        </w:rPr>
      </w:pPr>
      <w:bookmarkStart w:id="157" w:name="_Toc414745341"/>
      <w:r w:rsidRPr="00E22EBA">
        <w:rPr>
          <w:rFonts w:asciiTheme="minorHAnsi" w:hAnsiTheme="minorHAnsi" w:cs="Calibri"/>
          <w:b/>
          <w:caps w:val="0"/>
        </w:rPr>
        <w:t>Impact</w:t>
      </w:r>
      <w:bookmarkEnd w:id="157"/>
    </w:p>
    <w:p w14:paraId="475386E4" w14:textId="37CCED1B" w:rsidR="002068AA" w:rsidRPr="002068AA" w:rsidRDefault="00ED55EB" w:rsidP="002068AA">
      <w:pPr>
        <w:widowControl w:val="0"/>
        <w:overflowPunct/>
        <w:spacing w:after="120" w:line="300" w:lineRule="atLeast"/>
        <w:jc w:val="both"/>
        <w:textAlignment w:val="auto"/>
        <w:rPr>
          <w:rFonts w:ascii="Calibri" w:hAnsi="Calibri" w:cs="Arial"/>
          <w:bCs/>
          <w:i/>
          <w:sz w:val="21"/>
          <w:szCs w:val="21"/>
          <w:highlight w:val="lightGray"/>
        </w:rPr>
      </w:pPr>
      <w:r>
        <w:rPr>
          <w:rFonts w:ascii="Calibri" w:hAnsi="Calibri" w:cs="Arial"/>
          <w:bCs/>
          <w:i/>
          <w:sz w:val="21"/>
          <w:szCs w:val="21"/>
          <w:highlight w:val="lightGray"/>
        </w:rPr>
        <w:t>Extent to which project has demonstrated</w:t>
      </w:r>
      <w:r w:rsidR="002068AA" w:rsidRPr="002068AA">
        <w:rPr>
          <w:rFonts w:ascii="Calibri" w:hAnsi="Calibri" w:cs="Arial"/>
          <w:bCs/>
          <w:i/>
          <w:sz w:val="21"/>
          <w:szCs w:val="21"/>
          <w:highlight w:val="lightGray"/>
        </w:rPr>
        <w:t>: a) verifiable improvement in ecological status b) verifiable reductions in stress o</w:t>
      </w:r>
      <w:r>
        <w:rPr>
          <w:rFonts w:ascii="Calibri" w:hAnsi="Calibri" w:cs="Arial"/>
          <w:bCs/>
          <w:i/>
          <w:sz w:val="21"/>
          <w:szCs w:val="21"/>
          <w:highlight w:val="lightGray"/>
        </w:rPr>
        <w:t>n ecological systems;</w:t>
      </w:r>
      <w:r w:rsidRPr="002068AA">
        <w:rPr>
          <w:rFonts w:ascii="Calibri" w:hAnsi="Calibri" w:cs="Arial"/>
          <w:bCs/>
          <w:i/>
          <w:sz w:val="21"/>
          <w:szCs w:val="21"/>
          <w:highlight w:val="lightGray"/>
        </w:rPr>
        <w:t xml:space="preserve"> o</w:t>
      </w:r>
      <w:r w:rsidR="00892710">
        <w:rPr>
          <w:rFonts w:ascii="Calibri" w:hAnsi="Calibri" w:cs="Arial"/>
          <w:bCs/>
          <w:i/>
          <w:sz w:val="21"/>
          <w:szCs w:val="21"/>
          <w:highlight w:val="lightGray"/>
        </w:rPr>
        <w:t>r</w:t>
      </w:r>
      <w:r w:rsidR="00C249AB">
        <w:rPr>
          <w:rFonts w:ascii="Calibri" w:hAnsi="Calibri" w:cs="Arial"/>
          <w:bCs/>
          <w:i/>
          <w:sz w:val="21"/>
          <w:szCs w:val="21"/>
          <w:highlight w:val="lightGray"/>
        </w:rPr>
        <w:t xml:space="preserve">, through specified process indicators, </w:t>
      </w:r>
      <w:r w:rsidR="00892710">
        <w:rPr>
          <w:rFonts w:ascii="Calibri" w:hAnsi="Calibri" w:cs="Arial"/>
          <w:bCs/>
          <w:i/>
          <w:sz w:val="21"/>
          <w:szCs w:val="21"/>
          <w:highlight w:val="lightGray"/>
        </w:rPr>
        <w:t xml:space="preserve">demonstrated </w:t>
      </w:r>
      <w:r w:rsidR="00C249AB">
        <w:rPr>
          <w:rFonts w:ascii="Calibri" w:hAnsi="Calibri" w:cs="Arial"/>
          <w:bCs/>
          <w:i/>
          <w:sz w:val="21"/>
          <w:szCs w:val="21"/>
          <w:highlight w:val="lightGray"/>
        </w:rPr>
        <w:t xml:space="preserve">that </w:t>
      </w:r>
      <w:r w:rsidR="002068AA" w:rsidRPr="002068AA">
        <w:rPr>
          <w:rFonts w:ascii="Calibri" w:hAnsi="Calibri" w:cs="Arial"/>
          <w:bCs/>
          <w:i/>
          <w:sz w:val="21"/>
          <w:szCs w:val="21"/>
          <w:highlight w:val="lightGray"/>
        </w:rPr>
        <w:t xml:space="preserve">progress </w:t>
      </w:r>
      <w:r w:rsidR="00C249AB">
        <w:rPr>
          <w:rFonts w:ascii="Calibri" w:hAnsi="Calibri" w:cs="Arial"/>
          <w:bCs/>
          <w:i/>
          <w:sz w:val="21"/>
          <w:szCs w:val="21"/>
          <w:highlight w:val="lightGray"/>
        </w:rPr>
        <w:t>is being made towards</w:t>
      </w:r>
      <w:r w:rsidR="00892710">
        <w:rPr>
          <w:rFonts w:ascii="Calibri" w:hAnsi="Calibri" w:cs="Arial"/>
          <w:bCs/>
          <w:i/>
          <w:sz w:val="21"/>
          <w:szCs w:val="21"/>
          <w:highlight w:val="lightGray"/>
        </w:rPr>
        <w:t xml:space="preserve"> </w:t>
      </w:r>
      <w:r w:rsidR="002068AA" w:rsidRPr="002068AA">
        <w:rPr>
          <w:rFonts w:ascii="Calibri" w:hAnsi="Calibri" w:cs="Arial"/>
          <w:bCs/>
          <w:i/>
          <w:sz w:val="21"/>
          <w:szCs w:val="21"/>
          <w:highlight w:val="lightGray"/>
        </w:rPr>
        <w:t>achievemen</w:t>
      </w:r>
      <w:r w:rsidR="00C249AB">
        <w:rPr>
          <w:rFonts w:ascii="Calibri" w:hAnsi="Calibri" w:cs="Arial"/>
          <w:bCs/>
          <w:i/>
          <w:sz w:val="21"/>
          <w:szCs w:val="21"/>
          <w:highlight w:val="lightGray"/>
        </w:rPr>
        <w:t>t of ecological improvement and/or stress reduction</w:t>
      </w:r>
      <w:r w:rsidR="00892710">
        <w:rPr>
          <w:rFonts w:ascii="Calibri" w:hAnsi="Calibri" w:cs="Arial"/>
          <w:bCs/>
          <w:i/>
          <w:sz w:val="21"/>
          <w:szCs w:val="21"/>
          <w:highlight w:val="lightGray"/>
        </w:rPr>
        <w:t>.</w:t>
      </w:r>
      <w:r w:rsidR="002068AA" w:rsidRPr="002068AA">
        <w:rPr>
          <w:rFonts w:ascii="Calibri" w:hAnsi="Calibri" w:cs="Arial"/>
          <w:bCs/>
          <w:i/>
          <w:sz w:val="21"/>
          <w:szCs w:val="21"/>
          <w:highlight w:val="lightGray"/>
        </w:rPr>
        <w:t xml:space="preserve"> </w:t>
      </w:r>
    </w:p>
    <w:p w14:paraId="53F09A05" w14:textId="53CDED79" w:rsidR="009878AB" w:rsidRDefault="009878AB" w:rsidP="009878AB">
      <w:pPr>
        <w:pStyle w:val="BodyText"/>
        <w:shd w:val="clear" w:color="auto" w:fill="215868" w:themeFill="accent5" w:themeFillShade="80"/>
        <w:rPr>
          <w:rFonts w:asciiTheme="minorHAnsi" w:hAnsiTheme="minorHAnsi"/>
          <w:b/>
          <w:color w:val="FFFFFF" w:themeColor="background1"/>
        </w:rPr>
      </w:pPr>
      <w:r>
        <w:rPr>
          <w:rFonts w:asciiTheme="minorHAnsi" w:hAnsiTheme="minorHAnsi"/>
          <w:b/>
          <w:color w:val="FFFFFF" w:themeColor="background1"/>
        </w:rPr>
        <w:t>Impact on ecological status is rated as</w:t>
      </w:r>
      <w:r w:rsidRPr="00E22EBA">
        <w:rPr>
          <w:rFonts w:asciiTheme="minorHAnsi" w:hAnsiTheme="minorHAnsi"/>
          <w:b/>
          <w:color w:val="FFFFFF" w:themeColor="background1"/>
        </w:rPr>
        <w:t xml:space="preserve">: </w:t>
      </w:r>
      <w:r w:rsidR="00E905C9">
        <w:rPr>
          <w:rFonts w:asciiTheme="minorHAnsi" w:hAnsiTheme="minorHAnsi"/>
          <w:b/>
          <w:color w:val="FFFFFF" w:themeColor="background1"/>
        </w:rPr>
        <w:t>likely to be Significant</w:t>
      </w:r>
    </w:p>
    <w:p w14:paraId="1B58A41C" w14:textId="3106BDB8" w:rsidR="00E905C9" w:rsidRPr="00E22EBA" w:rsidRDefault="00E905C9" w:rsidP="009878AB">
      <w:pPr>
        <w:pStyle w:val="BodyText"/>
        <w:shd w:val="clear" w:color="auto" w:fill="215868" w:themeFill="accent5" w:themeFillShade="80"/>
        <w:rPr>
          <w:rFonts w:asciiTheme="minorHAnsi" w:hAnsiTheme="minorHAnsi"/>
          <w:b/>
          <w:color w:val="FFFFFF" w:themeColor="background1"/>
        </w:rPr>
      </w:pPr>
      <w:r>
        <w:rPr>
          <w:rFonts w:asciiTheme="minorHAnsi" w:hAnsiTheme="minorHAnsi"/>
          <w:b/>
          <w:color w:val="FFFFFF" w:themeColor="background1"/>
        </w:rPr>
        <w:t>Impact on stress of ecological systems is rated as: likely to be at least Minimal</w:t>
      </w:r>
    </w:p>
    <w:p w14:paraId="2081F3B0" w14:textId="77777777" w:rsidR="00050993" w:rsidRDefault="00C249AB" w:rsidP="00C249AB">
      <w:pPr>
        <w:pStyle w:val="BodyText"/>
        <w:rPr>
          <w:rFonts w:asciiTheme="minorHAnsi" w:hAnsiTheme="minorHAnsi"/>
        </w:rPr>
      </w:pPr>
      <w:r>
        <w:rPr>
          <w:rFonts w:asciiTheme="minorHAnsi" w:hAnsiTheme="minorHAnsi"/>
        </w:rPr>
        <w:t>Assessment of impact is concerned with actual</w:t>
      </w:r>
      <w:r w:rsidR="005B6DD4" w:rsidRPr="00C249AB">
        <w:rPr>
          <w:rFonts w:asciiTheme="minorHAnsi" w:hAnsiTheme="minorHAnsi"/>
        </w:rPr>
        <w:t xml:space="preserve"> or anticipated, positive or negative changes in global environmental benefit</w:t>
      </w:r>
      <w:r>
        <w:rPr>
          <w:rFonts w:asciiTheme="minorHAnsi" w:hAnsiTheme="minorHAnsi"/>
        </w:rPr>
        <w:t>, while</w:t>
      </w:r>
      <w:r w:rsidR="005B6DD4" w:rsidRPr="00C249AB">
        <w:rPr>
          <w:rFonts w:asciiTheme="minorHAnsi" w:hAnsiTheme="minorHAnsi"/>
        </w:rPr>
        <w:t xml:space="preserve"> also taking into account </w:t>
      </w:r>
      <w:r>
        <w:rPr>
          <w:rFonts w:asciiTheme="minorHAnsi" w:hAnsiTheme="minorHAnsi"/>
        </w:rPr>
        <w:t>sustainable development impacts</w:t>
      </w:r>
      <w:r w:rsidR="005B6DD4" w:rsidRPr="00C249AB">
        <w:rPr>
          <w:rFonts w:asciiTheme="minorHAnsi" w:hAnsiTheme="minorHAnsi"/>
        </w:rPr>
        <w:t xml:space="preserve"> including changed livelihoods. </w:t>
      </w:r>
    </w:p>
    <w:p w14:paraId="4608B29F" w14:textId="346E63DB" w:rsidR="00050993" w:rsidRDefault="00A84975" w:rsidP="00C249AB">
      <w:pPr>
        <w:pStyle w:val="BodyText"/>
        <w:rPr>
          <w:rFonts w:asciiTheme="minorHAnsi" w:hAnsiTheme="minorHAnsi"/>
        </w:rPr>
      </w:pPr>
      <w:r>
        <w:rPr>
          <w:rFonts w:asciiTheme="minorHAnsi" w:hAnsiTheme="minorHAnsi"/>
        </w:rPr>
        <w:t>The global be</w:t>
      </w:r>
      <w:r w:rsidR="00050993">
        <w:rPr>
          <w:rFonts w:asciiTheme="minorHAnsi" w:hAnsiTheme="minorHAnsi"/>
        </w:rPr>
        <w:t>ne</w:t>
      </w:r>
      <w:r>
        <w:rPr>
          <w:rFonts w:asciiTheme="minorHAnsi" w:hAnsiTheme="minorHAnsi"/>
        </w:rPr>
        <w:t xml:space="preserve">fit of this project is </w:t>
      </w:r>
      <w:r w:rsidR="00050993">
        <w:rPr>
          <w:rFonts w:asciiTheme="minorHAnsi" w:hAnsiTheme="minorHAnsi"/>
        </w:rPr>
        <w:t>extending the PAs coverage and connectivity of Georgia’s unique Colchic Forest (temperate rainforest), which is restricted to ARA and Jamili adjacent to the border in Turkey,</w:t>
      </w:r>
      <w:r w:rsidR="00050993" w:rsidRPr="00050993">
        <w:rPr>
          <w:rFonts w:asciiTheme="minorHAnsi" w:hAnsiTheme="minorHAnsi"/>
        </w:rPr>
        <w:t xml:space="preserve"> </w:t>
      </w:r>
      <w:r w:rsidR="00050993">
        <w:rPr>
          <w:rFonts w:asciiTheme="minorHAnsi" w:hAnsiTheme="minorHAnsi"/>
        </w:rPr>
        <w:t>and enhancing its effective management.</w:t>
      </w:r>
    </w:p>
    <w:p w14:paraId="5862DEF3" w14:textId="38F1B6AA" w:rsidR="00CA6D6D" w:rsidRDefault="000C75BD" w:rsidP="00C249AB">
      <w:pPr>
        <w:pStyle w:val="BodyText"/>
        <w:rPr>
          <w:rFonts w:asciiTheme="minorHAnsi" w:hAnsiTheme="minorHAnsi"/>
        </w:rPr>
      </w:pPr>
      <w:r>
        <w:rPr>
          <w:rFonts w:asciiTheme="minorHAnsi" w:hAnsiTheme="minorHAnsi"/>
        </w:rPr>
        <w:t>T</w:t>
      </w:r>
      <w:r w:rsidR="00F946F7">
        <w:rPr>
          <w:rFonts w:asciiTheme="minorHAnsi" w:hAnsiTheme="minorHAnsi"/>
        </w:rPr>
        <w:t xml:space="preserve">argets for the four Objective indicators </w:t>
      </w:r>
      <w:r>
        <w:rPr>
          <w:rFonts w:asciiTheme="minorHAnsi" w:hAnsiTheme="minorHAnsi"/>
        </w:rPr>
        <w:t xml:space="preserve">and one Outcome 2 indicator, regarding connectivity, </w:t>
      </w:r>
      <w:r w:rsidR="00F946F7">
        <w:rPr>
          <w:rFonts w:asciiTheme="minorHAnsi" w:hAnsiTheme="minorHAnsi"/>
        </w:rPr>
        <w:t>have been achieved and in many cases exceeded with respect to</w:t>
      </w:r>
      <w:r>
        <w:rPr>
          <w:rFonts w:asciiTheme="minorHAnsi" w:hAnsiTheme="minorHAnsi"/>
        </w:rPr>
        <w:t>:</w:t>
      </w:r>
      <w:r w:rsidR="00F946F7">
        <w:rPr>
          <w:rFonts w:asciiTheme="minorHAnsi" w:hAnsiTheme="minorHAnsi"/>
        </w:rPr>
        <w:t xml:space="preserve"> increased PA coverage of Colchic Forest</w:t>
      </w:r>
      <w:r w:rsidR="001B1EAE">
        <w:rPr>
          <w:rStyle w:val="FootnoteReference"/>
          <w:rFonts w:asciiTheme="minorHAnsi" w:hAnsiTheme="minorHAnsi"/>
        </w:rPr>
        <w:footnoteReference w:id="35"/>
      </w:r>
      <w:r>
        <w:rPr>
          <w:rFonts w:asciiTheme="minorHAnsi" w:hAnsiTheme="minorHAnsi"/>
        </w:rPr>
        <w:t>;</w:t>
      </w:r>
      <w:r w:rsidR="00F946F7">
        <w:rPr>
          <w:rFonts w:asciiTheme="minorHAnsi" w:hAnsiTheme="minorHAnsi"/>
        </w:rPr>
        <w:t xml:space="preserve"> increased capacity at PA system (systemic), PA Administration (institutional) and </w:t>
      </w:r>
      <w:r>
        <w:rPr>
          <w:rFonts w:asciiTheme="minorHAnsi" w:hAnsiTheme="minorHAnsi"/>
        </w:rPr>
        <w:t>PA personnel (</w:t>
      </w:r>
      <w:r w:rsidR="00F946F7">
        <w:rPr>
          <w:rFonts w:asciiTheme="minorHAnsi" w:hAnsiTheme="minorHAnsi"/>
        </w:rPr>
        <w:t>individual</w:t>
      </w:r>
      <w:r>
        <w:rPr>
          <w:rFonts w:asciiTheme="minorHAnsi" w:hAnsiTheme="minorHAnsi"/>
        </w:rPr>
        <w:t>)</w:t>
      </w:r>
      <w:r w:rsidR="00F946F7">
        <w:rPr>
          <w:rFonts w:asciiTheme="minorHAnsi" w:hAnsiTheme="minorHAnsi"/>
        </w:rPr>
        <w:t xml:space="preserve"> levels</w:t>
      </w:r>
      <w:r>
        <w:rPr>
          <w:rFonts w:asciiTheme="minorHAnsi" w:hAnsiTheme="minorHAnsi"/>
        </w:rPr>
        <w:t>; and increased connectivity between Mtirala/</w:t>
      </w:r>
      <w:r w:rsidR="00D37C29">
        <w:rPr>
          <w:rFonts w:asciiTheme="minorHAnsi" w:hAnsiTheme="minorHAnsi"/>
        </w:rPr>
        <w:t>Kintrishi</w:t>
      </w:r>
      <w:r>
        <w:rPr>
          <w:rFonts w:asciiTheme="minorHAnsi" w:hAnsiTheme="minorHAnsi"/>
        </w:rPr>
        <w:t xml:space="preserve"> PA complex and Jamili Biosphere Reserve in Turkey </w:t>
      </w:r>
      <w:r w:rsidR="00F946F7">
        <w:rPr>
          <w:rFonts w:asciiTheme="minorHAnsi" w:hAnsiTheme="minorHAnsi"/>
        </w:rPr>
        <w:t>(</w:t>
      </w:r>
      <w:r w:rsidR="00F946F7" w:rsidRPr="00F946F7">
        <w:rPr>
          <w:rFonts w:asciiTheme="minorHAnsi" w:hAnsiTheme="minorHAnsi"/>
          <w:b/>
        </w:rPr>
        <w:t>Annex 6</w:t>
      </w:r>
      <w:r w:rsidR="00F946F7">
        <w:rPr>
          <w:rFonts w:asciiTheme="minorHAnsi" w:hAnsiTheme="minorHAnsi"/>
        </w:rPr>
        <w:t>)</w:t>
      </w:r>
      <w:r w:rsidR="00D0653F">
        <w:rPr>
          <w:rFonts w:asciiTheme="minorHAnsi" w:hAnsiTheme="minorHAnsi"/>
        </w:rPr>
        <w:t xml:space="preserve">. However, none of these indicators </w:t>
      </w:r>
      <w:r w:rsidR="00D32E2F">
        <w:rPr>
          <w:rFonts w:asciiTheme="minorHAnsi" w:hAnsiTheme="minorHAnsi"/>
        </w:rPr>
        <w:t>tangibly</w:t>
      </w:r>
      <w:r w:rsidR="00D0653F">
        <w:rPr>
          <w:rFonts w:asciiTheme="minorHAnsi" w:hAnsiTheme="minorHAnsi"/>
        </w:rPr>
        <w:t xml:space="preserve"> verify improvement in ecological status or reduction in stress</w:t>
      </w:r>
      <w:r w:rsidR="00D4535E">
        <w:rPr>
          <w:rFonts w:asciiTheme="minorHAnsi" w:hAnsiTheme="minorHAnsi"/>
        </w:rPr>
        <w:t xml:space="preserve">, other than the increase in extent of protected Colchic forest based on the ecological premise that more forest fragments are better than </w:t>
      </w:r>
      <w:r w:rsidR="00BC2BD5">
        <w:rPr>
          <w:rFonts w:asciiTheme="minorHAnsi" w:hAnsiTheme="minorHAnsi"/>
        </w:rPr>
        <w:t>fewer</w:t>
      </w:r>
      <w:r w:rsidR="00D4535E">
        <w:rPr>
          <w:rFonts w:asciiTheme="minorHAnsi" w:hAnsiTheme="minorHAnsi"/>
        </w:rPr>
        <w:t xml:space="preserve"> </w:t>
      </w:r>
      <w:r w:rsidR="00BC2BD5">
        <w:rPr>
          <w:rFonts w:asciiTheme="minorHAnsi" w:hAnsiTheme="minorHAnsi"/>
        </w:rPr>
        <w:t>ones</w:t>
      </w:r>
      <w:r w:rsidR="00D4535E">
        <w:rPr>
          <w:rFonts w:asciiTheme="minorHAnsi" w:hAnsiTheme="minorHAnsi"/>
        </w:rPr>
        <w:t xml:space="preserve"> </w:t>
      </w:r>
      <w:r w:rsidR="00BC2BD5">
        <w:rPr>
          <w:rFonts w:asciiTheme="minorHAnsi" w:hAnsiTheme="minorHAnsi"/>
        </w:rPr>
        <w:t>and bigger are better than smaller ones</w:t>
      </w:r>
      <w:r w:rsidR="00D0653F">
        <w:rPr>
          <w:rFonts w:asciiTheme="minorHAnsi" w:hAnsiTheme="minorHAnsi"/>
        </w:rPr>
        <w:t xml:space="preserve">. </w:t>
      </w:r>
    </w:p>
    <w:p w14:paraId="096D9C54" w14:textId="2BF969BB" w:rsidR="005B6DD4" w:rsidRDefault="00D32E2F" w:rsidP="00C249AB">
      <w:pPr>
        <w:pStyle w:val="BodyText"/>
        <w:rPr>
          <w:rFonts w:asciiTheme="minorHAnsi" w:hAnsiTheme="minorHAnsi"/>
        </w:rPr>
      </w:pPr>
      <w:r>
        <w:rPr>
          <w:rFonts w:asciiTheme="minorHAnsi" w:hAnsiTheme="minorHAnsi"/>
        </w:rPr>
        <w:t xml:space="preserve">The only </w:t>
      </w:r>
      <w:r w:rsidR="00BC2BD5">
        <w:rPr>
          <w:rFonts w:asciiTheme="minorHAnsi" w:hAnsiTheme="minorHAnsi"/>
        </w:rPr>
        <w:t xml:space="preserve">other </w:t>
      </w:r>
      <w:r>
        <w:rPr>
          <w:rFonts w:asciiTheme="minorHAnsi" w:hAnsiTheme="minorHAnsi"/>
        </w:rPr>
        <w:t xml:space="preserve">tangible evidence available is from the </w:t>
      </w:r>
      <w:r w:rsidR="00A436AB">
        <w:rPr>
          <w:rFonts w:asciiTheme="minorHAnsi" w:hAnsiTheme="minorHAnsi"/>
        </w:rPr>
        <w:t xml:space="preserve">Outcome 1 </w:t>
      </w:r>
      <w:r>
        <w:rPr>
          <w:rFonts w:asciiTheme="minorHAnsi" w:hAnsiTheme="minorHAnsi"/>
        </w:rPr>
        <w:t>monitoring of illegal harvesting of wood and non-wood forest products</w:t>
      </w:r>
      <w:r w:rsidR="00D37C29">
        <w:rPr>
          <w:rFonts w:asciiTheme="minorHAnsi" w:hAnsiTheme="minorHAnsi"/>
        </w:rPr>
        <w:t xml:space="preserve">, </w:t>
      </w:r>
      <w:r w:rsidR="00F67B74">
        <w:rPr>
          <w:rFonts w:asciiTheme="minorHAnsi" w:hAnsiTheme="minorHAnsi"/>
        </w:rPr>
        <w:t>and of illegal activities encountered while on patrol</w:t>
      </w:r>
      <w:r>
        <w:rPr>
          <w:rFonts w:asciiTheme="minorHAnsi" w:hAnsiTheme="minorHAnsi"/>
        </w:rPr>
        <w:t xml:space="preserve"> </w:t>
      </w:r>
      <w:r w:rsidR="00A436AB">
        <w:rPr>
          <w:rFonts w:asciiTheme="minorHAnsi" w:hAnsiTheme="minorHAnsi"/>
        </w:rPr>
        <w:t>in Mtirala and Kintrishi NPs</w:t>
      </w:r>
      <w:r>
        <w:rPr>
          <w:rFonts w:asciiTheme="minorHAnsi" w:hAnsiTheme="minorHAnsi"/>
        </w:rPr>
        <w:t xml:space="preserve">. </w:t>
      </w:r>
      <w:r w:rsidR="00F67B74">
        <w:rPr>
          <w:rFonts w:asciiTheme="minorHAnsi" w:hAnsiTheme="minorHAnsi"/>
        </w:rPr>
        <w:t>Both of these indicators show a reduction, respectively, in quantities of illegally harvested forest products and encounters with illegal activities.</w:t>
      </w:r>
      <w:r>
        <w:rPr>
          <w:rFonts w:asciiTheme="minorHAnsi" w:hAnsiTheme="minorHAnsi"/>
        </w:rPr>
        <w:t xml:space="preserve"> </w:t>
      </w:r>
      <w:r w:rsidR="00F67B74">
        <w:rPr>
          <w:rFonts w:asciiTheme="minorHAnsi" w:hAnsiTheme="minorHAnsi"/>
        </w:rPr>
        <w:t xml:space="preserve">However, there are </w:t>
      </w:r>
      <w:r w:rsidR="00EB23B8">
        <w:rPr>
          <w:rFonts w:asciiTheme="minorHAnsi" w:hAnsiTheme="minorHAnsi"/>
        </w:rPr>
        <w:t xml:space="preserve">potential </w:t>
      </w:r>
      <w:r w:rsidR="00F67B74">
        <w:rPr>
          <w:rFonts w:asciiTheme="minorHAnsi" w:hAnsiTheme="minorHAnsi"/>
        </w:rPr>
        <w:t>concerns about the methodologies, their limitations and, in the case of the illegal harvesting,</w:t>
      </w:r>
      <w:r w:rsidR="00CA6D6D">
        <w:rPr>
          <w:rFonts w:asciiTheme="minorHAnsi" w:hAnsiTheme="minorHAnsi"/>
        </w:rPr>
        <w:t xml:space="preserve"> the amounts involved are so small (less than 10 m</w:t>
      </w:r>
      <w:r w:rsidR="00CA6D6D" w:rsidRPr="00CA6D6D">
        <w:rPr>
          <w:rFonts w:asciiTheme="minorHAnsi" w:hAnsiTheme="minorHAnsi"/>
          <w:szCs w:val="24"/>
          <w:vertAlign w:val="superscript"/>
        </w:rPr>
        <w:t>3</w:t>
      </w:r>
      <w:r w:rsidR="00CA6D6D">
        <w:rPr>
          <w:rFonts w:asciiTheme="minorHAnsi" w:hAnsiTheme="minorHAnsi"/>
        </w:rPr>
        <w:t xml:space="preserve">) </w:t>
      </w:r>
      <w:r w:rsidR="00CA6D6D">
        <w:rPr>
          <w:rFonts w:asciiTheme="minorHAnsi" w:hAnsiTheme="minorHAnsi"/>
        </w:rPr>
        <w:lastRenderedPageBreak/>
        <w:t xml:space="preserve">that this raises questions about the adequacy of the sampling method. Further details can be found in </w:t>
      </w:r>
      <w:r w:rsidR="00CA6D6D" w:rsidRPr="00CA6D6D">
        <w:rPr>
          <w:rFonts w:asciiTheme="minorHAnsi" w:hAnsiTheme="minorHAnsi"/>
          <w:b/>
        </w:rPr>
        <w:t>Annex 6</w:t>
      </w:r>
      <w:r w:rsidR="00CA6D6D">
        <w:rPr>
          <w:rFonts w:asciiTheme="minorHAnsi" w:hAnsiTheme="minorHAnsi"/>
        </w:rPr>
        <w:t>.</w:t>
      </w:r>
    </w:p>
    <w:p w14:paraId="3246A171" w14:textId="3289C69E" w:rsidR="009D71D6" w:rsidRDefault="00A436AB" w:rsidP="00C249AB">
      <w:pPr>
        <w:pStyle w:val="BodyText"/>
        <w:rPr>
          <w:rFonts w:asciiTheme="minorHAnsi" w:hAnsiTheme="minorHAnsi"/>
        </w:rPr>
      </w:pPr>
      <w:r>
        <w:rPr>
          <w:rFonts w:asciiTheme="minorHAnsi" w:hAnsiTheme="minorHAnsi"/>
        </w:rPr>
        <w:t>There is plenty of other evidence to suggest that stress on Colchic Forest in the three NPs in Achara, particularly</w:t>
      </w:r>
      <w:r w:rsidR="00963F00">
        <w:rPr>
          <w:rFonts w:asciiTheme="minorHAnsi" w:hAnsiTheme="minorHAnsi"/>
        </w:rPr>
        <w:t xml:space="preserve"> the new Machakhela NP, </w:t>
      </w:r>
      <w:r>
        <w:rPr>
          <w:rFonts w:asciiTheme="minorHAnsi" w:hAnsiTheme="minorHAnsi"/>
        </w:rPr>
        <w:t>should have been reduced at lea</w:t>
      </w:r>
      <w:r w:rsidR="0040134E">
        <w:rPr>
          <w:rFonts w:asciiTheme="minorHAnsi" w:hAnsiTheme="minorHAnsi"/>
        </w:rPr>
        <w:t xml:space="preserve">st minimally </w:t>
      </w:r>
      <w:r w:rsidR="00BC2BD5">
        <w:rPr>
          <w:rFonts w:asciiTheme="minorHAnsi" w:hAnsiTheme="minorHAnsi"/>
        </w:rPr>
        <w:t>due to</w:t>
      </w:r>
      <w:r w:rsidR="0040134E">
        <w:rPr>
          <w:rFonts w:asciiTheme="minorHAnsi" w:hAnsiTheme="minorHAnsi"/>
        </w:rPr>
        <w:t xml:space="preserve"> sig</w:t>
      </w:r>
      <w:r>
        <w:rPr>
          <w:rFonts w:asciiTheme="minorHAnsi" w:hAnsiTheme="minorHAnsi"/>
        </w:rPr>
        <w:t xml:space="preserve">nificant </w:t>
      </w:r>
      <w:r w:rsidR="0040134E">
        <w:rPr>
          <w:rFonts w:asciiTheme="minorHAnsi" w:hAnsiTheme="minorHAnsi"/>
        </w:rPr>
        <w:t>i</w:t>
      </w:r>
      <w:r>
        <w:rPr>
          <w:rFonts w:asciiTheme="minorHAnsi" w:hAnsiTheme="minorHAnsi"/>
        </w:rPr>
        <w:t>mprovements in management effective</w:t>
      </w:r>
      <w:r w:rsidR="00A0789F">
        <w:rPr>
          <w:rFonts w:asciiTheme="minorHAnsi" w:hAnsiTheme="minorHAnsi"/>
        </w:rPr>
        <w:t>nes</w:t>
      </w:r>
      <w:r>
        <w:rPr>
          <w:rFonts w:asciiTheme="minorHAnsi" w:hAnsiTheme="minorHAnsi"/>
        </w:rPr>
        <w:t xml:space="preserve">s </w:t>
      </w:r>
      <w:r w:rsidR="00A0789F">
        <w:rPr>
          <w:rFonts w:asciiTheme="minorHAnsi" w:hAnsiTheme="minorHAnsi"/>
        </w:rPr>
        <w:t xml:space="preserve">as a result of such activities as: boundary demarcation, excluding areas traditionally accessed by villagers for firewood and other resource uses; </w:t>
      </w:r>
      <w:r w:rsidR="009D71D6">
        <w:rPr>
          <w:rFonts w:asciiTheme="minorHAnsi" w:hAnsiTheme="minorHAnsi"/>
        </w:rPr>
        <w:t xml:space="preserve">formulation of management and operational plans; </w:t>
      </w:r>
      <w:r w:rsidR="00A0789F">
        <w:rPr>
          <w:rFonts w:asciiTheme="minorHAnsi" w:hAnsiTheme="minorHAnsi"/>
        </w:rPr>
        <w:t xml:space="preserve">adequate training and equipping </w:t>
      </w:r>
      <w:r w:rsidR="009D71D6">
        <w:rPr>
          <w:rFonts w:asciiTheme="minorHAnsi" w:hAnsiTheme="minorHAnsi"/>
        </w:rPr>
        <w:t xml:space="preserve">of NP staff </w:t>
      </w:r>
      <w:r w:rsidR="00A0789F">
        <w:rPr>
          <w:rFonts w:asciiTheme="minorHAnsi" w:hAnsiTheme="minorHAnsi"/>
        </w:rPr>
        <w:t>for enforcement work; raised awareness and understanding of NP values by local communities</w:t>
      </w:r>
      <w:r w:rsidR="009D71D6">
        <w:rPr>
          <w:rFonts w:asciiTheme="minorHAnsi" w:hAnsiTheme="minorHAnsi"/>
        </w:rPr>
        <w:t xml:space="preserve"> and their engagement in NP planning and management; and creation of community and junior ranger programmes</w:t>
      </w:r>
      <w:r w:rsidR="00BC2BD5">
        <w:rPr>
          <w:rFonts w:asciiTheme="minorHAnsi" w:hAnsiTheme="minorHAnsi"/>
        </w:rPr>
        <w:t xml:space="preserve"> (</w:t>
      </w:r>
      <w:r w:rsidR="00BC2BD5" w:rsidRPr="00BC2BD5">
        <w:rPr>
          <w:rFonts w:asciiTheme="minorHAnsi" w:hAnsiTheme="minorHAnsi"/>
          <w:b/>
        </w:rPr>
        <w:t>refer to METT</w:t>
      </w:r>
      <w:r w:rsidR="00BC2BD5">
        <w:rPr>
          <w:rFonts w:asciiTheme="minorHAnsi" w:hAnsiTheme="minorHAnsi"/>
        </w:rPr>
        <w:t>)</w:t>
      </w:r>
      <w:r w:rsidR="009D71D6">
        <w:rPr>
          <w:rFonts w:asciiTheme="minorHAnsi" w:hAnsiTheme="minorHAnsi"/>
        </w:rPr>
        <w:t xml:space="preserve">. </w:t>
      </w:r>
    </w:p>
    <w:p w14:paraId="4E41E76B" w14:textId="77777777" w:rsidR="0086655E" w:rsidRDefault="009D71D6" w:rsidP="00C249AB">
      <w:pPr>
        <w:pStyle w:val="BodyText"/>
        <w:rPr>
          <w:rFonts w:asciiTheme="minorHAnsi" w:hAnsiTheme="minorHAnsi"/>
        </w:rPr>
      </w:pPr>
      <w:r>
        <w:rPr>
          <w:rFonts w:asciiTheme="minorHAnsi" w:hAnsiTheme="minorHAnsi"/>
        </w:rPr>
        <w:t xml:space="preserve">On the other hand, impacts from the recent hydroelectric installation, increased visitor use and climate change may have offset </w:t>
      </w:r>
      <w:r w:rsidR="0086655E">
        <w:rPr>
          <w:rFonts w:asciiTheme="minorHAnsi" w:hAnsiTheme="minorHAnsi"/>
        </w:rPr>
        <w:t>the positive benefits of improved management effectiveness.</w:t>
      </w:r>
    </w:p>
    <w:p w14:paraId="6F77E7FA" w14:textId="3B862322" w:rsidR="00D064F3" w:rsidRDefault="0086655E" w:rsidP="00D064F3">
      <w:pPr>
        <w:pStyle w:val="BodyText"/>
        <w:rPr>
          <w:rFonts w:asciiTheme="minorHAnsi" w:hAnsiTheme="minorHAnsi"/>
        </w:rPr>
      </w:pPr>
      <w:r w:rsidRPr="00260C5C">
        <w:rPr>
          <w:rFonts w:asciiTheme="minorHAnsi" w:hAnsiTheme="minorHAnsi"/>
        </w:rPr>
        <w:t xml:space="preserve">From a livelihood perspective, again there is no baseline against which to measure socio-economic improvements but certainly many of the project interventions </w:t>
      </w:r>
      <w:r w:rsidRPr="00BC2BD5">
        <w:rPr>
          <w:rFonts w:asciiTheme="minorHAnsi" w:hAnsiTheme="minorHAnsi"/>
        </w:rPr>
        <w:t>under Output 2.3</w:t>
      </w:r>
      <w:r w:rsidRPr="00260C5C">
        <w:rPr>
          <w:rFonts w:asciiTheme="minorHAnsi" w:hAnsiTheme="minorHAnsi"/>
        </w:rPr>
        <w:t xml:space="preserve"> </w:t>
      </w:r>
      <w:r w:rsidR="00BC2BD5">
        <w:rPr>
          <w:rFonts w:asciiTheme="minorHAnsi" w:hAnsiTheme="minorHAnsi"/>
        </w:rPr>
        <w:t>(</w:t>
      </w:r>
      <w:r w:rsidR="00BC2BD5" w:rsidRPr="00BC2BD5">
        <w:rPr>
          <w:rFonts w:asciiTheme="minorHAnsi" w:hAnsiTheme="minorHAnsi"/>
          <w:b/>
        </w:rPr>
        <w:t>refer to Annex 7</w:t>
      </w:r>
      <w:r w:rsidR="00BC2BD5">
        <w:rPr>
          <w:rFonts w:asciiTheme="minorHAnsi" w:hAnsiTheme="minorHAnsi"/>
        </w:rPr>
        <w:t xml:space="preserve">) </w:t>
      </w:r>
      <w:r w:rsidRPr="00260C5C">
        <w:rPr>
          <w:rFonts w:asciiTheme="minorHAnsi" w:hAnsiTheme="minorHAnsi"/>
        </w:rPr>
        <w:t>have resulted in improved livelihoods at cooperative and individual levels</w:t>
      </w:r>
      <w:r w:rsidR="008F7C43" w:rsidRPr="00260C5C">
        <w:rPr>
          <w:rFonts w:asciiTheme="minorHAnsi" w:hAnsiTheme="minorHAnsi"/>
        </w:rPr>
        <w:t>,</w:t>
      </w:r>
      <w:r w:rsidRPr="00260C5C">
        <w:rPr>
          <w:rFonts w:asciiTheme="minorHAnsi" w:hAnsiTheme="minorHAnsi"/>
        </w:rPr>
        <w:t xml:space="preserve"> judging by the positive </w:t>
      </w:r>
      <w:r w:rsidR="008F7C43" w:rsidRPr="00260C5C">
        <w:rPr>
          <w:rFonts w:asciiTheme="minorHAnsi" w:hAnsiTheme="minorHAnsi"/>
        </w:rPr>
        <w:t>attitudes towards the project and NP Administrations observed by the evaluators and their direct feedback during interviews.</w:t>
      </w:r>
      <w:r w:rsidR="00D064F3" w:rsidRPr="00D064F3">
        <w:rPr>
          <w:rFonts w:asciiTheme="minorHAnsi" w:hAnsiTheme="minorHAnsi"/>
        </w:rPr>
        <w:t xml:space="preserve"> The establishment of Machakhela NP and related project support towards income generation and tourism has had </w:t>
      </w:r>
      <w:r w:rsidR="00F24868">
        <w:rPr>
          <w:rFonts w:asciiTheme="minorHAnsi" w:hAnsiTheme="minorHAnsi"/>
        </w:rPr>
        <w:t>raised</w:t>
      </w:r>
      <w:r w:rsidR="00D064F3" w:rsidRPr="00D064F3">
        <w:rPr>
          <w:rFonts w:asciiTheme="minorHAnsi" w:hAnsiTheme="minorHAnsi"/>
        </w:rPr>
        <w:t xml:space="preserve"> the area’s profile, resulting in initial economic benefits accruing to some community members. The potential for replicating and upscaling such economic benefits is more widely recognized and understood as a result of the diverse range of demonstrations.</w:t>
      </w:r>
    </w:p>
    <w:p w14:paraId="4D3716A1" w14:textId="6AE7A5BB" w:rsidR="008F7C43" w:rsidRPr="00C249AB" w:rsidRDefault="008F7C43" w:rsidP="008F7C43">
      <w:pPr>
        <w:pStyle w:val="BodyText"/>
        <w:rPr>
          <w:rFonts w:asciiTheme="minorHAnsi" w:hAnsiTheme="minorHAnsi"/>
        </w:rPr>
      </w:pPr>
      <w:r>
        <w:rPr>
          <w:rFonts w:asciiTheme="minorHAnsi" w:hAnsiTheme="minorHAnsi"/>
        </w:rPr>
        <w:t xml:space="preserve">Suffice to conclude from the above evidence and considerations that the </w:t>
      </w:r>
      <w:r w:rsidRPr="009878AB">
        <w:rPr>
          <w:rFonts w:asciiTheme="minorHAnsi" w:hAnsiTheme="minorHAnsi"/>
        </w:rPr>
        <w:t xml:space="preserve">project </w:t>
      </w:r>
      <w:r w:rsidR="006C5E36" w:rsidRPr="009878AB">
        <w:rPr>
          <w:rFonts w:asciiTheme="minorHAnsi" w:hAnsiTheme="minorHAnsi"/>
        </w:rPr>
        <w:t xml:space="preserve">is likely to have </w:t>
      </w:r>
      <w:r w:rsidRPr="009878AB">
        <w:rPr>
          <w:rFonts w:asciiTheme="minorHAnsi" w:hAnsiTheme="minorHAnsi"/>
        </w:rPr>
        <w:t xml:space="preserve">had </w:t>
      </w:r>
      <w:r w:rsidR="00E905C9">
        <w:rPr>
          <w:rFonts w:asciiTheme="minorHAnsi" w:hAnsiTheme="minorHAnsi"/>
        </w:rPr>
        <w:t>a significant</w:t>
      </w:r>
      <w:r w:rsidRPr="009878AB">
        <w:rPr>
          <w:rFonts w:asciiTheme="minorHAnsi" w:hAnsiTheme="minorHAnsi"/>
        </w:rPr>
        <w:t xml:space="preserve"> positive impact </w:t>
      </w:r>
      <w:r w:rsidR="009878AB" w:rsidRPr="009878AB">
        <w:rPr>
          <w:rFonts w:asciiTheme="minorHAnsi" w:hAnsiTheme="minorHAnsi"/>
        </w:rPr>
        <w:t xml:space="preserve">on </w:t>
      </w:r>
      <w:r w:rsidR="00D4535E" w:rsidRPr="009878AB">
        <w:rPr>
          <w:rFonts w:asciiTheme="minorHAnsi" w:hAnsiTheme="minorHAnsi"/>
        </w:rPr>
        <w:t xml:space="preserve">the ecological status </w:t>
      </w:r>
      <w:r w:rsidR="009878AB" w:rsidRPr="009878AB">
        <w:rPr>
          <w:rFonts w:asciiTheme="minorHAnsi" w:hAnsiTheme="minorHAnsi"/>
        </w:rPr>
        <w:t xml:space="preserve">of Colchic Forest (increase in extent of protection) </w:t>
      </w:r>
      <w:r w:rsidR="00D4535E" w:rsidRPr="009878AB">
        <w:rPr>
          <w:rFonts w:asciiTheme="minorHAnsi" w:hAnsiTheme="minorHAnsi"/>
        </w:rPr>
        <w:t xml:space="preserve">and </w:t>
      </w:r>
      <w:r w:rsidR="009878AB" w:rsidRPr="009878AB">
        <w:rPr>
          <w:rFonts w:asciiTheme="minorHAnsi" w:hAnsiTheme="minorHAnsi"/>
        </w:rPr>
        <w:t xml:space="preserve">at least a minimal </w:t>
      </w:r>
      <w:r w:rsidR="006C5E36" w:rsidRPr="009878AB">
        <w:rPr>
          <w:rFonts w:asciiTheme="minorHAnsi" w:hAnsiTheme="minorHAnsi"/>
        </w:rPr>
        <w:t xml:space="preserve">reduction </w:t>
      </w:r>
      <w:r w:rsidR="009878AB" w:rsidRPr="009878AB">
        <w:rPr>
          <w:rFonts w:asciiTheme="minorHAnsi" w:hAnsiTheme="minorHAnsi"/>
        </w:rPr>
        <w:t>in</w:t>
      </w:r>
      <w:r w:rsidR="006C5E36" w:rsidRPr="009878AB">
        <w:rPr>
          <w:rFonts w:asciiTheme="minorHAnsi" w:hAnsiTheme="minorHAnsi"/>
        </w:rPr>
        <w:t xml:space="preserve"> stress on ecological</w:t>
      </w:r>
      <w:r w:rsidR="00726739" w:rsidRPr="009878AB">
        <w:rPr>
          <w:rFonts w:asciiTheme="minorHAnsi" w:hAnsiTheme="minorHAnsi"/>
        </w:rPr>
        <w:t xml:space="preserve"> systems in</w:t>
      </w:r>
      <w:r w:rsidRPr="009878AB">
        <w:rPr>
          <w:rFonts w:asciiTheme="minorHAnsi" w:hAnsiTheme="minorHAnsi"/>
        </w:rPr>
        <w:t xml:space="preserve"> Colchic Forest</w:t>
      </w:r>
      <w:r w:rsidR="009878AB" w:rsidRPr="009878AB">
        <w:rPr>
          <w:rFonts w:asciiTheme="minorHAnsi" w:hAnsiTheme="minorHAnsi"/>
        </w:rPr>
        <w:t xml:space="preserve"> (improved management effectiveness)</w:t>
      </w:r>
      <w:r w:rsidR="006C5E36" w:rsidRPr="009878AB">
        <w:rPr>
          <w:rFonts w:asciiTheme="minorHAnsi" w:hAnsiTheme="minorHAnsi"/>
        </w:rPr>
        <w:t>, even</w:t>
      </w:r>
      <w:r w:rsidR="006C5E36">
        <w:rPr>
          <w:rFonts w:asciiTheme="minorHAnsi" w:hAnsiTheme="minorHAnsi"/>
        </w:rPr>
        <w:t xml:space="preserve"> if mostly with respect to the operationalization of Machakhela NP</w:t>
      </w:r>
      <w:r w:rsidR="00260C5C">
        <w:rPr>
          <w:rFonts w:asciiTheme="minorHAnsi" w:hAnsiTheme="minorHAnsi"/>
        </w:rPr>
        <w:t xml:space="preserve">, which covers a significant area totalling 7,333.18 ha </w:t>
      </w:r>
      <w:r w:rsidR="00726739">
        <w:rPr>
          <w:rFonts w:asciiTheme="minorHAnsi" w:hAnsiTheme="minorHAnsi"/>
        </w:rPr>
        <w:t xml:space="preserve"> (19.3% of ARA’s protected Colchic Forest)</w:t>
      </w:r>
      <w:r w:rsidR="00260C5C">
        <w:rPr>
          <w:rFonts w:asciiTheme="minorHAnsi" w:hAnsiTheme="minorHAnsi"/>
        </w:rPr>
        <w:t>.</w:t>
      </w:r>
    </w:p>
    <w:p w14:paraId="68258732" w14:textId="69652C1A" w:rsidR="00332D0C" w:rsidRPr="00E22EBA" w:rsidRDefault="00B334BF" w:rsidP="004C4D1C">
      <w:pPr>
        <w:pStyle w:val="Heading1"/>
        <w:numPr>
          <w:ilvl w:val="0"/>
          <w:numId w:val="6"/>
        </w:numPr>
        <w:spacing w:before="240" w:after="120" w:line="240" w:lineRule="auto"/>
        <w:ind w:left="567" w:hanging="567"/>
        <w:jc w:val="left"/>
        <w:rPr>
          <w:rFonts w:asciiTheme="minorHAnsi" w:hAnsiTheme="minorHAnsi" w:cs="Calibri"/>
          <w:b/>
          <w:sz w:val="32"/>
        </w:rPr>
      </w:pPr>
      <w:bookmarkStart w:id="158" w:name="_Toc414745342"/>
      <w:r w:rsidRPr="00E22EBA">
        <w:rPr>
          <w:rFonts w:asciiTheme="minorHAnsi" w:hAnsiTheme="minorHAnsi" w:cs="Calibri"/>
          <w:b/>
          <w:sz w:val="32"/>
        </w:rPr>
        <w:t xml:space="preserve">Conclusions, </w:t>
      </w:r>
      <w:r w:rsidR="00332D0C" w:rsidRPr="00E22EBA">
        <w:rPr>
          <w:rFonts w:asciiTheme="minorHAnsi" w:hAnsiTheme="minorHAnsi" w:cs="Calibri"/>
          <w:b/>
          <w:sz w:val="32"/>
        </w:rPr>
        <w:t>Recommendations,</w:t>
      </w:r>
      <w:r w:rsidRPr="00E22EBA">
        <w:rPr>
          <w:rFonts w:asciiTheme="minorHAnsi" w:hAnsiTheme="minorHAnsi" w:cs="Calibri"/>
          <w:b/>
          <w:sz w:val="32"/>
        </w:rPr>
        <w:t xml:space="preserve"> Lessons</w:t>
      </w:r>
      <w:bookmarkEnd w:id="158"/>
    </w:p>
    <w:p w14:paraId="02C085A0" w14:textId="77777777" w:rsidR="00B334BF" w:rsidRDefault="00B334BF" w:rsidP="0067558E">
      <w:pPr>
        <w:pStyle w:val="Heading2"/>
        <w:numPr>
          <w:ilvl w:val="1"/>
          <w:numId w:val="8"/>
        </w:numPr>
        <w:spacing w:before="240" w:after="120" w:line="240" w:lineRule="auto"/>
        <w:ind w:left="567" w:hanging="556"/>
        <w:rPr>
          <w:rFonts w:asciiTheme="minorHAnsi" w:hAnsiTheme="minorHAnsi" w:cs="Calibri"/>
          <w:b/>
          <w:caps w:val="0"/>
          <w:sz w:val="28"/>
        </w:rPr>
      </w:pPr>
      <w:bookmarkStart w:id="159" w:name="_Toc414745343"/>
      <w:r w:rsidRPr="00E22EBA">
        <w:rPr>
          <w:rFonts w:asciiTheme="minorHAnsi" w:hAnsiTheme="minorHAnsi" w:cs="Calibri"/>
          <w:b/>
          <w:caps w:val="0"/>
          <w:sz w:val="28"/>
        </w:rPr>
        <w:t>Conclusions</w:t>
      </w:r>
      <w:bookmarkEnd w:id="159"/>
    </w:p>
    <w:p w14:paraId="14DFF542" w14:textId="77777777" w:rsidR="0069594E" w:rsidRDefault="0069594E" w:rsidP="0057784F">
      <w:pPr>
        <w:pStyle w:val="BodyText"/>
        <w:spacing w:before="120"/>
        <w:rPr>
          <w:rFonts w:ascii="Calibri" w:hAnsi="Calibri"/>
        </w:rPr>
      </w:pPr>
      <w:r>
        <w:rPr>
          <w:rFonts w:ascii="Calibri" w:hAnsi="Calibri"/>
          <w:highlight w:val="lightGray"/>
        </w:rPr>
        <w:t>MAJOR ACHIE</w:t>
      </w:r>
      <w:r w:rsidRPr="0014500D">
        <w:rPr>
          <w:rFonts w:ascii="Calibri" w:hAnsi="Calibri"/>
          <w:highlight w:val="lightGray"/>
        </w:rPr>
        <w:t>VEMENTS/</w:t>
      </w:r>
      <w:r>
        <w:rPr>
          <w:rFonts w:ascii="Calibri" w:hAnsi="Calibri"/>
          <w:highlight w:val="lightGray"/>
        </w:rPr>
        <w:t>S</w:t>
      </w:r>
      <w:r w:rsidRPr="0014500D">
        <w:rPr>
          <w:rFonts w:ascii="Calibri" w:hAnsi="Calibri"/>
          <w:highlight w:val="lightGray"/>
        </w:rPr>
        <w:t>TRENGTHS</w:t>
      </w:r>
      <w:r w:rsidRPr="0014500D">
        <w:rPr>
          <w:rFonts w:ascii="Calibri" w:hAnsi="Calibri"/>
        </w:rPr>
        <w:t xml:space="preserve"> </w:t>
      </w:r>
    </w:p>
    <w:p w14:paraId="6ED0A231" w14:textId="77777777" w:rsidR="0069594E" w:rsidRPr="007D5AF3" w:rsidRDefault="0069594E" w:rsidP="0069594E">
      <w:pPr>
        <w:pStyle w:val="BodyText"/>
        <w:rPr>
          <w:rFonts w:ascii="Calibri" w:hAnsi="Calibri"/>
        </w:rPr>
      </w:pPr>
      <w:r w:rsidRPr="007D5AF3">
        <w:rPr>
          <w:rFonts w:ascii="Calibri" w:hAnsi="Calibri"/>
          <w:u w:val="single"/>
        </w:rPr>
        <w:t>The project has achieved a very Satisfactory result, meeting or exceeding all of its targets in the SRF at objective and outcome levels</w:t>
      </w:r>
      <w:r w:rsidRPr="007D5AF3">
        <w:rPr>
          <w:rFonts w:ascii="Calibri" w:hAnsi="Calibri"/>
        </w:rPr>
        <w:t xml:space="preserve">. Technically, the current status of Achara’s PAs coverage has increased from 30,469 ha (baseline) to 37,802 ha, which is marginally less than the target of 39,202 ha following the realignment of the boundaries of Machakhela NP (area reduced from 8,733 ha to 7,305 ha). However, the target is expected to be exceeded with the designation of the proposed Machakhela Protected Landscape (4,295 ha), which comprises the inhabited lower valleys of Machakhela Gorge that abut Machakhela NP. </w:t>
      </w:r>
    </w:p>
    <w:p w14:paraId="54EB1B00" w14:textId="6F69216F" w:rsidR="0069594E" w:rsidRPr="007D5AF3" w:rsidRDefault="0069594E" w:rsidP="0069594E">
      <w:pPr>
        <w:pStyle w:val="BodyText"/>
        <w:rPr>
          <w:rFonts w:ascii="Calibri" w:hAnsi="Calibri"/>
        </w:rPr>
      </w:pPr>
      <w:r w:rsidRPr="007D5AF3">
        <w:rPr>
          <w:rFonts w:ascii="Calibri" w:hAnsi="Calibri"/>
          <w:u w:val="single"/>
        </w:rPr>
        <w:t>This adaptive management initiative of the project is exemplary</w:t>
      </w:r>
      <w:r w:rsidRPr="007D5AF3">
        <w:rPr>
          <w:rFonts w:ascii="Calibri" w:hAnsi="Calibri"/>
        </w:rPr>
        <w:t xml:space="preserve">. It transforms the planned addition of a new Machakhela PL to the region’s PA network into a more holistic and integrated PAs complex approach, which better meets the needs of ‘Parks and People’ through having a greater diversity of options in the management toolbox that reflect the </w:t>
      </w:r>
      <w:r w:rsidRPr="007D5AF3">
        <w:rPr>
          <w:rFonts w:ascii="Calibri" w:hAnsi="Calibri"/>
        </w:rPr>
        <w:lastRenderedPageBreak/>
        <w:t xml:space="preserve">governance models of both national parks and protected landscape. The latter model will enable local livelihood needs to be addressed in a more sustainable manner than envisaged in the ProDoc. Such an outcome will also provide both a challenge and an opportunity for a novel form of governance to be piloted under the Municipality, Khelvachauri. There are many other examples of adaptive management introduced by the project, one of which was an MTR recommendation to adopt SMART (Spatial Monitoring &amp; Reporting Tool) for patrolling purposes. Training in SMART was concluded late in 2018 and it will be important to ensure that it is </w:t>
      </w:r>
      <w:r w:rsidR="00EB17C7">
        <w:rPr>
          <w:rFonts w:ascii="Calibri" w:hAnsi="Calibri"/>
        </w:rPr>
        <w:t>fully applied post-</w:t>
      </w:r>
      <w:r w:rsidR="00EB17C7" w:rsidRPr="007D5AF3">
        <w:rPr>
          <w:rFonts w:ascii="Calibri" w:hAnsi="Calibri"/>
        </w:rPr>
        <w:t>project</w:t>
      </w:r>
      <w:r w:rsidRPr="007D5AF3">
        <w:rPr>
          <w:rFonts w:ascii="Calibri" w:hAnsi="Calibri"/>
        </w:rPr>
        <w:t xml:space="preserve">. </w:t>
      </w:r>
    </w:p>
    <w:p w14:paraId="5A77A9BD" w14:textId="77777777" w:rsidR="0069594E" w:rsidRPr="007D5AF3" w:rsidRDefault="0069594E" w:rsidP="0069594E">
      <w:pPr>
        <w:pStyle w:val="BodyText"/>
        <w:rPr>
          <w:rFonts w:ascii="Calibri" w:hAnsi="Calibri"/>
        </w:rPr>
      </w:pPr>
      <w:r w:rsidRPr="007D5AF3">
        <w:rPr>
          <w:rFonts w:ascii="Calibri" w:hAnsi="Calibri"/>
          <w:u w:val="single"/>
        </w:rPr>
        <w:t>Strong ownership</w:t>
      </w:r>
      <w:r w:rsidRPr="007D5AF3">
        <w:rPr>
          <w:rFonts w:ascii="Calibri" w:hAnsi="Calibri"/>
        </w:rPr>
        <w:t xml:space="preserve"> at all levels of government, national, regional and municipal, and among the communities residing in and around the PAs has been a key ingredient of the project’s overall success; together with the solid working relationship between the Implementing Agency (UNDP) and Implementing Partner/Executing Agency (APA); and the technical competence, efficiency and commitment of the PMU in facilitating the delivery of project outputs in a well-coordinated, cost-effective and cohesive manner under the oversight of a responsive PEB that has met regularly and fulfilled its role with diligence.</w:t>
      </w:r>
    </w:p>
    <w:p w14:paraId="3BB7903A" w14:textId="77777777" w:rsidR="0069594E" w:rsidRPr="007D5AF3" w:rsidRDefault="0069594E" w:rsidP="0069594E">
      <w:pPr>
        <w:pStyle w:val="BodyText"/>
        <w:rPr>
          <w:rFonts w:ascii="Calibri" w:hAnsi="Calibri"/>
        </w:rPr>
      </w:pPr>
      <w:r w:rsidRPr="007D5AF3">
        <w:rPr>
          <w:rFonts w:ascii="Calibri" w:hAnsi="Calibri"/>
        </w:rPr>
        <w:t xml:space="preserve">The strong ownership is reflected in the </w:t>
      </w:r>
      <w:r w:rsidRPr="007D5AF3">
        <w:rPr>
          <w:rFonts w:ascii="Calibri" w:hAnsi="Calibri"/>
          <w:u w:val="single"/>
        </w:rPr>
        <w:t>US$ 13.7 million committed in co-financing</w:t>
      </w:r>
      <w:r w:rsidRPr="007D5AF3">
        <w:rPr>
          <w:rFonts w:ascii="Calibri" w:hAnsi="Calibri"/>
        </w:rPr>
        <w:t xml:space="preserve"> from national, regional and municipal governments, much of which was used to improve vehicular access to the NPs and infrastructural facilities for park staff and visitors, as well as other donors working in the target PAs. This tenfold leverage of the GEF/UNDP grant (US$ 1.3 million) was a significant achievement in itself that increased further during project implementation in the case of APA (over US$ 440,000) and ARA (some US$ 35 million of additional expenditure of which the co-financing element is unknown - not disaggregated).</w:t>
      </w:r>
    </w:p>
    <w:p w14:paraId="0C24CF60" w14:textId="77777777" w:rsidR="0069594E" w:rsidRPr="007D5AF3" w:rsidRDefault="0069594E" w:rsidP="0069594E">
      <w:pPr>
        <w:pStyle w:val="BodyText"/>
        <w:spacing w:after="60"/>
        <w:rPr>
          <w:rFonts w:ascii="Calibri" w:hAnsi="Calibri"/>
        </w:rPr>
      </w:pPr>
      <w:r w:rsidRPr="007D5AF3">
        <w:rPr>
          <w:rFonts w:ascii="Calibri" w:hAnsi="Calibri"/>
          <w:u w:val="single"/>
        </w:rPr>
        <w:t>Strong coordinating mechanisms and partnerships</w:t>
      </w:r>
      <w:r w:rsidRPr="007D5AF3">
        <w:rPr>
          <w:rFonts w:ascii="Calibri" w:hAnsi="Calibri"/>
        </w:rPr>
        <w:t xml:space="preserve"> are another ingredient of this project’s success, albeit some need further strengthening. They include the following initiatives:</w:t>
      </w:r>
    </w:p>
    <w:p w14:paraId="7B34423B" w14:textId="77777777" w:rsidR="0069594E" w:rsidRPr="007D5AF3" w:rsidRDefault="0069594E" w:rsidP="0069594E">
      <w:pPr>
        <w:pStyle w:val="BodyText"/>
        <w:spacing w:after="60"/>
        <w:ind w:left="284" w:hanging="284"/>
        <w:rPr>
          <w:rFonts w:ascii="Calibri" w:hAnsi="Calibri"/>
        </w:rPr>
      </w:pPr>
      <w:r w:rsidRPr="007D5AF3">
        <w:rPr>
          <w:rFonts w:ascii="Menlo Bold" w:hAnsi="Menlo Bold" w:cs="Menlo Bold"/>
          <w:color w:val="008000"/>
        </w:rPr>
        <w:t>✔</w:t>
      </w:r>
      <w:r w:rsidRPr="007D5AF3">
        <w:rPr>
          <w:rFonts w:ascii="Calibri" w:hAnsi="Calibri" w:cs="Menlo Bold"/>
          <w:color w:val="008000"/>
        </w:rPr>
        <w:tab/>
      </w:r>
      <w:r w:rsidRPr="007D5AF3">
        <w:rPr>
          <w:rFonts w:ascii="Calibri" w:hAnsi="Calibri"/>
          <w:i/>
        </w:rPr>
        <w:t>Technical Coordinating Group</w:t>
      </w:r>
      <w:r w:rsidRPr="007D5AF3">
        <w:rPr>
          <w:rFonts w:ascii="Calibri" w:hAnsi="Calibri"/>
        </w:rPr>
        <w:t>: As planned and designed in the ProDoc, TCG was established post project inception to ensure coordination between the different donors investing in Colchic Forests and maximize opportunities for synergies. TCG proved crucial, as anticipated, in ensuring that the donor community knew about each others’ investments, activities and work plans. This enabled the project to fine-tune its own work plan, in relation to time-frames and budgets, deploy consultants most effectively in relation to training and capacity building activities, and be mindful of potential stakeholder fatigue when scheduling activities. The Group met once or twice a year and comprised: APA, CNF, EU Twinning Project, UNDP-GEF Achara PAs Project, KFW Support Program for Protected Areas (SPPA) with GFA Consulting Group, Eco-corridor Programme in the Caucasus and WWF Caucasus Programme. [</w:t>
      </w:r>
      <w:r w:rsidRPr="007D5AF3">
        <w:rPr>
          <w:rFonts w:ascii="Calibri" w:hAnsi="Calibri"/>
          <w:b/>
        </w:rPr>
        <w:t>Sections 3.1.8, 3.2.2</w:t>
      </w:r>
      <w:r w:rsidRPr="007D5AF3">
        <w:rPr>
          <w:rFonts w:ascii="Calibri" w:hAnsi="Calibri"/>
        </w:rPr>
        <w:t xml:space="preserve"> ]</w:t>
      </w:r>
    </w:p>
    <w:p w14:paraId="1EDDBFA8" w14:textId="77777777" w:rsidR="0069594E" w:rsidRPr="007D5AF3" w:rsidRDefault="0069594E" w:rsidP="0069594E">
      <w:pPr>
        <w:pStyle w:val="BodyText"/>
        <w:ind w:left="284" w:hanging="284"/>
        <w:rPr>
          <w:rFonts w:ascii="Calibri" w:hAnsi="Calibri"/>
        </w:rPr>
      </w:pPr>
      <w:r w:rsidRPr="007D5AF3">
        <w:rPr>
          <w:rFonts w:ascii="Menlo Bold" w:hAnsi="Menlo Bold" w:cs="Menlo Bold"/>
          <w:color w:val="008000"/>
        </w:rPr>
        <w:t>✔</w:t>
      </w:r>
      <w:r w:rsidRPr="007D5AF3">
        <w:rPr>
          <w:rFonts w:ascii="Calibri" w:hAnsi="Calibri" w:cs="Menlo Bold"/>
          <w:color w:val="008000"/>
        </w:rPr>
        <w:tab/>
      </w:r>
      <w:r w:rsidRPr="007D5AF3">
        <w:rPr>
          <w:rFonts w:ascii="Calibri" w:hAnsi="Calibri"/>
          <w:i/>
        </w:rPr>
        <w:t>PA Friends Associations:</w:t>
      </w:r>
      <w:r w:rsidRPr="007D5AF3">
        <w:rPr>
          <w:rFonts w:ascii="Calibri" w:hAnsi="Calibri"/>
        </w:rPr>
        <w:t xml:space="preserve"> Two of these were established under Output 1.2 provisions for constructive involvement of local communities in PA planning and co-management, the first for Kintrishi PA complex with KfW co-financing (SSPA project) and a second for Mtirala and Machakhela by the GEF project in August 2016 to support the two NPs and their respective buffer (support) zones. Key initiatives include: establishing Community Rangers in both NPs and Junior Rangers in Machakhela, working with municipalities on tourism and waste management, and supporting Eco-Clubs in schools. This Friends Association has proved very effective in securing the trust of local communities and NP staff in working together, as well as raising the profile of these two NPs among visitors, tourism operators and businesses more widely in Batumi. </w:t>
      </w:r>
    </w:p>
    <w:p w14:paraId="3C0E4B00" w14:textId="0753BF37" w:rsidR="0069594E" w:rsidRPr="007D5AF3" w:rsidRDefault="0069594E" w:rsidP="0069594E">
      <w:pPr>
        <w:pStyle w:val="BodyText"/>
        <w:ind w:left="284"/>
        <w:rPr>
          <w:rFonts w:ascii="Calibri" w:hAnsi="Calibri"/>
        </w:rPr>
      </w:pPr>
      <w:r w:rsidRPr="007D5AF3">
        <w:rPr>
          <w:rFonts w:ascii="Menlo Bold" w:hAnsi="Menlo Bold" w:cs="Menlo Bold"/>
          <w:color w:val="FF0000"/>
        </w:rPr>
        <w:lastRenderedPageBreak/>
        <w:t>✖</w:t>
      </w:r>
      <w:r w:rsidRPr="007D5AF3">
        <w:rPr>
          <w:rFonts w:ascii="Calibri" w:hAnsi="Calibri"/>
        </w:rPr>
        <w:tab/>
      </w:r>
      <w:r w:rsidRPr="007D5AF3">
        <w:rPr>
          <w:rFonts w:ascii="Calibri" w:hAnsi="Calibri"/>
          <w:u w:val="single"/>
        </w:rPr>
        <w:t>There remain significant shortcomings</w:t>
      </w:r>
      <w:r w:rsidRPr="007D5AF3">
        <w:rPr>
          <w:rFonts w:ascii="Calibri" w:hAnsi="Calibri"/>
        </w:rPr>
        <w:t xml:space="preserve"> with Mtirala and Machakhela National Parks Friends Association that need to be addressed in the immediate future. They include: future funding, which is not assured post the GEF project</w:t>
      </w:r>
      <w:bookmarkStart w:id="160" w:name="_Ref413298165"/>
      <w:r w:rsidR="006B3ED7">
        <w:rPr>
          <w:rStyle w:val="FootnoteReference"/>
          <w:rFonts w:ascii="Calibri" w:hAnsi="Calibri"/>
        </w:rPr>
        <w:footnoteReference w:id="36"/>
      </w:r>
      <w:bookmarkEnd w:id="160"/>
      <w:r w:rsidRPr="007D5AF3">
        <w:rPr>
          <w:rFonts w:ascii="Calibri" w:hAnsi="Calibri"/>
        </w:rPr>
        <w:t>; and review and consolidation of its role in the support and governance of the two NPs. The Association also needs to anticipate opportunities for change, given the proposed designation of Machakhela Protected Landscape and on-going review o</w:t>
      </w:r>
      <w:r w:rsidR="007D5AF3">
        <w:rPr>
          <w:rFonts w:ascii="Calibri" w:hAnsi="Calibri"/>
        </w:rPr>
        <w:t>f PAs policy and legislation. [</w:t>
      </w:r>
      <w:r w:rsidRPr="007D5AF3">
        <w:rPr>
          <w:rFonts w:ascii="Calibri" w:hAnsi="Calibri"/>
          <w:b/>
        </w:rPr>
        <w:t>Section 4.3</w:t>
      </w:r>
      <w:r w:rsidRPr="007D5AF3">
        <w:rPr>
          <w:rFonts w:ascii="Calibri" w:hAnsi="Calibri"/>
        </w:rPr>
        <w:t>]</w:t>
      </w:r>
    </w:p>
    <w:p w14:paraId="0B6016F8" w14:textId="1BE8D0D1" w:rsidR="0069594E" w:rsidRPr="007D5AF3" w:rsidRDefault="0069594E" w:rsidP="0069594E">
      <w:pPr>
        <w:pStyle w:val="BodyText"/>
        <w:ind w:left="284" w:hanging="284"/>
        <w:rPr>
          <w:rFonts w:ascii="Calibri" w:hAnsi="Calibri"/>
        </w:rPr>
      </w:pPr>
      <w:r w:rsidRPr="007D5AF3">
        <w:rPr>
          <w:rFonts w:ascii="Menlo Bold" w:hAnsi="Menlo Bold" w:cs="Menlo Bold"/>
          <w:color w:val="008000"/>
        </w:rPr>
        <w:t>✔</w:t>
      </w:r>
      <w:r w:rsidRPr="007D5AF3">
        <w:rPr>
          <w:rFonts w:ascii="Calibri" w:hAnsi="Calibri" w:cs="Menlo Bold"/>
          <w:color w:val="008000"/>
        </w:rPr>
        <w:tab/>
      </w:r>
      <w:r w:rsidRPr="007D5AF3">
        <w:rPr>
          <w:rFonts w:ascii="Calibri" w:hAnsi="Calibri"/>
          <w:i/>
        </w:rPr>
        <w:t>PA Advisory Councils</w:t>
      </w:r>
      <w:r w:rsidRPr="007D5AF3">
        <w:rPr>
          <w:rFonts w:ascii="Calibri" w:hAnsi="Calibri"/>
        </w:rPr>
        <w:t xml:space="preserve"> were established in 2017 for Mtirala and Machakhela, with 10 and 13 members, respectively. They replaced the former Scientific Advisory</w:t>
      </w:r>
      <w:r w:rsidR="00EB17C7">
        <w:rPr>
          <w:rFonts w:ascii="Calibri" w:hAnsi="Calibri"/>
        </w:rPr>
        <w:t xml:space="preserve"> Councils</w:t>
      </w:r>
      <w:r w:rsidRPr="007D5AF3">
        <w:rPr>
          <w:rFonts w:ascii="Calibri" w:hAnsi="Calibri"/>
        </w:rPr>
        <w:t>, which were felt to be too science-focused and lacked representation from local communities and municipalities. These shortcomings have now been largely addressed but the Councils have yet to become fully functional. Feedback, both from PA Administrations and their stakeholders, suggests that their role needs to clarified, with clear ToRs, and capacities strengthened in order for them to become dynamic forces for change, modernizing the way in which PAs carry out their business.</w:t>
      </w:r>
    </w:p>
    <w:p w14:paraId="005DE504" w14:textId="4D9FB492" w:rsidR="0069594E" w:rsidRPr="007D5AF3" w:rsidRDefault="0069594E" w:rsidP="0069594E">
      <w:pPr>
        <w:pStyle w:val="BodyText"/>
        <w:ind w:left="284"/>
        <w:rPr>
          <w:rFonts w:ascii="Calibri" w:hAnsi="Calibri"/>
        </w:rPr>
      </w:pPr>
      <w:r w:rsidRPr="007D5AF3">
        <w:rPr>
          <w:rFonts w:ascii="Menlo Bold" w:hAnsi="Menlo Bold" w:cs="Menlo Bold"/>
          <w:color w:val="FF0000"/>
        </w:rPr>
        <w:t>✖</w:t>
      </w:r>
      <w:r w:rsidRPr="007D5AF3">
        <w:rPr>
          <w:rFonts w:ascii="Calibri" w:hAnsi="Calibri" w:cs="Menlo Bold"/>
          <w:color w:val="FF0000"/>
        </w:rPr>
        <w:tab/>
      </w:r>
      <w:r w:rsidRPr="007D5AF3">
        <w:rPr>
          <w:rFonts w:ascii="Calibri" w:hAnsi="Calibri"/>
        </w:rPr>
        <w:t xml:space="preserve">Currently, in the case of some PA Administrations, meetings </w:t>
      </w:r>
      <w:r w:rsidR="00EB17C7">
        <w:rPr>
          <w:rFonts w:ascii="Calibri" w:hAnsi="Calibri"/>
        </w:rPr>
        <w:t xml:space="preserve">with Advisory Councils </w:t>
      </w:r>
      <w:r w:rsidRPr="007D5AF3">
        <w:rPr>
          <w:rFonts w:ascii="Calibri" w:hAnsi="Calibri"/>
        </w:rPr>
        <w:t>are held irregularly and at the decision of the Director; they tend to be narrowly focused on NP interests and matters of conflict between the PA and its resident/nearby communities; and they lack structure and a proper framework that is tied into the management plan and annual work plan or equivalent. Mutual accountability between the PA and its Advisory Council has yet to be realized.</w:t>
      </w:r>
      <w:r w:rsidR="007D5AF3">
        <w:rPr>
          <w:rFonts w:ascii="Calibri" w:hAnsi="Calibri"/>
        </w:rPr>
        <w:t xml:space="preserve"> [</w:t>
      </w:r>
      <w:r w:rsidRPr="007D5AF3">
        <w:rPr>
          <w:rFonts w:ascii="Calibri" w:hAnsi="Calibri"/>
          <w:b/>
        </w:rPr>
        <w:t>Sections 3.2.2, 3.3.3</w:t>
      </w:r>
      <w:r w:rsidR="007D5AF3">
        <w:rPr>
          <w:rFonts w:ascii="Calibri" w:hAnsi="Calibri"/>
        </w:rPr>
        <w:t>]</w:t>
      </w:r>
    </w:p>
    <w:p w14:paraId="2D27716B" w14:textId="0CF35C98" w:rsidR="0069594E" w:rsidRPr="007D5AF3" w:rsidRDefault="0069594E" w:rsidP="0069594E">
      <w:pPr>
        <w:pStyle w:val="BodyText"/>
        <w:rPr>
          <w:rFonts w:ascii="Calibri" w:hAnsi="Calibri"/>
        </w:rPr>
      </w:pPr>
      <w:r w:rsidRPr="007D5AF3">
        <w:rPr>
          <w:rFonts w:ascii="Calibri" w:hAnsi="Calibri"/>
          <w:u w:val="single"/>
        </w:rPr>
        <w:t>A wide range of quality feasibility studies, assessments, strategies, plans and other studies ha</w:t>
      </w:r>
      <w:r w:rsidR="007D5AF3">
        <w:rPr>
          <w:rFonts w:ascii="Calibri" w:hAnsi="Calibri"/>
          <w:u w:val="single"/>
        </w:rPr>
        <w:t>s</w:t>
      </w:r>
      <w:r w:rsidRPr="007D5AF3">
        <w:rPr>
          <w:rFonts w:ascii="Calibri" w:hAnsi="Calibri"/>
          <w:u w:val="single"/>
        </w:rPr>
        <w:t xml:space="preserve"> been completed by competent consultants procured by the project</w:t>
      </w:r>
      <w:r w:rsidRPr="007D5AF3">
        <w:rPr>
          <w:rFonts w:ascii="Calibri" w:hAnsi="Calibri"/>
        </w:rPr>
        <w:t xml:space="preserve">. This material provides a wealth of knowledge on the values of the natural capital and ecosystem services within Achara’s network of protected Colchic Forests, along with guidance on their conservation management and sustainable use. </w:t>
      </w:r>
      <w:r w:rsidR="00EA0277" w:rsidRPr="007D5AF3">
        <w:rPr>
          <w:rFonts w:ascii="Calibri" w:hAnsi="Calibri"/>
        </w:rPr>
        <w:t xml:space="preserve">Notable </w:t>
      </w:r>
      <w:r w:rsidR="00EA0277">
        <w:rPr>
          <w:rFonts w:ascii="Calibri" w:hAnsi="Calibri"/>
        </w:rPr>
        <w:t>is the</w:t>
      </w:r>
      <w:r w:rsidR="00EA0277" w:rsidRPr="007D5AF3">
        <w:rPr>
          <w:rFonts w:ascii="Calibri" w:hAnsi="Calibri"/>
        </w:rPr>
        <w:t xml:space="preserve"> </w:t>
      </w:r>
      <w:r w:rsidR="00EA0277" w:rsidRPr="00A22F37">
        <w:rPr>
          <w:rFonts w:ascii="Calibri" w:hAnsi="Calibri"/>
          <w:i/>
        </w:rPr>
        <w:t>Assessment of the Ajara Protected Areas’ Ecosystem Service Values and Benefits</w:t>
      </w:r>
      <w:r w:rsidR="00EA0277">
        <w:rPr>
          <w:rFonts w:ascii="Calibri" w:hAnsi="Calibri"/>
        </w:rPr>
        <w:t>, and its companion,</w:t>
      </w:r>
      <w:r w:rsidR="00EA0277" w:rsidRPr="00A22F37">
        <w:rPr>
          <w:rFonts w:ascii="Calibri" w:hAnsi="Calibri"/>
          <w:i/>
        </w:rPr>
        <w:t xml:space="preserve"> Options for Generating Sustainable Revenues for the Target PAs and for Local Communities</w:t>
      </w:r>
      <w:r w:rsidR="00EA0277">
        <w:rPr>
          <w:rFonts w:ascii="Calibri" w:hAnsi="Calibri"/>
        </w:rPr>
        <w:t>, which perhaps for the first time highlight</w:t>
      </w:r>
      <w:r w:rsidR="00EA0277" w:rsidRPr="007D5AF3">
        <w:rPr>
          <w:rFonts w:ascii="Calibri" w:hAnsi="Calibri"/>
        </w:rPr>
        <w:t xml:space="preserve"> the</w:t>
      </w:r>
      <w:r w:rsidR="00EA0277">
        <w:rPr>
          <w:rFonts w:ascii="Calibri" w:hAnsi="Calibri"/>
        </w:rPr>
        <w:t xml:space="preserve"> wider economic importance of Colchic forests in addition to their nature conservation values. Other examples include: </w:t>
      </w:r>
      <w:r w:rsidRPr="007D5AF3">
        <w:rPr>
          <w:rFonts w:ascii="Calibri" w:hAnsi="Calibri"/>
          <w:i/>
        </w:rPr>
        <w:t>Machakhela National Park Management Plan (2017-2023)</w:t>
      </w:r>
      <w:r w:rsidRPr="007D5AF3">
        <w:rPr>
          <w:rFonts w:ascii="Calibri" w:hAnsi="Calibri"/>
        </w:rPr>
        <w:t xml:space="preserve">, </w:t>
      </w:r>
      <w:r w:rsidRPr="007D5AF3">
        <w:rPr>
          <w:rFonts w:ascii="Calibri" w:hAnsi="Calibri"/>
          <w:i/>
        </w:rPr>
        <w:t>Ajara Protected Areas Sustainable Tourism Strategy</w:t>
      </w:r>
      <w:r w:rsidRPr="007D5AF3">
        <w:rPr>
          <w:rFonts w:ascii="Calibri" w:hAnsi="Calibri"/>
        </w:rPr>
        <w:t xml:space="preserve">, a set of </w:t>
      </w:r>
      <w:r w:rsidRPr="007D5AF3">
        <w:rPr>
          <w:rFonts w:ascii="Calibri" w:hAnsi="Calibri"/>
          <w:i/>
        </w:rPr>
        <w:t>Tourism Development Strategies and Action Plans</w:t>
      </w:r>
      <w:r w:rsidRPr="007D5AF3">
        <w:rPr>
          <w:rFonts w:ascii="Calibri" w:hAnsi="Calibri"/>
        </w:rPr>
        <w:t xml:space="preserve"> for each of the target PAs (Kintrishi, Mtirala and Machahela) and a </w:t>
      </w:r>
      <w:r w:rsidRPr="007D5AF3">
        <w:rPr>
          <w:rFonts w:ascii="Calibri" w:hAnsi="Calibri"/>
          <w:i/>
        </w:rPr>
        <w:t>Pilot Route in Machakhela National Park</w:t>
      </w:r>
      <w:r w:rsidRPr="007D5AF3">
        <w:rPr>
          <w:rFonts w:ascii="Calibri" w:hAnsi="Calibri"/>
        </w:rPr>
        <w:t xml:space="preserve"> of recreational interest to visitors while safeguarding the area’s natural and cultural heritage. </w:t>
      </w:r>
    </w:p>
    <w:p w14:paraId="5D36DABB" w14:textId="36AA1AE1" w:rsidR="0069594E" w:rsidRPr="007D5AF3" w:rsidRDefault="0069594E" w:rsidP="0069594E">
      <w:pPr>
        <w:pStyle w:val="BodyText"/>
        <w:rPr>
          <w:rFonts w:ascii="Calibri" w:hAnsi="Calibri"/>
        </w:rPr>
      </w:pPr>
      <w:r w:rsidRPr="007D5AF3">
        <w:rPr>
          <w:rFonts w:ascii="Calibri" w:hAnsi="Calibri"/>
          <w:u w:val="single"/>
        </w:rPr>
        <w:t xml:space="preserve">The </w:t>
      </w:r>
      <w:r w:rsidRPr="007D5AF3">
        <w:rPr>
          <w:rFonts w:ascii="Calibri" w:hAnsi="Calibri"/>
          <w:i/>
          <w:u w:val="single"/>
        </w:rPr>
        <w:t>in situ</w:t>
      </w:r>
      <w:r w:rsidRPr="007D5AF3">
        <w:rPr>
          <w:rFonts w:ascii="Calibri" w:hAnsi="Calibri"/>
          <w:u w:val="single"/>
        </w:rPr>
        <w:t xml:space="preserve"> presence and action-oriented, tangible results of the project have been an outstanding strength of the project</w:t>
      </w:r>
      <w:r w:rsidRPr="007D5AF3">
        <w:rPr>
          <w:rFonts w:ascii="Calibri" w:hAnsi="Calibri"/>
        </w:rPr>
        <w:t xml:space="preserve">, particularly among the communities and also municipalities. It is abundantly clear from the TE field visits that the project has a high, respected profile for facilitating and demonstrating change that can be sustained in ways that improve the environment and/or livelihoods. Under Output 2.3, which focused on establishing operational capacity within Machakhela NP, for example, the project supported the NP </w:t>
      </w:r>
      <w:r w:rsidR="00EA0277" w:rsidRPr="007D5AF3">
        <w:rPr>
          <w:rFonts w:ascii="Calibri" w:hAnsi="Calibri"/>
        </w:rPr>
        <w:t>Administration</w:t>
      </w:r>
      <w:r w:rsidR="00EA0277">
        <w:rPr>
          <w:rFonts w:ascii="Calibri" w:hAnsi="Calibri"/>
        </w:rPr>
        <w:t xml:space="preserve"> to </w:t>
      </w:r>
      <w:r w:rsidR="00EA0277" w:rsidRPr="007D5AF3">
        <w:rPr>
          <w:rFonts w:ascii="Calibri" w:hAnsi="Calibri"/>
        </w:rPr>
        <w:t>renovate its office and a visitor centre</w:t>
      </w:r>
      <w:r w:rsidR="00EA0277">
        <w:rPr>
          <w:rFonts w:ascii="Calibri" w:hAnsi="Calibri"/>
        </w:rPr>
        <w:t>;</w:t>
      </w:r>
      <w:r w:rsidR="00EA0277" w:rsidRPr="007D5AF3">
        <w:rPr>
          <w:rFonts w:ascii="Calibri" w:hAnsi="Calibri"/>
        </w:rPr>
        <w:t xml:space="preserve"> buil</w:t>
      </w:r>
      <w:r w:rsidR="00EA0277">
        <w:rPr>
          <w:rFonts w:ascii="Calibri" w:hAnsi="Calibri"/>
        </w:rPr>
        <w:t>t</w:t>
      </w:r>
      <w:r w:rsidR="00EA0277" w:rsidRPr="007D5AF3">
        <w:rPr>
          <w:rFonts w:ascii="Calibri" w:hAnsi="Calibri"/>
        </w:rPr>
        <w:t xml:space="preserve"> capacity in management plan implementation, GIS</w:t>
      </w:r>
      <w:r w:rsidR="00EA0277">
        <w:rPr>
          <w:rFonts w:ascii="Calibri" w:hAnsi="Calibri"/>
        </w:rPr>
        <w:t xml:space="preserve"> and</w:t>
      </w:r>
      <w:r w:rsidR="00EA0277" w:rsidRPr="007D5AF3">
        <w:rPr>
          <w:rFonts w:ascii="Calibri" w:hAnsi="Calibri"/>
        </w:rPr>
        <w:t xml:space="preserve"> monitoring</w:t>
      </w:r>
      <w:r w:rsidR="00EA0277">
        <w:rPr>
          <w:rFonts w:ascii="Calibri" w:hAnsi="Calibri"/>
        </w:rPr>
        <w:t>;</w:t>
      </w:r>
      <w:r w:rsidR="00EA0277" w:rsidRPr="007D5AF3">
        <w:rPr>
          <w:rFonts w:ascii="Calibri" w:hAnsi="Calibri"/>
        </w:rPr>
        <w:t xml:space="preserve"> outsource</w:t>
      </w:r>
      <w:r w:rsidR="00EA0277">
        <w:rPr>
          <w:rFonts w:ascii="Calibri" w:hAnsi="Calibri"/>
        </w:rPr>
        <w:t>d</w:t>
      </w:r>
      <w:r w:rsidR="00EA0277" w:rsidRPr="007D5AF3">
        <w:rPr>
          <w:rFonts w:ascii="Calibri" w:hAnsi="Calibri"/>
        </w:rPr>
        <w:t xml:space="preserve"> the development of a Tourism Strategy &amp; Action Plan and </w:t>
      </w:r>
      <w:r w:rsidR="00EA0277">
        <w:rPr>
          <w:rFonts w:ascii="Calibri" w:hAnsi="Calibri"/>
        </w:rPr>
        <w:t xml:space="preserve">funded the </w:t>
      </w:r>
      <w:r w:rsidR="00EA0277" w:rsidRPr="007D5AF3">
        <w:rPr>
          <w:rFonts w:ascii="Calibri" w:hAnsi="Calibri"/>
        </w:rPr>
        <w:t>develop</w:t>
      </w:r>
      <w:r w:rsidR="00EA0277">
        <w:rPr>
          <w:rFonts w:ascii="Calibri" w:hAnsi="Calibri"/>
        </w:rPr>
        <w:t>ment of</w:t>
      </w:r>
      <w:r w:rsidR="00EA0277" w:rsidRPr="007D5AF3">
        <w:rPr>
          <w:rFonts w:ascii="Calibri" w:hAnsi="Calibri"/>
        </w:rPr>
        <w:t xml:space="preserve"> tourist trails.</w:t>
      </w:r>
      <w:r w:rsidRPr="007D5AF3">
        <w:rPr>
          <w:rFonts w:ascii="Calibri" w:hAnsi="Calibri"/>
        </w:rPr>
        <w:t xml:space="preserve"> Project actions </w:t>
      </w:r>
      <w:r w:rsidRPr="007D5AF3">
        <w:rPr>
          <w:rFonts w:ascii="Calibri" w:hAnsi="Calibri"/>
        </w:rPr>
        <w:lastRenderedPageBreak/>
        <w:t xml:space="preserve">in the Support Zone, now proposed as a Protected Landscape, included: a participatory process to develop a </w:t>
      </w:r>
      <w:r w:rsidRPr="007D5AF3">
        <w:rPr>
          <w:rFonts w:ascii="Calibri" w:hAnsi="Calibri"/>
          <w:i/>
        </w:rPr>
        <w:t>Support Zone Community Action Plan</w:t>
      </w:r>
      <w:r w:rsidRPr="007D5AF3">
        <w:rPr>
          <w:rFonts w:ascii="Calibri" w:hAnsi="Calibri"/>
        </w:rPr>
        <w:t>, 4 infrastructure projects cost shared with the community (bus-stop shelter, water supply infrastructure and a service centre for funerals, training/capacity building in agriculture, forest management, greenhouses, tourism services and supporting the establishment of 14 cooperatives for bee-keeping, hazelnut cleaning, hay production and a vehicle for transporting produce to markets. Reduction in fuel wood demand by use of alternatives (hazelnut shells, solar, briquettes) was piloted in 16 households and replicated in 65 households the following year (2018).</w:t>
      </w:r>
    </w:p>
    <w:p w14:paraId="1C721D64" w14:textId="36D5EFF2" w:rsidR="0069594E" w:rsidRPr="007D5AF3" w:rsidRDefault="0069594E" w:rsidP="0069594E">
      <w:pPr>
        <w:pStyle w:val="BodyText"/>
        <w:rPr>
          <w:rFonts w:ascii="Calibri" w:hAnsi="Calibri"/>
        </w:rPr>
      </w:pPr>
      <w:r w:rsidRPr="0013571E">
        <w:rPr>
          <w:rFonts w:ascii="Calibri" w:hAnsi="Calibri"/>
          <w:u w:val="single"/>
        </w:rPr>
        <w:t xml:space="preserve">The fact that Achara’s Colchic Forests are being nominated for World Heritage listing in early 2019 is an accolade for all those </w:t>
      </w:r>
      <w:r w:rsidR="0013571E">
        <w:rPr>
          <w:rFonts w:ascii="Calibri" w:hAnsi="Calibri"/>
          <w:u w:val="single"/>
        </w:rPr>
        <w:t xml:space="preserve">project </w:t>
      </w:r>
      <w:r w:rsidRPr="0013571E">
        <w:rPr>
          <w:rFonts w:ascii="Calibri" w:hAnsi="Calibri"/>
          <w:u w:val="single"/>
        </w:rPr>
        <w:t xml:space="preserve">stakeholders in government, NGOs, communities and academia who have contributed their expertise and support to this opportunity to raise the profile of this </w:t>
      </w:r>
      <w:r w:rsidR="0013571E" w:rsidRPr="0013571E">
        <w:rPr>
          <w:rFonts w:ascii="Calibri" w:hAnsi="Calibri"/>
          <w:u w:val="single"/>
        </w:rPr>
        <w:t>property</w:t>
      </w:r>
      <w:r w:rsidR="0013571E">
        <w:rPr>
          <w:rFonts w:ascii="Calibri" w:hAnsi="Calibri"/>
          <w:u w:val="single"/>
        </w:rPr>
        <w:t>’s</w:t>
      </w:r>
      <w:r w:rsidR="0013571E" w:rsidRPr="0013571E">
        <w:rPr>
          <w:rFonts w:ascii="Calibri" w:hAnsi="Calibri"/>
          <w:u w:val="single"/>
        </w:rPr>
        <w:t xml:space="preserve"> </w:t>
      </w:r>
      <w:r w:rsidRPr="0013571E">
        <w:rPr>
          <w:rFonts w:ascii="Calibri" w:hAnsi="Calibri"/>
          <w:u w:val="single"/>
        </w:rPr>
        <w:t xml:space="preserve">globally significant </w:t>
      </w:r>
      <w:r w:rsidR="00EA0277">
        <w:rPr>
          <w:rFonts w:ascii="Calibri" w:hAnsi="Calibri"/>
          <w:u w:val="single"/>
        </w:rPr>
        <w:t>biodiversity</w:t>
      </w:r>
      <w:r w:rsidR="00EA0277" w:rsidRPr="00BA488D">
        <w:rPr>
          <w:rStyle w:val="FootnoteReference"/>
          <w:rFonts w:ascii="Calibri" w:hAnsi="Calibri"/>
          <w:u w:val="single"/>
        </w:rPr>
        <w:footnoteReference w:id="37"/>
      </w:r>
      <w:r w:rsidRPr="00EA0277">
        <w:rPr>
          <w:rFonts w:ascii="Calibri" w:hAnsi="Calibri"/>
        </w:rPr>
        <w:t>.</w:t>
      </w:r>
      <w:r w:rsidRPr="007D5AF3">
        <w:rPr>
          <w:rFonts w:ascii="Calibri" w:hAnsi="Calibri"/>
        </w:rPr>
        <w:t xml:space="preserve"> It is also timely with respect to the end of the GEF project as the heightened awareness of the importance of Colchic Forests will help to maintain the momentum generated by the project to conserve this natural heritage and safeguard its ecosystem services for the benefit of the local communities, visitors and society at large.</w:t>
      </w:r>
    </w:p>
    <w:p w14:paraId="60DE368E" w14:textId="77777777" w:rsidR="0069594E" w:rsidRPr="007D5AF3" w:rsidRDefault="0069594E" w:rsidP="0069594E">
      <w:pPr>
        <w:pStyle w:val="BodyText"/>
        <w:rPr>
          <w:rFonts w:ascii="Calibri" w:hAnsi="Calibri"/>
        </w:rPr>
      </w:pPr>
      <w:r w:rsidRPr="009A08C9">
        <w:rPr>
          <w:rFonts w:ascii="Calibri" w:hAnsi="Calibri"/>
          <w:u w:val="single"/>
        </w:rPr>
        <w:t>Further credit is due to the project for planning its Exit Strategy from the beginning of 2018</w:t>
      </w:r>
      <w:r w:rsidRPr="007D5AF3">
        <w:rPr>
          <w:rFonts w:ascii="Calibri" w:hAnsi="Calibri"/>
        </w:rPr>
        <w:t xml:space="preserve">, one year up front, to help ensure that its achievements in terms of capacities developed, mechanisms and processes initiated, bodies set up and new funds generated are sustained and institutionalised as appropriate. </w:t>
      </w:r>
    </w:p>
    <w:p w14:paraId="47DFCC63" w14:textId="77777777" w:rsidR="0069594E" w:rsidRPr="0014500D" w:rsidRDefault="0069594E" w:rsidP="0057784F">
      <w:pPr>
        <w:pStyle w:val="BodyText"/>
        <w:spacing w:before="240"/>
        <w:rPr>
          <w:rFonts w:ascii="Calibri" w:hAnsi="Calibri"/>
          <w:highlight w:val="lightGray"/>
        </w:rPr>
      </w:pPr>
      <w:r>
        <w:rPr>
          <w:rFonts w:ascii="Calibri" w:hAnsi="Calibri"/>
          <w:highlight w:val="lightGray"/>
        </w:rPr>
        <w:t>MAIN SHORTCOMINGS</w:t>
      </w:r>
    </w:p>
    <w:p w14:paraId="6FB0D3E5" w14:textId="50FE327C" w:rsidR="0069594E" w:rsidRDefault="0069594E" w:rsidP="0069594E">
      <w:pPr>
        <w:pStyle w:val="BodyText"/>
        <w:rPr>
          <w:rFonts w:ascii="Calibri" w:hAnsi="Calibri" w:cs="Corbel"/>
          <w:b/>
        </w:rPr>
      </w:pPr>
      <w:r w:rsidRPr="0094265B">
        <w:rPr>
          <w:rFonts w:ascii="Menlo Bold" w:hAnsi="Menlo Bold" w:cs="Menlo Bold"/>
          <w:b/>
          <w:color w:val="FF0000"/>
        </w:rPr>
        <w:t>✖</w:t>
      </w:r>
      <w:r>
        <w:rPr>
          <w:rFonts w:ascii="Menlo Bold" w:hAnsi="Menlo Bold" w:cs="Menlo Bold"/>
          <w:b/>
          <w:color w:val="FF0000"/>
        </w:rPr>
        <w:t xml:space="preserve"> </w:t>
      </w:r>
      <w:r w:rsidRPr="0013571E">
        <w:rPr>
          <w:rFonts w:ascii="Calibri" w:hAnsi="Calibri"/>
          <w:b/>
          <w:u w:val="single"/>
        </w:rPr>
        <w:t xml:space="preserve">Existing PA policy and legislation </w:t>
      </w:r>
      <w:r w:rsidRPr="0013571E">
        <w:rPr>
          <w:rFonts w:ascii="Calibri" w:hAnsi="Calibri"/>
          <w:u w:val="single"/>
        </w:rPr>
        <w:t>is a significant, over-arching constraint that has limited the project’s achievements</w:t>
      </w:r>
      <w:r w:rsidRPr="0013571E">
        <w:rPr>
          <w:rFonts w:ascii="Calibri" w:hAnsi="Calibri"/>
        </w:rPr>
        <w:t xml:space="preserve">. This was identified as a moderate risk in the ProDoc where it is stated in the table on page 44: ‘Current institutions show limited support for “de-concentration” </w:t>
      </w:r>
      <w:r w:rsidR="00EA0277">
        <w:rPr>
          <w:rFonts w:ascii="Calibri" w:hAnsi="Calibri"/>
        </w:rPr>
        <w:t xml:space="preserve">[of] </w:t>
      </w:r>
      <w:r w:rsidRPr="0013571E">
        <w:rPr>
          <w:rFonts w:ascii="Calibri" w:hAnsi="Calibri"/>
        </w:rPr>
        <w:t xml:space="preserve">management authority to PA Administrations or to changes needed to improve PA management cost-effectiveness.’ This risk features in the SRF for which the assumption is that ‘APA will allow sufficient “de-concentration” of management to allow more adaptive management.’ Cleary this has not happened for whatever reasons, although the current legislation that is now over 20 years old is acknowledged to be a barrier, but the fundamental point highlighted in the ProDoc is that a prerequisite for PA Administrations to successfully implement their management plans is the ability to apply adaptive management. Failure to adapt management in response to implementation realities will compromise both the effectiveness to achieve planned objectives and the cost efficiency of PA actions. PA Administrations currently face two barriers to being able to apply adaptive </w:t>
      </w:r>
      <w:r w:rsidRPr="0013571E">
        <w:rPr>
          <w:rFonts w:ascii="Calibri" w:hAnsi="Calibri" w:cs="Corbel"/>
        </w:rPr>
        <w:t xml:space="preserve">management: a) they lack the capacity, experience and confidence to adapt management in </w:t>
      </w:r>
      <w:r w:rsidRPr="0013571E">
        <w:rPr>
          <w:rFonts w:ascii="Calibri" w:hAnsi="Calibri" w:cs="Corbel"/>
        </w:rPr>
        <w:lastRenderedPageBreak/>
        <w:t xml:space="preserve">response to changing conditions; and b) they lack the opportunity </w:t>
      </w:r>
      <w:r w:rsidR="00EA0277">
        <w:rPr>
          <w:rFonts w:ascii="Calibri" w:hAnsi="Calibri" w:cs="Corbel"/>
        </w:rPr>
        <w:t xml:space="preserve">to do so </w:t>
      </w:r>
      <w:r w:rsidRPr="0013571E">
        <w:rPr>
          <w:rFonts w:ascii="Calibri" w:hAnsi="Calibri" w:cs="Corbel"/>
        </w:rPr>
        <w:t>due to the current highly centralized nature of management planning and operations in Georgia</w:t>
      </w:r>
      <w:r w:rsidR="00EA0277" w:rsidRPr="0066350C">
        <w:rPr>
          <w:rStyle w:val="FootnoteReference"/>
          <w:rFonts w:ascii="Calibri" w:hAnsi="Calibri" w:cs="Corbel"/>
        </w:rPr>
        <w:footnoteReference w:id="38"/>
      </w:r>
      <w:r w:rsidRPr="0066350C">
        <w:rPr>
          <w:rFonts w:ascii="Calibri" w:hAnsi="Calibri" w:cs="Corbel"/>
        </w:rPr>
        <w:t>.</w:t>
      </w:r>
      <w:r w:rsidRPr="0013571E">
        <w:rPr>
          <w:rFonts w:ascii="Calibri" w:hAnsi="Calibri" w:cs="Corbel"/>
        </w:rPr>
        <w:t xml:space="preserve"> </w:t>
      </w:r>
    </w:p>
    <w:p w14:paraId="6DBDE18A" w14:textId="0D7CD0BA" w:rsidR="0069594E" w:rsidRPr="0013571E" w:rsidRDefault="0069594E" w:rsidP="0069594E">
      <w:pPr>
        <w:pStyle w:val="BodyText"/>
        <w:rPr>
          <w:rFonts w:ascii="Calibri" w:hAnsi="Calibri" w:cs="Corbel"/>
        </w:rPr>
      </w:pPr>
      <w:r w:rsidRPr="0013571E">
        <w:rPr>
          <w:rFonts w:ascii="Calibri" w:hAnsi="Calibri" w:cs="Corbel"/>
        </w:rPr>
        <w:t xml:space="preserve">While the project has been able to address barrier (a) to some extent through training and other forms of capacity building, barrier (b) persists and PA Administrations continue to have little of no autonomy, with no decision-making powers delegated to them or their board and no direct access to or control over their budgets. </w:t>
      </w:r>
      <w:r w:rsidRPr="0013571E">
        <w:rPr>
          <w:rFonts w:ascii="Calibri" w:hAnsi="Calibri" w:cs="Corbel"/>
          <w:u w:val="single"/>
        </w:rPr>
        <w:t>This is crippling effective and efficient PA management</w:t>
      </w:r>
      <w:r w:rsidRPr="0013571E">
        <w:rPr>
          <w:rFonts w:ascii="Calibri" w:hAnsi="Calibri" w:cs="Corbel"/>
        </w:rPr>
        <w:t xml:space="preserve"> and undermining the value and potential of other investments in individual PAs and the PA network as a whole.</w:t>
      </w:r>
      <w:r w:rsidRPr="0013571E">
        <w:rPr>
          <w:rFonts w:ascii="Calibri" w:hAnsi="Calibri"/>
        </w:rPr>
        <w:t xml:space="preserve"> [</w:t>
      </w:r>
      <w:r w:rsidRPr="0013571E">
        <w:rPr>
          <w:rFonts w:ascii="Calibri" w:hAnsi="Calibri"/>
          <w:b/>
        </w:rPr>
        <w:t>Section 4.3</w:t>
      </w:r>
      <w:r w:rsidRPr="0013571E">
        <w:rPr>
          <w:rFonts w:ascii="Calibri" w:hAnsi="Calibri"/>
        </w:rPr>
        <w:t>]</w:t>
      </w:r>
    </w:p>
    <w:p w14:paraId="288253F6" w14:textId="77777777" w:rsidR="0069594E" w:rsidRDefault="0069594E" w:rsidP="0069594E">
      <w:pPr>
        <w:pStyle w:val="BodyText"/>
        <w:rPr>
          <w:rFonts w:ascii="Calibri" w:hAnsi="Calibri"/>
          <w:b/>
        </w:rPr>
      </w:pPr>
      <w:r w:rsidRPr="0094265B">
        <w:rPr>
          <w:rFonts w:ascii="Menlo Bold" w:hAnsi="Menlo Bold" w:cs="Menlo Bold"/>
          <w:b/>
          <w:color w:val="FF0000"/>
        </w:rPr>
        <w:t>✖</w:t>
      </w:r>
      <w:r>
        <w:rPr>
          <w:rFonts w:ascii="Menlo Bold" w:hAnsi="Menlo Bold" w:cs="Menlo Bold"/>
          <w:b/>
          <w:color w:val="FF0000"/>
        </w:rPr>
        <w:t xml:space="preserve"> </w:t>
      </w:r>
      <w:r w:rsidRPr="0013571E">
        <w:rPr>
          <w:rFonts w:ascii="Calibri" w:hAnsi="Calibri"/>
          <w:b/>
        </w:rPr>
        <w:t>Project Design - Strategic Results Framework</w:t>
      </w:r>
      <w:r w:rsidRPr="0013571E">
        <w:rPr>
          <w:rFonts w:ascii="Calibri" w:hAnsi="Calibri"/>
        </w:rPr>
        <w:t xml:space="preserve"> is weak on a number of accounts:</w:t>
      </w:r>
    </w:p>
    <w:p w14:paraId="2ADBBC57" w14:textId="77777777" w:rsidR="0069594E" w:rsidRDefault="0069594E" w:rsidP="0069594E">
      <w:pPr>
        <w:pStyle w:val="BodyText"/>
        <w:ind w:left="284"/>
        <w:rPr>
          <w:rFonts w:ascii="Calibri" w:hAnsi="Calibri"/>
          <w:b/>
        </w:rPr>
      </w:pPr>
      <w:r w:rsidRPr="006E20E1">
        <w:rPr>
          <w:rFonts w:ascii="Menlo Bold" w:hAnsi="Menlo Bold" w:cs="Menlo Bold"/>
          <w:b/>
          <w:color w:val="FF0000"/>
        </w:rPr>
        <w:t>✖</w:t>
      </w:r>
      <w:r>
        <w:rPr>
          <w:rFonts w:ascii="Calibri" w:hAnsi="Calibri"/>
          <w:b/>
        </w:rPr>
        <w:tab/>
      </w:r>
      <w:r w:rsidRPr="0013571E">
        <w:rPr>
          <w:rFonts w:ascii="Calibri" w:hAnsi="Calibri"/>
        </w:rPr>
        <w:t>Outcomes 1 and 2 are not clearly differentiated. Ostensibly, Outcome 1 covers the enhancement of effective management of Kintrishi and Mtirala, while Outcome 2 is focused on increasing functional connectivity by expanding the system with the addition of functional Machakhela NP. In all other respects inputs to and outputs from the two Outcomes are much the same; and the increase in functional connectivity under Outcome 2 is somewhat disingenuous: it is no more than a stepping stone to reduce the gap between two fragments of Colchic Forest. The opportunity to close the 6 km gap through appropriate sustainable land management and/or habitat recovery practices appears not to have been explored.</w:t>
      </w:r>
    </w:p>
    <w:p w14:paraId="4AD52361" w14:textId="592BEE05" w:rsidR="0069594E" w:rsidRDefault="0069594E" w:rsidP="0069594E">
      <w:pPr>
        <w:pStyle w:val="BodyText"/>
        <w:ind w:left="284"/>
        <w:rPr>
          <w:rFonts w:ascii="Calibri" w:hAnsi="Calibri"/>
          <w:b/>
        </w:rPr>
      </w:pPr>
      <w:r w:rsidRPr="006E20E1">
        <w:rPr>
          <w:rFonts w:ascii="Menlo Bold" w:hAnsi="Menlo Bold" w:cs="Menlo Bold"/>
          <w:b/>
          <w:color w:val="FF0000"/>
        </w:rPr>
        <w:t>✖</w:t>
      </w:r>
      <w:r>
        <w:rPr>
          <w:rFonts w:ascii="Calibri" w:hAnsi="Calibri"/>
          <w:b/>
        </w:rPr>
        <w:tab/>
      </w:r>
      <w:r w:rsidRPr="0013571E">
        <w:rPr>
          <w:rFonts w:ascii="Calibri" w:hAnsi="Calibri"/>
        </w:rPr>
        <w:t>While baseline indicators adequately cover the project objective, their alignment with outcomes is inconsistent and in two cases there is major overlap between Objective and Outcome 2 indicators. Moreover, Component 1 is monitored by just two indicators, both of which focus on the same Output 1.1 (enforcement) and are somewhat duplicative. However, the bigger issue is that the other two outputs on community involvement in PAs co-management and financial sustainability</w:t>
      </w:r>
      <w:r w:rsidR="0013571E">
        <w:rPr>
          <w:rFonts w:ascii="Calibri" w:hAnsi="Calibri"/>
        </w:rPr>
        <w:t xml:space="preserve"> of PAs are not tracked at all. </w:t>
      </w:r>
      <w:r w:rsidR="0013571E" w:rsidRPr="0013571E">
        <w:rPr>
          <w:rFonts w:ascii="Calibri" w:hAnsi="Calibri"/>
          <w:b/>
        </w:rPr>
        <w:t>[</w:t>
      </w:r>
      <w:r w:rsidRPr="0013571E">
        <w:rPr>
          <w:rFonts w:ascii="Calibri" w:hAnsi="Calibri"/>
          <w:b/>
        </w:rPr>
        <w:t>Section</w:t>
      </w:r>
      <w:r w:rsidR="0013571E" w:rsidRPr="0013571E">
        <w:rPr>
          <w:rFonts w:ascii="Calibri" w:hAnsi="Calibri"/>
          <w:b/>
        </w:rPr>
        <w:t>s</w:t>
      </w:r>
      <w:r w:rsidRPr="0013571E">
        <w:rPr>
          <w:rFonts w:ascii="Calibri" w:hAnsi="Calibri"/>
          <w:b/>
        </w:rPr>
        <w:t xml:space="preserve"> </w:t>
      </w:r>
      <w:r w:rsidR="0013571E" w:rsidRPr="0013571E">
        <w:rPr>
          <w:rFonts w:ascii="Calibri" w:hAnsi="Calibri"/>
          <w:b/>
        </w:rPr>
        <w:t xml:space="preserve">2.4, </w:t>
      </w:r>
      <w:r w:rsidRPr="0013571E">
        <w:rPr>
          <w:rFonts w:ascii="Calibri" w:hAnsi="Calibri"/>
          <w:b/>
        </w:rPr>
        <w:t>3.1.1</w:t>
      </w:r>
      <w:r w:rsidR="0013571E" w:rsidRPr="0013571E">
        <w:rPr>
          <w:rFonts w:ascii="Calibri" w:hAnsi="Calibri"/>
          <w:b/>
        </w:rPr>
        <w:t>]</w:t>
      </w:r>
    </w:p>
    <w:p w14:paraId="6DBB2EE8" w14:textId="20410F68" w:rsidR="0069594E" w:rsidRDefault="0069594E" w:rsidP="0069594E">
      <w:pPr>
        <w:pStyle w:val="BodyText"/>
        <w:ind w:left="284"/>
        <w:rPr>
          <w:rFonts w:ascii="Calibri" w:hAnsi="Calibri"/>
          <w:b/>
        </w:rPr>
      </w:pPr>
      <w:r w:rsidRPr="006E20E1">
        <w:rPr>
          <w:rFonts w:ascii="Menlo Bold" w:hAnsi="Menlo Bold" w:cs="Menlo Bold"/>
          <w:b/>
          <w:color w:val="FF0000"/>
        </w:rPr>
        <w:t>✖</w:t>
      </w:r>
      <w:r>
        <w:rPr>
          <w:rFonts w:ascii="Calibri" w:hAnsi="Calibri"/>
          <w:b/>
        </w:rPr>
        <w:tab/>
      </w:r>
      <w:r w:rsidRPr="0057784F">
        <w:rPr>
          <w:rFonts w:ascii="Calibri" w:hAnsi="Calibri"/>
        </w:rPr>
        <w:t>The risks and assumptions articulated in the ProDoc are not clearly integrated with the SRF, indeed several are absent; and, maybe as a consequence, their subsequent systematic review and reporting during project implementation appears weak, undermining the fact that they were well managed</w:t>
      </w:r>
      <w:r w:rsidR="0057784F">
        <w:rPr>
          <w:rFonts w:ascii="Calibri" w:hAnsi="Calibri"/>
        </w:rPr>
        <w:t>.</w:t>
      </w:r>
      <w:r w:rsidRPr="0057784F">
        <w:rPr>
          <w:rFonts w:ascii="Calibri" w:hAnsi="Calibri"/>
        </w:rPr>
        <w:t xml:space="preserve"> </w:t>
      </w:r>
      <w:r w:rsidR="0057784F">
        <w:rPr>
          <w:rFonts w:ascii="Calibri" w:hAnsi="Calibri"/>
        </w:rPr>
        <w:t>[</w:t>
      </w:r>
      <w:r w:rsidRPr="0057784F">
        <w:rPr>
          <w:rFonts w:ascii="Calibri" w:hAnsi="Calibri"/>
          <w:b/>
        </w:rPr>
        <w:t>Section 3.1.2</w:t>
      </w:r>
      <w:r w:rsidR="0057784F">
        <w:rPr>
          <w:rFonts w:ascii="Calibri" w:hAnsi="Calibri"/>
        </w:rPr>
        <w:t>]</w:t>
      </w:r>
    </w:p>
    <w:p w14:paraId="395FC82F" w14:textId="258EAE93" w:rsidR="0069594E" w:rsidRPr="0057784F" w:rsidRDefault="0069594E" w:rsidP="002521D4">
      <w:pPr>
        <w:pStyle w:val="Heading2"/>
        <w:numPr>
          <w:ilvl w:val="1"/>
          <w:numId w:val="8"/>
        </w:numPr>
        <w:spacing w:before="240" w:after="120" w:line="240" w:lineRule="auto"/>
        <w:ind w:left="567" w:hanging="556"/>
        <w:rPr>
          <w:rFonts w:asciiTheme="minorHAnsi" w:hAnsiTheme="minorHAnsi" w:cs="Calibri"/>
          <w:b/>
          <w:caps w:val="0"/>
          <w:sz w:val="28"/>
        </w:rPr>
      </w:pPr>
      <w:bookmarkStart w:id="161" w:name="_Toc414745344"/>
      <w:r w:rsidRPr="0057784F">
        <w:rPr>
          <w:rFonts w:asciiTheme="minorHAnsi" w:hAnsiTheme="minorHAnsi" w:cs="Calibri"/>
          <w:b/>
          <w:caps w:val="0"/>
          <w:sz w:val="28"/>
        </w:rPr>
        <w:t>Recommendations</w:t>
      </w:r>
      <w:bookmarkEnd w:id="161"/>
    </w:p>
    <w:p w14:paraId="3E7DBCC8" w14:textId="78C00B29" w:rsidR="00A2005B" w:rsidRPr="00A2005B" w:rsidRDefault="00A2005B" w:rsidP="00A2005B">
      <w:pPr>
        <w:pStyle w:val="BodyText"/>
        <w:overflowPunct/>
        <w:autoSpaceDE/>
        <w:autoSpaceDN/>
        <w:adjustRightInd/>
        <w:textAlignment w:val="auto"/>
        <w:rPr>
          <w:rFonts w:ascii="Calibri" w:hAnsi="Calibri"/>
          <w:i/>
        </w:rPr>
      </w:pPr>
      <w:r w:rsidRPr="00A2005B">
        <w:rPr>
          <w:rFonts w:ascii="Calibri" w:hAnsi="Calibri"/>
          <w:b/>
          <w:i/>
        </w:rPr>
        <w:t>Note:</w:t>
      </w:r>
      <w:r>
        <w:rPr>
          <w:rFonts w:ascii="Calibri" w:hAnsi="Calibri"/>
        </w:rPr>
        <w:t xml:space="preserve"> </w:t>
      </w:r>
      <w:r w:rsidRPr="00A2005B">
        <w:rPr>
          <w:rFonts w:ascii="Calibri" w:hAnsi="Calibri"/>
          <w:i/>
        </w:rPr>
        <w:t>Lead agencies are indicated in square brackets for each recommendation</w:t>
      </w:r>
    </w:p>
    <w:p w14:paraId="5BEE6C3D" w14:textId="4D2326EE" w:rsidR="006117C8" w:rsidRDefault="006117C8" w:rsidP="00991B6C">
      <w:pPr>
        <w:pStyle w:val="BodyText"/>
        <w:numPr>
          <w:ilvl w:val="0"/>
          <w:numId w:val="30"/>
        </w:numPr>
        <w:overflowPunct/>
        <w:autoSpaceDE/>
        <w:autoSpaceDN/>
        <w:adjustRightInd/>
        <w:textAlignment w:val="auto"/>
        <w:rPr>
          <w:rFonts w:ascii="Calibri" w:hAnsi="Calibri"/>
        </w:rPr>
      </w:pPr>
      <w:r>
        <w:rPr>
          <w:rFonts w:ascii="Calibri" w:hAnsi="Calibri"/>
          <w:b/>
        </w:rPr>
        <w:t>[UNDP] In general,</w:t>
      </w:r>
      <w:r w:rsidRPr="00EF0435">
        <w:rPr>
          <w:rFonts w:ascii="Calibri" w:hAnsi="Calibri"/>
          <w:b/>
        </w:rPr>
        <w:t xml:space="preserve"> </w:t>
      </w:r>
      <w:r w:rsidRPr="00894432">
        <w:rPr>
          <w:rFonts w:ascii="Calibri" w:hAnsi="Calibri"/>
        </w:rPr>
        <w:t>now that the project’s T</w:t>
      </w:r>
      <w:r>
        <w:rPr>
          <w:rFonts w:ascii="Calibri" w:hAnsi="Calibri"/>
        </w:rPr>
        <w:t>echnical Coordination Group is over,</w:t>
      </w:r>
      <w:r w:rsidRPr="00894432">
        <w:rPr>
          <w:rFonts w:ascii="Calibri" w:hAnsi="Calibri"/>
        </w:rPr>
        <w:t xml:space="preserve"> </w:t>
      </w:r>
      <w:r>
        <w:rPr>
          <w:rFonts w:ascii="Calibri" w:hAnsi="Calibri"/>
        </w:rPr>
        <w:t>i</w:t>
      </w:r>
      <w:r w:rsidRPr="00EF0435">
        <w:rPr>
          <w:rFonts w:ascii="Calibri" w:hAnsi="Calibri"/>
        </w:rPr>
        <w:t xml:space="preserve">t is proposed that an appropriate way of taking forward some of the recommendations below would be to </w:t>
      </w:r>
      <w:r>
        <w:rPr>
          <w:rFonts w:ascii="Calibri" w:hAnsi="Calibri"/>
        </w:rPr>
        <w:t xml:space="preserve">bring them </w:t>
      </w:r>
      <w:r w:rsidRPr="00EF0435">
        <w:rPr>
          <w:rFonts w:ascii="Calibri" w:hAnsi="Calibri"/>
        </w:rPr>
        <w:t xml:space="preserve">to the </w:t>
      </w:r>
      <w:r>
        <w:rPr>
          <w:rFonts w:ascii="Calibri" w:hAnsi="Calibri"/>
        </w:rPr>
        <w:t xml:space="preserve">attention of the Technical Coordination platform that UNDP facilitates on behalf of the donor community. </w:t>
      </w:r>
      <w:r w:rsidRPr="00EF0435">
        <w:rPr>
          <w:rFonts w:ascii="Calibri" w:hAnsi="Calibri"/>
        </w:rPr>
        <w:t>T</w:t>
      </w:r>
      <w:r>
        <w:rPr>
          <w:rFonts w:ascii="Calibri" w:hAnsi="Calibri"/>
        </w:rPr>
        <w:t>his</w:t>
      </w:r>
      <w:r w:rsidRPr="00EF0435">
        <w:rPr>
          <w:rFonts w:ascii="Calibri" w:hAnsi="Calibri"/>
        </w:rPr>
        <w:t xml:space="preserve"> </w:t>
      </w:r>
      <w:r>
        <w:rPr>
          <w:rFonts w:ascii="Calibri" w:hAnsi="Calibri"/>
        </w:rPr>
        <w:t>c</w:t>
      </w:r>
      <w:r w:rsidRPr="00EF0435">
        <w:rPr>
          <w:rFonts w:ascii="Calibri" w:hAnsi="Calibri"/>
        </w:rPr>
        <w:t xml:space="preserve">ould provide an appropriate </w:t>
      </w:r>
      <w:r>
        <w:rPr>
          <w:rFonts w:ascii="Calibri" w:hAnsi="Calibri"/>
        </w:rPr>
        <w:t>opportunity</w:t>
      </w:r>
      <w:r w:rsidRPr="00EF0435">
        <w:rPr>
          <w:rFonts w:ascii="Calibri" w:hAnsi="Calibri"/>
        </w:rPr>
        <w:t xml:space="preserve"> </w:t>
      </w:r>
      <w:r>
        <w:rPr>
          <w:rFonts w:ascii="Calibri" w:hAnsi="Calibri"/>
        </w:rPr>
        <w:t xml:space="preserve">to </w:t>
      </w:r>
      <w:r w:rsidRPr="00EF0435">
        <w:rPr>
          <w:rFonts w:ascii="Calibri" w:hAnsi="Calibri"/>
        </w:rPr>
        <w:t xml:space="preserve">consider further how </w:t>
      </w:r>
      <w:r>
        <w:rPr>
          <w:rFonts w:ascii="Calibri" w:hAnsi="Calibri"/>
        </w:rPr>
        <w:t xml:space="preserve">some of </w:t>
      </w:r>
      <w:r w:rsidRPr="00EF0435">
        <w:rPr>
          <w:rFonts w:ascii="Calibri" w:hAnsi="Calibri"/>
        </w:rPr>
        <w:t>these actions might be</w:t>
      </w:r>
      <w:r>
        <w:rPr>
          <w:rFonts w:ascii="Calibri" w:hAnsi="Calibri"/>
        </w:rPr>
        <w:t xml:space="preserve"> institutionalized/resourced.</w:t>
      </w:r>
    </w:p>
    <w:p w14:paraId="003E090F" w14:textId="0D7F4E15" w:rsidR="006C3D80" w:rsidRDefault="0069594E" w:rsidP="00BA488D">
      <w:pPr>
        <w:pStyle w:val="BodyText"/>
        <w:overflowPunct/>
        <w:autoSpaceDE/>
        <w:autoSpaceDN/>
        <w:adjustRightInd/>
        <w:textAlignment w:val="auto"/>
        <w:rPr>
          <w:highlight w:val="lightGray"/>
        </w:rPr>
      </w:pPr>
      <w:r w:rsidRPr="00EF0435">
        <w:rPr>
          <w:rFonts w:ascii="Calibri" w:hAnsi="Calibri"/>
        </w:rPr>
        <w:t>In practice, a relatively small amount of grant aid may be sufficient to leverage additional co</w:t>
      </w:r>
      <w:r w:rsidR="009A08C9">
        <w:rPr>
          <w:rFonts w:ascii="Calibri" w:hAnsi="Calibri"/>
        </w:rPr>
        <w:t>-</w:t>
      </w:r>
      <w:r w:rsidRPr="00EF0435">
        <w:rPr>
          <w:rFonts w:ascii="Calibri" w:hAnsi="Calibri"/>
        </w:rPr>
        <w:t xml:space="preserve">financing sufficient to address most of the recommendation and thereby ensure that the momentum generated by the project is strategically channelled/mainstreamed in the right directions among interested parties (budget holders) and not left to dissipate in a vacuum. If </w:t>
      </w:r>
      <w:r w:rsidRPr="00EF0435">
        <w:rPr>
          <w:rFonts w:ascii="Calibri" w:hAnsi="Calibri"/>
        </w:rPr>
        <w:lastRenderedPageBreak/>
        <w:t>this recommendation gains traction</w:t>
      </w:r>
      <w:r w:rsidR="006117C8">
        <w:rPr>
          <w:rFonts w:ascii="Calibri" w:hAnsi="Calibri"/>
        </w:rPr>
        <w:t>,</w:t>
      </w:r>
      <w:r w:rsidR="006117C8" w:rsidRPr="006117C8">
        <w:rPr>
          <w:rFonts w:ascii="Calibri" w:hAnsi="Calibri"/>
        </w:rPr>
        <w:t xml:space="preserve"> </w:t>
      </w:r>
      <w:r w:rsidR="006117C8">
        <w:rPr>
          <w:rFonts w:ascii="Calibri" w:hAnsi="Calibri"/>
        </w:rPr>
        <w:t>national and r</w:t>
      </w:r>
      <w:r w:rsidR="006117C8" w:rsidRPr="00EF0435">
        <w:rPr>
          <w:rFonts w:ascii="Calibri" w:hAnsi="Calibri"/>
        </w:rPr>
        <w:t xml:space="preserve">egional </w:t>
      </w:r>
      <w:r w:rsidR="006117C8">
        <w:rPr>
          <w:rFonts w:ascii="Calibri" w:hAnsi="Calibri"/>
        </w:rPr>
        <w:t>g</w:t>
      </w:r>
      <w:r w:rsidR="006117C8" w:rsidRPr="00EF0435">
        <w:rPr>
          <w:rFonts w:ascii="Calibri" w:hAnsi="Calibri"/>
        </w:rPr>
        <w:t>overnment</w:t>
      </w:r>
      <w:r w:rsidR="006117C8">
        <w:rPr>
          <w:rFonts w:ascii="Calibri" w:hAnsi="Calibri"/>
        </w:rPr>
        <w:t>s</w:t>
      </w:r>
      <w:r w:rsidR="006117C8" w:rsidRPr="00EF0435">
        <w:rPr>
          <w:rFonts w:ascii="Calibri" w:hAnsi="Calibri"/>
        </w:rPr>
        <w:t xml:space="preserve"> </w:t>
      </w:r>
      <w:r w:rsidR="006117C8">
        <w:rPr>
          <w:rFonts w:ascii="Calibri" w:hAnsi="Calibri"/>
        </w:rPr>
        <w:t xml:space="preserve">(as appropriate) should </w:t>
      </w:r>
      <w:r w:rsidR="006117C8" w:rsidRPr="00EF0435">
        <w:rPr>
          <w:rFonts w:ascii="Calibri" w:hAnsi="Calibri"/>
        </w:rPr>
        <w:t xml:space="preserve">be invited to </w:t>
      </w:r>
      <w:r w:rsidR="006117C8">
        <w:rPr>
          <w:rFonts w:ascii="Calibri" w:hAnsi="Calibri"/>
        </w:rPr>
        <w:t>consider cofinancing given their strong interest in Colchic Forest</w:t>
      </w:r>
      <w:r w:rsidR="006117C8" w:rsidRPr="00EF0435">
        <w:rPr>
          <w:rFonts w:ascii="Calibri" w:hAnsi="Calibri"/>
        </w:rPr>
        <w:t>.</w:t>
      </w:r>
    </w:p>
    <w:p w14:paraId="5CBC859B" w14:textId="617B8D89" w:rsidR="0069594E" w:rsidRPr="0091687A" w:rsidRDefault="0091687A" w:rsidP="0091687A">
      <w:pPr>
        <w:pStyle w:val="BodyText"/>
        <w:spacing w:before="240"/>
        <w:rPr>
          <w:rFonts w:ascii="Calibri" w:hAnsi="Calibri"/>
          <w:highlight w:val="lightGray"/>
        </w:rPr>
      </w:pPr>
      <w:r w:rsidRPr="0091687A">
        <w:rPr>
          <w:rFonts w:ascii="Calibri" w:hAnsi="Calibri"/>
          <w:highlight w:val="lightGray"/>
        </w:rPr>
        <w:t>ACTIONS TO FOLLOW UP OR REINFORCE INITIAL BENEFITS FROM THE PROJECT</w:t>
      </w:r>
    </w:p>
    <w:p w14:paraId="475E7183" w14:textId="5842781C" w:rsidR="0069594E" w:rsidRDefault="006117C8" w:rsidP="00991B6C">
      <w:pPr>
        <w:pStyle w:val="BodyText"/>
        <w:numPr>
          <w:ilvl w:val="0"/>
          <w:numId w:val="30"/>
        </w:numPr>
        <w:overflowPunct/>
        <w:autoSpaceDE/>
        <w:autoSpaceDN/>
        <w:adjustRightInd/>
        <w:textAlignment w:val="auto"/>
        <w:rPr>
          <w:rFonts w:ascii="Calibri" w:hAnsi="Calibri"/>
        </w:rPr>
      </w:pPr>
      <w:r>
        <w:rPr>
          <w:rFonts w:ascii="Calibri" w:hAnsi="Calibri"/>
          <w:b/>
        </w:rPr>
        <w:t>[UNDP] Proposed Machakhela Protected Landscape</w:t>
      </w:r>
      <w:r w:rsidR="0069594E" w:rsidRPr="00EF0435">
        <w:rPr>
          <w:rFonts w:ascii="Calibri" w:hAnsi="Calibri"/>
          <w:b/>
        </w:rPr>
        <w:t>:</w:t>
      </w:r>
      <w:r w:rsidR="0069594E">
        <w:rPr>
          <w:rFonts w:ascii="Calibri" w:hAnsi="Calibri"/>
          <w:b/>
        </w:rPr>
        <w:t xml:space="preserve"> </w:t>
      </w:r>
      <w:r w:rsidR="0069594E" w:rsidRPr="00EF0435">
        <w:rPr>
          <w:rFonts w:ascii="Calibri" w:hAnsi="Calibri"/>
        </w:rPr>
        <w:t xml:space="preserve">Fundamentally most important is to designate the Lower Valleys of Machakhela Gorge as a protected landscape during the early part of 2019, in line with the extensive research, consultation and consensus generated by the project during the latter part of its term. </w:t>
      </w:r>
      <w:r>
        <w:rPr>
          <w:rFonts w:ascii="Calibri" w:hAnsi="Calibri"/>
        </w:rPr>
        <w:t>UNDP is well placed to continue to follow up with national and regional governments, as appropriate, through its Czech-funded initiative that is supported the development of a management plan for the proposed Machakhela Protected Landscape. If technical problems are delaying the designation of this Protected Landscape, it may be appropriate to explore whether or not technical assistance would be welcomed by government and, if so, whether or not the Czech Government would be amenable to extending their present support in order to maintain the momentum and realize this objective,</w:t>
      </w:r>
      <w:r w:rsidR="0069594E" w:rsidRPr="00EF0435">
        <w:rPr>
          <w:rFonts w:ascii="Calibri" w:hAnsi="Calibri"/>
        </w:rPr>
        <w:t xml:space="preserve"> to which so many stakeholders in government (national, regional, municipal and PA Administrations), among the communities in Machakhe</w:t>
      </w:r>
      <w:r w:rsidR="00E368B2">
        <w:rPr>
          <w:rFonts w:ascii="Calibri" w:hAnsi="Calibri"/>
        </w:rPr>
        <w:t>la and donors have contributed.</w:t>
      </w:r>
    </w:p>
    <w:p w14:paraId="7F85FAFC" w14:textId="4AB81820" w:rsidR="00E368B2" w:rsidRPr="00E368B2" w:rsidRDefault="006117C8" w:rsidP="00E368B2">
      <w:pPr>
        <w:pStyle w:val="BodyText"/>
        <w:overflowPunct/>
        <w:autoSpaceDE/>
        <w:autoSpaceDN/>
        <w:adjustRightInd/>
        <w:textAlignment w:val="auto"/>
        <w:rPr>
          <w:rFonts w:ascii="Calibri" w:hAnsi="Calibri"/>
        </w:rPr>
      </w:pPr>
      <w:r>
        <w:rPr>
          <w:rFonts w:ascii="Calibri" w:hAnsi="Calibri"/>
        </w:rPr>
        <w:t>A further consideration, assuming that the designation and establishment of Machakhela PL will be realised:  i</w:t>
      </w:r>
      <w:r w:rsidR="00E368B2">
        <w:rPr>
          <w:rFonts w:ascii="Calibri" w:hAnsi="Calibri"/>
        </w:rPr>
        <w:t>t is strongly recommended that a coordinating mechanism be established between the NP and PL, particularly given that the two PAs will be under different management bodies, APA and Khelvachauri Municipality, respectively. Additionally, it would be appropriate to set up a stakeholder forum for the Machakhela Gorge that would embrace</w:t>
      </w:r>
      <w:r w:rsidR="00742110">
        <w:rPr>
          <w:rFonts w:ascii="Calibri" w:hAnsi="Calibri"/>
        </w:rPr>
        <w:t xml:space="preserve"> the interests of all those living and working in the PAs and the respective sectors of local, regional and national government involved in their administration and servicing their needs (health, education, welfare, energy, environment, agriculture, waste, tourism etc.). This would also be beneficial for the </w:t>
      </w:r>
      <w:r>
        <w:rPr>
          <w:rFonts w:ascii="Calibri" w:hAnsi="Calibri"/>
        </w:rPr>
        <w:t xml:space="preserve">long-term </w:t>
      </w:r>
      <w:r w:rsidR="00742110">
        <w:rPr>
          <w:rFonts w:ascii="Calibri" w:hAnsi="Calibri"/>
        </w:rPr>
        <w:t xml:space="preserve">future, should stakeholders ever </w:t>
      </w:r>
      <w:r w:rsidR="00A70854">
        <w:rPr>
          <w:rFonts w:ascii="Calibri" w:hAnsi="Calibri"/>
        </w:rPr>
        <w:t xml:space="preserve">it appropriate to nominate the Gorge for Biosphere Reserve status (see </w:t>
      </w:r>
      <w:r w:rsidR="00A70854">
        <w:rPr>
          <w:rFonts w:ascii="Calibri" w:hAnsi="Calibri"/>
          <w:b/>
        </w:rPr>
        <w:t>Recommendation 10)</w:t>
      </w:r>
      <w:r w:rsidR="00A70854">
        <w:rPr>
          <w:rFonts w:ascii="Calibri" w:hAnsi="Calibri"/>
        </w:rPr>
        <w:t>. These actions could be followed up in the event of any extension to the Czech support.</w:t>
      </w:r>
    </w:p>
    <w:p w14:paraId="0D357F24" w14:textId="3CF95EB4" w:rsidR="0069594E" w:rsidRDefault="00A70854" w:rsidP="00991B6C">
      <w:pPr>
        <w:pStyle w:val="BodyText"/>
        <w:numPr>
          <w:ilvl w:val="0"/>
          <w:numId w:val="30"/>
        </w:numPr>
        <w:overflowPunct/>
        <w:autoSpaceDE/>
        <w:autoSpaceDN/>
        <w:adjustRightInd/>
        <w:textAlignment w:val="auto"/>
        <w:rPr>
          <w:rFonts w:ascii="Calibri" w:hAnsi="Calibri"/>
          <w:b/>
        </w:rPr>
      </w:pPr>
      <w:r>
        <w:rPr>
          <w:rFonts w:ascii="Calibri" w:hAnsi="Calibri"/>
          <w:b/>
        </w:rPr>
        <w:t xml:space="preserve">[UNDP] Staff retention and continuity within APA </w:t>
      </w:r>
      <w:r w:rsidR="0069594E" w:rsidRPr="0091687A">
        <w:rPr>
          <w:rFonts w:ascii="Calibri" w:hAnsi="Calibri"/>
        </w:rPr>
        <w:t>is an issue that impacted on the project and is likely to remain so in the immediate future</w:t>
      </w:r>
      <w:r>
        <w:rPr>
          <w:rFonts w:ascii="Calibri" w:hAnsi="Calibri"/>
        </w:rPr>
        <w:t>. S</w:t>
      </w:r>
      <w:r w:rsidR="0069594E" w:rsidRPr="0091687A">
        <w:rPr>
          <w:rFonts w:ascii="Calibri" w:hAnsi="Calibri"/>
        </w:rPr>
        <w:t>ome measures are in place to increase staff salaries annually until they are comparable with those in other government sectors. Additionally, in agreement with APA, for some years CNF has been supplementing staff salaries</w:t>
      </w:r>
      <w:r w:rsidRPr="00A70854">
        <w:rPr>
          <w:rFonts w:ascii="Calibri" w:hAnsi="Calibri"/>
        </w:rPr>
        <w:t xml:space="preserve"> </w:t>
      </w:r>
      <w:r>
        <w:rPr>
          <w:rFonts w:ascii="Calibri" w:hAnsi="Calibri"/>
        </w:rPr>
        <w:t>within NP Administrations to help counter the seepage of rangers and other staff seeking better salaries.</w:t>
      </w:r>
      <w:r w:rsidR="0069594E" w:rsidRPr="0091687A">
        <w:rPr>
          <w:rFonts w:ascii="Calibri" w:hAnsi="Calibri"/>
        </w:rPr>
        <w:t xml:space="preserve"> </w:t>
      </w:r>
      <w:r>
        <w:rPr>
          <w:rFonts w:ascii="Calibri" w:hAnsi="Calibri"/>
        </w:rPr>
        <w:t>UNDP is well placed among these partners to strongly advocate, as necessary, that:</w:t>
      </w:r>
    </w:p>
    <w:p w14:paraId="585B45AB" w14:textId="17E4497E" w:rsidR="0069594E" w:rsidRPr="0091687A" w:rsidRDefault="0069594E" w:rsidP="00991B6C">
      <w:pPr>
        <w:pStyle w:val="BodyText"/>
        <w:numPr>
          <w:ilvl w:val="1"/>
          <w:numId w:val="21"/>
        </w:numPr>
        <w:overflowPunct/>
        <w:autoSpaceDE/>
        <w:autoSpaceDN/>
        <w:adjustRightInd/>
        <w:ind w:left="567" w:hanging="283"/>
        <w:textAlignment w:val="auto"/>
        <w:rPr>
          <w:rFonts w:ascii="Calibri" w:hAnsi="Calibri"/>
        </w:rPr>
      </w:pPr>
      <w:r w:rsidRPr="0091687A">
        <w:rPr>
          <w:rFonts w:ascii="Calibri" w:hAnsi="Calibri"/>
        </w:rPr>
        <w:t>CNF makes available the salary supplement for Machakhela NP Admi</w:t>
      </w:r>
      <w:r w:rsidR="009A08C9">
        <w:rPr>
          <w:rFonts w:ascii="Calibri" w:hAnsi="Calibri"/>
        </w:rPr>
        <w:t>ni</w:t>
      </w:r>
      <w:r w:rsidRPr="0091687A">
        <w:rPr>
          <w:rFonts w:ascii="Calibri" w:hAnsi="Calibri"/>
        </w:rPr>
        <w:t>stration; and</w:t>
      </w:r>
    </w:p>
    <w:p w14:paraId="408C96CD" w14:textId="77777777" w:rsidR="0069594E" w:rsidRPr="0091687A" w:rsidRDefault="0069594E" w:rsidP="00991B6C">
      <w:pPr>
        <w:pStyle w:val="BodyText"/>
        <w:numPr>
          <w:ilvl w:val="1"/>
          <w:numId w:val="21"/>
        </w:numPr>
        <w:overflowPunct/>
        <w:autoSpaceDE/>
        <w:autoSpaceDN/>
        <w:adjustRightInd/>
        <w:ind w:left="567" w:hanging="283"/>
        <w:textAlignment w:val="auto"/>
        <w:rPr>
          <w:rFonts w:ascii="Calibri" w:hAnsi="Calibri"/>
        </w:rPr>
      </w:pPr>
      <w:r w:rsidRPr="0091687A">
        <w:rPr>
          <w:rFonts w:ascii="Calibri" w:hAnsi="Calibri"/>
        </w:rPr>
        <w:t xml:space="preserve">attractive financial provisions be made available for recruiting staff to manage the Machakhela PL. This may require special provisions as management will be under the authority of Khelvachauri Municipality. </w:t>
      </w:r>
    </w:p>
    <w:p w14:paraId="39409092" w14:textId="7E7D5930" w:rsidR="00A70854" w:rsidRPr="003D794D" w:rsidRDefault="00A70854" w:rsidP="00991B6C">
      <w:pPr>
        <w:pStyle w:val="BodyText"/>
        <w:numPr>
          <w:ilvl w:val="0"/>
          <w:numId w:val="30"/>
        </w:numPr>
        <w:overflowPunct/>
        <w:autoSpaceDE/>
        <w:autoSpaceDN/>
        <w:adjustRightInd/>
        <w:textAlignment w:val="auto"/>
        <w:rPr>
          <w:rFonts w:ascii="Calibri" w:hAnsi="Calibri"/>
        </w:rPr>
      </w:pPr>
      <w:r w:rsidRPr="003D794D">
        <w:rPr>
          <w:rFonts w:ascii="Calibri" w:hAnsi="Calibri"/>
          <w:b/>
        </w:rPr>
        <w:t>[APA and PA Administrations, ARA and Municipalities] Sustainable Tourism Development Strategies and Action Plans</w:t>
      </w:r>
      <w:r w:rsidRPr="003D794D">
        <w:rPr>
          <w:rFonts w:ascii="Calibri" w:hAnsi="Calibri"/>
        </w:rPr>
        <w:t xml:space="preserve"> have been prepared for each of the project’s target PAs, with due consideration given to safeguarding their natural and cultural heritage. It is recommended that these are implemented in a coordinated manner, using the Achara Tourism Advisory Council or other appropriate regional body, to raise the profile these Strategies and Action Plans within the tourism sector (e.g. National Tourism Administration, </w:t>
      </w:r>
      <w:r w:rsidRPr="003D794D">
        <w:rPr>
          <w:rFonts w:ascii="Calibri" w:hAnsi="Calibri"/>
        </w:rPr>
        <w:lastRenderedPageBreak/>
        <w:t>Department of Tourism and Resorts A.R., Adjara Tourism Product Development Agency) and facilitate their collaboration with APA, PA Administrations and their respective Advisory Councils and Friends Associations, to realize these Strategies and Action Plans in a manner that is:</w:t>
      </w:r>
    </w:p>
    <w:p w14:paraId="7CF6F18D" w14:textId="527B5CC2" w:rsidR="00A70854" w:rsidRDefault="00A70854" w:rsidP="00991B6C">
      <w:pPr>
        <w:pStyle w:val="BodyText"/>
        <w:numPr>
          <w:ilvl w:val="0"/>
          <w:numId w:val="31"/>
        </w:numPr>
        <w:tabs>
          <w:tab w:val="right" w:pos="567"/>
        </w:tabs>
        <w:overflowPunct/>
        <w:autoSpaceDE/>
        <w:adjustRightInd/>
        <w:ind w:left="1418" w:hanging="1134"/>
        <w:textAlignment w:val="auto"/>
        <w:rPr>
          <w:rFonts w:ascii="Calibri" w:hAnsi="Calibri"/>
        </w:rPr>
      </w:pPr>
      <w:r>
        <w:rPr>
          <w:rFonts w:ascii="Calibri" w:hAnsi="Calibri"/>
        </w:rPr>
        <w:t>aligned with Achara’s regional sustainable tourism development plan(s)</w:t>
      </w:r>
      <w:r w:rsidRPr="0091687A">
        <w:rPr>
          <w:rFonts w:ascii="Calibri" w:hAnsi="Calibri"/>
        </w:rPr>
        <w:t>;</w:t>
      </w:r>
    </w:p>
    <w:p w14:paraId="289D9720" w14:textId="61A25CF6" w:rsidR="00A70854" w:rsidRDefault="00A70854" w:rsidP="00991B6C">
      <w:pPr>
        <w:pStyle w:val="BodyText"/>
        <w:numPr>
          <w:ilvl w:val="0"/>
          <w:numId w:val="31"/>
        </w:numPr>
        <w:tabs>
          <w:tab w:val="right" w:pos="567"/>
        </w:tabs>
        <w:overflowPunct/>
        <w:autoSpaceDE/>
        <w:adjustRightInd/>
        <w:ind w:left="1418" w:hanging="1134"/>
        <w:textAlignment w:val="auto"/>
        <w:rPr>
          <w:rFonts w:ascii="Calibri" w:hAnsi="Calibri"/>
        </w:rPr>
      </w:pPr>
      <w:r>
        <w:rPr>
          <w:rFonts w:ascii="Calibri" w:hAnsi="Calibri"/>
        </w:rPr>
        <w:t>Integrated with the respective PA management plans;</w:t>
      </w:r>
    </w:p>
    <w:p w14:paraId="40BB657D" w14:textId="07FC56B2" w:rsidR="00A70854" w:rsidRDefault="00A70854" w:rsidP="00991B6C">
      <w:pPr>
        <w:pStyle w:val="BodyText"/>
        <w:numPr>
          <w:ilvl w:val="0"/>
          <w:numId w:val="31"/>
        </w:numPr>
        <w:tabs>
          <w:tab w:val="right" w:pos="567"/>
        </w:tabs>
        <w:overflowPunct/>
        <w:autoSpaceDE/>
        <w:adjustRightInd/>
        <w:ind w:left="567" w:hanging="283"/>
        <w:textAlignment w:val="auto"/>
        <w:rPr>
          <w:rFonts w:ascii="Calibri" w:hAnsi="Calibri"/>
        </w:rPr>
      </w:pPr>
      <w:r>
        <w:rPr>
          <w:rFonts w:ascii="Calibri" w:hAnsi="Calibri"/>
        </w:rPr>
        <w:t xml:space="preserve">in the case of Machakhela, aligned with the cultural village/ semi-natural landscape concept that is under development by Achara A.R. Government; and </w:t>
      </w:r>
    </w:p>
    <w:p w14:paraId="355260A7" w14:textId="0CFB28B5" w:rsidR="003D794D" w:rsidRDefault="00A70854" w:rsidP="00991B6C">
      <w:pPr>
        <w:pStyle w:val="BodyText"/>
        <w:numPr>
          <w:ilvl w:val="0"/>
          <w:numId w:val="31"/>
        </w:numPr>
        <w:tabs>
          <w:tab w:val="right" w:pos="567"/>
        </w:tabs>
        <w:overflowPunct/>
        <w:autoSpaceDE/>
        <w:adjustRightInd/>
        <w:ind w:left="567" w:hanging="283"/>
        <w:textAlignment w:val="auto"/>
        <w:rPr>
          <w:rFonts w:ascii="Calibri" w:hAnsi="Calibri"/>
        </w:rPr>
      </w:pPr>
      <w:r>
        <w:rPr>
          <w:rFonts w:ascii="Calibri" w:hAnsi="Calibri"/>
        </w:rPr>
        <w:t>subject to stringent social and environmental safeguard procedures that should now be in place in ARA following recent investments at national and regional levels</w:t>
      </w:r>
      <w:r>
        <w:rPr>
          <w:rStyle w:val="FootnoteReference"/>
          <w:rFonts w:ascii="Calibri" w:hAnsi="Calibri"/>
        </w:rPr>
        <w:footnoteReference w:id="39"/>
      </w:r>
      <w:r>
        <w:rPr>
          <w:rFonts w:ascii="Calibri" w:hAnsi="Calibri"/>
        </w:rPr>
        <w:t>.</w:t>
      </w:r>
    </w:p>
    <w:p w14:paraId="76CE3941" w14:textId="77777777" w:rsidR="005E4DB4" w:rsidRDefault="005E4DB4" w:rsidP="005E4DB4">
      <w:pPr>
        <w:pStyle w:val="BodyText"/>
        <w:tabs>
          <w:tab w:val="right" w:pos="567"/>
        </w:tabs>
        <w:overflowPunct/>
        <w:autoSpaceDE/>
        <w:autoSpaceDN/>
        <w:adjustRightInd/>
        <w:textAlignment w:val="auto"/>
        <w:rPr>
          <w:rFonts w:ascii="Calibri" w:hAnsi="Calibri"/>
        </w:rPr>
      </w:pPr>
      <w:r>
        <w:rPr>
          <w:rFonts w:ascii="Calibri" w:hAnsi="Calibri"/>
        </w:rPr>
        <w:t xml:space="preserve">It is also recommended, given the tremendous amount of valuable and interesting information provided in the </w:t>
      </w:r>
      <w:r w:rsidRPr="005E4DB4">
        <w:rPr>
          <w:rFonts w:ascii="Calibri" w:hAnsi="Calibri"/>
          <w:i/>
        </w:rPr>
        <w:t xml:space="preserve">Ajara Protected Areas Sustainable </w:t>
      </w:r>
      <w:r>
        <w:rPr>
          <w:rFonts w:ascii="Calibri" w:hAnsi="Calibri"/>
          <w:i/>
        </w:rPr>
        <w:t xml:space="preserve">Tourism </w:t>
      </w:r>
      <w:r w:rsidRPr="005E4DB4">
        <w:rPr>
          <w:rFonts w:ascii="Calibri" w:hAnsi="Calibri"/>
          <w:i/>
        </w:rPr>
        <w:t>Strategy</w:t>
      </w:r>
      <w:r>
        <w:rPr>
          <w:rFonts w:ascii="Calibri" w:hAnsi="Calibri"/>
        </w:rPr>
        <w:t xml:space="preserve"> and in the </w:t>
      </w:r>
      <w:r w:rsidRPr="005E4DB4">
        <w:rPr>
          <w:rFonts w:ascii="Calibri" w:hAnsi="Calibri"/>
          <w:i/>
        </w:rPr>
        <w:t>Tourism Development Strategy and Action Plan</w:t>
      </w:r>
      <w:r>
        <w:rPr>
          <w:rFonts w:ascii="Calibri" w:hAnsi="Calibri"/>
        </w:rPr>
        <w:t xml:space="preserve"> for each target PA, that:</w:t>
      </w:r>
    </w:p>
    <w:p w14:paraId="513DB767" w14:textId="77777777" w:rsidR="003D794D" w:rsidRPr="003D794D" w:rsidRDefault="003D794D" w:rsidP="00991B6C">
      <w:pPr>
        <w:pStyle w:val="BodyText"/>
        <w:numPr>
          <w:ilvl w:val="0"/>
          <w:numId w:val="31"/>
        </w:numPr>
        <w:tabs>
          <w:tab w:val="right" w:pos="567"/>
        </w:tabs>
        <w:overflowPunct/>
        <w:autoSpaceDE/>
        <w:adjustRightInd/>
        <w:ind w:left="567" w:hanging="283"/>
        <w:textAlignment w:val="auto"/>
        <w:rPr>
          <w:rFonts w:ascii="Calibri" w:hAnsi="Calibri"/>
        </w:rPr>
      </w:pPr>
      <w:r w:rsidRPr="003D794D">
        <w:rPr>
          <w:rFonts w:ascii="Calibri" w:hAnsi="Calibri"/>
        </w:rPr>
        <w:t>The contents (text, maps and images) be reviewed</w:t>
      </w:r>
      <w:r w:rsidRPr="00D04B9C">
        <w:rPr>
          <w:rFonts w:ascii="Calibri" w:hAnsi="Calibri"/>
        </w:rPr>
        <w:t xml:space="preserve"> and transformed into a visitor guide to Achara’s Protected Colchi Forests and/or a series of shorter guides and maps for each of the three PA complexes</w:t>
      </w:r>
      <w:r w:rsidRPr="003D794D">
        <w:rPr>
          <w:rFonts w:ascii="Calibri" w:hAnsi="Calibri"/>
        </w:rPr>
        <w:t>.</w:t>
      </w:r>
      <w:r w:rsidRPr="003D794D">
        <w:rPr>
          <w:rFonts w:ascii="Calibri" w:hAnsi="Calibri"/>
          <w:szCs w:val="24"/>
          <w:vertAlign w:val="superscript"/>
        </w:rPr>
        <w:footnoteReference w:id="40"/>
      </w:r>
      <w:r w:rsidRPr="003D794D">
        <w:rPr>
          <w:rFonts w:ascii="Calibri" w:hAnsi="Calibri"/>
        </w:rPr>
        <w:t xml:space="preserve"> Th</w:t>
      </w:r>
      <w:r w:rsidRPr="00D04B9C">
        <w:rPr>
          <w:rFonts w:ascii="Calibri" w:hAnsi="Calibri"/>
        </w:rPr>
        <w:t>e latter could be done simply and quickly using the web; and maybe facilitated by the respective Friends Associations in collaboration with the PA Administrations.)</w:t>
      </w:r>
    </w:p>
    <w:p w14:paraId="5E63229E" w14:textId="4AC6A823" w:rsidR="0069594E" w:rsidRPr="0091687A" w:rsidRDefault="00A7693A" w:rsidP="00991B6C">
      <w:pPr>
        <w:pStyle w:val="BodyText"/>
        <w:numPr>
          <w:ilvl w:val="0"/>
          <w:numId w:val="30"/>
        </w:numPr>
        <w:overflowPunct/>
        <w:autoSpaceDE/>
        <w:autoSpaceDN/>
        <w:adjustRightInd/>
        <w:textAlignment w:val="auto"/>
        <w:rPr>
          <w:rFonts w:ascii="Calibri" w:hAnsi="Calibri"/>
        </w:rPr>
      </w:pPr>
      <w:r>
        <w:rPr>
          <w:rFonts w:ascii="Calibri" w:hAnsi="Calibri"/>
          <w:b/>
        </w:rPr>
        <w:t xml:space="preserve">[APA and PA Administrations] </w:t>
      </w:r>
      <w:r w:rsidR="0069594E">
        <w:rPr>
          <w:rFonts w:ascii="Calibri" w:hAnsi="Calibri"/>
          <w:b/>
        </w:rPr>
        <w:t xml:space="preserve">Sustainable agricultural development </w:t>
      </w:r>
      <w:r w:rsidR="0069594E" w:rsidRPr="0091687A">
        <w:rPr>
          <w:rFonts w:ascii="Calibri" w:hAnsi="Calibri"/>
        </w:rPr>
        <w:t xml:space="preserve">is very </w:t>
      </w:r>
      <w:r w:rsidR="0091687A">
        <w:rPr>
          <w:rFonts w:ascii="Calibri" w:hAnsi="Calibri"/>
        </w:rPr>
        <w:t xml:space="preserve">much </w:t>
      </w:r>
      <w:r w:rsidR="0069594E" w:rsidRPr="0091687A">
        <w:rPr>
          <w:rFonts w:ascii="Calibri" w:hAnsi="Calibri"/>
        </w:rPr>
        <w:t>on the agenda of ARA’s Ministry of Agriculture, which will be promoting its ‘spatial clusters’ programme in and arou</w:t>
      </w:r>
      <w:r w:rsidR="00C87C37">
        <w:rPr>
          <w:rFonts w:ascii="Calibri" w:hAnsi="Calibri"/>
        </w:rPr>
        <w:t>nd PAs. The Ministry’s</w:t>
      </w:r>
      <w:r w:rsidR="0069594E" w:rsidRPr="0091687A">
        <w:rPr>
          <w:rFonts w:ascii="Calibri" w:hAnsi="Calibri"/>
        </w:rPr>
        <w:t xml:space="preserve"> goal is for all produce to be organic within the next three years. Along with tourism, it is strongly recommended that </w:t>
      </w:r>
      <w:r>
        <w:rPr>
          <w:rFonts w:ascii="Calibri" w:hAnsi="Calibri"/>
        </w:rPr>
        <w:t>APA proactively engage with Achara’s agricultural sector as it is timely and the door is wide open. This may also prove to be an area that the Friends Associations can explore and ultimately help to facilitate and promote in terms of organic produce and its marketing and agri-tourism.</w:t>
      </w:r>
    </w:p>
    <w:p w14:paraId="1605CD95" w14:textId="7FFAEBCC" w:rsidR="008B7790" w:rsidRDefault="005E2562" w:rsidP="00991B6C">
      <w:pPr>
        <w:pStyle w:val="BodyText"/>
        <w:numPr>
          <w:ilvl w:val="0"/>
          <w:numId w:val="30"/>
        </w:numPr>
        <w:overflowPunct/>
        <w:autoSpaceDE/>
        <w:autoSpaceDN/>
        <w:adjustRightInd/>
        <w:textAlignment w:val="auto"/>
        <w:rPr>
          <w:rFonts w:ascii="Calibri" w:hAnsi="Calibri"/>
        </w:rPr>
      </w:pPr>
      <w:r>
        <w:rPr>
          <w:rFonts w:ascii="Calibri" w:hAnsi="Calibri"/>
          <w:b/>
        </w:rPr>
        <w:t xml:space="preserve">[APA and PA Administration, Municipality] </w:t>
      </w:r>
      <w:r w:rsidR="0069594E" w:rsidRPr="0091687A">
        <w:rPr>
          <w:rFonts w:ascii="Calibri" w:hAnsi="Calibri"/>
          <w:b/>
        </w:rPr>
        <w:t>Mtirala and Machakhela National Parks Friends Association</w:t>
      </w:r>
      <w:r w:rsidR="0069594E" w:rsidRPr="0091687A">
        <w:rPr>
          <w:rFonts w:ascii="Calibri" w:hAnsi="Calibri"/>
        </w:rPr>
        <w:t xml:space="preserve"> </w:t>
      </w:r>
      <w:r w:rsidR="004B7601">
        <w:rPr>
          <w:rFonts w:ascii="Calibri" w:hAnsi="Calibri"/>
        </w:rPr>
        <w:t>is in its formative and somewhat vulnerable stage</w:t>
      </w:r>
      <w:r w:rsidR="00846156">
        <w:rPr>
          <w:rFonts w:ascii="Calibri" w:hAnsi="Calibri"/>
        </w:rPr>
        <w:t>. Ha</w:t>
      </w:r>
      <w:r w:rsidR="004B7601">
        <w:rPr>
          <w:rFonts w:ascii="Calibri" w:hAnsi="Calibri"/>
        </w:rPr>
        <w:t xml:space="preserve">ving demonstrated its value </w:t>
      </w:r>
      <w:r w:rsidR="00846156">
        <w:rPr>
          <w:rFonts w:ascii="Calibri" w:hAnsi="Calibri"/>
        </w:rPr>
        <w:t xml:space="preserve">to the PA Administrations and local communities through various initiatives </w:t>
      </w:r>
      <w:r w:rsidR="004B7601">
        <w:rPr>
          <w:rFonts w:ascii="Calibri" w:hAnsi="Calibri"/>
        </w:rPr>
        <w:t>in a number of quarters</w:t>
      </w:r>
      <w:r w:rsidR="00846156">
        <w:rPr>
          <w:rFonts w:ascii="Calibri" w:hAnsi="Calibri"/>
        </w:rPr>
        <w:t>,</w:t>
      </w:r>
      <w:r w:rsidR="004B7601">
        <w:rPr>
          <w:rFonts w:ascii="Calibri" w:hAnsi="Calibri"/>
        </w:rPr>
        <w:t xml:space="preserve"> in the absence of the project</w:t>
      </w:r>
      <w:r w:rsidR="00846156">
        <w:rPr>
          <w:rFonts w:ascii="Calibri" w:hAnsi="Calibri"/>
        </w:rPr>
        <w:t xml:space="preserve">’s continuing support it now needs to </w:t>
      </w:r>
      <w:r w:rsidR="008B7790">
        <w:rPr>
          <w:rFonts w:ascii="Calibri" w:hAnsi="Calibri"/>
        </w:rPr>
        <w:t xml:space="preserve">consolidate its </w:t>
      </w:r>
      <w:r w:rsidR="00846156" w:rsidRPr="0091687A">
        <w:rPr>
          <w:rFonts w:ascii="Calibri" w:hAnsi="Calibri"/>
        </w:rPr>
        <w:t xml:space="preserve">charter or comparable legal instrument </w:t>
      </w:r>
      <w:r w:rsidR="008B7790">
        <w:rPr>
          <w:rFonts w:ascii="Calibri" w:hAnsi="Calibri"/>
        </w:rPr>
        <w:t>in terms of</w:t>
      </w:r>
      <w:r w:rsidR="00846156" w:rsidRPr="0091687A">
        <w:rPr>
          <w:rFonts w:ascii="Calibri" w:hAnsi="Calibri"/>
        </w:rPr>
        <w:t xml:space="preserve"> clearly defin</w:t>
      </w:r>
      <w:r w:rsidR="008B7790">
        <w:rPr>
          <w:rFonts w:ascii="Calibri" w:hAnsi="Calibri"/>
        </w:rPr>
        <w:t xml:space="preserve">ing its </w:t>
      </w:r>
      <w:r w:rsidR="00846156" w:rsidRPr="0091687A">
        <w:rPr>
          <w:rFonts w:ascii="Calibri" w:hAnsi="Calibri"/>
        </w:rPr>
        <w:t>role, scope of activiti</w:t>
      </w:r>
      <w:r w:rsidR="008B7790">
        <w:rPr>
          <w:rFonts w:ascii="Calibri" w:hAnsi="Calibri"/>
        </w:rPr>
        <w:t xml:space="preserve">es, membership, modus operandi </w:t>
      </w:r>
      <w:r w:rsidR="00846156" w:rsidRPr="0091687A">
        <w:rPr>
          <w:rFonts w:ascii="Calibri" w:hAnsi="Calibri"/>
        </w:rPr>
        <w:t xml:space="preserve">and relationship with </w:t>
      </w:r>
      <w:r w:rsidR="008B7790">
        <w:rPr>
          <w:rFonts w:ascii="Calibri" w:hAnsi="Calibri"/>
        </w:rPr>
        <w:t>its</w:t>
      </w:r>
      <w:r w:rsidR="00846156" w:rsidRPr="0091687A">
        <w:rPr>
          <w:rFonts w:ascii="Calibri" w:hAnsi="Calibri"/>
        </w:rPr>
        <w:t xml:space="preserve"> respective PA Administrations.</w:t>
      </w:r>
      <w:r w:rsidR="008B7790">
        <w:rPr>
          <w:rFonts w:ascii="Calibri" w:hAnsi="Calibri"/>
        </w:rPr>
        <w:t xml:space="preserve"> Then it needs to determine its strategy over the next few years, including financial sustainability for which an assessment was completed in November 2018. Assuming that this work is in hand, </w:t>
      </w:r>
      <w:r w:rsidR="001C7DE6">
        <w:rPr>
          <w:rFonts w:ascii="Calibri" w:hAnsi="Calibri"/>
        </w:rPr>
        <w:t xml:space="preserve">one </w:t>
      </w:r>
      <w:r w:rsidR="008B7790">
        <w:rPr>
          <w:rFonts w:ascii="Calibri" w:hAnsi="Calibri"/>
        </w:rPr>
        <w:t xml:space="preserve">outstanding </w:t>
      </w:r>
      <w:r w:rsidR="00BA174E">
        <w:rPr>
          <w:rFonts w:ascii="Calibri" w:hAnsi="Calibri"/>
        </w:rPr>
        <w:t xml:space="preserve">and </w:t>
      </w:r>
      <w:r w:rsidR="001C7DE6">
        <w:rPr>
          <w:rFonts w:ascii="Calibri" w:hAnsi="Calibri"/>
        </w:rPr>
        <w:t xml:space="preserve">one </w:t>
      </w:r>
      <w:r w:rsidR="00BA174E">
        <w:rPr>
          <w:rFonts w:ascii="Calibri" w:hAnsi="Calibri"/>
        </w:rPr>
        <w:t>new action</w:t>
      </w:r>
      <w:r w:rsidR="008B7790">
        <w:rPr>
          <w:rFonts w:ascii="Calibri" w:hAnsi="Calibri"/>
        </w:rPr>
        <w:t xml:space="preserve"> </w:t>
      </w:r>
      <w:r w:rsidR="00BA174E">
        <w:rPr>
          <w:rFonts w:ascii="Calibri" w:hAnsi="Calibri"/>
        </w:rPr>
        <w:lastRenderedPageBreak/>
        <w:t>are recommended to</w:t>
      </w:r>
      <w:r w:rsidR="008B7790">
        <w:rPr>
          <w:rFonts w:ascii="Calibri" w:hAnsi="Calibri"/>
        </w:rPr>
        <w:t xml:space="preserve"> help reduce the Association’s current vulnerability</w:t>
      </w:r>
      <w:r w:rsidR="00BA174E">
        <w:rPr>
          <w:rFonts w:ascii="Calibri" w:hAnsi="Calibri"/>
        </w:rPr>
        <w:t xml:space="preserve"> and strengthen its profile</w:t>
      </w:r>
      <w:r w:rsidR="001C7DE6">
        <w:rPr>
          <w:rFonts w:ascii="Calibri" w:hAnsi="Calibri"/>
        </w:rPr>
        <w:t xml:space="preserve"> and role</w:t>
      </w:r>
      <w:r w:rsidR="008B7790">
        <w:rPr>
          <w:rFonts w:ascii="Calibri" w:hAnsi="Calibri"/>
        </w:rPr>
        <w:t>, as follows:</w:t>
      </w:r>
    </w:p>
    <w:p w14:paraId="117E6265" w14:textId="6EF5563D" w:rsidR="00365FB7" w:rsidRDefault="00D8155E" w:rsidP="00991B6C">
      <w:pPr>
        <w:pStyle w:val="BodyText"/>
        <w:numPr>
          <w:ilvl w:val="1"/>
          <w:numId w:val="32"/>
        </w:numPr>
        <w:tabs>
          <w:tab w:val="right" w:pos="567"/>
        </w:tabs>
        <w:overflowPunct/>
        <w:autoSpaceDE/>
        <w:autoSpaceDN/>
        <w:adjustRightInd/>
        <w:ind w:left="567" w:hanging="283"/>
        <w:textAlignment w:val="auto"/>
        <w:rPr>
          <w:rFonts w:ascii="Calibri" w:hAnsi="Calibri"/>
        </w:rPr>
      </w:pPr>
      <w:r>
        <w:rPr>
          <w:rFonts w:ascii="Calibri" w:hAnsi="Calibri"/>
        </w:rPr>
        <w:t>The Association</w:t>
      </w:r>
      <w:r w:rsidR="00365FB7">
        <w:rPr>
          <w:rFonts w:ascii="Calibri" w:hAnsi="Calibri"/>
        </w:rPr>
        <w:t xml:space="preserve"> need</w:t>
      </w:r>
      <w:r>
        <w:rPr>
          <w:rFonts w:ascii="Calibri" w:hAnsi="Calibri"/>
        </w:rPr>
        <w:t>s</w:t>
      </w:r>
      <w:r w:rsidR="00365FB7">
        <w:rPr>
          <w:rFonts w:ascii="Calibri" w:hAnsi="Calibri"/>
        </w:rPr>
        <w:t xml:space="preserve"> a voice within </w:t>
      </w:r>
      <w:r w:rsidR="001C7DE6">
        <w:rPr>
          <w:rFonts w:ascii="Calibri" w:hAnsi="Calibri"/>
        </w:rPr>
        <w:t xml:space="preserve">the </w:t>
      </w:r>
      <w:r w:rsidR="00365FB7">
        <w:rPr>
          <w:rFonts w:ascii="Calibri" w:hAnsi="Calibri"/>
        </w:rPr>
        <w:t>PA governance</w:t>
      </w:r>
      <w:r>
        <w:rPr>
          <w:rFonts w:ascii="Calibri" w:hAnsi="Calibri"/>
        </w:rPr>
        <w:t xml:space="preserve"> system</w:t>
      </w:r>
      <w:r w:rsidR="00365FB7">
        <w:rPr>
          <w:rFonts w:ascii="Calibri" w:hAnsi="Calibri"/>
        </w:rPr>
        <w:t xml:space="preserve"> </w:t>
      </w:r>
      <w:r>
        <w:rPr>
          <w:rFonts w:ascii="Calibri" w:hAnsi="Calibri"/>
        </w:rPr>
        <w:t xml:space="preserve">and, </w:t>
      </w:r>
      <w:r w:rsidR="00365FB7">
        <w:rPr>
          <w:rFonts w:ascii="Calibri" w:hAnsi="Calibri"/>
        </w:rPr>
        <w:t xml:space="preserve">in the current context, it would be most appropriate for </w:t>
      </w:r>
      <w:r w:rsidR="001C7DE6">
        <w:rPr>
          <w:rFonts w:ascii="Calibri" w:hAnsi="Calibri"/>
        </w:rPr>
        <w:t>it</w:t>
      </w:r>
      <w:r w:rsidR="00365FB7">
        <w:rPr>
          <w:rFonts w:ascii="Calibri" w:hAnsi="Calibri"/>
        </w:rPr>
        <w:t xml:space="preserve"> to be </w:t>
      </w:r>
      <w:r w:rsidR="001C7DE6">
        <w:rPr>
          <w:rFonts w:ascii="Calibri" w:hAnsi="Calibri"/>
        </w:rPr>
        <w:t xml:space="preserve">a </w:t>
      </w:r>
      <w:r w:rsidR="00365FB7">
        <w:rPr>
          <w:rFonts w:ascii="Calibri" w:hAnsi="Calibri"/>
        </w:rPr>
        <w:t xml:space="preserve">PA Advisory Council member. </w:t>
      </w:r>
    </w:p>
    <w:p w14:paraId="78B789B4" w14:textId="1589BA54" w:rsidR="001C7DE6" w:rsidRDefault="00D8155E" w:rsidP="00991B6C">
      <w:pPr>
        <w:pStyle w:val="BodyText"/>
        <w:numPr>
          <w:ilvl w:val="1"/>
          <w:numId w:val="32"/>
        </w:numPr>
        <w:tabs>
          <w:tab w:val="right" w:pos="567"/>
        </w:tabs>
        <w:overflowPunct/>
        <w:autoSpaceDE/>
        <w:autoSpaceDN/>
        <w:adjustRightInd/>
        <w:ind w:left="567" w:hanging="283"/>
        <w:textAlignment w:val="auto"/>
        <w:rPr>
          <w:rFonts w:ascii="Calibri" w:hAnsi="Calibri"/>
        </w:rPr>
      </w:pPr>
      <w:r>
        <w:rPr>
          <w:rFonts w:ascii="Calibri" w:hAnsi="Calibri"/>
        </w:rPr>
        <w:t>The Association needs to be able to engage readily with the Municipality, particularly in the case of Machakhela, proposed for designation as a protected landscape and, therefore, due to come under its delegated authority. Likewise</w:t>
      </w:r>
      <w:r w:rsidR="004B7601">
        <w:rPr>
          <w:rFonts w:ascii="Calibri" w:hAnsi="Calibri"/>
        </w:rPr>
        <w:t>,</w:t>
      </w:r>
      <w:r>
        <w:rPr>
          <w:rFonts w:ascii="Calibri" w:hAnsi="Calibri"/>
        </w:rPr>
        <w:t xml:space="preserve"> PAs need to work closely with their respective municipalities on a wide range of issues, be it tourism, </w:t>
      </w:r>
      <w:r w:rsidR="001C7DE6">
        <w:rPr>
          <w:rFonts w:ascii="Calibri" w:hAnsi="Calibri"/>
        </w:rPr>
        <w:t xml:space="preserve">water and </w:t>
      </w:r>
      <w:r>
        <w:rPr>
          <w:rFonts w:ascii="Calibri" w:hAnsi="Calibri"/>
        </w:rPr>
        <w:t xml:space="preserve">waste management, access (roads) and </w:t>
      </w:r>
      <w:r w:rsidR="001C7DE6">
        <w:rPr>
          <w:rFonts w:ascii="Calibri" w:hAnsi="Calibri"/>
        </w:rPr>
        <w:t xml:space="preserve">more – all of which have a greater or lesser </w:t>
      </w:r>
      <w:r w:rsidR="00C22351">
        <w:rPr>
          <w:rFonts w:ascii="Calibri" w:hAnsi="Calibri"/>
        </w:rPr>
        <w:t>relevance</w:t>
      </w:r>
      <w:r w:rsidR="001C7DE6">
        <w:rPr>
          <w:rFonts w:ascii="Calibri" w:hAnsi="Calibri"/>
        </w:rPr>
        <w:t xml:space="preserve"> to the Friends Association. Thus, there is a rationale for establishing a small platform that brings together the PA, Friends Association and Municipality on a regular base (maybe quarterly). </w:t>
      </w:r>
    </w:p>
    <w:p w14:paraId="1C33E297" w14:textId="340349BA" w:rsidR="0069594E" w:rsidRPr="0091687A" w:rsidRDefault="00A7693A" w:rsidP="00BA174E">
      <w:pPr>
        <w:pStyle w:val="BodyText"/>
        <w:overflowPunct/>
        <w:autoSpaceDE/>
        <w:autoSpaceDN/>
        <w:adjustRightInd/>
        <w:textAlignment w:val="auto"/>
        <w:rPr>
          <w:rFonts w:ascii="Calibri" w:hAnsi="Calibri"/>
        </w:rPr>
      </w:pPr>
      <w:r>
        <w:rPr>
          <w:rFonts w:ascii="Calibri" w:hAnsi="Calibri"/>
        </w:rPr>
        <w:t>The above two recommendations could equally apply to other Friends Associations. Meanwhile, the initiative could be trialed in Machakhela.</w:t>
      </w:r>
    </w:p>
    <w:p w14:paraId="0D887082" w14:textId="1F7D3A76" w:rsidR="0069594E" w:rsidRDefault="00A7693A" w:rsidP="00991B6C">
      <w:pPr>
        <w:pStyle w:val="BodyText"/>
        <w:numPr>
          <w:ilvl w:val="0"/>
          <w:numId w:val="30"/>
        </w:numPr>
        <w:overflowPunct/>
        <w:autoSpaceDE/>
        <w:autoSpaceDN/>
        <w:adjustRightInd/>
        <w:textAlignment w:val="auto"/>
        <w:rPr>
          <w:rFonts w:ascii="Calibri" w:hAnsi="Calibri"/>
        </w:rPr>
      </w:pPr>
      <w:r>
        <w:rPr>
          <w:rFonts w:ascii="Calibri" w:hAnsi="Calibri"/>
          <w:b/>
        </w:rPr>
        <w:t>[APA and PA Administrations] Training in SMART patrolling</w:t>
      </w:r>
      <w:r>
        <w:rPr>
          <w:rFonts w:ascii="Calibri" w:hAnsi="Calibri"/>
        </w:rPr>
        <w:t>, a recommendation adopted from the MTR was completed only in November 2018; hence, it will be important to ensure that SMART is introduced and training reinforced early in 2019, and then consolidated and reviewed collectively by the PA Administrations in Achara in order to identify, share and apply lessons learnt from their experiences.</w:t>
      </w:r>
    </w:p>
    <w:p w14:paraId="574DA306" w14:textId="7A032938" w:rsidR="0069594E" w:rsidRPr="00657786" w:rsidRDefault="00657786" w:rsidP="00657786">
      <w:pPr>
        <w:pStyle w:val="BodyText"/>
        <w:spacing w:before="240"/>
        <w:rPr>
          <w:rFonts w:ascii="Calibri" w:hAnsi="Calibri"/>
          <w:highlight w:val="lightGray"/>
        </w:rPr>
      </w:pPr>
      <w:r w:rsidRPr="00657786">
        <w:rPr>
          <w:rFonts w:ascii="Calibri" w:hAnsi="Calibri"/>
          <w:highlight w:val="lightGray"/>
        </w:rPr>
        <w:t>PROPOSALS FOR FUTURE DIRECTIONS UNDERLINING MAIN OBJECTIVES</w:t>
      </w:r>
    </w:p>
    <w:p w14:paraId="58740C26" w14:textId="4506B231" w:rsidR="0069594E" w:rsidRPr="00EF4637" w:rsidRDefault="00A7693A" w:rsidP="00991B6C">
      <w:pPr>
        <w:pStyle w:val="BodyText"/>
        <w:numPr>
          <w:ilvl w:val="0"/>
          <w:numId w:val="30"/>
        </w:numPr>
        <w:overflowPunct/>
        <w:autoSpaceDE/>
        <w:autoSpaceDN/>
        <w:adjustRightInd/>
        <w:textAlignment w:val="auto"/>
        <w:rPr>
          <w:rFonts w:ascii="Calibri" w:hAnsi="Calibri"/>
        </w:rPr>
      </w:pPr>
      <w:r>
        <w:rPr>
          <w:rFonts w:ascii="Calibri" w:hAnsi="Calibri"/>
          <w:b/>
        </w:rPr>
        <w:t>APA] Protected Areas policy and legislation:</w:t>
      </w:r>
      <w:r>
        <w:rPr>
          <w:rFonts w:ascii="Calibri" w:hAnsi="Calibri"/>
        </w:rPr>
        <w:t xml:space="preserve"> It is all too apparent from this project that the on-going review of PAs policy and the 1996 legislation under the IBiS project is welcome, if not overdue.Until such time as APA is able to de-centralise its current operations and delegate powers to its PA Administrations to manage their respective PAs, including financial resources, the outcomes of this and other PA projects will not be fully realised. Thus, it is important that APA participates whole-heartedly in the review, which includes the forest sector, to ensure that the revised policies and legislation fully addresses the short-comings experienced by its PA Administrations and stakeholders, including local communities address. Where possible and appropriate, it is recommended that some of the proposed changes be piloted with immediate effect within one of more of the proposed Colchic Forest PAs nominated for World Heritage status in order to demonstrate that government is being proactive in strengthening its management effectiveness and efficiency. This action will also better inform the outcomes of the policy review.</w:t>
      </w:r>
    </w:p>
    <w:p w14:paraId="6FD23EA4" w14:textId="6AE65A65" w:rsidR="00A7693A" w:rsidRDefault="00A7693A" w:rsidP="00991B6C">
      <w:pPr>
        <w:pStyle w:val="BodyText"/>
        <w:numPr>
          <w:ilvl w:val="0"/>
          <w:numId w:val="30"/>
        </w:numPr>
        <w:overflowPunct/>
        <w:autoSpaceDE/>
        <w:autoSpaceDN/>
        <w:adjustRightInd/>
        <w:textAlignment w:val="auto"/>
        <w:rPr>
          <w:rFonts w:ascii="Calibri" w:hAnsi="Calibri"/>
        </w:rPr>
      </w:pPr>
      <w:r w:rsidRPr="00D80D93">
        <w:rPr>
          <w:rFonts w:ascii="Calibri" w:hAnsi="Calibri"/>
          <w:szCs w:val="24"/>
        </w:rPr>
        <w:t>[UNDP to advise, APA to follow up with Forestry Agency] Increasing connectivity of Colchic Forest fragments further, to address the remaining 6 km gap in protected forest cover between Machakhela NP and Mtirala/Kintrishi PA Complex, would seem to be an obvious further step to take in order to expand the integrity of protected Colchic Forest, especially given its global value in the light of the recent nomination of Mtirala and Kintrishi for World Heritage listing.</w:t>
      </w:r>
    </w:p>
    <w:p w14:paraId="7702E804" w14:textId="6FBA0B64" w:rsidR="0069594E" w:rsidRPr="00EF4637" w:rsidRDefault="00A7693A" w:rsidP="00D80D93">
      <w:pPr>
        <w:pStyle w:val="BodyText"/>
        <w:overflowPunct/>
        <w:autoSpaceDE/>
        <w:autoSpaceDN/>
        <w:adjustRightInd/>
        <w:textAlignment w:val="auto"/>
        <w:rPr>
          <w:rFonts w:ascii="Calibri" w:hAnsi="Calibri"/>
        </w:rPr>
      </w:pPr>
      <w:r>
        <w:rPr>
          <w:rFonts w:ascii="Calibri" w:hAnsi="Calibri"/>
          <w:szCs w:val="24"/>
        </w:rPr>
        <w:t>Most of this 6 km gap is</w:t>
      </w:r>
      <w:r w:rsidRPr="00BD7814">
        <w:rPr>
          <w:rFonts w:ascii="Calibri" w:hAnsi="Calibri"/>
          <w:szCs w:val="24"/>
        </w:rPr>
        <w:t xml:space="preserve"> </w:t>
      </w:r>
      <w:r>
        <w:rPr>
          <w:rFonts w:ascii="Calibri" w:hAnsi="Calibri"/>
          <w:szCs w:val="24"/>
        </w:rPr>
        <w:t xml:space="preserve">under the </w:t>
      </w:r>
      <w:r w:rsidRPr="00BD7814">
        <w:rPr>
          <w:rFonts w:ascii="Calibri" w:hAnsi="Calibri"/>
          <w:szCs w:val="24"/>
        </w:rPr>
        <w:t xml:space="preserve">Forestry Agency so </w:t>
      </w:r>
      <w:r>
        <w:rPr>
          <w:rFonts w:ascii="Calibri" w:hAnsi="Calibri"/>
          <w:szCs w:val="24"/>
        </w:rPr>
        <w:t>it would be appropriate to highlight its importance in</w:t>
      </w:r>
      <w:r w:rsidRPr="00BD7814">
        <w:rPr>
          <w:rFonts w:ascii="Calibri" w:hAnsi="Calibri"/>
          <w:szCs w:val="24"/>
        </w:rPr>
        <w:t xml:space="preserve"> the local forestry 10</w:t>
      </w:r>
      <w:r>
        <w:rPr>
          <w:rFonts w:ascii="Calibri" w:hAnsi="Calibri"/>
          <w:szCs w:val="24"/>
        </w:rPr>
        <w:t>-</w:t>
      </w:r>
      <w:r w:rsidRPr="00BD7814">
        <w:rPr>
          <w:rFonts w:ascii="Calibri" w:hAnsi="Calibri"/>
          <w:szCs w:val="24"/>
        </w:rPr>
        <w:t xml:space="preserve">year plan </w:t>
      </w:r>
      <w:r>
        <w:rPr>
          <w:rFonts w:ascii="Calibri" w:hAnsi="Calibri"/>
          <w:szCs w:val="24"/>
        </w:rPr>
        <w:t>and ensure appropriate protection and other management measures are prescribed. The m</w:t>
      </w:r>
      <w:r w:rsidRPr="00BD7814">
        <w:rPr>
          <w:rFonts w:ascii="Calibri" w:hAnsi="Calibri"/>
          <w:szCs w:val="24"/>
        </w:rPr>
        <w:t xml:space="preserve">ain barrier </w:t>
      </w:r>
      <w:r>
        <w:rPr>
          <w:rFonts w:ascii="Calibri" w:hAnsi="Calibri"/>
          <w:szCs w:val="24"/>
        </w:rPr>
        <w:t xml:space="preserve">to connectivity </w:t>
      </w:r>
      <w:r w:rsidRPr="00BD7814">
        <w:rPr>
          <w:rFonts w:ascii="Calibri" w:hAnsi="Calibri"/>
          <w:szCs w:val="24"/>
        </w:rPr>
        <w:t xml:space="preserve">is the highway but this </w:t>
      </w:r>
      <w:r>
        <w:rPr>
          <w:rFonts w:ascii="Calibri" w:hAnsi="Calibri"/>
          <w:szCs w:val="24"/>
        </w:rPr>
        <w:t xml:space="preserve">applies principally to </w:t>
      </w:r>
      <w:r w:rsidRPr="00BD7814">
        <w:rPr>
          <w:rFonts w:ascii="Calibri" w:hAnsi="Calibri"/>
          <w:szCs w:val="24"/>
        </w:rPr>
        <w:t>mammal</w:t>
      </w:r>
      <w:r>
        <w:rPr>
          <w:rFonts w:ascii="Calibri" w:hAnsi="Calibri"/>
          <w:szCs w:val="24"/>
        </w:rPr>
        <w:t>s and</w:t>
      </w:r>
      <w:r w:rsidRPr="00BD7814">
        <w:rPr>
          <w:rFonts w:ascii="Calibri" w:hAnsi="Calibri"/>
          <w:szCs w:val="24"/>
        </w:rPr>
        <w:t xml:space="preserve"> not forest.</w:t>
      </w:r>
      <w:r w:rsidR="0069594E" w:rsidRPr="00EF4637">
        <w:rPr>
          <w:rFonts w:ascii="Calibri" w:hAnsi="Calibri"/>
        </w:rPr>
        <w:t>.</w:t>
      </w:r>
    </w:p>
    <w:p w14:paraId="458BD5F7" w14:textId="5143E055" w:rsidR="0069594E" w:rsidRPr="00EF4637" w:rsidRDefault="00D80D93" w:rsidP="00991B6C">
      <w:pPr>
        <w:pStyle w:val="BodyText"/>
        <w:numPr>
          <w:ilvl w:val="0"/>
          <w:numId w:val="30"/>
        </w:numPr>
        <w:overflowPunct/>
        <w:autoSpaceDE/>
        <w:autoSpaceDN/>
        <w:adjustRightInd/>
        <w:textAlignment w:val="auto"/>
        <w:rPr>
          <w:rFonts w:ascii="Calibri" w:hAnsi="Calibri"/>
        </w:rPr>
      </w:pPr>
      <w:r>
        <w:rPr>
          <w:rFonts w:ascii="Calibri" w:hAnsi="Calibri"/>
          <w:b/>
        </w:rPr>
        <w:lastRenderedPageBreak/>
        <w:t>[APA and PA Administrations, ARA and Municipalities] UNESCO Biosphere Reserve model</w:t>
      </w:r>
      <w:r>
        <w:rPr>
          <w:rFonts w:ascii="Calibri" w:hAnsi="Calibri"/>
        </w:rPr>
        <w:t xml:space="preserve"> is something that was examined during the assessment of what might be the most appropriate PA designation for the Support Zone that is now proposed as Machakhela Protected Landscape. While not a priority, which is to consolidate the establishment and management of the Machakhela NP/PL Complex, the Biosphere Reserve approach</w:t>
      </w:r>
      <w:r>
        <w:rPr>
          <w:rStyle w:val="FootnoteReference"/>
        </w:rPr>
        <w:footnoteReference w:id="41"/>
      </w:r>
      <w:r>
        <w:rPr>
          <w:rFonts w:ascii="Calibri" w:hAnsi="Calibri"/>
        </w:rPr>
        <w:t xml:space="preserve"> is potentially pertinent to this Complex and may well prove to be a highly appropriate model to consider over the longer term, beyond which there would also be the opportunity to establish a transboundary Biosphere Reserve with Jamili Biosphere Reserve abutting the border with Turkey. Clearly, the Turkish authorities have no current interest in such a venture despite the project’s significant investment in time and energy to engage with them. This may change at some time in the future, so the recommendation is simply to note the bigger picture and continue to explore options as opportunities arise.</w:t>
      </w:r>
    </w:p>
    <w:p w14:paraId="209C4FF5" w14:textId="2D530B5C" w:rsidR="0069594E" w:rsidRPr="00EF4637" w:rsidRDefault="00CC59B4" w:rsidP="0067558E">
      <w:pPr>
        <w:pStyle w:val="Heading2"/>
        <w:numPr>
          <w:ilvl w:val="1"/>
          <w:numId w:val="8"/>
        </w:numPr>
        <w:spacing w:before="240" w:after="120" w:line="240" w:lineRule="auto"/>
        <w:ind w:left="567" w:hanging="556"/>
        <w:rPr>
          <w:rFonts w:asciiTheme="minorHAnsi" w:hAnsiTheme="minorHAnsi" w:cs="Calibri"/>
          <w:b/>
          <w:caps w:val="0"/>
          <w:sz w:val="28"/>
        </w:rPr>
      </w:pPr>
      <w:bookmarkStart w:id="162" w:name="_Toc414745345"/>
      <w:r>
        <w:rPr>
          <w:rFonts w:asciiTheme="minorHAnsi" w:hAnsiTheme="minorHAnsi" w:cs="Calibri"/>
          <w:b/>
          <w:caps w:val="0"/>
          <w:sz w:val="28"/>
        </w:rPr>
        <w:t>Lessons</w:t>
      </w:r>
      <w:bookmarkEnd w:id="162"/>
    </w:p>
    <w:p w14:paraId="27B41AB6" w14:textId="4BAACC22" w:rsidR="0069594E" w:rsidRPr="00D80D93" w:rsidRDefault="00CC59B4" w:rsidP="00EF4637">
      <w:pPr>
        <w:pStyle w:val="BodyText"/>
        <w:spacing w:before="240"/>
        <w:jc w:val="left"/>
        <w:rPr>
          <w:rFonts w:ascii="Calibri" w:hAnsi="Calibri"/>
          <w:b/>
          <w:szCs w:val="24"/>
          <w:highlight w:val="lightGray"/>
        </w:rPr>
      </w:pPr>
      <w:r w:rsidRPr="00D80D93">
        <w:rPr>
          <w:rFonts w:ascii="Calibri" w:hAnsi="Calibri"/>
          <w:b/>
          <w:szCs w:val="24"/>
          <w:highlight w:val="lightGray"/>
        </w:rPr>
        <w:t>GOOD</w:t>
      </w:r>
      <w:r w:rsidR="00EF4637" w:rsidRPr="00D80D93">
        <w:rPr>
          <w:rFonts w:ascii="Calibri" w:hAnsi="Calibri"/>
          <w:b/>
          <w:szCs w:val="24"/>
          <w:highlight w:val="lightGray"/>
        </w:rPr>
        <w:t xml:space="preserve"> PRACTICES</w:t>
      </w:r>
    </w:p>
    <w:p w14:paraId="43716E24" w14:textId="3C08E9C5" w:rsidR="0069594E" w:rsidRPr="00EB17C7" w:rsidRDefault="0065503A" w:rsidP="00D80D93">
      <w:pPr>
        <w:pStyle w:val="BodyText"/>
        <w:jc w:val="left"/>
        <w:rPr>
          <w:rFonts w:ascii="Calibri" w:hAnsi="Calibri"/>
          <w:szCs w:val="24"/>
        </w:rPr>
      </w:pPr>
      <w:r w:rsidRPr="00F274BC">
        <w:rPr>
          <w:rFonts w:ascii="Calibri" w:hAnsi="Calibri"/>
          <w:b/>
          <w:szCs w:val="24"/>
        </w:rPr>
        <w:t>Technical coordination between projects:</w:t>
      </w:r>
      <w:r w:rsidRPr="00F274BC">
        <w:rPr>
          <w:rFonts w:ascii="Calibri" w:hAnsi="Calibri"/>
          <w:szCs w:val="24"/>
        </w:rPr>
        <w:t xml:space="preserve"> </w:t>
      </w:r>
      <w:r w:rsidR="0069594E" w:rsidRPr="00F274BC">
        <w:rPr>
          <w:rFonts w:ascii="Calibri" w:hAnsi="Calibri"/>
          <w:szCs w:val="24"/>
        </w:rPr>
        <w:t>The TCG served as a regional coordinating vehicle t</w:t>
      </w:r>
      <w:r w:rsidR="0069594E" w:rsidRPr="00EB17C7">
        <w:rPr>
          <w:rFonts w:ascii="Calibri" w:hAnsi="Calibri"/>
          <w:szCs w:val="24"/>
        </w:rPr>
        <w:t>o share and fine-tune work plans and implementation of activities, sometimes resulting in pragmatic adaptive management of schedules, logistics and resource allocation. This was particularly true in the initial years.</w:t>
      </w:r>
    </w:p>
    <w:p w14:paraId="2A0023B9" w14:textId="34CF6422" w:rsidR="00BE2143" w:rsidRPr="00F274BC" w:rsidRDefault="0069594E" w:rsidP="00D80D93">
      <w:pPr>
        <w:spacing w:after="120" w:line="240" w:lineRule="atLeast"/>
        <w:rPr>
          <w:rFonts w:ascii="Calibri" w:hAnsi="Calibri"/>
          <w:bCs/>
          <w:sz w:val="24"/>
          <w:szCs w:val="24"/>
        </w:rPr>
      </w:pPr>
      <w:r w:rsidRPr="00D80D93">
        <w:rPr>
          <w:rFonts w:ascii="Calibri" w:hAnsi="Calibri"/>
          <w:bCs/>
          <w:sz w:val="24"/>
          <w:szCs w:val="24"/>
        </w:rPr>
        <w:t>This good practice is likely to be applicable to most UNDP-GEF projects and there may well be a leadership role for UNDP to set up and convene such coordinating mechanisms, particularly in cases where that may be tensions and competition between other donors and implementing partners.</w:t>
      </w:r>
      <w:r w:rsidR="0065503A" w:rsidRPr="00F274BC">
        <w:rPr>
          <w:rFonts w:ascii="Calibri" w:hAnsi="Calibri"/>
          <w:bCs/>
          <w:sz w:val="24"/>
          <w:szCs w:val="24"/>
        </w:rPr>
        <w:t xml:space="preserve"> </w:t>
      </w:r>
    </w:p>
    <w:p w14:paraId="719B337E" w14:textId="1E27054B" w:rsidR="0069594E" w:rsidRPr="00EB17C7" w:rsidRDefault="0065503A" w:rsidP="00D80D93">
      <w:pPr>
        <w:spacing w:after="120" w:line="240" w:lineRule="atLeast"/>
        <w:rPr>
          <w:rFonts w:ascii="Calibri" w:hAnsi="Calibri"/>
          <w:bCs/>
          <w:sz w:val="24"/>
          <w:szCs w:val="24"/>
        </w:rPr>
      </w:pPr>
      <w:r w:rsidRPr="00EB17C7">
        <w:rPr>
          <w:rFonts w:ascii="Calibri" w:hAnsi="Calibri"/>
          <w:bCs/>
          <w:sz w:val="24"/>
          <w:szCs w:val="24"/>
        </w:rPr>
        <w:t>As suggested above (Exit Strategy), having such a coordination platform in place can also help projects as they come to an end because it provides an opportunity for other projects still ongoing to pick up on ‘unfinished business’ if that aligns with their own work p</w:t>
      </w:r>
      <w:r w:rsidR="00D80D93" w:rsidRPr="00EB17C7">
        <w:rPr>
          <w:rFonts w:ascii="Calibri" w:hAnsi="Calibri"/>
          <w:bCs/>
          <w:sz w:val="24"/>
          <w:szCs w:val="24"/>
        </w:rPr>
        <w:t>l</w:t>
      </w:r>
      <w:r w:rsidRPr="00EA0277">
        <w:rPr>
          <w:rFonts w:ascii="Calibri" w:hAnsi="Calibri"/>
          <w:bCs/>
          <w:sz w:val="24"/>
          <w:szCs w:val="24"/>
        </w:rPr>
        <w:t>an and can be justified, as well as replication, mainstreaming etc</w:t>
      </w:r>
      <w:r w:rsidR="00F274BC">
        <w:rPr>
          <w:rFonts w:ascii="Calibri" w:hAnsi="Calibri"/>
          <w:bCs/>
          <w:sz w:val="24"/>
          <w:szCs w:val="24"/>
        </w:rPr>
        <w:t>.</w:t>
      </w:r>
      <w:r w:rsidRPr="00F274BC">
        <w:rPr>
          <w:rFonts w:ascii="Calibri" w:hAnsi="Calibri"/>
          <w:bCs/>
          <w:sz w:val="24"/>
          <w:szCs w:val="24"/>
        </w:rPr>
        <w:t xml:space="preserve"> – in addition to brainstorming </w:t>
      </w:r>
      <w:r w:rsidR="00BE2143" w:rsidRPr="00EB17C7">
        <w:rPr>
          <w:rFonts w:ascii="Calibri" w:hAnsi="Calibri"/>
          <w:bCs/>
          <w:sz w:val="24"/>
          <w:szCs w:val="24"/>
        </w:rPr>
        <w:t>and sharing ideas and potential leads within their own respective networks.</w:t>
      </w:r>
    </w:p>
    <w:p w14:paraId="538E891B" w14:textId="008841AD" w:rsidR="0069594E" w:rsidRPr="00EA0277" w:rsidRDefault="00CC59B4" w:rsidP="00EF4637">
      <w:pPr>
        <w:pStyle w:val="BodyText"/>
        <w:spacing w:before="240"/>
        <w:jc w:val="left"/>
        <w:rPr>
          <w:rFonts w:ascii="Calibri" w:hAnsi="Calibri"/>
          <w:b/>
          <w:szCs w:val="24"/>
          <w:highlight w:val="lightGray"/>
        </w:rPr>
      </w:pPr>
      <w:r w:rsidRPr="00EB17C7">
        <w:rPr>
          <w:rFonts w:ascii="Calibri" w:hAnsi="Calibri"/>
          <w:b/>
          <w:szCs w:val="24"/>
          <w:highlight w:val="lightGray"/>
        </w:rPr>
        <w:t>UNHELPFUL</w:t>
      </w:r>
      <w:r w:rsidR="00BD44AE" w:rsidRPr="00EB17C7">
        <w:rPr>
          <w:rFonts w:ascii="Calibri" w:hAnsi="Calibri"/>
          <w:b/>
          <w:szCs w:val="24"/>
          <w:highlight w:val="lightGray"/>
        </w:rPr>
        <w:t>/ABSENT</w:t>
      </w:r>
      <w:r w:rsidR="00EF4637" w:rsidRPr="00EA0277">
        <w:rPr>
          <w:rFonts w:ascii="Calibri" w:hAnsi="Calibri"/>
          <w:b/>
          <w:szCs w:val="24"/>
          <w:highlight w:val="lightGray"/>
        </w:rPr>
        <w:t xml:space="preserve"> </w:t>
      </w:r>
      <w:r w:rsidRPr="00EA0277">
        <w:rPr>
          <w:rFonts w:ascii="Calibri" w:hAnsi="Calibri"/>
          <w:b/>
          <w:szCs w:val="24"/>
          <w:highlight w:val="lightGray"/>
        </w:rPr>
        <w:t>PRACTICES</w:t>
      </w:r>
    </w:p>
    <w:p w14:paraId="7C371906" w14:textId="67E87082" w:rsidR="00BD44AE" w:rsidRPr="00EA0277" w:rsidRDefault="00BE2143" w:rsidP="00D80D93">
      <w:pPr>
        <w:spacing w:after="120" w:line="240" w:lineRule="atLeast"/>
        <w:jc w:val="both"/>
        <w:rPr>
          <w:rFonts w:ascii="Calibri" w:hAnsi="Calibri"/>
          <w:bCs/>
          <w:sz w:val="24"/>
          <w:szCs w:val="24"/>
        </w:rPr>
      </w:pPr>
      <w:r w:rsidRPr="00D80D93">
        <w:rPr>
          <w:rFonts w:ascii="Calibri" w:hAnsi="Calibri"/>
          <w:b/>
          <w:bCs/>
          <w:sz w:val="24"/>
          <w:szCs w:val="24"/>
        </w:rPr>
        <w:t>Project Executive Board / Steering Committee:</w:t>
      </w:r>
      <w:r w:rsidRPr="00D80D93">
        <w:rPr>
          <w:rFonts w:ascii="Calibri" w:hAnsi="Calibri"/>
          <w:bCs/>
          <w:sz w:val="24"/>
          <w:szCs w:val="24"/>
        </w:rPr>
        <w:t xml:space="preserve"> Frequency of meetings and their structure, quite apart from the calibre of the Ch</w:t>
      </w:r>
      <w:r w:rsidRPr="00F274BC">
        <w:rPr>
          <w:rFonts w:ascii="Calibri" w:hAnsi="Calibri"/>
          <w:bCs/>
          <w:sz w:val="24"/>
          <w:szCs w:val="24"/>
        </w:rPr>
        <w:t xml:space="preserve">airperson to facilitate such meetings and the competencies of the membership. In the case of this project, PEB meet twice annually (every six months) which is less than the ideal </w:t>
      </w:r>
      <w:r w:rsidRPr="00EB17C7">
        <w:rPr>
          <w:rFonts w:ascii="Calibri" w:hAnsi="Calibri"/>
          <w:bCs/>
          <w:sz w:val="24"/>
          <w:szCs w:val="24"/>
        </w:rPr>
        <w:t>and UNDP’s</w:t>
      </w:r>
      <w:r w:rsidR="00BD44AE" w:rsidRPr="00EB17C7">
        <w:rPr>
          <w:rFonts w:ascii="Calibri" w:hAnsi="Calibri"/>
          <w:bCs/>
          <w:sz w:val="24"/>
          <w:szCs w:val="24"/>
        </w:rPr>
        <w:t xml:space="preserve"> aspiration/policy, as the Implementing Agency,</w:t>
      </w:r>
      <w:r w:rsidRPr="00EB17C7">
        <w:rPr>
          <w:rFonts w:ascii="Calibri" w:hAnsi="Calibri"/>
          <w:bCs/>
          <w:sz w:val="24"/>
          <w:szCs w:val="24"/>
        </w:rPr>
        <w:t xml:space="preserve"> </w:t>
      </w:r>
      <w:r w:rsidR="00BD44AE" w:rsidRPr="00EB17C7">
        <w:rPr>
          <w:rFonts w:ascii="Calibri" w:hAnsi="Calibri"/>
          <w:bCs/>
          <w:sz w:val="24"/>
          <w:szCs w:val="24"/>
        </w:rPr>
        <w:t>to hold</w:t>
      </w:r>
      <w:r w:rsidRPr="00EA0277">
        <w:rPr>
          <w:rFonts w:ascii="Calibri" w:hAnsi="Calibri"/>
          <w:bCs/>
          <w:sz w:val="24"/>
          <w:szCs w:val="24"/>
        </w:rPr>
        <w:t xml:space="preserve"> meetings quarterly. </w:t>
      </w:r>
    </w:p>
    <w:p w14:paraId="5D51E78D" w14:textId="77777777" w:rsidR="00AF09B0" w:rsidRPr="00D80D93" w:rsidRDefault="00BE2143" w:rsidP="00D80D93">
      <w:pPr>
        <w:spacing w:after="120" w:line="240" w:lineRule="atLeast"/>
        <w:jc w:val="both"/>
        <w:rPr>
          <w:rFonts w:ascii="Calibri" w:hAnsi="Calibri"/>
          <w:bCs/>
          <w:sz w:val="24"/>
          <w:szCs w:val="24"/>
        </w:rPr>
      </w:pPr>
      <w:r w:rsidRPr="00D80D93">
        <w:rPr>
          <w:rFonts w:ascii="Calibri" w:hAnsi="Calibri"/>
          <w:bCs/>
          <w:sz w:val="24"/>
          <w:szCs w:val="24"/>
        </w:rPr>
        <w:lastRenderedPageBreak/>
        <w:t>In the circumstance</w:t>
      </w:r>
      <w:r w:rsidR="00BD44AE" w:rsidRPr="00D80D93">
        <w:rPr>
          <w:rFonts w:ascii="Calibri" w:hAnsi="Calibri"/>
          <w:bCs/>
          <w:sz w:val="24"/>
          <w:szCs w:val="24"/>
        </w:rPr>
        <w:t>s, it is understandable that PEB met only biannually given that the meetings were held in Batumi, which involved a half-day’s travel either way on the part of the IA (UNDP) and IP/EA (APA). On the positive side, it was an excellent decision to hold meetings in the project area as it provides an opportunity for the IA and IP to meet other stakeholders and visit demonstration sites, quite apart from showing an interested, committed attitude</w:t>
      </w:r>
      <w:r w:rsidR="00AF09B0" w:rsidRPr="00D80D93">
        <w:rPr>
          <w:rFonts w:ascii="Calibri" w:hAnsi="Calibri"/>
          <w:bCs/>
          <w:sz w:val="24"/>
          <w:szCs w:val="24"/>
        </w:rPr>
        <w:t xml:space="preserve"> towards other stakeholders.</w:t>
      </w:r>
    </w:p>
    <w:p w14:paraId="2FB3A571" w14:textId="2AF66281" w:rsidR="00AF09B0" w:rsidRPr="00D80D93" w:rsidRDefault="00AF09B0" w:rsidP="00D80D93">
      <w:pPr>
        <w:spacing w:after="120" w:line="240" w:lineRule="atLeast"/>
        <w:jc w:val="both"/>
        <w:rPr>
          <w:rFonts w:ascii="Calibri" w:hAnsi="Calibri"/>
          <w:bCs/>
          <w:sz w:val="24"/>
          <w:szCs w:val="24"/>
        </w:rPr>
      </w:pPr>
      <w:r w:rsidRPr="00D80D93">
        <w:rPr>
          <w:rFonts w:ascii="Calibri" w:hAnsi="Calibri"/>
          <w:bCs/>
          <w:sz w:val="24"/>
          <w:szCs w:val="24"/>
        </w:rPr>
        <w:t>Regarding momentum and continuity between meetings, an important ingredient was missing from the PEB minutes and that was ‘</w:t>
      </w:r>
      <w:r w:rsidRPr="00D80D93">
        <w:rPr>
          <w:rFonts w:ascii="Calibri" w:hAnsi="Calibri"/>
          <w:bCs/>
          <w:sz w:val="24"/>
          <w:szCs w:val="24"/>
          <w:u w:val="single"/>
        </w:rPr>
        <w:t>Matters Arising</w:t>
      </w:r>
      <w:r w:rsidRPr="00D80D93">
        <w:rPr>
          <w:rFonts w:ascii="Calibri" w:hAnsi="Calibri"/>
          <w:bCs/>
          <w:sz w:val="24"/>
          <w:szCs w:val="24"/>
        </w:rPr>
        <w:t>’.  It is common practice for committee meetings to end with a series of actions to be followed up, timeframes and responsible person. This is then reviewed at the beginning of the subsequent meeting under ‘</w:t>
      </w:r>
      <w:r w:rsidRPr="00D80D93">
        <w:rPr>
          <w:rFonts w:ascii="Calibri" w:hAnsi="Calibri"/>
          <w:bCs/>
          <w:sz w:val="24"/>
          <w:szCs w:val="24"/>
          <w:u w:val="single"/>
        </w:rPr>
        <w:t>Matters Arising</w:t>
      </w:r>
      <w:r w:rsidRPr="00D80D93">
        <w:rPr>
          <w:rFonts w:ascii="Calibri" w:hAnsi="Calibri"/>
          <w:bCs/>
          <w:sz w:val="24"/>
          <w:szCs w:val="24"/>
        </w:rPr>
        <w:t xml:space="preserve">’ and helps to maintain momentum in project implementation and ensure accountability. </w:t>
      </w:r>
      <w:r w:rsidR="00095407" w:rsidRPr="00D80D93">
        <w:rPr>
          <w:rFonts w:ascii="Calibri" w:hAnsi="Calibri"/>
          <w:bCs/>
          <w:sz w:val="24"/>
          <w:szCs w:val="24"/>
        </w:rPr>
        <w:t>Thus the structure of the PEB Agendas would have been improved significantly by having ‘</w:t>
      </w:r>
      <w:r w:rsidR="00095407" w:rsidRPr="00D80D93">
        <w:rPr>
          <w:rFonts w:ascii="Calibri" w:hAnsi="Calibri"/>
          <w:bCs/>
          <w:sz w:val="24"/>
          <w:szCs w:val="24"/>
          <w:u w:val="single"/>
        </w:rPr>
        <w:t>Matters Arising</w:t>
      </w:r>
      <w:r w:rsidR="00095407" w:rsidRPr="00D80D93">
        <w:rPr>
          <w:rFonts w:ascii="Calibri" w:hAnsi="Calibri"/>
          <w:bCs/>
          <w:sz w:val="24"/>
          <w:szCs w:val="24"/>
        </w:rPr>
        <w:t>” up front and then end with ‘</w:t>
      </w:r>
      <w:r w:rsidR="00095407" w:rsidRPr="00D80D93">
        <w:rPr>
          <w:rFonts w:ascii="Calibri" w:hAnsi="Calibri"/>
          <w:bCs/>
          <w:sz w:val="24"/>
          <w:szCs w:val="24"/>
          <w:u w:val="single"/>
        </w:rPr>
        <w:t>Decisions taken by PEB</w:t>
      </w:r>
      <w:r w:rsidR="00095407" w:rsidRPr="00D80D93">
        <w:rPr>
          <w:rFonts w:ascii="Calibri" w:hAnsi="Calibri"/>
          <w:bCs/>
          <w:sz w:val="24"/>
          <w:szCs w:val="24"/>
        </w:rPr>
        <w:t>’ (evident in some PEB minutes), followed by ‘</w:t>
      </w:r>
      <w:r w:rsidR="00095407" w:rsidRPr="00D80D93">
        <w:rPr>
          <w:rFonts w:ascii="Calibri" w:hAnsi="Calibri"/>
          <w:bCs/>
          <w:sz w:val="24"/>
          <w:szCs w:val="24"/>
          <w:u w:val="single"/>
        </w:rPr>
        <w:t>Follow-up Actions</w:t>
      </w:r>
      <w:r w:rsidR="00095407" w:rsidRPr="00D80D93">
        <w:rPr>
          <w:rFonts w:ascii="Calibri" w:hAnsi="Calibri"/>
          <w:bCs/>
          <w:sz w:val="24"/>
          <w:szCs w:val="24"/>
        </w:rPr>
        <w:t xml:space="preserve">’ with a date and responsible person earmarked. </w:t>
      </w:r>
      <w:r w:rsidRPr="00D80D93">
        <w:rPr>
          <w:rFonts w:ascii="Calibri" w:hAnsi="Calibri"/>
          <w:bCs/>
          <w:sz w:val="24"/>
          <w:szCs w:val="24"/>
          <w:u w:val="single"/>
        </w:rPr>
        <w:t>Such practice should be routine for all project</w:t>
      </w:r>
      <w:r w:rsidRPr="00D80D93">
        <w:rPr>
          <w:rFonts w:ascii="Calibri" w:hAnsi="Calibri"/>
          <w:bCs/>
          <w:sz w:val="24"/>
          <w:szCs w:val="24"/>
        </w:rPr>
        <w:t>s.</w:t>
      </w:r>
    </w:p>
    <w:p w14:paraId="0210E295" w14:textId="090CDED1" w:rsidR="00E421D0" w:rsidRPr="00F274BC" w:rsidRDefault="002D7BA6" w:rsidP="00D80D93">
      <w:pPr>
        <w:spacing w:after="120" w:line="240" w:lineRule="atLeast"/>
        <w:jc w:val="both"/>
        <w:rPr>
          <w:rFonts w:ascii="Calibri" w:hAnsi="Calibri"/>
          <w:bCs/>
          <w:sz w:val="24"/>
          <w:szCs w:val="24"/>
        </w:rPr>
      </w:pPr>
      <w:r w:rsidRPr="00D80D93">
        <w:rPr>
          <w:rFonts w:ascii="Calibri" w:hAnsi="Calibri"/>
          <w:b/>
          <w:bCs/>
          <w:sz w:val="24"/>
          <w:szCs w:val="24"/>
        </w:rPr>
        <w:t>Changes in personnel:</w:t>
      </w:r>
      <w:r w:rsidRPr="00D80D93">
        <w:rPr>
          <w:rFonts w:ascii="Calibri" w:hAnsi="Calibri"/>
          <w:bCs/>
          <w:sz w:val="24"/>
          <w:szCs w:val="24"/>
        </w:rPr>
        <w:t xml:space="preserve"> In the case of this project, part of its success or at least timely delivery of outputs can be attributed to continuity of staff throughout the project’s duration within UNDP and PMU. Unfortunately, the same is not true for APA’s representation at PEB meetings and National Project Director, nor its PA Administration staff in the target sites where turn-over of rangers and others field personnel is high due to the low salaries.</w:t>
      </w:r>
    </w:p>
    <w:p w14:paraId="0D2ADA33" w14:textId="5CD10E46" w:rsidR="005751F2" w:rsidRPr="00D80D93" w:rsidRDefault="002D7BA6" w:rsidP="00D80D93">
      <w:pPr>
        <w:spacing w:after="120" w:line="240" w:lineRule="atLeast"/>
        <w:jc w:val="both"/>
        <w:rPr>
          <w:rFonts w:ascii="Calibri" w:hAnsi="Calibri"/>
          <w:bCs/>
          <w:sz w:val="24"/>
          <w:szCs w:val="24"/>
        </w:rPr>
      </w:pPr>
      <w:r w:rsidRPr="00D80D93">
        <w:rPr>
          <w:rFonts w:ascii="Calibri" w:hAnsi="Calibri"/>
          <w:bCs/>
          <w:sz w:val="24"/>
          <w:szCs w:val="24"/>
        </w:rPr>
        <w:t>Some change is inevitable and, indeed, healthy for the individual and for the organisation. However, frequent changes will inevitably be disruptive and organisations have a responsibility of being prudent with</w:t>
      </w:r>
      <w:r w:rsidR="00411B77" w:rsidRPr="00D80D93">
        <w:rPr>
          <w:rFonts w:ascii="Calibri" w:hAnsi="Calibri"/>
          <w:bCs/>
          <w:sz w:val="24"/>
          <w:szCs w:val="24"/>
        </w:rPr>
        <w:t xml:space="preserve"> their internal changes, taking steps to minimise impacts on other initiatives. </w:t>
      </w:r>
    </w:p>
    <w:p w14:paraId="6B9E4C7A" w14:textId="40018356" w:rsidR="002D7BA6" w:rsidRPr="00D80D93" w:rsidRDefault="005751F2" w:rsidP="00D80D93">
      <w:pPr>
        <w:spacing w:after="120" w:line="240" w:lineRule="atLeast"/>
        <w:jc w:val="both"/>
        <w:rPr>
          <w:rFonts w:ascii="Calibri" w:hAnsi="Calibri"/>
          <w:bCs/>
          <w:sz w:val="24"/>
          <w:szCs w:val="24"/>
        </w:rPr>
      </w:pPr>
      <w:r w:rsidRPr="00D80D93">
        <w:rPr>
          <w:rFonts w:ascii="Calibri" w:hAnsi="Calibri"/>
          <w:bCs/>
          <w:sz w:val="24"/>
          <w:szCs w:val="24"/>
        </w:rPr>
        <w:t>Similarly</w:t>
      </w:r>
      <w:r w:rsidR="00411B77" w:rsidRPr="00D80D93">
        <w:rPr>
          <w:rFonts w:ascii="Calibri" w:hAnsi="Calibri"/>
          <w:bCs/>
          <w:sz w:val="24"/>
          <w:szCs w:val="24"/>
        </w:rPr>
        <w:t xml:space="preserve">, </w:t>
      </w:r>
      <w:r w:rsidRPr="00D80D93">
        <w:rPr>
          <w:rFonts w:ascii="Calibri" w:hAnsi="Calibri"/>
          <w:bCs/>
          <w:sz w:val="24"/>
          <w:szCs w:val="24"/>
        </w:rPr>
        <w:t xml:space="preserve">when </w:t>
      </w:r>
      <w:r w:rsidR="00411B77" w:rsidRPr="00D80D93">
        <w:rPr>
          <w:rFonts w:ascii="Calibri" w:hAnsi="Calibri"/>
          <w:bCs/>
          <w:sz w:val="24"/>
          <w:szCs w:val="24"/>
        </w:rPr>
        <w:t>establish</w:t>
      </w:r>
      <w:r w:rsidRPr="00D80D93">
        <w:rPr>
          <w:rFonts w:ascii="Calibri" w:hAnsi="Calibri"/>
          <w:bCs/>
          <w:sz w:val="24"/>
          <w:szCs w:val="24"/>
        </w:rPr>
        <w:t>ing</w:t>
      </w:r>
      <w:r w:rsidR="00411B77" w:rsidRPr="00D80D93">
        <w:rPr>
          <w:rFonts w:ascii="Calibri" w:hAnsi="Calibri"/>
          <w:bCs/>
          <w:sz w:val="24"/>
          <w:szCs w:val="24"/>
        </w:rPr>
        <w:t xml:space="preserve"> an executive board/steering committee coordinating platform, working group, task force etc, </w:t>
      </w:r>
      <w:r w:rsidRPr="00D80D93">
        <w:rPr>
          <w:rFonts w:ascii="Calibri" w:hAnsi="Calibri"/>
          <w:bCs/>
          <w:sz w:val="24"/>
          <w:szCs w:val="24"/>
        </w:rPr>
        <w:t xml:space="preserve">a project can take </w:t>
      </w:r>
      <w:r w:rsidR="00411B77" w:rsidRPr="00D80D93">
        <w:rPr>
          <w:rFonts w:ascii="Calibri" w:hAnsi="Calibri"/>
          <w:bCs/>
          <w:sz w:val="24"/>
          <w:szCs w:val="24"/>
        </w:rPr>
        <w:t xml:space="preserve">steps to request/insist that an organisation’s representative has to commit for the duration of their role – and that an alternate representative is either not acceptable to the membership (such as a task force with a very output to deliver within a specific timeframe) or acceptable only in extreme </w:t>
      </w:r>
      <w:r w:rsidR="002D7BA6" w:rsidRPr="00D80D93">
        <w:rPr>
          <w:rFonts w:ascii="Calibri" w:hAnsi="Calibri"/>
          <w:bCs/>
          <w:sz w:val="24"/>
          <w:szCs w:val="24"/>
        </w:rPr>
        <w:t>situation</w:t>
      </w:r>
      <w:r w:rsidR="00411B77" w:rsidRPr="00D80D93">
        <w:rPr>
          <w:rFonts w:ascii="Calibri" w:hAnsi="Calibri"/>
          <w:bCs/>
          <w:sz w:val="24"/>
          <w:szCs w:val="24"/>
        </w:rPr>
        <w:t>s. Such measures put in</w:t>
      </w:r>
      <w:r w:rsidRPr="00D80D93">
        <w:rPr>
          <w:rFonts w:ascii="Calibri" w:hAnsi="Calibri"/>
          <w:bCs/>
          <w:sz w:val="24"/>
          <w:szCs w:val="24"/>
        </w:rPr>
        <w:t xml:space="preserve"> place upfront of establishing such a body can be very effective in ensuring accountability and commitment.</w:t>
      </w:r>
    </w:p>
    <w:p w14:paraId="4BCF6CDF" w14:textId="375C8801" w:rsidR="00BF319B" w:rsidRPr="00EB17C7" w:rsidRDefault="005751F2" w:rsidP="005E2562">
      <w:pPr>
        <w:spacing w:after="120" w:line="240" w:lineRule="atLeast"/>
        <w:jc w:val="both"/>
        <w:rPr>
          <w:rFonts w:ascii="Calibri" w:hAnsi="Calibri"/>
          <w:bCs/>
          <w:sz w:val="24"/>
          <w:szCs w:val="24"/>
        </w:rPr>
      </w:pPr>
      <w:r w:rsidRPr="005E2562">
        <w:rPr>
          <w:rFonts w:ascii="Calibri" w:hAnsi="Calibri"/>
          <w:b/>
          <w:bCs/>
          <w:sz w:val="24"/>
          <w:szCs w:val="24"/>
        </w:rPr>
        <w:t>Being on the same page:</w:t>
      </w:r>
      <w:r w:rsidRPr="00D80D93">
        <w:rPr>
          <w:rFonts w:ascii="Calibri" w:hAnsi="Calibri"/>
          <w:bCs/>
          <w:sz w:val="24"/>
          <w:szCs w:val="24"/>
        </w:rPr>
        <w:t xml:space="preserve"> A situation arose at the time of the MTR whereby a piece of work commissioned by the project, in this case a zonation plan </w:t>
      </w:r>
      <w:r w:rsidR="00BF319B" w:rsidRPr="00D80D93">
        <w:rPr>
          <w:rFonts w:ascii="Calibri" w:hAnsi="Calibri"/>
          <w:bCs/>
          <w:sz w:val="24"/>
          <w:szCs w:val="24"/>
        </w:rPr>
        <w:t>for Machakhela NP prepared by Ilia State University, was initially reject</w:t>
      </w:r>
      <w:r w:rsidR="00E421D0" w:rsidRPr="00F274BC">
        <w:rPr>
          <w:rFonts w:ascii="Calibri" w:hAnsi="Calibri"/>
          <w:bCs/>
          <w:sz w:val="24"/>
          <w:szCs w:val="24"/>
        </w:rPr>
        <w:t>ed by APA in favour of the</w:t>
      </w:r>
      <w:r w:rsidR="00BF319B" w:rsidRPr="00EB17C7">
        <w:rPr>
          <w:rFonts w:ascii="Calibri" w:hAnsi="Calibri"/>
          <w:bCs/>
          <w:sz w:val="24"/>
          <w:szCs w:val="24"/>
        </w:rPr>
        <w:t xml:space="preserve"> zonation plan</w:t>
      </w:r>
      <w:r w:rsidR="00E421D0" w:rsidRPr="00EB17C7">
        <w:rPr>
          <w:rFonts w:ascii="Calibri" w:hAnsi="Calibri"/>
          <w:bCs/>
          <w:sz w:val="24"/>
          <w:szCs w:val="24"/>
        </w:rPr>
        <w:t xml:space="preserve"> in the draft Management Plan</w:t>
      </w:r>
      <w:r w:rsidR="00BF319B" w:rsidRPr="00EB17C7">
        <w:rPr>
          <w:rFonts w:ascii="Calibri" w:hAnsi="Calibri"/>
          <w:bCs/>
          <w:sz w:val="24"/>
          <w:szCs w:val="24"/>
        </w:rPr>
        <w:t xml:space="preserve">. Whatever the dynamics and rights/wrongs of this incident, the bottom line is that it raises eyebrows among the project’s stakeholders, quite apart from embarrassing and disempowering those accountable for the delivery of the output and, indeed, the project. </w:t>
      </w:r>
    </w:p>
    <w:p w14:paraId="20969315" w14:textId="2414E5E0" w:rsidR="00013BC6" w:rsidRPr="00F606E8" w:rsidRDefault="00BF319B" w:rsidP="00F606E8">
      <w:pPr>
        <w:overflowPunct/>
        <w:autoSpaceDE/>
        <w:autoSpaceDN/>
        <w:adjustRightInd/>
        <w:spacing w:line="240" w:lineRule="atLeast"/>
        <w:textAlignment w:val="auto"/>
        <w:rPr>
          <w:rFonts w:asciiTheme="minorHAnsi" w:hAnsiTheme="minorHAnsi"/>
          <w:smallCaps/>
          <w:sz w:val="24"/>
          <w:szCs w:val="24"/>
        </w:rPr>
      </w:pPr>
      <w:r w:rsidRPr="00D80D93">
        <w:rPr>
          <w:rFonts w:ascii="Calibri" w:hAnsi="Calibri"/>
          <w:bCs/>
          <w:sz w:val="24"/>
          <w:szCs w:val="24"/>
        </w:rPr>
        <w:t>Arguably, the situation should never have arisen in the first place had everyone involved been adequately informed</w:t>
      </w:r>
      <w:r w:rsidR="00C81617" w:rsidRPr="00D80D93">
        <w:rPr>
          <w:rFonts w:ascii="Calibri" w:hAnsi="Calibri"/>
          <w:bCs/>
          <w:sz w:val="24"/>
          <w:szCs w:val="24"/>
        </w:rPr>
        <w:t xml:space="preserve"> and activities coordinated and agreed up </w:t>
      </w:r>
      <w:r w:rsidR="00E77FDC" w:rsidRPr="00D80D93">
        <w:rPr>
          <w:rFonts w:ascii="Calibri" w:hAnsi="Calibri"/>
          <w:bCs/>
          <w:sz w:val="24"/>
          <w:szCs w:val="24"/>
        </w:rPr>
        <w:t>front</w:t>
      </w:r>
      <w:r w:rsidRPr="00D80D93">
        <w:rPr>
          <w:rFonts w:ascii="Calibri" w:hAnsi="Calibri"/>
          <w:bCs/>
          <w:sz w:val="24"/>
          <w:szCs w:val="24"/>
        </w:rPr>
        <w:t xml:space="preserve"> – where-in lies a lesson! </w:t>
      </w:r>
      <w:r w:rsidR="00E77FDC" w:rsidRPr="00D80D93">
        <w:rPr>
          <w:rFonts w:ascii="Calibri" w:hAnsi="Calibri"/>
          <w:bCs/>
          <w:sz w:val="24"/>
          <w:szCs w:val="24"/>
        </w:rPr>
        <w:t>However, given</w:t>
      </w:r>
      <w:r w:rsidR="00C81617" w:rsidRPr="00D80D93">
        <w:rPr>
          <w:rFonts w:ascii="Calibri" w:hAnsi="Calibri"/>
          <w:bCs/>
          <w:sz w:val="24"/>
          <w:szCs w:val="24"/>
        </w:rPr>
        <w:t xml:space="preserve"> the situation</w:t>
      </w:r>
      <w:r w:rsidR="00E77FDC" w:rsidRPr="00D80D93">
        <w:rPr>
          <w:rFonts w:ascii="Calibri" w:hAnsi="Calibri"/>
          <w:bCs/>
          <w:sz w:val="24"/>
          <w:szCs w:val="24"/>
        </w:rPr>
        <w:t>, a more appropriate way forward would have been for APA to request an informal meeting with the P</w:t>
      </w:r>
      <w:r w:rsidR="00E421D0" w:rsidRPr="00D80D93">
        <w:rPr>
          <w:rFonts w:ascii="Calibri" w:hAnsi="Calibri"/>
          <w:bCs/>
          <w:sz w:val="24"/>
          <w:szCs w:val="24"/>
        </w:rPr>
        <w:t xml:space="preserve">MU and consultant (University) </w:t>
      </w:r>
      <w:r w:rsidR="00E77FDC" w:rsidRPr="00D80D93">
        <w:rPr>
          <w:rFonts w:ascii="Calibri" w:hAnsi="Calibri"/>
          <w:bCs/>
          <w:sz w:val="24"/>
          <w:szCs w:val="24"/>
        </w:rPr>
        <w:t>for a technical discussion, rather than the</w:t>
      </w:r>
      <w:r w:rsidR="00E421D0" w:rsidRPr="00D80D93">
        <w:rPr>
          <w:rFonts w:ascii="Calibri" w:hAnsi="Calibri"/>
          <w:bCs/>
          <w:sz w:val="24"/>
          <w:szCs w:val="24"/>
        </w:rPr>
        <w:t>m reporting to the MTR team that they would reject Ilia’s zonation plan</w:t>
      </w:r>
      <w:r w:rsidR="00E77FDC" w:rsidRPr="00D80D93">
        <w:rPr>
          <w:rFonts w:ascii="Calibri" w:hAnsi="Calibri"/>
          <w:bCs/>
          <w:sz w:val="24"/>
          <w:szCs w:val="24"/>
        </w:rPr>
        <w:t xml:space="preserve">. (And a month or so later, the news </w:t>
      </w:r>
      <w:r w:rsidR="00E421D0" w:rsidRPr="00D80D93">
        <w:rPr>
          <w:rFonts w:ascii="Calibri" w:hAnsi="Calibri"/>
          <w:bCs/>
          <w:sz w:val="24"/>
          <w:szCs w:val="24"/>
        </w:rPr>
        <w:t>was</w:t>
      </w:r>
      <w:r w:rsidR="00E77FDC" w:rsidRPr="00D80D93">
        <w:rPr>
          <w:rFonts w:ascii="Calibri" w:hAnsi="Calibri"/>
          <w:bCs/>
          <w:sz w:val="24"/>
          <w:szCs w:val="24"/>
        </w:rPr>
        <w:t xml:space="preserve"> that </w:t>
      </w:r>
      <w:r w:rsidR="00E421D0" w:rsidRPr="00D80D93">
        <w:rPr>
          <w:rFonts w:ascii="Calibri" w:hAnsi="Calibri"/>
          <w:bCs/>
          <w:sz w:val="24"/>
          <w:szCs w:val="24"/>
        </w:rPr>
        <w:t>APA was content with zonation plan, following a meeting with APA and Ilia University, convened by PMU!)</w:t>
      </w:r>
    </w:p>
    <w:p w14:paraId="614B70AF" w14:textId="77777777" w:rsidR="009D28E5" w:rsidRPr="00955506" w:rsidRDefault="009D28E5" w:rsidP="00013BC6">
      <w:pPr>
        <w:overflowPunct/>
        <w:autoSpaceDE/>
        <w:autoSpaceDN/>
        <w:adjustRightInd/>
        <w:spacing w:after="120" w:line="240" w:lineRule="atLeast"/>
        <w:jc w:val="both"/>
        <w:textAlignment w:val="auto"/>
        <w:rPr>
          <w:rFonts w:asciiTheme="minorHAnsi" w:hAnsiTheme="minorHAnsi" w:cs="Calibri"/>
          <w:color w:val="000000" w:themeColor="text1"/>
          <w:sz w:val="24"/>
          <w:szCs w:val="24"/>
          <w:lang w:val="en-US"/>
        </w:rPr>
        <w:sectPr w:rsidR="009D28E5" w:rsidRPr="00955506" w:rsidSect="001B651D">
          <w:footerReference w:type="default" r:id="rId21"/>
          <w:pgSz w:w="11906" w:h="16838" w:code="1"/>
          <w:pgMar w:top="1440" w:right="1440" w:bottom="1440" w:left="1440" w:header="288" w:footer="288" w:gutter="0"/>
          <w:pgNumType w:start="1"/>
          <w:cols w:space="708"/>
          <w:docGrid w:linePitch="299"/>
        </w:sectPr>
      </w:pPr>
    </w:p>
    <w:p w14:paraId="4B95401B" w14:textId="77777777" w:rsidR="00332D0C" w:rsidRPr="00E22EBA" w:rsidRDefault="00332D0C" w:rsidP="0067558E">
      <w:pPr>
        <w:pStyle w:val="Heading1"/>
        <w:numPr>
          <w:ilvl w:val="0"/>
          <w:numId w:val="9"/>
        </w:numPr>
        <w:spacing w:after="120" w:line="240" w:lineRule="auto"/>
        <w:jc w:val="left"/>
        <w:rPr>
          <w:rFonts w:asciiTheme="minorHAnsi" w:hAnsiTheme="minorHAnsi"/>
          <w:b/>
          <w:sz w:val="32"/>
        </w:rPr>
      </w:pPr>
      <w:bookmarkStart w:id="163" w:name="_Toc414745346"/>
      <w:r w:rsidRPr="00E22EBA">
        <w:rPr>
          <w:rFonts w:asciiTheme="minorHAnsi" w:hAnsiTheme="minorHAnsi"/>
          <w:b/>
          <w:sz w:val="32"/>
        </w:rPr>
        <w:lastRenderedPageBreak/>
        <w:t>Annexes</w:t>
      </w:r>
      <w:bookmarkEnd w:id="163"/>
    </w:p>
    <w:p w14:paraId="461BD766" w14:textId="792B073B" w:rsidR="00EA6574" w:rsidRPr="00E22EBA" w:rsidRDefault="00EA6574" w:rsidP="00EA6574">
      <w:pPr>
        <w:pStyle w:val="Heading2"/>
        <w:spacing w:after="120" w:line="240" w:lineRule="auto"/>
        <w:rPr>
          <w:rFonts w:asciiTheme="minorHAnsi" w:hAnsiTheme="minorHAnsi"/>
          <w:b/>
          <w:caps w:val="0"/>
        </w:rPr>
      </w:pPr>
      <w:bookmarkStart w:id="164" w:name="_Toc414745347"/>
      <w:r w:rsidRPr="00E22EBA">
        <w:rPr>
          <w:rFonts w:asciiTheme="minorHAnsi" w:hAnsiTheme="minorHAnsi"/>
          <w:b/>
          <w:caps w:val="0"/>
        </w:rPr>
        <w:t xml:space="preserve">Annex </w:t>
      </w:r>
      <w:r>
        <w:rPr>
          <w:rFonts w:asciiTheme="minorHAnsi" w:hAnsiTheme="minorHAnsi"/>
          <w:b/>
          <w:caps w:val="0"/>
        </w:rPr>
        <w:t>1</w:t>
      </w:r>
      <w:r w:rsidRPr="00E22EBA">
        <w:rPr>
          <w:rFonts w:asciiTheme="minorHAnsi" w:hAnsiTheme="minorHAnsi"/>
          <w:b/>
          <w:caps w:val="0"/>
        </w:rPr>
        <w:t xml:space="preserve">: </w:t>
      </w:r>
      <w:r>
        <w:rPr>
          <w:rFonts w:asciiTheme="minorHAnsi" w:hAnsiTheme="minorHAnsi"/>
          <w:b/>
          <w:caps w:val="0"/>
        </w:rPr>
        <w:t>Terms of Reference</w:t>
      </w:r>
      <w:r w:rsidR="00BA3505">
        <w:rPr>
          <w:rFonts w:asciiTheme="minorHAnsi" w:hAnsiTheme="minorHAnsi"/>
          <w:b/>
          <w:caps w:val="0"/>
        </w:rPr>
        <w:t xml:space="preserve"> for Terminal Evaluation</w:t>
      </w:r>
      <w:bookmarkEnd w:id="164"/>
    </w:p>
    <w:p w14:paraId="35233D12" w14:textId="77777777" w:rsidR="00EA6574" w:rsidRDefault="00EA6574" w:rsidP="00EA6574">
      <w:pPr>
        <w:rPr>
          <w:rFonts w:ascii="Cambria" w:hAnsi="Cambria" w:cs="Arial"/>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8"/>
        <w:gridCol w:w="5484"/>
      </w:tblGrid>
      <w:tr w:rsidR="00BA3505" w14:paraId="7072AF57" w14:textId="77777777" w:rsidTr="00BA3505">
        <w:trPr>
          <w:trHeight w:val="386"/>
        </w:trPr>
        <w:tc>
          <w:tcPr>
            <w:tcW w:w="3771" w:type="dxa"/>
            <w:tcBorders>
              <w:top w:val="single" w:sz="24" w:space="0" w:color="auto"/>
            </w:tcBorders>
            <w:shd w:val="clear" w:color="auto" w:fill="BFBFBF" w:themeFill="background1" w:themeFillShade="BF"/>
          </w:tcPr>
          <w:p w14:paraId="385F1115" w14:textId="77777777" w:rsidR="00BA3505" w:rsidRDefault="00BA3505" w:rsidP="00BA3505">
            <w:pPr>
              <w:rPr>
                <w:rFonts w:ascii="Calibri,Bold" w:hAnsi="Calibri,Bold" w:cs="Calibri,Bold"/>
                <w:b/>
                <w:bCs/>
                <w:color w:val="000000"/>
                <w:sz w:val="21"/>
                <w:szCs w:val="21"/>
              </w:rPr>
            </w:pPr>
            <w:bookmarkStart w:id="165" w:name="_Toc299126613"/>
            <w:r>
              <w:rPr>
                <w:rFonts w:ascii="Calibri,Bold" w:hAnsi="Calibri,Bold" w:cs="Calibri,Bold"/>
                <w:b/>
                <w:bCs/>
                <w:color w:val="000000"/>
                <w:sz w:val="21"/>
                <w:szCs w:val="21"/>
              </w:rPr>
              <w:t>Reference</w:t>
            </w:r>
          </w:p>
        </w:tc>
        <w:tc>
          <w:tcPr>
            <w:tcW w:w="5515" w:type="dxa"/>
            <w:tcBorders>
              <w:top w:val="single" w:sz="24" w:space="0" w:color="auto"/>
            </w:tcBorders>
            <w:shd w:val="clear" w:color="auto" w:fill="BFBFBF" w:themeFill="background1" w:themeFillShade="BF"/>
          </w:tcPr>
          <w:p w14:paraId="321F28F3" w14:textId="77777777" w:rsidR="00BA3505" w:rsidRDefault="00BA3505" w:rsidP="00BA3505">
            <w:pPr>
              <w:rPr>
                <w:rFonts w:ascii="Calibri,Bold" w:hAnsi="Calibri,Bold" w:cs="Calibri,Bold"/>
                <w:b/>
                <w:bCs/>
                <w:color w:val="000000"/>
                <w:sz w:val="21"/>
                <w:szCs w:val="21"/>
              </w:rPr>
            </w:pPr>
            <w:r>
              <w:rPr>
                <w:rFonts w:ascii="Calibri" w:hAnsi="Calibri" w:cs="Calibri"/>
                <w:color w:val="000000"/>
                <w:sz w:val="21"/>
                <w:szCs w:val="21"/>
              </w:rPr>
              <w:t>PIMS 4732</w:t>
            </w:r>
          </w:p>
        </w:tc>
      </w:tr>
      <w:tr w:rsidR="00BA3505" w14:paraId="6A2A1A23" w14:textId="77777777" w:rsidTr="00BA3505">
        <w:trPr>
          <w:trHeight w:val="420"/>
        </w:trPr>
        <w:tc>
          <w:tcPr>
            <w:tcW w:w="3771" w:type="dxa"/>
            <w:shd w:val="clear" w:color="auto" w:fill="BFBFBF" w:themeFill="background1" w:themeFillShade="BF"/>
          </w:tcPr>
          <w:p w14:paraId="7ABD9E3A" w14:textId="77777777" w:rsidR="00BA3505" w:rsidRDefault="00BA3505" w:rsidP="00BA3505">
            <w:pPr>
              <w:rPr>
                <w:rFonts w:ascii="Calibri,Bold" w:hAnsi="Calibri,Bold" w:cs="Calibri,Bold"/>
                <w:b/>
                <w:bCs/>
                <w:color w:val="000000"/>
                <w:sz w:val="21"/>
                <w:szCs w:val="21"/>
              </w:rPr>
            </w:pPr>
            <w:r>
              <w:rPr>
                <w:rFonts w:ascii="Calibri,Bold" w:hAnsi="Calibri,Bold" w:cs="Calibri,Bold"/>
                <w:b/>
                <w:bCs/>
                <w:color w:val="000000"/>
                <w:sz w:val="21"/>
                <w:szCs w:val="21"/>
              </w:rPr>
              <w:t>Country</w:t>
            </w:r>
          </w:p>
        </w:tc>
        <w:tc>
          <w:tcPr>
            <w:tcW w:w="5515" w:type="dxa"/>
            <w:shd w:val="clear" w:color="auto" w:fill="BFBFBF" w:themeFill="background1" w:themeFillShade="BF"/>
          </w:tcPr>
          <w:p w14:paraId="576C2090" w14:textId="77777777" w:rsidR="00BA3505" w:rsidRDefault="00BA3505" w:rsidP="00BA3505">
            <w:pPr>
              <w:rPr>
                <w:rFonts w:ascii="Calibri,Bold" w:hAnsi="Calibri,Bold" w:cs="Calibri,Bold"/>
                <w:b/>
                <w:bCs/>
                <w:color w:val="000000"/>
                <w:sz w:val="21"/>
                <w:szCs w:val="21"/>
              </w:rPr>
            </w:pPr>
            <w:r>
              <w:rPr>
                <w:rFonts w:ascii="Calibri" w:hAnsi="Calibri" w:cs="Calibri"/>
                <w:color w:val="000000"/>
                <w:sz w:val="21"/>
                <w:szCs w:val="21"/>
              </w:rPr>
              <w:t>Georgia</w:t>
            </w:r>
          </w:p>
        </w:tc>
      </w:tr>
      <w:tr w:rsidR="00BA3505" w14:paraId="5D450885" w14:textId="77777777" w:rsidTr="00BA3505">
        <w:tc>
          <w:tcPr>
            <w:tcW w:w="3771" w:type="dxa"/>
            <w:shd w:val="clear" w:color="auto" w:fill="BFBFBF" w:themeFill="background1" w:themeFillShade="BF"/>
          </w:tcPr>
          <w:p w14:paraId="6C39AB25" w14:textId="77777777" w:rsidR="00BA3505" w:rsidRDefault="00BA3505" w:rsidP="00BA3505">
            <w:pPr>
              <w:rPr>
                <w:rFonts w:ascii="Calibri,Bold" w:hAnsi="Calibri,Bold" w:cs="Calibri,Bold"/>
                <w:b/>
                <w:bCs/>
                <w:color w:val="000000"/>
                <w:sz w:val="21"/>
                <w:szCs w:val="21"/>
              </w:rPr>
            </w:pPr>
            <w:r>
              <w:rPr>
                <w:rFonts w:ascii="Calibri,Bold" w:hAnsi="Calibri,Bold" w:cs="Calibri,Bold"/>
                <w:b/>
                <w:bCs/>
                <w:color w:val="000000"/>
                <w:sz w:val="21"/>
                <w:szCs w:val="21"/>
              </w:rPr>
              <w:t>Description of the Assignment:</w:t>
            </w:r>
          </w:p>
        </w:tc>
        <w:tc>
          <w:tcPr>
            <w:tcW w:w="5515" w:type="dxa"/>
            <w:shd w:val="clear" w:color="auto" w:fill="BFBFBF" w:themeFill="background1" w:themeFillShade="BF"/>
          </w:tcPr>
          <w:p w14:paraId="7B67A2FF" w14:textId="77777777" w:rsidR="00BA3505" w:rsidRDefault="00BA3505" w:rsidP="00BA3505">
            <w:pPr>
              <w:rPr>
                <w:rFonts w:ascii="Calibri" w:hAnsi="Calibri" w:cs="Calibri"/>
                <w:color w:val="000000"/>
                <w:sz w:val="21"/>
                <w:szCs w:val="21"/>
              </w:rPr>
            </w:pPr>
            <w:r>
              <w:rPr>
                <w:rFonts w:ascii="Calibri" w:hAnsi="Calibri" w:cs="Calibri"/>
                <w:color w:val="000000"/>
                <w:sz w:val="21"/>
                <w:szCs w:val="21"/>
              </w:rPr>
              <w:t>International Consultant for Terminal Evaluation of UNDP-GEF Expansion and Improved Management Effectiveness of Achara Region’s Protected Areas</w:t>
            </w:r>
          </w:p>
          <w:p w14:paraId="51E51AE1" w14:textId="77777777" w:rsidR="00BA3505" w:rsidRDefault="00BA3505" w:rsidP="00BA3505">
            <w:pPr>
              <w:rPr>
                <w:rFonts w:ascii="Calibri,Bold" w:hAnsi="Calibri,Bold" w:cs="Calibri,Bold"/>
                <w:b/>
                <w:bCs/>
                <w:color w:val="000000"/>
                <w:sz w:val="21"/>
                <w:szCs w:val="21"/>
              </w:rPr>
            </w:pPr>
          </w:p>
        </w:tc>
      </w:tr>
      <w:tr w:rsidR="00BA3505" w14:paraId="4FFA9ADF" w14:textId="77777777" w:rsidTr="00BA3505">
        <w:trPr>
          <w:trHeight w:val="639"/>
        </w:trPr>
        <w:tc>
          <w:tcPr>
            <w:tcW w:w="3771" w:type="dxa"/>
            <w:shd w:val="clear" w:color="auto" w:fill="BFBFBF" w:themeFill="background1" w:themeFillShade="BF"/>
          </w:tcPr>
          <w:p w14:paraId="3C64CDE7" w14:textId="77777777" w:rsidR="00BA3505" w:rsidRDefault="00BA3505" w:rsidP="00BA3505">
            <w:pPr>
              <w:rPr>
                <w:rFonts w:ascii="Calibri,Bold" w:hAnsi="Calibri,Bold" w:cs="Calibri,Bold"/>
                <w:b/>
                <w:bCs/>
                <w:color w:val="000000"/>
                <w:sz w:val="21"/>
                <w:szCs w:val="21"/>
              </w:rPr>
            </w:pPr>
            <w:r>
              <w:rPr>
                <w:rFonts w:ascii="Calibri,Bold" w:hAnsi="Calibri,Bold" w:cs="Calibri,Bold"/>
                <w:b/>
                <w:bCs/>
                <w:color w:val="000000"/>
                <w:sz w:val="21"/>
                <w:szCs w:val="21"/>
              </w:rPr>
              <w:t>Project:</w:t>
            </w:r>
          </w:p>
        </w:tc>
        <w:tc>
          <w:tcPr>
            <w:tcW w:w="5515" w:type="dxa"/>
            <w:shd w:val="clear" w:color="auto" w:fill="BFBFBF" w:themeFill="background1" w:themeFillShade="BF"/>
          </w:tcPr>
          <w:p w14:paraId="023BECDD" w14:textId="77777777" w:rsidR="00BA3505" w:rsidRPr="00247CA7" w:rsidRDefault="00BA3505" w:rsidP="00BA3505">
            <w:pPr>
              <w:rPr>
                <w:rFonts w:ascii="Calibri" w:hAnsi="Calibri" w:cs="Calibri"/>
                <w:color w:val="000000"/>
                <w:sz w:val="21"/>
                <w:szCs w:val="21"/>
              </w:rPr>
            </w:pPr>
            <w:r>
              <w:rPr>
                <w:rFonts w:ascii="Calibri" w:hAnsi="Calibri" w:cs="Calibri"/>
                <w:color w:val="000000"/>
                <w:sz w:val="21"/>
                <w:szCs w:val="21"/>
              </w:rPr>
              <w:t xml:space="preserve">PIMS 4732: Expansion and Improved Management Effectiveness of Achara Region’s Protected Areas </w:t>
            </w:r>
          </w:p>
        </w:tc>
      </w:tr>
      <w:tr w:rsidR="00BA3505" w14:paraId="6528A430" w14:textId="77777777" w:rsidTr="00BA3505">
        <w:trPr>
          <w:trHeight w:val="704"/>
        </w:trPr>
        <w:tc>
          <w:tcPr>
            <w:tcW w:w="3771" w:type="dxa"/>
            <w:shd w:val="clear" w:color="auto" w:fill="BFBFBF" w:themeFill="background1" w:themeFillShade="BF"/>
          </w:tcPr>
          <w:p w14:paraId="5C144CE1" w14:textId="77777777" w:rsidR="00BA3505" w:rsidRDefault="00BA3505" w:rsidP="00BA3505">
            <w:pPr>
              <w:rPr>
                <w:rFonts w:ascii="Calibri,Bold" w:hAnsi="Calibri,Bold" w:cs="Calibri,Bold"/>
                <w:b/>
                <w:bCs/>
                <w:color w:val="000000"/>
                <w:sz w:val="21"/>
                <w:szCs w:val="21"/>
              </w:rPr>
            </w:pPr>
            <w:r>
              <w:rPr>
                <w:rFonts w:ascii="Calibri,Bold" w:hAnsi="Calibri,Bold" w:cs="Calibri,Bold"/>
                <w:b/>
                <w:bCs/>
                <w:color w:val="000000"/>
                <w:sz w:val="21"/>
                <w:szCs w:val="21"/>
              </w:rPr>
              <w:t>Period of Assignment/Services:</w:t>
            </w:r>
          </w:p>
        </w:tc>
        <w:tc>
          <w:tcPr>
            <w:tcW w:w="5515" w:type="dxa"/>
            <w:shd w:val="clear" w:color="auto" w:fill="BFBFBF" w:themeFill="background1" w:themeFillShade="BF"/>
          </w:tcPr>
          <w:p w14:paraId="11D64BDA" w14:textId="77777777" w:rsidR="00BA3505" w:rsidRPr="00247CA7" w:rsidRDefault="00BA3505" w:rsidP="00BA3505">
            <w:pPr>
              <w:rPr>
                <w:rFonts w:ascii="Calibri" w:hAnsi="Calibri" w:cs="Calibri"/>
                <w:color w:val="000000"/>
                <w:sz w:val="21"/>
                <w:szCs w:val="21"/>
              </w:rPr>
            </w:pPr>
            <w:r>
              <w:rPr>
                <w:rFonts w:ascii="Calibri" w:hAnsi="Calibri" w:cs="Calibri"/>
                <w:color w:val="000000"/>
                <w:sz w:val="21"/>
                <w:szCs w:val="21"/>
              </w:rPr>
              <w:t>25 working days over three months between September 15, 2018 to December 15, 2018</w:t>
            </w:r>
          </w:p>
        </w:tc>
      </w:tr>
      <w:tr w:rsidR="00BA3505" w14:paraId="7A166D38" w14:textId="77777777" w:rsidTr="00BA3505">
        <w:tc>
          <w:tcPr>
            <w:tcW w:w="3771" w:type="dxa"/>
            <w:tcBorders>
              <w:bottom w:val="single" w:sz="24" w:space="0" w:color="auto"/>
            </w:tcBorders>
            <w:shd w:val="clear" w:color="auto" w:fill="BFBFBF" w:themeFill="background1" w:themeFillShade="BF"/>
          </w:tcPr>
          <w:p w14:paraId="632FB5E7" w14:textId="77777777" w:rsidR="00BA3505" w:rsidRDefault="00BA3505" w:rsidP="00BA3505">
            <w:pPr>
              <w:rPr>
                <w:rFonts w:ascii="Calibri,Bold" w:hAnsi="Calibri,Bold" w:cs="Calibri,Bold"/>
                <w:b/>
                <w:bCs/>
                <w:color w:val="000000"/>
                <w:sz w:val="21"/>
                <w:szCs w:val="21"/>
              </w:rPr>
            </w:pPr>
            <w:r>
              <w:rPr>
                <w:rFonts w:ascii="Calibri,Bold" w:hAnsi="Calibri,Bold" w:cs="Calibri,Bold"/>
                <w:b/>
                <w:bCs/>
                <w:color w:val="000000"/>
                <w:sz w:val="21"/>
                <w:szCs w:val="21"/>
              </w:rPr>
              <w:t>Duty Station:</w:t>
            </w:r>
          </w:p>
        </w:tc>
        <w:tc>
          <w:tcPr>
            <w:tcW w:w="5515" w:type="dxa"/>
            <w:tcBorders>
              <w:bottom w:val="single" w:sz="24" w:space="0" w:color="auto"/>
            </w:tcBorders>
            <w:shd w:val="clear" w:color="auto" w:fill="BFBFBF" w:themeFill="background1" w:themeFillShade="BF"/>
          </w:tcPr>
          <w:p w14:paraId="38625169" w14:textId="77777777" w:rsidR="00BA3505" w:rsidRDefault="00BA3505" w:rsidP="00BA3505">
            <w:pPr>
              <w:rPr>
                <w:rFonts w:ascii="Calibri" w:hAnsi="Calibri" w:cs="Calibri"/>
                <w:color w:val="000000"/>
                <w:sz w:val="21"/>
                <w:szCs w:val="21"/>
              </w:rPr>
            </w:pPr>
            <w:r>
              <w:rPr>
                <w:rFonts w:ascii="Calibri" w:hAnsi="Calibri" w:cs="Calibri"/>
                <w:color w:val="000000"/>
                <w:sz w:val="21"/>
                <w:szCs w:val="21"/>
              </w:rPr>
              <w:t>Home Based with one mission of estimated 10 working days in Batumi and Tbilisi (app. 7 and 3 days respectively)</w:t>
            </w:r>
          </w:p>
          <w:p w14:paraId="2ED9F19A" w14:textId="77777777" w:rsidR="00BA3505" w:rsidRDefault="00BA3505" w:rsidP="00BA3505">
            <w:pPr>
              <w:rPr>
                <w:rFonts w:ascii="Calibri,Bold" w:hAnsi="Calibri,Bold" w:cs="Calibri,Bold"/>
                <w:b/>
                <w:bCs/>
                <w:color w:val="000000"/>
                <w:sz w:val="21"/>
                <w:szCs w:val="21"/>
              </w:rPr>
            </w:pPr>
          </w:p>
        </w:tc>
      </w:tr>
    </w:tbl>
    <w:p w14:paraId="4968FA19" w14:textId="77777777" w:rsidR="00BA3505" w:rsidRDefault="00BA3505" w:rsidP="00BA3505">
      <w:pPr>
        <w:pStyle w:val="Heading51"/>
      </w:pPr>
      <w:r>
        <w:t>INTRODUCTION</w:t>
      </w:r>
    </w:p>
    <w:p w14:paraId="5B4F7B8E" w14:textId="77777777" w:rsidR="00BA3505" w:rsidRPr="000C7435" w:rsidRDefault="00BA3505" w:rsidP="00BA3505">
      <w:pPr>
        <w:spacing w:before="200"/>
        <w:rPr>
          <w:rFonts w:ascii="Calibri" w:hAnsi="Calibri"/>
          <w:sz w:val="20"/>
        </w:rPr>
      </w:pPr>
      <w:r w:rsidRPr="00D6638C">
        <w:rPr>
          <w:rFonts w:ascii="Calibri" w:hAnsi="Calibri"/>
          <w:sz w:val="20"/>
        </w:rPr>
        <w:t>In accordance with UNDP and GEF M&amp;E policies and procedures, all full and medium-sized UNDP support GEF financed projects are required to undergo a terminal evaluation upon completion of implementation. These terms of reference (TOR) sets out the expectations for a Terminal Evaluation (TE) of the</w:t>
      </w:r>
      <w:r w:rsidRPr="00725B1E">
        <w:rPr>
          <w:lang w:eastAsia="ja-JP"/>
        </w:rPr>
        <w:t xml:space="preserve"> </w:t>
      </w:r>
      <w:r w:rsidRPr="000C7435">
        <w:rPr>
          <w:sz w:val="20"/>
          <w:lang w:eastAsia="ja-JP"/>
        </w:rPr>
        <w:t xml:space="preserve">full sized project titled </w:t>
      </w:r>
      <w:r w:rsidRPr="000C7435">
        <w:rPr>
          <w:sz w:val="20"/>
        </w:rPr>
        <w:t xml:space="preserve"> </w:t>
      </w:r>
      <w:r w:rsidRPr="000C7435">
        <w:rPr>
          <w:i/>
          <w:sz w:val="20"/>
        </w:rPr>
        <w:t>“Expansion and Improved Management of the Achara Region’s Protected Areas</w:t>
      </w:r>
      <w:r w:rsidRPr="000C7435">
        <w:rPr>
          <w:sz w:val="20"/>
        </w:rPr>
        <w:t>”</w:t>
      </w:r>
      <w:r w:rsidRPr="000C7435">
        <w:rPr>
          <w:sz w:val="20"/>
          <w:lang w:eastAsia="ja-JP"/>
        </w:rPr>
        <w:t xml:space="preserve"> (PIMS</w:t>
      </w:r>
      <w:r w:rsidRPr="000C7435">
        <w:rPr>
          <w:sz w:val="20"/>
          <w:highlight w:val="lightGray"/>
          <w:lang w:eastAsia="ja-JP"/>
        </w:rPr>
        <w:t>#</w:t>
      </w:r>
      <w:r w:rsidRPr="000C7435">
        <w:rPr>
          <w:sz w:val="20"/>
          <w:lang w:eastAsia="ja-JP"/>
        </w:rPr>
        <w:t xml:space="preserve">4732) </w:t>
      </w:r>
    </w:p>
    <w:p w14:paraId="1343D4B3" w14:textId="77777777" w:rsidR="00BA3505" w:rsidRPr="00D6638C" w:rsidRDefault="00BA3505" w:rsidP="00BA3505">
      <w:pPr>
        <w:spacing w:before="200"/>
        <w:rPr>
          <w:rFonts w:ascii="Calibri" w:hAnsi="Calibri"/>
          <w:sz w:val="20"/>
        </w:rPr>
      </w:pPr>
      <w:r w:rsidRPr="00D6638C">
        <w:rPr>
          <w:rFonts w:ascii="Calibri" w:hAnsi="Calibri"/>
          <w:sz w:val="20"/>
        </w:rPr>
        <w:t xml:space="preserve">The essentials of the project to be evaluated are as follows:    </w:t>
      </w:r>
    </w:p>
    <w:p w14:paraId="2C438FE6" w14:textId="77777777" w:rsidR="00BA3505" w:rsidRPr="00D6638C" w:rsidRDefault="00BA3505" w:rsidP="00BA3505">
      <w:pPr>
        <w:pStyle w:val="Heading51"/>
      </w:pPr>
      <w:bookmarkStart w:id="166" w:name="_Toc321341548"/>
      <w:r w:rsidRPr="00D6638C">
        <w:t>Project Summary Table</w:t>
      </w:r>
      <w:bookmarkEnd w:id="166"/>
    </w:p>
    <w:tbl>
      <w:tblPr>
        <w:tblW w:w="5395" w:type="pct"/>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1570"/>
        <w:gridCol w:w="3371"/>
        <w:gridCol w:w="1984"/>
        <w:gridCol w:w="1414"/>
        <w:gridCol w:w="1523"/>
      </w:tblGrid>
      <w:tr w:rsidR="00BA3505" w:rsidRPr="00225312" w14:paraId="532A5149" w14:textId="77777777" w:rsidTr="00BA3505">
        <w:trPr>
          <w:trHeight w:val="359"/>
        </w:trPr>
        <w:tc>
          <w:tcPr>
            <w:tcW w:w="5000" w:type="pct"/>
            <w:gridSpan w:val="5"/>
            <w:shd w:val="clear" w:color="auto" w:fill="7F7F7F"/>
            <w:tcMar>
              <w:left w:w="57" w:type="dxa"/>
              <w:right w:w="57" w:type="dxa"/>
            </w:tcMar>
          </w:tcPr>
          <w:p w14:paraId="36F43F39" w14:textId="77777777" w:rsidR="00BA3505" w:rsidRPr="00225312" w:rsidRDefault="00BA3505" w:rsidP="00BA3505">
            <w:pPr>
              <w:contextualSpacing/>
              <w:rPr>
                <w:rFonts w:ascii="Calibri" w:hAnsi="Calibri" w:cs="Calibri"/>
                <w:bCs/>
                <w:color w:val="FFFFFF"/>
                <w:sz w:val="20"/>
              </w:rPr>
            </w:pPr>
            <w:r w:rsidRPr="00225312">
              <w:rPr>
                <w:rFonts w:ascii="Calibri" w:hAnsi="Calibri" w:cs="Calibri"/>
                <w:bCs/>
                <w:color w:val="FFFFFF"/>
                <w:sz w:val="20"/>
              </w:rPr>
              <w:t xml:space="preserve">Project Title: </w:t>
            </w:r>
            <w:r>
              <w:rPr>
                <w:rFonts w:ascii="Calibri" w:hAnsi="Calibri" w:cs="Calibri"/>
                <w:bCs/>
                <w:color w:val="FFFFFF"/>
                <w:sz w:val="20"/>
              </w:rPr>
              <w:t xml:space="preserve"> Expansion and Improved Management Effectiveness of the Achara Region’s Protected Areas</w:t>
            </w:r>
          </w:p>
        </w:tc>
      </w:tr>
      <w:tr w:rsidR="00BA3505" w:rsidRPr="00225312" w14:paraId="3DE82CC7" w14:textId="77777777" w:rsidTr="00BA3505">
        <w:tblPrEx>
          <w:shd w:val="clear" w:color="auto" w:fill="auto"/>
        </w:tblPrEx>
        <w:trPr>
          <w:trHeight w:val="367"/>
        </w:trPr>
        <w:tc>
          <w:tcPr>
            <w:tcW w:w="796" w:type="pct"/>
            <w:tcMar>
              <w:left w:w="57" w:type="dxa"/>
              <w:right w:w="57" w:type="dxa"/>
            </w:tcMar>
          </w:tcPr>
          <w:p w14:paraId="197D46B9" w14:textId="77777777" w:rsidR="00BA3505" w:rsidRPr="00225312" w:rsidRDefault="00BA3505" w:rsidP="00BA3505">
            <w:pPr>
              <w:jc w:val="right"/>
              <w:rPr>
                <w:rFonts w:ascii="Calibri" w:eastAsia="Arial Unicode MS" w:hAnsi="Calibri"/>
                <w:color w:val="000000"/>
                <w:sz w:val="20"/>
              </w:rPr>
            </w:pPr>
            <w:r w:rsidRPr="00225312">
              <w:rPr>
                <w:rFonts w:ascii="Calibri" w:hAnsi="Calibri"/>
                <w:color w:val="000000"/>
                <w:sz w:val="20"/>
              </w:rPr>
              <w:t>GEF Project ID:</w:t>
            </w:r>
          </w:p>
        </w:tc>
        <w:tc>
          <w:tcPr>
            <w:tcW w:w="1709" w:type="pct"/>
            <w:tcMar>
              <w:left w:w="57" w:type="dxa"/>
              <w:right w:w="57" w:type="dxa"/>
            </w:tcMar>
          </w:tcPr>
          <w:p w14:paraId="760EDB94" w14:textId="77777777" w:rsidR="00BA3505" w:rsidRPr="00225312" w:rsidRDefault="00BA3505" w:rsidP="00BA3505">
            <w:pPr>
              <w:tabs>
                <w:tab w:val="right" w:pos="0"/>
              </w:tabs>
              <w:rPr>
                <w:rFonts w:ascii="Calibri" w:hAnsi="Calibri"/>
                <w:sz w:val="20"/>
              </w:rPr>
            </w:pPr>
            <w:r w:rsidRPr="00225312">
              <w:rPr>
                <w:rFonts w:ascii="Calibri" w:hAnsi="Calibri" w:cs="Times New Roman PSMT"/>
                <w:color w:val="000000"/>
                <w:sz w:val="20"/>
              </w:rPr>
              <w:t>4835</w:t>
            </w:r>
          </w:p>
        </w:tc>
        <w:tc>
          <w:tcPr>
            <w:tcW w:w="1006" w:type="pct"/>
            <w:tcMar>
              <w:left w:w="57" w:type="dxa"/>
              <w:right w:w="57" w:type="dxa"/>
            </w:tcMar>
          </w:tcPr>
          <w:p w14:paraId="330ABBB2" w14:textId="77777777" w:rsidR="00BA3505" w:rsidRPr="00225312" w:rsidRDefault="00BA3505" w:rsidP="00BA3505">
            <w:pPr>
              <w:jc w:val="right"/>
              <w:rPr>
                <w:rFonts w:ascii="Calibri" w:eastAsia="Arial Unicode MS" w:hAnsi="Calibri"/>
                <w:sz w:val="20"/>
              </w:rPr>
            </w:pPr>
            <w:r w:rsidRPr="00225312">
              <w:rPr>
                <w:rFonts w:ascii="Calibri" w:hAnsi="Calibri"/>
                <w:sz w:val="20"/>
              </w:rPr>
              <w:t> </w:t>
            </w:r>
          </w:p>
        </w:tc>
        <w:tc>
          <w:tcPr>
            <w:tcW w:w="717" w:type="pct"/>
            <w:tcMar>
              <w:left w:w="57" w:type="dxa"/>
              <w:right w:w="57" w:type="dxa"/>
            </w:tcMar>
          </w:tcPr>
          <w:p w14:paraId="3DCF6A1D" w14:textId="77777777" w:rsidR="00BA3505" w:rsidRPr="00225312" w:rsidRDefault="00BA3505" w:rsidP="00BA3505">
            <w:pPr>
              <w:jc w:val="center"/>
              <w:rPr>
                <w:rFonts w:ascii="Calibri" w:eastAsia="Arial Unicode MS" w:hAnsi="Calibri"/>
                <w:i/>
                <w:color w:val="000000"/>
                <w:sz w:val="20"/>
                <w:u w:val="single"/>
              </w:rPr>
            </w:pPr>
            <w:r w:rsidRPr="00225312">
              <w:rPr>
                <w:rFonts w:ascii="Calibri" w:hAnsi="Calibri"/>
                <w:i/>
                <w:color w:val="000000"/>
                <w:sz w:val="20"/>
                <w:u w:val="single"/>
              </w:rPr>
              <w:t>at endorsement (Million US$)</w:t>
            </w:r>
          </w:p>
        </w:tc>
        <w:tc>
          <w:tcPr>
            <w:tcW w:w="772" w:type="pct"/>
            <w:tcMar>
              <w:left w:w="57" w:type="dxa"/>
              <w:right w:w="57" w:type="dxa"/>
            </w:tcMar>
          </w:tcPr>
          <w:p w14:paraId="5926BB31" w14:textId="77777777" w:rsidR="00BA3505" w:rsidRPr="00225312" w:rsidRDefault="00BA3505" w:rsidP="00BA3505">
            <w:pPr>
              <w:jc w:val="center"/>
              <w:rPr>
                <w:rFonts w:ascii="Calibri" w:eastAsia="Arial Unicode MS" w:hAnsi="Calibri"/>
                <w:i/>
                <w:color w:val="000000"/>
                <w:sz w:val="20"/>
                <w:u w:val="single"/>
              </w:rPr>
            </w:pPr>
            <w:r w:rsidRPr="00225312">
              <w:rPr>
                <w:rFonts w:ascii="Calibri" w:hAnsi="Calibri"/>
                <w:i/>
                <w:color w:val="000000"/>
                <w:sz w:val="20"/>
                <w:u w:val="single"/>
              </w:rPr>
              <w:t>at completion (Million US$)</w:t>
            </w:r>
          </w:p>
        </w:tc>
      </w:tr>
      <w:tr w:rsidR="00BA3505" w:rsidRPr="00225312" w14:paraId="5A591148" w14:textId="77777777" w:rsidTr="00BA3505">
        <w:tblPrEx>
          <w:shd w:val="clear" w:color="auto" w:fill="auto"/>
        </w:tblPrEx>
        <w:trPr>
          <w:trHeight w:val="91"/>
        </w:trPr>
        <w:tc>
          <w:tcPr>
            <w:tcW w:w="796" w:type="pct"/>
            <w:tcMar>
              <w:left w:w="57" w:type="dxa"/>
              <w:right w:w="57" w:type="dxa"/>
            </w:tcMar>
          </w:tcPr>
          <w:p w14:paraId="0F0AB04D" w14:textId="77777777" w:rsidR="00BA3505" w:rsidRPr="00225312" w:rsidRDefault="00BA3505" w:rsidP="00BA3505">
            <w:pPr>
              <w:jc w:val="right"/>
              <w:rPr>
                <w:rFonts w:ascii="Calibri" w:eastAsia="Arial Unicode MS" w:hAnsi="Calibri"/>
                <w:color w:val="000000"/>
                <w:sz w:val="20"/>
              </w:rPr>
            </w:pPr>
            <w:r w:rsidRPr="00225312">
              <w:rPr>
                <w:rFonts w:ascii="Calibri" w:hAnsi="Calibri"/>
                <w:color w:val="000000"/>
                <w:sz w:val="20"/>
              </w:rPr>
              <w:t>UNDP Project ID:</w:t>
            </w:r>
          </w:p>
        </w:tc>
        <w:tc>
          <w:tcPr>
            <w:tcW w:w="1709" w:type="pct"/>
            <w:tcMar>
              <w:left w:w="57" w:type="dxa"/>
              <w:right w:w="57" w:type="dxa"/>
            </w:tcMar>
          </w:tcPr>
          <w:p w14:paraId="281A43EE" w14:textId="77777777" w:rsidR="00BA3505" w:rsidRPr="00225312" w:rsidRDefault="00BA3505" w:rsidP="00BA3505">
            <w:pPr>
              <w:tabs>
                <w:tab w:val="right" w:pos="0"/>
              </w:tabs>
              <w:rPr>
                <w:rFonts w:ascii="Calibri" w:hAnsi="Calibri"/>
                <w:bCs/>
                <w:color w:val="000000"/>
                <w:sz w:val="20"/>
              </w:rPr>
            </w:pPr>
            <w:r w:rsidRPr="00225312">
              <w:rPr>
                <w:rFonts w:ascii="Calibri" w:hAnsi="Calibri"/>
                <w:sz w:val="20"/>
              </w:rPr>
              <w:t>00088000</w:t>
            </w:r>
          </w:p>
        </w:tc>
        <w:tc>
          <w:tcPr>
            <w:tcW w:w="1006" w:type="pct"/>
            <w:tcMar>
              <w:left w:w="57" w:type="dxa"/>
              <w:right w:w="57" w:type="dxa"/>
            </w:tcMar>
          </w:tcPr>
          <w:p w14:paraId="12ACBFA8" w14:textId="77777777" w:rsidR="00BA3505" w:rsidRPr="00225312" w:rsidRDefault="00BA3505" w:rsidP="00BA3505">
            <w:pPr>
              <w:jc w:val="right"/>
              <w:rPr>
                <w:rFonts w:ascii="Calibri" w:eastAsia="Arial Unicode MS" w:hAnsi="Calibri"/>
                <w:color w:val="000000"/>
                <w:sz w:val="20"/>
              </w:rPr>
            </w:pPr>
            <w:r w:rsidRPr="00225312">
              <w:rPr>
                <w:rFonts w:ascii="Calibri" w:hAnsi="Calibri"/>
                <w:color w:val="000000"/>
                <w:sz w:val="20"/>
              </w:rPr>
              <w:t>GEF financing:</w:t>
            </w:r>
          </w:p>
        </w:tc>
        <w:tc>
          <w:tcPr>
            <w:tcW w:w="717" w:type="pct"/>
            <w:tcMar>
              <w:left w:w="57" w:type="dxa"/>
              <w:right w:w="57" w:type="dxa"/>
            </w:tcMar>
          </w:tcPr>
          <w:p w14:paraId="08413A5F" w14:textId="77777777" w:rsidR="00BA3505" w:rsidRPr="00225312" w:rsidRDefault="00BA3505" w:rsidP="00BA3505">
            <w:pPr>
              <w:rPr>
                <w:rFonts w:ascii="Calibri" w:eastAsia="Arial Unicode MS" w:hAnsi="Calibri"/>
                <w:sz w:val="20"/>
              </w:rPr>
            </w:pPr>
            <w:r w:rsidRPr="00225312">
              <w:rPr>
                <w:rFonts w:ascii="Calibri" w:hAnsi="Calibri"/>
                <w:sz w:val="20"/>
              </w:rPr>
              <w:t>1,283,636</w:t>
            </w:r>
          </w:p>
        </w:tc>
        <w:tc>
          <w:tcPr>
            <w:tcW w:w="772" w:type="pct"/>
            <w:tcMar>
              <w:left w:w="57" w:type="dxa"/>
              <w:right w:w="57" w:type="dxa"/>
            </w:tcMar>
          </w:tcPr>
          <w:p w14:paraId="4968F3AD" w14:textId="77777777" w:rsidR="00BA3505" w:rsidRPr="00BA3505" w:rsidRDefault="00BA3505" w:rsidP="00BA3505">
            <w:pPr>
              <w:jc w:val="both"/>
              <w:rPr>
                <w:rFonts w:ascii="Calibri" w:eastAsia="Arial Unicode MS" w:hAnsi="Calibri"/>
                <w:sz w:val="20"/>
              </w:rPr>
            </w:pPr>
            <w:r w:rsidRPr="00BA3505">
              <w:rPr>
                <w:rFonts w:ascii="Calibri" w:hAnsi="Calibri"/>
                <w:sz w:val="20"/>
              </w:rPr>
              <w:t>tbd</w:t>
            </w:r>
          </w:p>
        </w:tc>
      </w:tr>
      <w:tr w:rsidR="00BA3505" w:rsidRPr="00225312" w14:paraId="49F865D9" w14:textId="77777777" w:rsidTr="00BA3505">
        <w:tblPrEx>
          <w:shd w:val="clear" w:color="auto" w:fill="auto"/>
        </w:tblPrEx>
        <w:trPr>
          <w:trHeight w:val="82"/>
        </w:trPr>
        <w:tc>
          <w:tcPr>
            <w:tcW w:w="796" w:type="pct"/>
            <w:tcMar>
              <w:left w:w="57" w:type="dxa"/>
              <w:right w:w="57" w:type="dxa"/>
            </w:tcMar>
          </w:tcPr>
          <w:p w14:paraId="25F8E467" w14:textId="77777777" w:rsidR="00BA3505" w:rsidRPr="00225312" w:rsidRDefault="00BA3505" w:rsidP="00BA3505">
            <w:pPr>
              <w:jc w:val="right"/>
              <w:rPr>
                <w:rFonts w:ascii="Calibri" w:hAnsi="Calibri"/>
                <w:color w:val="000000"/>
                <w:sz w:val="20"/>
              </w:rPr>
            </w:pPr>
            <w:r w:rsidRPr="00225312">
              <w:rPr>
                <w:rFonts w:ascii="Calibri" w:hAnsi="Calibri"/>
                <w:color w:val="000000"/>
                <w:sz w:val="20"/>
              </w:rPr>
              <w:t>Country:</w:t>
            </w:r>
          </w:p>
        </w:tc>
        <w:tc>
          <w:tcPr>
            <w:tcW w:w="1709" w:type="pct"/>
            <w:tcMar>
              <w:left w:w="57" w:type="dxa"/>
              <w:right w:w="57" w:type="dxa"/>
            </w:tcMar>
          </w:tcPr>
          <w:p w14:paraId="585F16D0" w14:textId="77777777" w:rsidR="00BA3505" w:rsidRPr="00225312" w:rsidRDefault="00BA3505" w:rsidP="00BA3505">
            <w:pPr>
              <w:tabs>
                <w:tab w:val="right" w:pos="0"/>
              </w:tabs>
              <w:rPr>
                <w:rFonts w:ascii="Calibri" w:hAnsi="Calibri"/>
                <w:color w:val="000000"/>
                <w:sz w:val="20"/>
              </w:rPr>
            </w:pPr>
            <w:r w:rsidRPr="00225312">
              <w:rPr>
                <w:rFonts w:ascii="Calibri" w:hAnsi="Calibri"/>
                <w:sz w:val="20"/>
              </w:rPr>
              <w:t>Georgia</w:t>
            </w:r>
          </w:p>
        </w:tc>
        <w:tc>
          <w:tcPr>
            <w:tcW w:w="1006" w:type="pct"/>
            <w:tcMar>
              <w:left w:w="57" w:type="dxa"/>
              <w:right w:w="57" w:type="dxa"/>
            </w:tcMar>
          </w:tcPr>
          <w:p w14:paraId="52FB09C5" w14:textId="77777777" w:rsidR="00BA3505" w:rsidRPr="00225312" w:rsidRDefault="00BA3505" w:rsidP="00BA3505">
            <w:pPr>
              <w:jc w:val="right"/>
              <w:rPr>
                <w:rFonts w:ascii="Calibri" w:hAnsi="Calibri"/>
                <w:color w:val="000000"/>
                <w:sz w:val="20"/>
              </w:rPr>
            </w:pPr>
            <w:r w:rsidRPr="00225312">
              <w:rPr>
                <w:rFonts w:ascii="Calibri" w:hAnsi="Calibri"/>
                <w:bCs/>
                <w:sz w:val="20"/>
              </w:rPr>
              <w:t>IA/EA own:</w:t>
            </w:r>
          </w:p>
        </w:tc>
        <w:tc>
          <w:tcPr>
            <w:tcW w:w="717" w:type="pct"/>
            <w:tcMar>
              <w:left w:w="57" w:type="dxa"/>
              <w:right w:w="57" w:type="dxa"/>
            </w:tcMar>
          </w:tcPr>
          <w:p w14:paraId="03B2AD1A" w14:textId="77777777" w:rsidR="00BA3505" w:rsidRPr="00225312" w:rsidRDefault="00BA3505" w:rsidP="00BA3505">
            <w:pPr>
              <w:rPr>
                <w:rFonts w:ascii="Calibri" w:eastAsia="Arial Unicode MS" w:hAnsi="Calibri"/>
                <w:sz w:val="20"/>
              </w:rPr>
            </w:pPr>
            <w:r w:rsidRPr="00225312">
              <w:rPr>
                <w:rFonts w:ascii="Calibri" w:hAnsi="Calibri"/>
                <w:sz w:val="20"/>
              </w:rPr>
              <w:t>40,000</w:t>
            </w:r>
          </w:p>
        </w:tc>
        <w:tc>
          <w:tcPr>
            <w:tcW w:w="772" w:type="pct"/>
            <w:tcMar>
              <w:left w:w="57" w:type="dxa"/>
              <w:right w:w="57" w:type="dxa"/>
            </w:tcMar>
          </w:tcPr>
          <w:p w14:paraId="78A76C73" w14:textId="77777777" w:rsidR="00BA3505" w:rsidRPr="00BA3505" w:rsidRDefault="00BA3505" w:rsidP="00BA3505">
            <w:pPr>
              <w:jc w:val="both"/>
              <w:rPr>
                <w:rFonts w:ascii="Calibri" w:eastAsia="Arial Unicode MS" w:hAnsi="Calibri"/>
                <w:sz w:val="20"/>
              </w:rPr>
            </w:pPr>
            <w:r w:rsidRPr="00BA3505">
              <w:rPr>
                <w:rFonts w:ascii="Calibri" w:hAnsi="Calibri"/>
                <w:sz w:val="20"/>
              </w:rPr>
              <w:t>tbd</w:t>
            </w:r>
          </w:p>
        </w:tc>
      </w:tr>
      <w:tr w:rsidR="00BA3505" w:rsidRPr="00225312" w14:paraId="0EC24D4A" w14:textId="77777777" w:rsidTr="00BA3505">
        <w:tblPrEx>
          <w:shd w:val="clear" w:color="auto" w:fill="auto"/>
        </w:tblPrEx>
        <w:trPr>
          <w:trHeight w:val="74"/>
        </w:trPr>
        <w:tc>
          <w:tcPr>
            <w:tcW w:w="796" w:type="pct"/>
            <w:tcMar>
              <w:left w:w="57" w:type="dxa"/>
              <w:right w:w="57" w:type="dxa"/>
            </w:tcMar>
          </w:tcPr>
          <w:p w14:paraId="5968093A" w14:textId="77777777" w:rsidR="00BA3505" w:rsidRPr="00225312" w:rsidRDefault="00BA3505" w:rsidP="00BA3505">
            <w:pPr>
              <w:jc w:val="right"/>
              <w:rPr>
                <w:rFonts w:ascii="Calibri" w:hAnsi="Calibri"/>
                <w:color w:val="000000"/>
                <w:sz w:val="20"/>
              </w:rPr>
            </w:pPr>
            <w:r w:rsidRPr="00225312">
              <w:rPr>
                <w:rFonts w:ascii="Calibri" w:hAnsi="Calibri"/>
                <w:color w:val="000000"/>
                <w:sz w:val="20"/>
              </w:rPr>
              <w:t>Region:</w:t>
            </w:r>
          </w:p>
        </w:tc>
        <w:tc>
          <w:tcPr>
            <w:tcW w:w="1709" w:type="pct"/>
            <w:tcMar>
              <w:left w:w="57" w:type="dxa"/>
              <w:right w:w="57" w:type="dxa"/>
            </w:tcMar>
          </w:tcPr>
          <w:p w14:paraId="0736D648" w14:textId="77777777" w:rsidR="00BA3505" w:rsidRPr="00225312" w:rsidRDefault="00BA3505" w:rsidP="00BA3505">
            <w:pPr>
              <w:tabs>
                <w:tab w:val="right" w:pos="0"/>
              </w:tabs>
              <w:rPr>
                <w:rFonts w:ascii="Calibri" w:hAnsi="Calibri"/>
                <w:sz w:val="20"/>
                <w:lang w:val="es-ES_tradnl"/>
              </w:rPr>
            </w:pPr>
            <w:r w:rsidRPr="00225312">
              <w:rPr>
                <w:rFonts w:ascii="Calibri" w:hAnsi="Calibri"/>
                <w:sz w:val="20"/>
              </w:rPr>
              <w:t>Eastern Europe and Central Asia</w:t>
            </w:r>
          </w:p>
        </w:tc>
        <w:tc>
          <w:tcPr>
            <w:tcW w:w="1006" w:type="pct"/>
            <w:tcMar>
              <w:left w:w="57" w:type="dxa"/>
              <w:right w:w="57" w:type="dxa"/>
            </w:tcMar>
          </w:tcPr>
          <w:p w14:paraId="5DC74452" w14:textId="77777777" w:rsidR="00BA3505" w:rsidRPr="00225312" w:rsidRDefault="00BA3505" w:rsidP="00BA3505">
            <w:pPr>
              <w:jc w:val="right"/>
              <w:rPr>
                <w:rFonts w:ascii="Calibri" w:hAnsi="Calibri"/>
                <w:color w:val="000000"/>
                <w:sz w:val="20"/>
              </w:rPr>
            </w:pPr>
            <w:r w:rsidRPr="00225312">
              <w:rPr>
                <w:rFonts w:ascii="Calibri" w:hAnsi="Calibri"/>
                <w:bCs/>
                <w:sz w:val="20"/>
              </w:rPr>
              <w:t>Government:</w:t>
            </w:r>
          </w:p>
        </w:tc>
        <w:tc>
          <w:tcPr>
            <w:tcW w:w="717" w:type="pct"/>
            <w:tcMar>
              <w:left w:w="57" w:type="dxa"/>
              <w:right w:w="57" w:type="dxa"/>
            </w:tcMar>
          </w:tcPr>
          <w:p w14:paraId="4094F886" w14:textId="77777777" w:rsidR="00BA3505" w:rsidRPr="00225312" w:rsidRDefault="00BA3505" w:rsidP="00BA3505">
            <w:pPr>
              <w:rPr>
                <w:rFonts w:ascii="Calibri" w:eastAsia="Arial Unicode MS" w:hAnsi="Calibri"/>
                <w:sz w:val="20"/>
              </w:rPr>
            </w:pPr>
            <w:r w:rsidRPr="00225312">
              <w:rPr>
                <w:rFonts w:ascii="Calibri" w:hAnsi="Calibri"/>
                <w:sz w:val="20"/>
              </w:rPr>
              <w:t>10,791,079</w:t>
            </w:r>
          </w:p>
        </w:tc>
        <w:tc>
          <w:tcPr>
            <w:tcW w:w="772" w:type="pct"/>
            <w:tcMar>
              <w:left w:w="57" w:type="dxa"/>
              <w:right w:w="57" w:type="dxa"/>
            </w:tcMar>
          </w:tcPr>
          <w:p w14:paraId="2E0EF463" w14:textId="77777777" w:rsidR="00BA3505" w:rsidRPr="00BA3505" w:rsidRDefault="00BA3505" w:rsidP="00BA3505">
            <w:pPr>
              <w:jc w:val="both"/>
              <w:rPr>
                <w:rFonts w:ascii="Calibri" w:hAnsi="Calibri"/>
                <w:sz w:val="20"/>
              </w:rPr>
            </w:pPr>
            <w:r w:rsidRPr="00BA3505">
              <w:rPr>
                <w:rFonts w:ascii="Calibri" w:hAnsi="Calibri"/>
                <w:sz w:val="20"/>
              </w:rPr>
              <w:t>tbd</w:t>
            </w:r>
          </w:p>
        </w:tc>
      </w:tr>
      <w:tr w:rsidR="00BA3505" w:rsidRPr="00225312" w14:paraId="4D23B3D1" w14:textId="77777777" w:rsidTr="00BA3505">
        <w:tblPrEx>
          <w:shd w:val="clear" w:color="auto" w:fill="auto"/>
        </w:tblPrEx>
        <w:trPr>
          <w:trHeight w:val="204"/>
        </w:trPr>
        <w:tc>
          <w:tcPr>
            <w:tcW w:w="796" w:type="pct"/>
            <w:tcMar>
              <w:left w:w="57" w:type="dxa"/>
              <w:right w:w="57" w:type="dxa"/>
            </w:tcMar>
          </w:tcPr>
          <w:p w14:paraId="4F1BC2C2" w14:textId="77777777" w:rsidR="00BA3505" w:rsidRPr="00225312" w:rsidRDefault="00BA3505" w:rsidP="00BA3505">
            <w:pPr>
              <w:jc w:val="right"/>
              <w:rPr>
                <w:rFonts w:ascii="Calibri" w:hAnsi="Calibri"/>
                <w:color w:val="000000"/>
                <w:sz w:val="20"/>
              </w:rPr>
            </w:pPr>
            <w:r w:rsidRPr="00225312">
              <w:rPr>
                <w:rFonts w:ascii="Calibri" w:hAnsi="Calibri"/>
                <w:color w:val="000000"/>
                <w:sz w:val="20"/>
              </w:rPr>
              <w:t>Focal Area:</w:t>
            </w:r>
          </w:p>
        </w:tc>
        <w:tc>
          <w:tcPr>
            <w:tcW w:w="1709" w:type="pct"/>
            <w:tcMar>
              <w:left w:w="57" w:type="dxa"/>
              <w:right w:w="57" w:type="dxa"/>
            </w:tcMar>
          </w:tcPr>
          <w:p w14:paraId="770B7320" w14:textId="77777777" w:rsidR="00BA3505" w:rsidRPr="00225312" w:rsidRDefault="00BA3505" w:rsidP="00BA3505">
            <w:pPr>
              <w:tabs>
                <w:tab w:val="right" w:pos="0"/>
              </w:tabs>
              <w:rPr>
                <w:rFonts w:ascii="Calibri" w:hAnsi="Calibri"/>
                <w:sz w:val="20"/>
              </w:rPr>
            </w:pPr>
            <w:r w:rsidRPr="00225312">
              <w:rPr>
                <w:rFonts w:ascii="Calibri" w:hAnsi="Calibri"/>
                <w:sz w:val="20"/>
              </w:rPr>
              <w:t>Biodiversity</w:t>
            </w:r>
          </w:p>
        </w:tc>
        <w:tc>
          <w:tcPr>
            <w:tcW w:w="1006" w:type="pct"/>
            <w:tcMar>
              <w:left w:w="57" w:type="dxa"/>
              <w:right w:w="57" w:type="dxa"/>
            </w:tcMar>
          </w:tcPr>
          <w:p w14:paraId="0D4C8CFC" w14:textId="77777777" w:rsidR="00BA3505" w:rsidRPr="00225312" w:rsidRDefault="00BA3505" w:rsidP="00BA3505">
            <w:pPr>
              <w:jc w:val="right"/>
              <w:rPr>
                <w:rFonts w:ascii="Calibri" w:hAnsi="Calibri"/>
                <w:color w:val="000000"/>
                <w:sz w:val="20"/>
              </w:rPr>
            </w:pPr>
            <w:r w:rsidRPr="00225312">
              <w:rPr>
                <w:rFonts w:ascii="Calibri" w:hAnsi="Calibri"/>
                <w:bCs/>
                <w:sz w:val="20"/>
              </w:rPr>
              <w:t>Other:</w:t>
            </w:r>
          </w:p>
        </w:tc>
        <w:tc>
          <w:tcPr>
            <w:tcW w:w="717" w:type="pct"/>
            <w:tcMar>
              <w:left w:w="57" w:type="dxa"/>
              <w:right w:w="57" w:type="dxa"/>
            </w:tcMar>
          </w:tcPr>
          <w:p w14:paraId="4CC96AD9" w14:textId="77777777" w:rsidR="00BA3505" w:rsidRPr="00225312" w:rsidRDefault="00BA3505" w:rsidP="00BA3505">
            <w:pPr>
              <w:rPr>
                <w:rFonts w:ascii="Calibri" w:hAnsi="Calibri"/>
                <w:sz w:val="20"/>
              </w:rPr>
            </w:pPr>
            <w:r w:rsidRPr="00225312">
              <w:rPr>
                <w:rFonts w:ascii="Calibri" w:hAnsi="Calibri"/>
                <w:sz w:val="20"/>
              </w:rPr>
              <w:t>2,567,063</w:t>
            </w:r>
          </w:p>
        </w:tc>
        <w:tc>
          <w:tcPr>
            <w:tcW w:w="772" w:type="pct"/>
            <w:tcMar>
              <w:left w:w="57" w:type="dxa"/>
              <w:right w:w="57" w:type="dxa"/>
            </w:tcMar>
          </w:tcPr>
          <w:p w14:paraId="6614F5B9" w14:textId="77777777" w:rsidR="00BA3505" w:rsidRPr="00BA3505" w:rsidRDefault="00BA3505" w:rsidP="00BA3505">
            <w:pPr>
              <w:jc w:val="both"/>
              <w:rPr>
                <w:rFonts w:ascii="Calibri" w:hAnsi="Calibri"/>
                <w:sz w:val="20"/>
              </w:rPr>
            </w:pPr>
            <w:r w:rsidRPr="00BA3505">
              <w:rPr>
                <w:rFonts w:ascii="Calibri" w:hAnsi="Calibri"/>
                <w:sz w:val="20"/>
              </w:rPr>
              <w:t>tbd</w:t>
            </w:r>
          </w:p>
        </w:tc>
      </w:tr>
      <w:tr w:rsidR="00BA3505" w:rsidRPr="00225312" w14:paraId="76360B41" w14:textId="77777777" w:rsidTr="00BA3505">
        <w:tblPrEx>
          <w:shd w:val="clear" w:color="auto" w:fill="auto"/>
        </w:tblPrEx>
        <w:trPr>
          <w:trHeight w:val="307"/>
        </w:trPr>
        <w:tc>
          <w:tcPr>
            <w:tcW w:w="796" w:type="pct"/>
            <w:tcMar>
              <w:left w:w="57" w:type="dxa"/>
              <w:right w:w="57" w:type="dxa"/>
            </w:tcMar>
          </w:tcPr>
          <w:p w14:paraId="6DB62B32" w14:textId="77777777" w:rsidR="00BA3505" w:rsidRPr="00225312" w:rsidRDefault="00BA3505" w:rsidP="00BA3505">
            <w:pPr>
              <w:jc w:val="right"/>
              <w:rPr>
                <w:rFonts w:ascii="Calibri" w:eastAsia="Arial Unicode MS" w:hAnsi="Calibri"/>
                <w:color w:val="000000"/>
                <w:sz w:val="20"/>
              </w:rPr>
            </w:pPr>
            <w:r w:rsidRPr="00225312">
              <w:rPr>
                <w:rFonts w:ascii="Calibri" w:hAnsi="Calibri"/>
                <w:color w:val="000000"/>
                <w:sz w:val="20"/>
              </w:rPr>
              <w:t>FA Objectives, (OP/SP):</w:t>
            </w:r>
          </w:p>
        </w:tc>
        <w:tc>
          <w:tcPr>
            <w:tcW w:w="1709" w:type="pct"/>
            <w:tcMar>
              <w:left w:w="57" w:type="dxa"/>
              <w:right w:w="57" w:type="dxa"/>
            </w:tcMar>
          </w:tcPr>
          <w:p w14:paraId="00A407F1" w14:textId="77777777" w:rsidR="00BA3505" w:rsidRPr="00225312" w:rsidRDefault="00BA3505" w:rsidP="00BA3505">
            <w:pPr>
              <w:pStyle w:val="CM7"/>
              <w:rPr>
                <w:rFonts w:ascii="Calibri" w:hAnsi="Calibri" w:cs="Times New Roman PSMT"/>
                <w:color w:val="000000"/>
                <w:sz w:val="20"/>
                <w:szCs w:val="20"/>
                <w:lang w:val="en-GB"/>
              </w:rPr>
            </w:pPr>
            <w:r w:rsidRPr="00225312">
              <w:rPr>
                <w:rFonts w:ascii="Calibri" w:hAnsi="Calibri"/>
                <w:sz w:val="20"/>
                <w:szCs w:val="20"/>
              </w:rPr>
              <w:t>SO-1, SP-3 Strengthening Terrestrial Protected Areas</w:t>
            </w:r>
          </w:p>
        </w:tc>
        <w:tc>
          <w:tcPr>
            <w:tcW w:w="1006" w:type="pct"/>
            <w:tcMar>
              <w:left w:w="57" w:type="dxa"/>
              <w:right w:w="57" w:type="dxa"/>
            </w:tcMar>
          </w:tcPr>
          <w:p w14:paraId="2FD155E2" w14:textId="77777777" w:rsidR="00BA3505" w:rsidRPr="00225312" w:rsidRDefault="00BA3505" w:rsidP="00BA3505">
            <w:pPr>
              <w:jc w:val="right"/>
              <w:rPr>
                <w:rFonts w:ascii="Calibri" w:hAnsi="Calibri"/>
                <w:color w:val="000000"/>
                <w:sz w:val="20"/>
              </w:rPr>
            </w:pPr>
            <w:r w:rsidRPr="00225312">
              <w:rPr>
                <w:rFonts w:ascii="Calibri" w:hAnsi="Calibri"/>
                <w:color w:val="000000"/>
                <w:sz w:val="20"/>
              </w:rPr>
              <w:t>Total co-financing:</w:t>
            </w:r>
          </w:p>
        </w:tc>
        <w:tc>
          <w:tcPr>
            <w:tcW w:w="717" w:type="pct"/>
            <w:tcMar>
              <w:left w:w="57" w:type="dxa"/>
              <w:right w:w="57" w:type="dxa"/>
            </w:tcMar>
          </w:tcPr>
          <w:p w14:paraId="0CD894D3" w14:textId="77777777" w:rsidR="00BA3505" w:rsidRPr="00225312" w:rsidRDefault="00BA3505" w:rsidP="00BA3505">
            <w:pPr>
              <w:rPr>
                <w:rFonts w:ascii="Calibri" w:eastAsia="Arial Unicode MS" w:hAnsi="Calibri"/>
                <w:sz w:val="20"/>
              </w:rPr>
            </w:pPr>
            <w:r w:rsidRPr="00225312">
              <w:rPr>
                <w:rFonts w:ascii="Calibri" w:hAnsi="Calibri"/>
                <w:sz w:val="20"/>
              </w:rPr>
              <w:t>13,358,142</w:t>
            </w:r>
          </w:p>
        </w:tc>
        <w:tc>
          <w:tcPr>
            <w:tcW w:w="772" w:type="pct"/>
            <w:tcMar>
              <w:left w:w="57" w:type="dxa"/>
              <w:right w:w="57" w:type="dxa"/>
            </w:tcMar>
          </w:tcPr>
          <w:p w14:paraId="6BD219D6" w14:textId="77777777" w:rsidR="00BA3505" w:rsidRPr="00BA3505" w:rsidRDefault="00BA3505" w:rsidP="00BA3505">
            <w:pPr>
              <w:jc w:val="both"/>
              <w:rPr>
                <w:rFonts w:ascii="Calibri" w:hAnsi="Calibri"/>
                <w:sz w:val="20"/>
              </w:rPr>
            </w:pPr>
            <w:r w:rsidRPr="00BA3505">
              <w:rPr>
                <w:rFonts w:ascii="Calibri" w:hAnsi="Calibri"/>
                <w:sz w:val="20"/>
              </w:rPr>
              <w:t>tbd</w:t>
            </w:r>
          </w:p>
        </w:tc>
      </w:tr>
      <w:tr w:rsidR="00BA3505" w:rsidRPr="00225312" w14:paraId="4EDC15A1" w14:textId="77777777" w:rsidTr="00BA3505">
        <w:tblPrEx>
          <w:shd w:val="clear" w:color="auto" w:fill="auto"/>
        </w:tblPrEx>
        <w:trPr>
          <w:trHeight w:val="341"/>
        </w:trPr>
        <w:tc>
          <w:tcPr>
            <w:tcW w:w="796" w:type="pct"/>
            <w:tcMar>
              <w:left w:w="57" w:type="dxa"/>
              <w:right w:w="57" w:type="dxa"/>
            </w:tcMar>
          </w:tcPr>
          <w:p w14:paraId="125AC36A" w14:textId="77777777" w:rsidR="00BA3505" w:rsidRPr="00225312" w:rsidRDefault="00BA3505" w:rsidP="00BA3505">
            <w:pPr>
              <w:jc w:val="right"/>
              <w:rPr>
                <w:rFonts w:ascii="Calibri" w:eastAsia="Arial Unicode MS" w:hAnsi="Calibri"/>
                <w:color w:val="000000"/>
                <w:sz w:val="20"/>
              </w:rPr>
            </w:pPr>
            <w:r w:rsidRPr="00225312">
              <w:rPr>
                <w:rFonts w:ascii="Calibri" w:hAnsi="Calibri"/>
                <w:color w:val="000000"/>
                <w:sz w:val="20"/>
              </w:rPr>
              <w:t>Executing Agency:</w:t>
            </w:r>
          </w:p>
        </w:tc>
        <w:tc>
          <w:tcPr>
            <w:tcW w:w="1709" w:type="pct"/>
            <w:tcMar>
              <w:left w:w="57" w:type="dxa"/>
              <w:right w:w="57" w:type="dxa"/>
            </w:tcMar>
          </w:tcPr>
          <w:p w14:paraId="3F07644B" w14:textId="77777777" w:rsidR="00BA3505" w:rsidRPr="00225312" w:rsidRDefault="00BA3505" w:rsidP="00BA3505">
            <w:pPr>
              <w:tabs>
                <w:tab w:val="right" w:pos="0"/>
              </w:tabs>
              <w:rPr>
                <w:rFonts w:ascii="Calibri" w:hAnsi="Calibri"/>
                <w:sz w:val="20"/>
              </w:rPr>
            </w:pPr>
            <w:r w:rsidRPr="00225312">
              <w:rPr>
                <w:rFonts w:ascii="Calibri" w:hAnsi="Calibri"/>
                <w:sz w:val="20"/>
              </w:rPr>
              <w:t xml:space="preserve">Agency for Protected Areas, Ministry of Environment Protection and Agriculture </w:t>
            </w:r>
          </w:p>
        </w:tc>
        <w:tc>
          <w:tcPr>
            <w:tcW w:w="1006" w:type="pct"/>
            <w:tcMar>
              <w:left w:w="57" w:type="dxa"/>
              <w:right w:w="57" w:type="dxa"/>
            </w:tcMar>
          </w:tcPr>
          <w:p w14:paraId="199F6039" w14:textId="77777777" w:rsidR="00BA3505" w:rsidRPr="00225312" w:rsidRDefault="00BA3505" w:rsidP="00BA3505">
            <w:pPr>
              <w:jc w:val="right"/>
              <w:rPr>
                <w:rFonts w:ascii="Calibri" w:eastAsia="Arial Unicode MS" w:hAnsi="Calibri"/>
                <w:color w:val="000000"/>
                <w:sz w:val="20"/>
              </w:rPr>
            </w:pPr>
            <w:r w:rsidRPr="00225312">
              <w:rPr>
                <w:rFonts w:ascii="Calibri" w:hAnsi="Calibri"/>
                <w:color w:val="000000"/>
                <w:sz w:val="20"/>
              </w:rPr>
              <w:t>Total Project Cost:</w:t>
            </w:r>
          </w:p>
        </w:tc>
        <w:tc>
          <w:tcPr>
            <w:tcW w:w="717" w:type="pct"/>
            <w:tcMar>
              <w:left w:w="57" w:type="dxa"/>
              <w:right w:w="57" w:type="dxa"/>
            </w:tcMar>
          </w:tcPr>
          <w:p w14:paraId="123B2F6B" w14:textId="77777777" w:rsidR="00BA3505" w:rsidRPr="00225312" w:rsidRDefault="00BA3505" w:rsidP="00BA3505">
            <w:pPr>
              <w:rPr>
                <w:rFonts w:ascii="Calibri" w:eastAsia="Arial Unicode MS" w:hAnsi="Calibri"/>
                <w:sz w:val="20"/>
              </w:rPr>
            </w:pPr>
            <w:r w:rsidRPr="00225312">
              <w:rPr>
                <w:rFonts w:ascii="Calibri" w:hAnsi="Calibri"/>
                <w:iCs/>
                <w:color w:val="000000"/>
                <w:sz w:val="20"/>
              </w:rPr>
              <w:t>14,998,778</w:t>
            </w:r>
          </w:p>
        </w:tc>
        <w:tc>
          <w:tcPr>
            <w:tcW w:w="772" w:type="pct"/>
            <w:tcMar>
              <w:left w:w="57" w:type="dxa"/>
              <w:right w:w="57" w:type="dxa"/>
            </w:tcMar>
          </w:tcPr>
          <w:p w14:paraId="0396E501" w14:textId="77777777" w:rsidR="00BA3505" w:rsidRPr="00BA3505" w:rsidRDefault="00BA3505" w:rsidP="00BA3505">
            <w:pPr>
              <w:jc w:val="both"/>
              <w:rPr>
                <w:rFonts w:ascii="Calibri" w:eastAsia="Arial Unicode MS" w:hAnsi="Calibri"/>
                <w:sz w:val="20"/>
              </w:rPr>
            </w:pPr>
            <w:r w:rsidRPr="00BA3505">
              <w:rPr>
                <w:rFonts w:ascii="Calibri" w:hAnsi="Calibri"/>
                <w:sz w:val="20"/>
              </w:rPr>
              <w:t>tbd</w:t>
            </w:r>
          </w:p>
        </w:tc>
      </w:tr>
      <w:tr w:rsidR="00BA3505" w:rsidRPr="00225312" w14:paraId="13F5EE78" w14:textId="77777777" w:rsidTr="00BA3505">
        <w:tblPrEx>
          <w:shd w:val="clear" w:color="auto" w:fill="auto"/>
        </w:tblPrEx>
        <w:trPr>
          <w:trHeight w:val="237"/>
        </w:trPr>
        <w:tc>
          <w:tcPr>
            <w:tcW w:w="796" w:type="pct"/>
            <w:vMerge w:val="restart"/>
            <w:tcMar>
              <w:left w:w="57" w:type="dxa"/>
              <w:right w:w="57" w:type="dxa"/>
            </w:tcMar>
          </w:tcPr>
          <w:p w14:paraId="6C369927" w14:textId="77777777" w:rsidR="00BA3505" w:rsidRPr="00225312" w:rsidRDefault="00BA3505" w:rsidP="00BA3505">
            <w:pPr>
              <w:jc w:val="right"/>
              <w:rPr>
                <w:rFonts w:ascii="Calibri" w:eastAsia="Arial Unicode MS" w:hAnsi="Calibri"/>
                <w:sz w:val="20"/>
              </w:rPr>
            </w:pPr>
            <w:r w:rsidRPr="00225312">
              <w:rPr>
                <w:rFonts w:ascii="Calibri" w:hAnsi="Calibri"/>
                <w:sz w:val="20"/>
              </w:rPr>
              <w:t>Other Partners involved:</w:t>
            </w:r>
          </w:p>
        </w:tc>
        <w:tc>
          <w:tcPr>
            <w:tcW w:w="1709" w:type="pct"/>
            <w:vMerge w:val="restart"/>
            <w:tcMar>
              <w:left w:w="57" w:type="dxa"/>
              <w:right w:w="57" w:type="dxa"/>
            </w:tcMar>
          </w:tcPr>
          <w:p w14:paraId="059E5AF1" w14:textId="77777777" w:rsidR="00BA3505" w:rsidRPr="00225312" w:rsidRDefault="00BA3505" w:rsidP="00BA3505">
            <w:pPr>
              <w:tabs>
                <w:tab w:val="right" w:pos="0"/>
              </w:tabs>
              <w:rPr>
                <w:rFonts w:ascii="Calibri" w:hAnsi="Calibri"/>
                <w:color w:val="000000"/>
                <w:sz w:val="20"/>
              </w:rPr>
            </w:pPr>
          </w:p>
        </w:tc>
        <w:tc>
          <w:tcPr>
            <w:tcW w:w="1723" w:type="pct"/>
            <w:gridSpan w:val="2"/>
            <w:tcMar>
              <w:left w:w="57" w:type="dxa"/>
              <w:right w:w="57" w:type="dxa"/>
            </w:tcMar>
          </w:tcPr>
          <w:p w14:paraId="27138713" w14:textId="77777777" w:rsidR="00BA3505" w:rsidRPr="00225312" w:rsidRDefault="00BA3505" w:rsidP="00BA3505">
            <w:pPr>
              <w:tabs>
                <w:tab w:val="right" w:pos="0"/>
              </w:tabs>
              <w:jc w:val="right"/>
              <w:rPr>
                <w:rFonts w:ascii="Calibri" w:hAnsi="Calibri"/>
                <w:sz w:val="20"/>
              </w:rPr>
            </w:pPr>
            <w:r w:rsidRPr="00225312">
              <w:rPr>
                <w:rFonts w:ascii="Calibri" w:hAnsi="Calibri"/>
                <w:color w:val="000000"/>
                <w:sz w:val="20"/>
              </w:rPr>
              <w:t xml:space="preserve">ProDoc Signature (date project began): </w:t>
            </w:r>
          </w:p>
        </w:tc>
        <w:tc>
          <w:tcPr>
            <w:tcW w:w="772" w:type="pct"/>
            <w:tcMar>
              <w:left w:w="57" w:type="dxa"/>
              <w:right w:w="57" w:type="dxa"/>
            </w:tcMar>
          </w:tcPr>
          <w:p w14:paraId="3331AE3B" w14:textId="77777777" w:rsidR="00BA3505" w:rsidRPr="00225312" w:rsidRDefault="00BA3505" w:rsidP="00BA3505">
            <w:pPr>
              <w:tabs>
                <w:tab w:val="right" w:pos="0"/>
              </w:tabs>
              <w:rPr>
                <w:rFonts w:ascii="Calibri" w:hAnsi="Calibri"/>
                <w:sz w:val="20"/>
              </w:rPr>
            </w:pPr>
            <w:r w:rsidRPr="00225312">
              <w:rPr>
                <w:rFonts w:ascii="Calibri" w:hAnsi="Calibri"/>
                <w:sz w:val="20"/>
              </w:rPr>
              <w:t>09 June 2014</w:t>
            </w:r>
          </w:p>
        </w:tc>
      </w:tr>
      <w:tr w:rsidR="00BA3505" w:rsidRPr="00225312" w14:paraId="01E86CDC" w14:textId="77777777" w:rsidTr="00BA3505">
        <w:tblPrEx>
          <w:shd w:val="clear" w:color="auto" w:fill="auto"/>
        </w:tblPrEx>
        <w:trPr>
          <w:trHeight w:val="144"/>
        </w:trPr>
        <w:tc>
          <w:tcPr>
            <w:tcW w:w="796" w:type="pct"/>
            <w:vMerge/>
            <w:tcMar>
              <w:left w:w="57" w:type="dxa"/>
              <w:right w:w="57" w:type="dxa"/>
            </w:tcMar>
          </w:tcPr>
          <w:p w14:paraId="5CCA2DAF" w14:textId="77777777" w:rsidR="00BA3505" w:rsidRPr="00225312" w:rsidRDefault="00BA3505" w:rsidP="00BA3505">
            <w:pPr>
              <w:rPr>
                <w:rFonts w:ascii="Calibri" w:eastAsia="Arial Unicode MS" w:hAnsi="Calibri"/>
                <w:sz w:val="20"/>
              </w:rPr>
            </w:pPr>
          </w:p>
        </w:tc>
        <w:tc>
          <w:tcPr>
            <w:tcW w:w="1709" w:type="pct"/>
            <w:vMerge/>
            <w:tcMar>
              <w:left w:w="57" w:type="dxa"/>
              <w:right w:w="57" w:type="dxa"/>
            </w:tcMar>
          </w:tcPr>
          <w:p w14:paraId="53478656" w14:textId="77777777" w:rsidR="00BA3505" w:rsidRPr="00225312" w:rsidRDefault="00BA3505" w:rsidP="00BA3505">
            <w:pPr>
              <w:tabs>
                <w:tab w:val="right" w:pos="0"/>
              </w:tabs>
              <w:jc w:val="center"/>
              <w:rPr>
                <w:rFonts w:ascii="Calibri" w:hAnsi="Calibri"/>
                <w:sz w:val="20"/>
              </w:rPr>
            </w:pPr>
          </w:p>
        </w:tc>
        <w:tc>
          <w:tcPr>
            <w:tcW w:w="1006" w:type="pct"/>
            <w:tcMar>
              <w:left w:w="57" w:type="dxa"/>
              <w:right w:w="57" w:type="dxa"/>
            </w:tcMar>
          </w:tcPr>
          <w:p w14:paraId="79F9836E" w14:textId="77777777" w:rsidR="00BA3505" w:rsidRPr="00225312" w:rsidRDefault="00BA3505" w:rsidP="00BA3505">
            <w:pPr>
              <w:jc w:val="right"/>
              <w:rPr>
                <w:rFonts w:ascii="Calibri" w:eastAsia="Arial Unicode MS" w:hAnsi="Calibri"/>
                <w:color w:val="000000"/>
                <w:sz w:val="20"/>
              </w:rPr>
            </w:pPr>
            <w:r w:rsidRPr="00225312">
              <w:rPr>
                <w:rFonts w:ascii="Calibri" w:hAnsi="Calibri"/>
                <w:color w:val="000000"/>
                <w:sz w:val="20"/>
              </w:rPr>
              <w:t>(Operational) Closing Date:</w:t>
            </w:r>
          </w:p>
        </w:tc>
        <w:tc>
          <w:tcPr>
            <w:tcW w:w="717" w:type="pct"/>
            <w:tcMar>
              <w:left w:w="57" w:type="dxa"/>
              <w:right w:w="57" w:type="dxa"/>
            </w:tcMar>
          </w:tcPr>
          <w:p w14:paraId="74340C44" w14:textId="77777777" w:rsidR="00BA3505" w:rsidRPr="00225312" w:rsidRDefault="00BA3505" w:rsidP="00BA3505">
            <w:pPr>
              <w:tabs>
                <w:tab w:val="right" w:pos="0"/>
              </w:tabs>
              <w:rPr>
                <w:rFonts w:ascii="Calibri" w:hAnsi="Calibri"/>
                <w:color w:val="000000"/>
                <w:sz w:val="20"/>
              </w:rPr>
            </w:pPr>
            <w:r w:rsidRPr="00225312">
              <w:rPr>
                <w:rFonts w:ascii="Calibri" w:hAnsi="Calibri"/>
                <w:color w:val="000000"/>
                <w:sz w:val="20"/>
              </w:rPr>
              <w:t xml:space="preserve">Proposed: </w:t>
            </w:r>
            <w:r w:rsidRPr="00225312">
              <w:rPr>
                <w:rFonts w:ascii="Calibri" w:hAnsi="Calibri"/>
                <w:sz w:val="20"/>
              </w:rPr>
              <w:t>09 June 2018</w:t>
            </w:r>
          </w:p>
        </w:tc>
        <w:tc>
          <w:tcPr>
            <w:tcW w:w="772" w:type="pct"/>
            <w:tcMar>
              <w:left w:w="57" w:type="dxa"/>
              <w:right w:w="57" w:type="dxa"/>
            </w:tcMar>
          </w:tcPr>
          <w:p w14:paraId="0BC78FE8" w14:textId="77777777" w:rsidR="00BA3505" w:rsidRPr="00225312" w:rsidRDefault="00BA3505" w:rsidP="00BA3505">
            <w:pPr>
              <w:tabs>
                <w:tab w:val="right" w:pos="0"/>
              </w:tabs>
              <w:rPr>
                <w:rFonts w:ascii="Calibri" w:hAnsi="Calibri"/>
                <w:color w:val="000000"/>
                <w:sz w:val="20"/>
              </w:rPr>
            </w:pPr>
            <w:r w:rsidRPr="00225312">
              <w:rPr>
                <w:rFonts w:ascii="Calibri" w:hAnsi="Calibri"/>
                <w:color w:val="000000"/>
                <w:sz w:val="20"/>
              </w:rPr>
              <w:t xml:space="preserve">Actual: </w:t>
            </w:r>
            <w:r w:rsidRPr="00225312">
              <w:rPr>
                <w:rFonts w:ascii="Calibri" w:hAnsi="Calibri"/>
                <w:sz w:val="20"/>
              </w:rPr>
              <w:t>31 December 2018</w:t>
            </w:r>
          </w:p>
        </w:tc>
      </w:tr>
    </w:tbl>
    <w:p w14:paraId="4CA4E287" w14:textId="77777777" w:rsidR="00BA3505" w:rsidRPr="00B913F1" w:rsidRDefault="00BA3505" w:rsidP="00BA3505">
      <w:pPr>
        <w:pStyle w:val="Heading51"/>
      </w:pPr>
      <w:bookmarkStart w:id="167" w:name="_Toc321341549"/>
      <w:r w:rsidRPr="00B913F1">
        <w:t>Objective and Scope</w:t>
      </w:r>
      <w:bookmarkEnd w:id="167"/>
    </w:p>
    <w:p w14:paraId="6C932E22" w14:textId="77777777" w:rsidR="00BA3505" w:rsidRPr="00225312" w:rsidRDefault="00BA3505" w:rsidP="00BA3505">
      <w:pPr>
        <w:spacing w:before="200"/>
        <w:rPr>
          <w:rFonts w:ascii="Calibri" w:hAnsi="Calibri"/>
          <w:sz w:val="20"/>
        </w:rPr>
      </w:pPr>
      <w:r w:rsidRPr="00225312">
        <w:rPr>
          <w:rFonts w:ascii="Calibri" w:hAnsi="Calibri"/>
          <w:sz w:val="20"/>
        </w:rPr>
        <w:t xml:space="preserve">The project was designed to: enhance the management effectiveness, biogeographically coverage and connectivity of Protected Areas of the Achara Autonomous Region of Georgia in order to better conserve the globally unique Colchic Forests 1(temperate rainforest). The area is of biodiversity importance because of the humid Pliocene flora refugium, high proportion of narrow-ranged (local endemic) plants, high percentage of endemic, as a well-known bottle-neck for migratory birds. </w:t>
      </w:r>
    </w:p>
    <w:p w14:paraId="655DBE11" w14:textId="77777777" w:rsidR="00BA3505" w:rsidRPr="00225312" w:rsidRDefault="00BA3505" w:rsidP="00BA3505">
      <w:pPr>
        <w:pStyle w:val="Default"/>
        <w:rPr>
          <w:rFonts w:ascii="Calibri" w:hAnsi="Calibri"/>
          <w:sz w:val="20"/>
          <w:szCs w:val="20"/>
        </w:rPr>
      </w:pPr>
      <w:r w:rsidRPr="00225312">
        <w:rPr>
          <w:rFonts w:ascii="Calibri" w:hAnsi="Calibri"/>
          <w:sz w:val="20"/>
          <w:szCs w:val="20"/>
        </w:rPr>
        <w:lastRenderedPageBreak/>
        <w:t xml:space="preserve">The project supported the government to bring about the functional operation of the recently gazetted Machakhela National Park which forms the last link in a chain of 4 protected areas established to conserve the Colchic forests of the region (i.e. Kintrishi, Mtirala and Machakhela in Georgia and Jamili in Turkey). Additionally, the project helped to build management effectiveness and sustainability of all the protected areas in this chain in Achara and tried to establish transboundary links with the Jamili Biosphere Reserve in Turkey. </w:t>
      </w:r>
    </w:p>
    <w:p w14:paraId="58518BC9" w14:textId="77777777" w:rsidR="00BA3505" w:rsidRPr="00225312" w:rsidRDefault="00BA3505" w:rsidP="00BA3505">
      <w:pPr>
        <w:spacing w:before="200"/>
        <w:rPr>
          <w:rFonts w:ascii="Calibri" w:hAnsi="Calibri"/>
          <w:sz w:val="20"/>
        </w:rPr>
      </w:pPr>
      <w:r w:rsidRPr="00225312">
        <w:rPr>
          <w:rFonts w:ascii="Calibri" w:hAnsi="Calibri"/>
          <w:sz w:val="20"/>
        </w:rPr>
        <w:t>It further supported the Georgian Agency for Protected Areas (APA) and the target PA Administrations to improve financial planning, better integrate local communities into protected areas management and build capacity for applying, adaptable and participatory approaches most likely to achieve long term conservation and sustainable local rural livelihoods</w:t>
      </w:r>
    </w:p>
    <w:p w14:paraId="4B6C704A" w14:textId="77777777" w:rsidR="00BA3505" w:rsidRPr="00225312" w:rsidRDefault="00BA3505" w:rsidP="00BA3505">
      <w:pPr>
        <w:jc w:val="both"/>
        <w:rPr>
          <w:rFonts w:ascii="Calibri" w:hAnsi="Calibri"/>
          <w:sz w:val="20"/>
        </w:rPr>
      </w:pPr>
      <w:r w:rsidRPr="00225312">
        <w:rPr>
          <w:rFonts w:ascii="Calibri" w:hAnsi="Calibri"/>
          <w:sz w:val="20"/>
        </w:rPr>
        <w:t xml:space="preserve">The project aims to contribute to this long-term solution through achievement of its goal: </w:t>
      </w:r>
      <w:r w:rsidRPr="00225312">
        <w:rPr>
          <w:rFonts w:ascii="Calibri" w:hAnsi="Calibri"/>
          <w:i/>
          <w:sz w:val="20"/>
        </w:rPr>
        <w:t xml:space="preserve">“To </w:t>
      </w:r>
      <w:r w:rsidRPr="00225312">
        <w:rPr>
          <w:rFonts w:ascii="Calibri" w:hAnsi="Calibri"/>
          <w:i/>
          <w:iCs/>
          <w:sz w:val="20"/>
        </w:rPr>
        <w:t xml:space="preserve">establish a regional PA estate that can effectively ensure the conservation and sustainably use of the globally important Colchic Temperate Rain Forests of </w:t>
      </w:r>
      <w:r w:rsidRPr="00225312">
        <w:rPr>
          <w:rFonts w:ascii="Calibri" w:hAnsi="Calibri"/>
          <w:i/>
          <w:sz w:val="20"/>
        </w:rPr>
        <w:t xml:space="preserve">the </w:t>
      </w:r>
      <w:r w:rsidRPr="00225312">
        <w:rPr>
          <w:rFonts w:ascii="Calibri" w:hAnsi="Calibri"/>
          <w:i/>
          <w:iCs/>
          <w:sz w:val="20"/>
        </w:rPr>
        <w:t>Lesser Caucasus Mountain Range in South West Georgia</w:t>
      </w:r>
      <w:r w:rsidRPr="00225312">
        <w:rPr>
          <w:rFonts w:ascii="Calibri" w:hAnsi="Calibri"/>
          <w:i/>
          <w:sz w:val="20"/>
        </w:rPr>
        <w:t>”.</w:t>
      </w:r>
      <w:r w:rsidRPr="00225312">
        <w:rPr>
          <w:rFonts w:ascii="Calibri" w:hAnsi="Calibri"/>
          <w:sz w:val="20"/>
        </w:rPr>
        <w:t xml:space="preserve">  The project objective, in turn, is described as being </w:t>
      </w:r>
      <w:r w:rsidRPr="00225312">
        <w:rPr>
          <w:rFonts w:ascii="Calibri" w:hAnsi="Calibri"/>
          <w:color w:val="000000"/>
          <w:sz w:val="20"/>
        </w:rPr>
        <w:t>“</w:t>
      </w:r>
      <w:r w:rsidRPr="00225312">
        <w:rPr>
          <w:rFonts w:ascii="Calibri" w:hAnsi="Calibri"/>
          <w:i/>
          <w:iCs/>
          <w:sz w:val="20"/>
        </w:rPr>
        <w:t>To enhance the management effectiveness, biogeographically coverage, and connectivity of Protected Areas to conserve forest ecosystems in the Achara Region”.</w:t>
      </w:r>
    </w:p>
    <w:p w14:paraId="1A1CB1A9" w14:textId="77777777" w:rsidR="00BA3505" w:rsidRPr="00225312" w:rsidRDefault="00BA3505" w:rsidP="00BA3505">
      <w:pPr>
        <w:jc w:val="both"/>
        <w:rPr>
          <w:rFonts w:ascii="Calibri" w:hAnsi="Calibri"/>
          <w:sz w:val="20"/>
        </w:rPr>
      </w:pPr>
      <w:r w:rsidRPr="00225312">
        <w:rPr>
          <w:rFonts w:ascii="Calibri" w:hAnsi="Calibri"/>
          <w:sz w:val="20"/>
        </w:rPr>
        <w:t xml:space="preserve">In order to achieve this objective, the project sort, in turn, to achieve two outcomes with their respective outputs: </w:t>
      </w:r>
      <w:r w:rsidRPr="00225312">
        <w:rPr>
          <w:rFonts w:ascii="Calibri" w:hAnsi="Calibri"/>
          <w:i/>
          <w:color w:val="000000"/>
          <w:sz w:val="20"/>
        </w:rPr>
        <w:t xml:space="preserve">Outcome 1: </w:t>
      </w:r>
      <w:r w:rsidRPr="00225312">
        <w:rPr>
          <w:rFonts w:ascii="Calibri" w:hAnsi="Calibri"/>
          <w:i/>
          <w:iCs/>
          <w:color w:val="000000"/>
          <w:sz w:val="20"/>
        </w:rPr>
        <w:t>Enhancement of PA Management Effectiveness in the Achara Region</w:t>
      </w:r>
      <w:r w:rsidRPr="00225312">
        <w:rPr>
          <w:rFonts w:ascii="Calibri" w:hAnsi="Calibri"/>
          <w:iCs/>
          <w:color w:val="000000"/>
          <w:sz w:val="20"/>
        </w:rPr>
        <w:t xml:space="preserve"> – focusing primarily on Kintrishi Protected Areas and Mtirala National Park with three targeted outputs, and </w:t>
      </w:r>
      <w:r w:rsidRPr="00225312">
        <w:rPr>
          <w:rFonts w:ascii="Calibri" w:hAnsi="Calibri"/>
          <w:i/>
          <w:color w:val="000000"/>
          <w:sz w:val="20"/>
        </w:rPr>
        <w:t xml:space="preserve">Outcome 2: </w:t>
      </w:r>
      <w:r w:rsidRPr="00225312">
        <w:rPr>
          <w:rFonts w:ascii="Calibri" w:hAnsi="Calibri"/>
          <w:i/>
          <w:iCs/>
          <w:color w:val="000000"/>
          <w:sz w:val="20"/>
        </w:rPr>
        <w:t xml:space="preserve">PA System Expansion to Increase Functional Connectivity of PAs in the West Lesser Caucasus </w:t>
      </w:r>
      <w:r w:rsidRPr="00225312">
        <w:rPr>
          <w:rFonts w:ascii="Calibri" w:hAnsi="Calibri"/>
          <w:iCs/>
          <w:color w:val="000000"/>
          <w:sz w:val="20"/>
        </w:rPr>
        <w:t>also with three targeted outputs.</w:t>
      </w:r>
    </w:p>
    <w:p w14:paraId="59D84DA6" w14:textId="77777777" w:rsidR="00BA3505" w:rsidRPr="00225312" w:rsidRDefault="00BA3505" w:rsidP="00BA3505">
      <w:pPr>
        <w:jc w:val="both"/>
        <w:rPr>
          <w:rFonts w:ascii="Calibri" w:hAnsi="Calibri"/>
          <w:sz w:val="20"/>
        </w:rPr>
      </w:pPr>
      <w:r w:rsidRPr="00225312">
        <w:rPr>
          <w:rFonts w:ascii="Calibri" w:hAnsi="Calibri"/>
          <w:sz w:val="20"/>
        </w:rPr>
        <w:t>The project was planned as a four-year project – thus, the projected end of project (EOP) date was 09 June 2018. However, the project requested a 6.5 month “no -cost” extension and the final end date was changed to 31</w:t>
      </w:r>
      <w:r w:rsidRPr="00225312">
        <w:rPr>
          <w:rFonts w:ascii="Calibri" w:hAnsi="Calibri"/>
          <w:sz w:val="20"/>
          <w:vertAlign w:val="superscript"/>
        </w:rPr>
        <w:t>st</w:t>
      </w:r>
      <w:r w:rsidRPr="00225312">
        <w:rPr>
          <w:rFonts w:ascii="Calibri" w:hAnsi="Calibri"/>
          <w:sz w:val="20"/>
        </w:rPr>
        <w:t xml:space="preserve"> December 2018.</w:t>
      </w:r>
    </w:p>
    <w:p w14:paraId="5A27CE6B" w14:textId="77777777" w:rsidR="00BA3505" w:rsidRPr="00225312" w:rsidRDefault="00BA3505" w:rsidP="00BA3505">
      <w:pPr>
        <w:spacing w:before="200"/>
        <w:rPr>
          <w:rFonts w:ascii="Calibri" w:hAnsi="Calibri"/>
          <w:i/>
          <w:sz w:val="20"/>
        </w:rPr>
      </w:pPr>
      <w:r w:rsidRPr="00225312">
        <w:rPr>
          <w:rFonts w:ascii="Calibri" w:hAnsi="Calibri"/>
          <w:sz w:val="20"/>
        </w:rPr>
        <w:t xml:space="preserve">The TE will be conducted according to the guidance, rules and procedures established by UNDP and GEF as reflected in the UNDP Evaluation Guidance for GEF Financed Projects.  </w:t>
      </w:r>
    </w:p>
    <w:p w14:paraId="4426B50A" w14:textId="77777777" w:rsidR="00BA3505" w:rsidRPr="00225312" w:rsidRDefault="00BA3505" w:rsidP="00BA3505">
      <w:pPr>
        <w:spacing w:after="120"/>
        <w:rPr>
          <w:rFonts w:ascii="Calibri" w:hAnsi="Calibri"/>
          <w:sz w:val="20"/>
        </w:rPr>
      </w:pPr>
      <w:r w:rsidRPr="00225312">
        <w:rPr>
          <w:rFonts w:ascii="Calibri" w:hAnsi="Calibri"/>
          <w:sz w:val="20"/>
        </w:rPr>
        <w:t xml:space="preserve">The objectives of the evaluation are to assess the achievement of project results, and to draw lessons that can both improve the sustainability of benefits from this project, and aid in the overall enhancement of UNDP programming.   </w:t>
      </w:r>
    </w:p>
    <w:p w14:paraId="1BFC1621" w14:textId="77777777" w:rsidR="00BA3505" w:rsidRPr="00D6638C" w:rsidRDefault="00BA3505" w:rsidP="00BA3505">
      <w:pPr>
        <w:pStyle w:val="Heading51"/>
      </w:pPr>
      <w:bookmarkStart w:id="168" w:name="_Toc299133043"/>
      <w:bookmarkStart w:id="169" w:name="_Toc321341550"/>
      <w:r w:rsidRPr="00D6638C">
        <w:t>Evaluation approach and method</w:t>
      </w:r>
      <w:bookmarkEnd w:id="168"/>
      <w:bookmarkEnd w:id="169"/>
    </w:p>
    <w:p w14:paraId="30E9AD22" w14:textId="77777777" w:rsidR="00BA3505" w:rsidRPr="00D6638C" w:rsidRDefault="00BA3505" w:rsidP="00BA3505">
      <w:pPr>
        <w:spacing w:before="200"/>
        <w:rPr>
          <w:rFonts w:ascii="Calibri" w:hAnsi="Calibri"/>
          <w:sz w:val="20"/>
        </w:rPr>
      </w:pPr>
      <w:r w:rsidRPr="00D6638C">
        <w:rPr>
          <w:rFonts w:ascii="Calibri" w:hAnsi="Calibri"/>
          <w:sz w:val="20"/>
        </w:rPr>
        <w:t>An overall approach and method</w:t>
      </w:r>
      <w:r w:rsidRPr="00D6638C">
        <w:rPr>
          <w:rFonts w:ascii="Calibri" w:hAnsi="Calibri"/>
          <w:sz w:val="20"/>
          <w:vertAlign w:val="superscript"/>
        </w:rPr>
        <w:footnoteReference w:id="42"/>
      </w:r>
      <w:r w:rsidRPr="00D6638C">
        <w:rPr>
          <w:rFonts w:ascii="Calibri" w:hAnsi="Calibri"/>
          <w:sz w:val="20"/>
        </w:rPr>
        <w:t xml:space="preserve"> for conducting project terminal evaluations of UNDP supported GEF financed projects has developed over time. The evaluator is expected to frame the evaluation effort using the criteria of </w:t>
      </w:r>
      <w:r w:rsidRPr="00D6638C">
        <w:rPr>
          <w:rFonts w:ascii="Calibri" w:hAnsi="Calibri"/>
          <w:b/>
          <w:sz w:val="20"/>
        </w:rPr>
        <w:t xml:space="preserve">relevance, effectiveness, efficiency, sustainability, and impact, </w:t>
      </w:r>
      <w:r w:rsidRPr="00D6638C">
        <w:rPr>
          <w:rFonts w:ascii="Calibri" w:hAnsi="Calibri"/>
          <w:sz w:val="20"/>
        </w:rPr>
        <w:t xml:space="preserve">as defined and explained in the </w:t>
      </w:r>
      <w:r w:rsidRPr="00D6638C">
        <w:rPr>
          <w:rFonts w:ascii="Calibri" w:hAnsi="Calibri"/>
          <w:sz w:val="20"/>
          <w:u w:val="single"/>
        </w:rPr>
        <w:t>UNDP Guidance for Conducting Terminal Evaluations of  UNDP-supported, GEF-financed Projects</w:t>
      </w:r>
      <w:r w:rsidRPr="00D6638C">
        <w:rPr>
          <w:rFonts w:ascii="Calibri" w:hAnsi="Calibri"/>
          <w:sz w:val="20"/>
        </w:rPr>
        <w:t xml:space="preserve">.    A  set of questions covering each of these criteria have been drafted and are included with this TOR </w:t>
      </w:r>
      <w:r w:rsidRPr="00D6638C">
        <w:rPr>
          <w:rFonts w:ascii="Calibri" w:hAnsi="Calibri"/>
          <w:sz w:val="20"/>
          <w:shd w:val="clear" w:color="auto" w:fill="BFBFBF"/>
        </w:rPr>
        <w:t>(</w:t>
      </w:r>
      <w:r w:rsidRPr="00D6638C">
        <w:rPr>
          <w:rFonts w:ascii="Calibri" w:hAnsi="Calibri"/>
          <w:i/>
          <w:sz w:val="20"/>
          <w:shd w:val="clear" w:color="auto" w:fill="BFBFBF"/>
        </w:rPr>
        <w:t xml:space="preserve"> </w:t>
      </w:r>
      <w:hyperlink w:anchor="_TOR_Annex_C:" w:history="1">
        <w:r w:rsidRPr="00D6638C">
          <w:rPr>
            <w:rFonts w:ascii="Calibri" w:hAnsi="Calibri"/>
            <w:i/>
            <w:color w:val="0000FF"/>
            <w:sz w:val="20"/>
            <w:u w:val="single"/>
            <w:shd w:val="clear" w:color="auto" w:fill="BFBFBF"/>
          </w:rPr>
          <w:t>Annex C</w:t>
        </w:r>
      </w:hyperlink>
      <w:r w:rsidRPr="00D6638C">
        <w:rPr>
          <w:rFonts w:ascii="Calibri" w:hAnsi="Calibri"/>
          <w:sz w:val="20"/>
          <w:shd w:val="clear" w:color="auto" w:fill="D9D9D9"/>
        </w:rPr>
        <w:t>)</w:t>
      </w:r>
      <w:r w:rsidRPr="00D6638C">
        <w:rPr>
          <w:rFonts w:ascii="Calibri" w:hAnsi="Calibri"/>
          <w:sz w:val="20"/>
        </w:rPr>
        <w:t xml:space="preserve"> The evaluator is expected to amend, complete and submit this matrix as part of  an evaluation inception report, and shall include it as an annex to the final report.  </w:t>
      </w:r>
    </w:p>
    <w:p w14:paraId="0FA3AD39" w14:textId="77777777" w:rsidR="00BA3505" w:rsidRDefault="00BA3505" w:rsidP="00BA3505">
      <w:pPr>
        <w:spacing w:after="120"/>
        <w:rPr>
          <w:rFonts w:ascii="Calibri" w:hAnsi="Calibri"/>
          <w:sz w:val="20"/>
        </w:rPr>
      </w:pPr>
      <w:r w:rsidRPr="00D6638C">
        <w:rPr>
          <w:rFonts w:ascii="Calibri" w:hAnsi="Calibri"/>
          <w:sz w:val="20"/>
        </w:rPr>
        <w:t>The evaluation must provide evidence‐based information that is credible, reliable and useful. The evaluator is expected to follow a participatory and consultative approach ensuring close engagement with government counterparts, in particular the GEF operational focal point, UNDP Country Office, project team, UNDP GEF Technical Adviser based in the region and key stakeholders. The evaluator is expected to conduct a field mission to</w:t>
      </w:r>
      <w:r>
        <w:rPr>
          <w:rFonts w:ascii="Calibri" w:hAnsi="Calibri"/>
          <w:sz w:val="20"/>
        </w:rPr>
        <w:t xml:space="preserve"> Ajara Region,</w:t>
      </w:r>
      <w:r w:rsidRPr="00D6638C">
        <w:rPr>
          <w:rFonts w:ascii="Calibri" w:hAnsi="Calibri"/>
          <w:sz w:val="20"/>
        </w:rPr>
        <w:t xml:space="preserve"> including the following project </w:t>
      </w:r>
      <w:r w:rsidRPr="00D6638C">
        <w:rPr>
          <w:rFonts w:ascii="Calibri" w:hAnsi="Calibri"/>
          <w:sz w:val="20"/>
          <w:shd w:val="clear" w:color="auto" w:fill="FFFFFF"/>
        </w:rPr>
        <w:t>sites</w:t>
      </w:r>
      <w:r>
        <w:rPr>
          <w:rFonts w:ascii="Calibri" w:hAnsi="Calibri"/>
          <w:sz w:val="20"/>
          <w:shd w:val="clear" w:color="auto" w:fill="FFFFFF"/>
        </w:rPr>
        <w:t>: Machakhella valley and National Park, Mtirala National Park, Kintrishi Protected Areas.</w:t>
      </w:r>
      <w:r w:rsidRPr="00D6638C">
        <w:rPr>
          <w:rFonts w:ascii="Calibri" w:hAnsi="Calibri"/>
          <w:sz w:val="20"/>
          <w:shd w:val="clear" w:color="auto" w:fill="FFFFFF"/>
        </w:rPr>
        <w:t xml:space="preserve"> </w:t>
      </w:r>
      <w:r w:rsidRPr="00D6638C">
        <w:rPr>
          <w:rFonts w:ascii="Calibri" w:hAnsi="Calibri"/>
          <w:sz w:val="20"/>
        </w:rPr>
        <w:t>Interviews will be held with the following organizations and individuals at a minimum:</w:t>
      </w:r>
    </w:p>
    <w:p w14:paraId="15391C35" w14:textId="77777777" w:rsidR="00BA3505" w:rsidRPr="00BD0DF2" w:rsidRDefault="00BA3505" w:rsidP="00BA3505">
      <w:pPr>
        <w:rPr>
          <w:rFonts w:ascii="Calibri" w:hAnsi="Calibri"/>
          <w:i/>
          <w:sz w:val="20"/>
        </w:rPr>
      </w:pPr>
      <w:r w:rsidRPr="00BD0DF2">
        <w:rPr>
          <w:rFonts w:ascii="Calibri" w:hAnsi="Calibri"/>
          <w:i/>
          <w:sz w:val="20"/>
        </w:rPr>
        <w:t>Ajara</w:t>
      </w:r>
    </w:p>
    <w:p w14:paraId="4AFBCF15" w14:textId="77777777" w:rsidR="00BA3505" w:rsidRPr="00CC48C1" w:rsidRDefault="00BA3505" w:rsidP="00BA3505">
      <w:pPr>
        <w:pStyle w:val="ListParagraph"/>
        <w:numPr>
          <w:ilvl w:val="0"/>
          <w:numId w:val="47"/>
        </w:numPr>
        <w:spacing w:after="120"/>
        <w:rPr>
          <w:sz w:val="20"/>
        </w:rPr>
      </w:pPr>
      <w:r w:rsidRPr="00CC48C1">
        <w:rPr>
          <w:sz w:val="20"/>
        </w:rPr>
        <w:t>Directors and staff of target Protected Area’s Administrations (Machakhela NP, Mtirala NP, Kintrishi PA’s)</w:t>
      </w:r>
    </w:p>
    <w:p w14:paraId="39442A74" w14:textId="77777777" w:rsidR="00BA3505" w:rsidRPr="00CC48C1" w:rsidRDefault="00BA3505" w:rsidP="00BA3505">
      <w:pPr>
        <w:pStyle w:val="ListParagraph"/>
        <w:numPr>
          <w:ilvl w:val="0"/>
          <w:numId w:val="47"/>
        </w:numPr>
        <w:spacing w:before="200" w:after="120"/>
        <w:rPr>
          <w:sz w:val="20"/>
        </w:rPr>
      </w:pPr>
      <w:r w:rsidRPr="00CC48C1">
        <w:rPr>
          <w:sz w:val="20"/>
        </w:rPr>
        <w:t>Khelvachauri Municipality (specifically - Head of the Natural Resources and Agriculture service of the Mayor’s office.)</w:t>
      </w:r>
    </w:p>
    <w:p w14:paraId="071D651B" w14:textId="77777777" w:rsidR="00BA3505" w:rsidRPr="00CC48C1" w:rsidRDefault="00BA3505" w:rsidP="00BA3505">
      <w:pPr>
        <w:pStyle w:val="ListParagraph"/>
        <w:numPr>
          <w:ilvl w:val="0"/>
          <w:numId w:val="47"/>
        </w:numPr>
        <w:spacing w:before="200" w:after="120"/>
        <w:rPr>
          <w:sz w:val="20"/>
        </w:rPr>
      </w:pPr>
      <w:r w:rsidRPr="00CC48C1">
        <w:rPr>
          <w:sz w:val="20"/>
        </w:rPr>
        <w:lastRenderedPageBreak/>
        <w:t>Mtirala NP and Machakhela NP Friends Association</w:t>
      </w:r>
    </w:p>
    <w:p w14:paraId="0DBC82CC" w14:textId="77777777" w:rsidR="00BA3505" w:rsidRPr="00CC48C1" w:rsidRDefault="00BA3505" w:rsidP="00BA3505">
      <w:pPr>
        <w:pStyle w:val="ListParagraph"/>
        <w:numPr>
          <w:ilvl w:val="0"/>
          <w:numId w:val="47"/>
        </w:numPr>
        <w:spacing w:before="200" w:after="120"/>
        <w:rPr>
          <w:sz w:val="20"/>
        </w:rPr>
      </w:pPr>
      <w:r w:rsidRPr="00CC48C1">
        <w:rPr>
          <w:sz w:val="20"/>
        </w:rPr>
        <w:t>Environment Directorate of Ajara, Ajara Government.</w:t>
      </w:r>
    </w:p>
    <w:p w14:paraId="13F27240" w14:textId="77777777" w:rsidR="00BA3505" w:rsidRPr="00CC48C1" w:rsidRDefault="00BA3505" w:rsidP="00BA3505">
      <w:pPr>
        <w:pStyle w:val="ListParagraph"/>
        <w:numPr>
          <w:ilvl w:val="0"/>
          <w:numId w:val="47"/>
        </w:numPr>
        <w:spacing w:before="200" w:after="120"/>
        <w:rPr>
          <w:sz w:val="20"/>
        </w:rPr>
      </w:pPr>
      <w:r w:rsidRPr="00CC48C1">
        <w:rPr>
          <w:sz w:val="20"/>
        </w:rPr>
        <w:t xml:space="preserve">Achara A.R. Government administration - Head of the Department of relation with Administrative Bodies </w:t>
      </w:r>
    </w:p>
    <w:p w14:paraId="5715C62F" w14:textId="77777777" w:rsidR="00BA3505" w:rsidRPr="00CC48C1" w:rsidRDefault="00BA3505" w:rsidP="00BA3505">
      <w:pPr>
        <w:rPr>
          <w:rFonts w:ascii="Calibri" w:hAnsi="Calibri"/>
          <w:i/>
          <w:sz w:val="20"/>
        </w:rPr>
      </w:pPr>
      <w:r w:rsidRPr="00CC48C1">
        <w:rPr>
          <w:rFonts w:ascii="Calibri" w:hAnsi="Calibri"/>
          <w:i/>
          <w:sz w:val="20"/>
        </w:rPr>
        <w:t>Tbilisi</w:t>
      </w:r>
    </w:p>
    <w:p w14:paraId="7960D71B" w14:textId="77777777" w:rsidR="00BA3505" w:rsidRPr="00CC48C1" w:rsidRDefault="00BA3505" w:rsidP="00BA3505">
      <w:pPr>
        <w:pStyle w:val="ListParagraph"/>
        <w:numPr>
          <w:ilvl w:val="0"/>
          <w:numId w:val="48"/>
        </w:numPr>
        <w:spacing w:after="120"/>
        <w:rPr>
          <w:sz w:val="20"/>
        </w:rPr>
      </w:pPr>
      <w:r w:rsidRPr="00CC48C1">
        <w:rPr>
          <w:sz w:val="20"/>
        </w:rPr>
        <w:t>Agency for Protected Areas, Ministry of Environment Protection and Agriculture</w:t>
      </w:r>
    </w:p>
    <w:p w14:paraId="13292571" w14:textId="77777777" w:rsidR="00BA3505" w:rsidRPr="00CC48C1" w:rsidRDefault="00BA3505" w:rsidP="00BA3505">
      <w:pPr>
        <w:pStyle w:val="ListParagraph"/>
        <w:numPr>
          <w:ilvl w:val="0"/>
          <w:numId w:val="48"/>
        </w:numPr>
        <w:spacing w:before="200" w:after="120"/>
        <w:rPr>
          <w:sz w:val="20"/>
        </w:rPr>
      </w:pPr>
      <w:r w:rsidRPr="00CC48C1">
        <w:rPr>
          <w:sz w:val="20"/>
        </w:rPr>
        <w:t>GEF Operational Focal Point (Ministry of Agriculture and Environmental Protection)</w:t>
      </w:r>
    </w:p>
    <w:p w14:paraId="2C8E12A1" w14:textId="77777777" w:rsidR="00BA3505" w:rsidRPr="00CC48C1" w:rsidRDefault="00BA3505" w:rsidP="00BA3505">
      <w:pPr>
        <w:pStyle w:val="ListParagraph"/>
        <w:numPr>
          <w:ilvl w:val="0"/>
          <w:numId w:val="48"/>
        </w:numPr>
        <w:spacing w:before="200" w:after="120"/>
        <w:rPr>
          <w:sz w:val="20"/>
        </w:rPr>
      </w:pPr>
      <w:r w:rsidRPr="00CC48C1">
        <w:rPr>
          <w:sz w:val="20"/>
        </w:rPr>
        <w:t>UNDP Country Office (E&amp;E Team Leader, DRR/Head of Programme)</w:t>
      </w:r>
    </w:p>
    <w:p w14:paraId="616D7544" w14:textId="77777777" w:rsidR="00BA3505" w:rsidRPr="00CC48C1" w:rsidRDefault="00BA3505" w:rsidP="00BA3505">
      <w:pPr>
        <w:pStyle w:val="ListParagraph"/>
        <w:numPr>
          <w:ilvl w:val="0"/>
          <w:numId w:val="48"/>
        </w:numPr>
        <w:spacing w:before="200" w:after="120"/>
        <w:rPr>
          <w:sz w:val="20"/>
        </w:rPr>
      </w:pPr>
      <w:r w:rsidRPr="00CC48C1">
        <w:rPr>
          <w:sz w:val="20"/>
        </w:rPr>
        <w:t>Support Programme for Protected Areas (KfW/GFA) – Kintrishi PA partner</w:t>
      </w:r>
    </w:p>
    <w:p w14:paraId="3F38962F" w14:textId="77777777" w:rsidR="00BA3505" w:rsidRPr="00CC48C1" w:rsidRDefault="00BA3505" w:rsidP="00BA3505">
      <w:pPr>
        <w:pStyle w:val="ListParagraph"/>
        <w:numPr>
          <w:ilvl w:val="0"/>
          <w:numId w:val="48"/>
        </w:numPr>
        <w:spacing w:before="200" w:after="120"/>
        <w:rPr>
          <w:sz w:val="20"/>
        </w:rPr>
      </w:pPr>
      <w:r w:rsidRPr="00CC48C1">
        <w:rPr>
          <w:sz w:val="20"/>
        </w:rPr>
        <w:t>WWF Georgia</w:t>
      </w:r>
    </w:p>
    <w:p w14:paraId="78E652CD" w14:textId="77777777" w:rsidR="00BA3505" w:rsidRPr="00CC48C1" w:rsidRDefault="00BA3505" w:rsidP="00BA3505">
      <w:pPr>
        <w:pStyle w:val="ListParagraph"/>
        <w:numPr>
          <w:ilvl w:val="0"/>
          <w:numId w:val="48"/>
        </w:numPr>
        <w:spacing w:before="200" w:after="120"/>
        <w:rPr>
          <w:sz w:val="20"/>
        </w:rPr>
      </w:pPr>
      <w:r w:rsidRPr="00CC48C1">
        <w:rPr>
          <w:sz w:val="20"/>
        </w:rPr>
        <w:t>CNF Georgia</w:t>
      </w:r>
    </w:p>
    <w:p w14:paraId="3703787C" w14:textId="77777777" w:rsidR="00BA3505" w:rsidRPr="00CC48C1" w:rsidRDefault="00BA3505" w:rsidP="00BA3505">
      <w:pPr>
        <w:pStyle w:val="ListParagraph"/>
        <w:numPr>
          <w:ilvl w:val="0"/>
          <w:numId w:val="48"/>
        </w:numPr>
        <w:spacing w:before="200" w:after="120"/>
        <w:rPr>
          <w:sz w:val="20"/>
        </w:rPr>
      </w:pPr>
      <w:r w:rsidRPr="00CC48C1">
        <w:rPr>
          <w:sz w:val="20"/>
        </w:rPr>
        <w:t xml:space="preserve">Key National Contractors (Ilia University, Geographic, Black Sea Eco-Academy, Energy Efficiency Centre, NACRES, Georgian Ecotourism Association,  </w:t>
      </w:r>
    </w:p>
    <w:p w14:paraId="1B320A2F" w14:textId="77777777" w:rsidR="00BA3505" w:rsidRPr="00CC48C1" w:rsidRDefault="00BA3505" w:rsidP="00BA3505">
      <w:pPr>
        <w:pStyle w:val="ListParagraph"/>
        <w:numPr>
          <w:ilvl w:val="0"/>
          <w:numId w:val="48"/>
        </w:numPr>
        <w:spacing w:before="200" w:after="120"/>
        <w:rPr>
          <w:sz w:val="20"/>
        </w:rPr>
      </w:pPr>
      <w:r w:rsidRPr="00CC48C1">
        <w:rPr>
          <w:sz w:val="20"/>
        </w:rPr>
        <w:t>Key National Consultants (NP Awareness Building – Ramaz Gokhelashvili, Management Options for Machakhela “Support Zone” / Protected Landscape consultant – Marika Kavtarishvili, Friends Association Strategy Consultant – Kakha Bakhtadze; PA governance consultant – Anzor Gogotidze)</w:t>
      </w:r>
    </w:p>
    <w:p w14:paraId="69BD7E72" w14:textId="77777777" w:rsidR="00BA3505" w:rsidRPr="00BD0DF2" w:rsidRDefault="00BA3505" w:rsidP="00BA3505">
      <w:pPr>
        <w:spacing w:after="120"/>
        <w:rPr>
          <w:rFonts w:ascii="Calibri" w:hAnsi="Calibri"/>
          <w:sz w:val="20"/>
        </w:rPr>
      </w:pPr>
      <w:r w:rsidRPr="00CC48C1">
        <w:rPr>
          <w:rFonts w:ascii="Calibri" w:hAnsi="Calibri"/>
          <w:i/>
          <w:sz w:val="20"/>
        </w:rPr>
        <w:t>Istanbul</w:t>
      </w:r>
      <w:r w:rsidRPr="00BD0DF2">
        <w:rPr>
          <w:rFonts w:ascii="Calibri" w:hAnsi="Calibri"/>
          <w:sz w:val="20"/>
        </w:rPr>
        <w:t xml:space="preserve"> – UNDP Regional Office – UNDP, GEF Regional Technical Adviser (Skype interview only)</w:t>
      </w:r>
    </w:p>
    <w:p w14:paraId="25A8BF4C" w14:textId="77777777" w:rsidR="00BA3505" w:rsidRPr="00D6638C" w:rsidRDefault="00BA3505" w:rsidP="00BA3505">
      <w:pPr>
        <w:spacing w:after="120"/>
        <w:rPr>
          <w:rFonts w:ascii="Calibri" w:hAnsi="Calibri"/>
          <w:sz w:val="20"/>
        </w:rPr>
      </w:pPr>
      <w:r w:rsidRPr="00D6638C">
        <w:rPr>
          <w:rFonts w:ascii="Calibri" w:hAnsi="Calibri"/>
          <w:sz w:val="20"/>
        </w:rPr>
        <w:t>The evaluator will review all relevant sources of information, such as the project document, project reports</w:t>
      </w:r>
      <w:r>
        <w:rPr>
          <w:rFonts w:ascii="Calibri" w:hAnsi="Calibri"/>
          <w:sz w:val="20"/>
        </w:rPr>
        <w:t xml:space="preserve"> – including</w:t>
      </w:r>
      <w:r w:rsidRPr="00D6638C">
        <w:rPr>
          <w:rFonts w:ascii="Calibri" w:hAnsi="Calibri"/>
          <w:sz w:val="20"/>
        </w:rPr>
        <w:t xml:space="preserve"> Annual APR/PIR, project budget revisions, midterm review, progress reports, GEF focal area tracking tools, project files, national strategic and legal documents, and any other material</w:t>
      </w:r>
      <w:r>
        <w:rPr>
          <w:rFonts w:ascii="Calibri" w:hAnsi="Calibri"/>
          <w:sz w:val="20"/>
        </w:rPr>
        <w:t>s</w:t>
      </w:r>
      <w:r w:rsidRPr="00D6638C">
        <w:rPr>
          <w:rFonts w:ascii="Calibri" w:hAnsi="Calibri"/>
          <w:sz w:val="20"/>
        </w:rPr>
        <w:t xml:space="preserve"> that the evaluator considers useful for this evidence-based assessment. A list of documents that the project team will provide to the evaluator for review is included in </w:t>
      </w:r>
      <w:hyperlink w:anchor="_TOR_Annex_B:" w:history="1">
        <w:r w:rsidRPr="00D6638C">
          <w:rPr>
            <w:rFonts w:ascii="Calibri" w:hAnsi="Calibri"/>
            <w:color w:val="0000FF"/>
            <w:sz w:val="20"/>
            <w:u w:val="single"/>
            <w:shd w:val="clear" w:color="auto" w:fill="FFFFFF"/>
          </w:rPr>
          <w:t>Annex B</w:t>
        </w:r>
      </w:hyperlink>
      <w:r w:rsidRPr="00D6638C">
        <w:rPr>
          <w:rFonts w:ascii="Calibri" w:hAnsi="Calibri"/>
          <w:color w:val="0000FF"/>
          <w:sz w:val="20"/>
          <w:u w:val="single"/>
          <w:shd w:val="clear" w:color="auto" w:fill="FFFFFF"/>
        </w:rPr>
        <w:t xml:space="preserve"> </w:t>
      </w:r>
      <w:r w:rsidRPr="00D6638C">
        <w:rPr>
          <w:rFonts w:ascii="Calibri" w:hAnsi="Calibri"/>
          <w:sz w:val="20"/>
        </w:rPr>
        <w:t>of this Terms of Reference.</w:t>
      </w:r>
    </w:p>
    <w:p w14:paraId="55BF7EF4" w14:textId="77777777" w:rsidR="00BA3505" w:rsidRPr="00D6638C" w:rsidRDefault="00BA3505" w:rsidP="00BA3505">
      <w:pPr>
        <w:pStyle w:val="Heading51"/>
      </w:pPr>
      <w:bookmarkStart w:id="170" w:name="_Toc321341551"/>
      <w:r w:rsidRPr="00D6638C">
        <w:t>Evaluation Criteria &amp; Ratings</w:t>
      </w:r>
      <w:bookmarkEnd w:id="170"/>
    </w:p>
    <w:p w14:paraId="2E764742" w14:textId="77777777" w:rsidR="00BA3505" w:rsidRDefault="00BA3505" w:rsidP="00BA3505">
      <w:pPr>
        <w:spacing w:before="200"/>
        <w:rPr>
          <w:rFonts w:ascii="Calibri" w:hAnsi="Calibri"/>
          <w:sz w:val="20"/>
        </w:rPr>
      </w:pPr>
      <w:r w:rsidRPr="00D6638C">
        <w:rPr>
          <w:rFonts w:ascii="Calibri" w:hAnsi="Calibri"/>
          <w:sz w:val="20"/>
        </w:rPr>
        <w:t xml:space="preserve">An assessment of project performance will be carried out, based against expectations set out in the Project Logical Framework/Results Framework </w:t>
      </w:r>
      <w:r w:rsidRPr="00D6638C">
        <w:rPr>
          <w:rFonts w:ascii="Calibri" w:hAnsi="Calibri"/>
          <w:sz w:val="20"/>
          <w:highlight w:val="lightGray"/>
        </w:rPr>
        <w:t xml:space="preserve">(see </w:t>
      </w:r>
      <w:hyperlink w:anchor="_TOR_Annex_A:" w:history="1">
        <w:r w:rsidRPr="00D6638C">
          <w:rPr>
            <w:rFonts w:ascii="Calibri" w:hAnsi="Calibri"/>
            <w:color w:val="0000FF"/>
            <w:sz w:val="20"/>
            <w:u w:val="single"/>
          </w:rPr>
          <w:t xml:space="preserve"> Annex A</w:t>
        </w:r>
      </w:hyperlink>
      <w:r w:rsidRPr="00D6638C">
        <w:rPr>
          <w:rFonts w:ascii="Calibri" w:hAnsi="Calibri"/>
          <w:sz w:val="20"/>
          <w:highlight w:val="lightGray"/>
        </w:rPr>
        <w:t>)</w:t>
      </w:r>
      <w:r w:rsidRPr="00D6638C">
        <w:rPr>
          <w:rFonts w:ascii="Calibri" w:hAnsi="Calibri"/>
          <w:sz w:val="20"/>
        </w:rPr>
        <w:t>, which provides performance and impact indicators for project implementation along with their corresponding means of verification</w:t>
      </w:r>
      <w:r w:rsidRPr="00D6638C">
        <w:rPr>
          <w:rFonts w:ascii="Calibri" w:hAnsi="Calibri"/>
          <w:sz w:val="23"/>
          <w:szCs w:val="23"/>
        </w:rPr>
        <w:t xml:space="preserve">. </w:t>
      </w:r>
      <w:r w:rsidRPr="00D6638C">
        <w:rPr>
          <w:rFonts w:ascii="Calibri" w:hAnsi="Calibri"/>
          <w:sz w:val="20"/>
        </w:rPr>
        <w:t xml:space="preserve">The evaluation will at a minimum cover the criteria of: </w:t>
      </w:r>
      <w:r w:rsidRPr="00D6638C">
        <w:rPr>
          <w:rFonts w:ascii="Calibri" w:hAnsi="Calibri"/>
          <w:b/>
          <w:sz w:val="20"/>
        </w:rPr>
        <w:t xml:space="preserve">relevance, effectiveness, efficiency, sustainability and impact. </w:t>
      </w:r>
      <w:r w:rsidRPr="00D6638C">
        <w:rPr>
          <w:rFonts w:ascii="Calibri" w:hAnsi="Calibri"/>
          <w:sz w:val="20"/>
        </w:rPr>
        <w:t>Ratings must be provided on the following performance criteria. The comp</w:t>
      </w:r>
      <w:r>
        <w:rPr>
          <w:rFonts w:ascii="Calibri" w:hAnsi="Calibri"/>
          <w:sz w:val="20"/>
        </w:rPr>
        <w:t>l</w:t>
      </w:r>
      <w:r w:rsidRPr="00D6638C">
        <w:rPr>
          <w:rFonts w:ascii="Calibri" w:hAnsi="Calibri"/>
          <w:sz w:val="20"/>
        </w:rPr>
        <w:t xml:space="preserve">eted table must be included in the evaluation executive summary.   The obligatory rating scales are included in </w:t>
      </w:r>
      <w:hyperlink w:anchor="_TOR_Annex_D:" w:history="1">
        <w:r w:rsidRPr="00D6638C">
          <w:rPr>
            <w:rFonts w:ascii="Calibri" w:hAnsi="Calibri"/>
            <w:color w:val="0000FF"/>
            <w:sz w:val="20"/>
            <w:u w:val="single"/>
          </w:rPr>
          <w:t xml:space="preserve"> Annex D</w:t>
        </w:r>
      </w:hyperlink>
      <w:r w:rsidRPr="00D6638C">
        <w:rPr>
          <w:rFonts w:ascii="Calibri" w:hAnsi="Calibri"/>
          <w:sz w:val="20"/>
        </w:rPr>
        <w:t>.</w:t>
      </w:r>
    </w:p>
    <w:p w14:paraId="0A98890B" w14:textId="77777777" w:rsidR="00BA3505" w:rsidRPr="00D6638C" w:rsidRDefault="00BA3505" w:rsidP="00BA3505">
      <w:pPr>
        <w:rPr>
          <w:rFonts w:ascii="Calibri" w:hAnsi="Calibri"/>
          <w:sz w:val="20"/>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8"/>
        <w:gridCol w:w="722"/>
        <w:gridCol w:w="4649"/>
        <w:gridCol w:w="722"/>
      </w:tblGrid>
      <w:tr w:rsidR="00BA3505" w:rsidRPr="00D6638C" w14:paraId="385C83A5" w14:textId="77777777" w:rsidTr="00BA3505">
        <w:trPr>
          <w:trHeight w:val="206"/>
        </w:trPr>
        <w:tc>
          <w:tcPr>
            <w:tcW w:w="5000" w:type="pct"/>
            <w:gridSpan w:val="4"/>
            <w:vAlign w:val="center"/>
          </w:tcPr>
          <w:p w14:paraId="18CE2B36" w14:textId="77777777" w:rsidR="00BA3505" w:rsidRPr="00D6638C" w:rsidRDefault="00BA3505" w:rsidP="00BA3505">
            <w:pPr>
              <w:tabs>
                <w:tab w:val="right" w:pos="0"/>
              </w:tabs>
              <w:rPr>
                <w:rFonts w:ascii="Calibri" w:hAnsi="Calibri"/>
                <w:b/>
                <w:color w:val="000000"/>
                <w:sz w:val="20"/>
              </w:rPr>
            </w:pPr>
            <w:r w:rsidRPr="00D6638C">
              <w:rPr>
                <w:rFonts w:ascii="Calibri" w:hAnsi="Calibri"/>
                <w:b/>
                <w:color w:val="000000"/>
                <w:sz w:val="20"/>
              </w:rPr>
              <w:t>Evaluation Ratings:</w:t>
            </w:r>
          </w:p>
        </w:tc>
      </w:tr>
      <w:tr w:rsidR="00BA3505" w:rsidRPr="00D6638C" w14:paraId="0D5AEC53" w14:textId="77777777" w:rsidTr="00BA3505">
        <w:tblPrEx>
          <w:shd w:val="clear" w:color="auto" w:fill="4F81BD"/>
        </w:tblPrEx>
        <w:tc>
          <w:tcPr>
            <w:tcW w:w="1636" w:type="pct"/>
            <w:shd w:val="clear" w:color="auto" w:fill="7F7F7F"/>
          </w:tcPr>
          <w:p w14:paraId="5033204A" w14:textId="77777777" w:rsidR="00BA3505" w:rsidRPr="00D6638C" w:rsidRDefault="00BA3505" w:rsidP="00BA3505">
            <w:pPr>
              <w:rPr>
                <w:rFonts w:ascii="Calibri" w:hAnsi="Calibri"/>
                <w:b/>
                <w:bCs/>
                <w:color w:val="FFFFFF"/>
                <w:sz w:val="20"/>
              </w:rPr>
            </w:pPr>
            <w:bookmarkStart w:id="171" w:name="_Toc299133036"/>
            <w:r w:rsidRPr="00D6638C">
              <w:rPr>
                <w:rFonts w:ascii="Calibri" w:hAnsi="Calibri"/>
                <w:b/>
                <w:color w:val="FFFFFF"/>
                <w:sz w:val="20"/>
              </w:rPr>
              <w:t>1. Monitoring and Evaluation</w:t>
            </w:r>
          </w:p>
        </w:tc>
        <w:tc>
          <w:tcPr>
            <w:tcW w:w="390" w:type="pct"/>
            <w:shd w:val="clear" w:color="auto" w:fill="7F7F7F"/>
          </w:tcPr>
          <w:p w14:paraId="546A9E6F" w14:textId="77777777" w:rsidR="00BA3505" w:rsidRPr="00D6638C" w:rsidRDefault="00BA3505" w:rsidP="00BA3505">
            <w:pPr>
              <w:jc w:val="center"/>
              <w:rPr>
                <w:rFonts w:ascii="Calibri" w:hAnsi="Calibri"/>
                <w:b/>
                <w:bCs/>
                <w:color w:val="FFFFFF"/>
                <w:sz w:val="20"/>
              </w:rPr>
            </w:pPr>
            <w:r w:rsidRPr="00D6638C">
              <w:rPr>
                <w:rFonts w:ascii="Calibri" w:hAnsi="Calibri"/>
                <w:b/>
                <w:i/>
                <w:color w:val="FFFFFF"/>
                <w:sz w:val="20"/>
              </w:rPr>
              <w:t>rating</w:t>
            </w:r>
          </w:p>
        </w:tc>
        <w:tc>
          <w:tcPr>
            <w:tcW w:w="2583" w:type="pct"/>
            <w:shd w:val="clear" w:color="auto" w:fill="7F7F7F"/>
          </w:tcPr>
          <w:p w14:paraId="194CE337" w14:textId="77777777" w:rsidR="00BA3505" w:rsidRPr="00D6638C" w:rsidRDefault="00BA3505" w:rsidP="00BA3505">
            <w:pPr>
              <w:rPr>
                <w:rFonts w:ascii="Calibri" w:hAnsi="Calibri"/>
                <w:b/>
                <w:i/>
                <w:color w:val="FFFFFF"/>
                <w:sz w:val="20"/>
              </w:rPr>
            </w:pPr>
            <w:r w:rsidRPr="00D6638C">
              <w:rPr>
                <w:rFonts w:ascii="Calibri" w:hAnsi="Calibri"/>
                <w:b/>
                <w:color w:val="FFFFFF"/>
                <w:sz w:val="20"/>
              </w:rPr>
              <w:t>2. IA&amp; EA Execution</w:t>
            </w:r>
          </w:p>
        </w:tc>
        <w:tc>
          <w:tcPr>
            <w:tcW w:w="390" w:type="pct"/>
            <w:shd w:val="clear" w:color="auto" w:fill="7F7F7F"/>
          </w:tcPr>
          <w:p w14:paraId="35B5751F" w14:textId="77777777" w:rsidR="00BA3505" w:rsidRPr="00D6638C" w:rsidRDefault="00BA3505" w:rsidP="00BA3505">
            <w:pPr>
              <w:jc w:val="center"/>
              <w:rPr>
                <w:rFonts w:ascii="Calibri" w:hAnsi="Calibri"/>
                <w:b/>
                <w:i/>
                <w:color w:val="FFFFFF"/>
                <w:sz w:val="20"/>
              </w:rPr>
            </w:pPr>
            <w:r w:rsidRPr="00D6638C">
              <w:rPr>
                <w:rFonts w:ascii="Calibri" w:hAnsi="Calibri"/>
                <w:b/>
                <w:i/>
                <w:color w:val="FFFFFF"/>
                <w:sz w:val="20"/>
              </w:rPr>
              <w:t>rating</w:t>
            </w:r>
          </w:p>
        </w:tc>
      </w:tr>
      <w:tr w:rsidR="00BA3505" w:rsidRPr="00D6638C" w14:paraId="7F2B8FA9" w14:textId="77777777" w:rsidTr="00BA350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36" w:type="pct"/>
          </w:tcPr>
          <w:p w14:paraId="7428D942" w14:textId="77777777" w:rsidR="00BA3505" w:rsidRPr="00D6638C" w:rsidRDefault="00BA3505" w:rsidP="00BA3505">
            <w:pPr>
              <w:rPr>
                <w:rFonts w:ascii="Calibri" w:hAnsi="Calibri"/>
                <w:sz w:val="20"/>
              </w:rPr>
            </w:pPr>
            <w:r w:rsidRPr="00D6638C">
              <w:rPr>
                <w:rFonts w:ascii="Calibri" w:hAnsi="Calibri"/>
                <w:sz w:val="20"/>
              </w:rPr>
              <w:t>M&amp;E design at entry</w:t>
            </w:r>
          </w:p>
        </w:tc>
        <w:tc>
          <w:tcPr>
            <w:tcW w:w="390" w:type="pct"/>
            <w:tcBorders>
              <w:bottom w:val="single" w:sz="4" w:space="0" w:color="auto"/>
            </w:tcBorders>
          </w:tcPr>
          <w:p w14:paraId="5E23A027" w14:textId="77777777" w:rsidR="00BA3505" w:rsidRPr="00D6638C" w:rsidRDefault="00BA3505" w:rsidP="00BA3505">
            <w:pPr>
              <w:rPr>
                <w:rFonts w:ascii="Calibri" w:hAnsi="Calibri"/>
                <w:sz w:val="20"/>
              </w:rPr>
            </w:pPr>
            <w:r w:rsidRPr="00D6638C">
              <w:rPr>
                <w:rFonts w:ascii="Calibri" w:hAnsi="Calibri"/>
                <w:sz w:val="20"/>
              </w:rPr>
              <w:fldChar w:fldCharType="begin">
                <w:ffData>
                  <w:name w:val="Text1"/>
                  <w:enabled/>
                  <w:calcOnExit w:val="0"/>
                  <w:textInput/>
                </w:ffData>
              </w:fldChar>
            </w:r>
            <w:r w:rsidRPr="00D6638C">
              <w:rPr>
                <w:rFonts w:ascii="Calibri" w:hAnsi="Calibri"/>
                <w:sz w:val="20"/>
              </w:rPr>
              <w:instrText xml:space="preserve"> FORMTEXT </w:instrText>
            </w:r>
            <w:r w:rsidRPr="00D6638C">
              <w:rPr>
                <w:rFonts w:ascii="Calibri" w:hAnsi="Calibri"/>
                <w:sz w:val="20"/>
              </w:rPr>
            </w:r>
            <w:r w:rsidRPr="00D6638C">
              <w:rPr>
                <w:rFonts w:ascii="Calibri" w:hAnsi="Calibri"/>
                <w:sz w:val="20"/>
              </w:rPr>
              <w:fldChar w:fldCharType="separate"/>
            </w:r>
            <w:r>
              <w:rPr>
                <w:rFonts w:ascii="Calibri" w:hAnsi="Calibri"/>
                <w:noProof/>
                <w:sz w:val="20"/>
              </w:rPr>
              <w:t> </w:t>
            </w:r>
            <w:r>
              <w:rPr>
                <w:rFonts w:ascii="Calibri" w:hAnsi="Calibri"/>
                <w:noProof/>
                <w:sz w:val="20"/>
              </w:rPr>
              <w:t> </w:t>
            </w:r>
            <w:r>
              <w:rPr>
                <w:rFonts w:ascii="Calibri" w:hAnsi="Calibri"/>
                <w:noProof/>
                <w:sz w:val="20"/>
              </w:rPr>
              <w:t> </w:t>
            </w:r>
            <w:r>
              <w:rPr>
                <w:rFonts w:ascii="Calibri" w:hAnsi="Calibri"/>
                <w:noProof/>
                <w:sz w:val="20"/>
              </w:rPr>
              <w:t> </w:t>
            </w:r>
            <w:r>
              <w:rPr>
                <w:rFonts w:ascii="Calibri" w:hAnsi="Calibri"/>
                <w:noProof/>
                <w:sz w:val="20"/>
              </w:rPr>
              <w:t> </w:t>
            </w:r>
            <w:r w:rsidRPr="00D6638C">
              <w:rPr>
                <w:rFonts w:ascii="Calibri" w:hAnsi="Calibri"/>
                <w:sz w:val="20"/>
              </w:rPr>
              <w:fldChar w:fldCharType="end"/>
            </w:r>
          </w:p>
        </w:tc>
        <w:tc>
          <w:tcPr>
            <w:tcW w:w="2583" w:type="pct"/>
            <w:tcBorders>
              <w:bottom w:val="single" w:sz="4" w:space="0" w:color="auto"/>
            </w:tcBorders>
          </w:tcPr>
          <w:p w14:paraId="17C3D6A8" w14:textId="77777777" w:rsidR="00BA3505" w:rsidRPr="00D6638C" w:rsidRDefault="00BA3505" w:rsidP="00BA3505">
            <w:pPr>
              <w:rPr>
                <w:rFonts w:ascii="Calibri" w:hAnsi="Calibri"/>
                <w:sz w:val="20"/>
              </w:rPr>
            </w:pPr>
            <w:r w:rsidRPr="00D6638C">
              <w:rPr>
                <w:rFonts w:ascii="Calibri" w:hAnsi="Calibri"/>
                <w:sz w:val="20"/>
              </w:rPr>
              <w:t>Quality of UNDP Implementation</w:t>
            </w:r>
          </w:p>
        </w:tc>
        <w:tc>
          <w:tcPr>
            <w:tcW w:w="390" w:type="pct"/>
            <w:tcBorders>
              <w:bottom w:val="single" w:sz="4" w:space="0" w:color="auto"/>
            </w:tcBorders>
          </w:tcPr>
          <w:p w14:paraId="4F0EA061" w14:textId="77777777" w:rsidR="00BA3505" w:rsidRPr="00D6638C" w:rsidRDefault="00BA3505" w:rsidP="00BA3505">
            <w:pPr>
              <w:rPr>
                <w:rFonts w:ascii="Calibri" w:hAnsi="Calibri"/>
                <w:sz w:val="20"/>
              </w:rPr>
            </w:pPr>
            <w:r w:rsidRPr="00D6638C">
              <w:rPr>
                <w:rFonts w:ascii="Calibri" w:hAnsi="Calibri"/>
                <w:sz w:val="20"/>
              </w:rPr>
              <w:fldChar w:fldCharType="begin">
                <w:ffData>
                  <w:name w:val="Text1"/>
                  <w:enabled/>
                  <w:calcOnExit w:val="0"/>
                  <w:textInput/>
                </w:ffData>
              </w:fldChar>
            </w:r>
            <w:r w:rsidRPr="00D6638C">
              <w:rPr>
                <w:rFonts w:ascii="Calibri" w:hAnsi="Calibri"/>
                <w:sz w:val="20"/>
              </w:rPr>
              <w:instrText xml:space="preserve"> FORMTEXT </w:instrText>
            </w:r>
            <w:r w:rsidRPr="00D6638C">
              <w:rPr>
                <w:rFonts w:ascii="Calibri" w:hAnsi="Calibri"/>
                <w:sz w:val="20"/>
              </w:rPr>
            </w:r>
            <w:r w:rsidRPr="00D6638C">
              <w:rPr>
                <w:rFonts w:ascii="Calibri" w:hAnsi="Calibri"/>
                <w:sz w:val="20"/>
              </w:rPr>
              <w:fldChar w:fldCharType="separate"/>
            </w:r>
            <w:r>
              <w:rPr>
                <w:rFonts w:ascii="Calibri" w:hAnsi="Calibri"/>
                <w:noProof/>
                <w:sz w:val="20"/>
              </w:rPr>
              <w:t> </w:t>
            </w:r>
            <w:r>
              <w:rPr>
                <w:rFonts w:ascii="Calibri" w:hAnsi="Calibri"/>
                <w:noProof/>
                <w:sz w:val="20"/>
              </w:rPr>
              <w:t> </w:t>
            </w:r>
            <w:r>
              <w:rPr>
                <w:rFonts w:ascii="Calibri" w:hAnsi="Calibri"/>
                <w:noProof/>
                <w:sz w:val="20"/>
              </w:rPr>
              <w:t> </w:t>
            </w:r>
            <w:r>
              <w:rPr>
                <w:rFonts w:ascii="Calibri" w:hAnsi="Calibri"/>
                <w:noProof/>
                <w:sz w:val="20"/>
              </w:rPr>
              <w:t> </w:t>
            </w:r>
            <w:r>
              <w:rPr>
                <w:rFonts w:ascii="Calibri" w:hAnsi="Calibri"/>
                <w:noProof/>
                <w:sz w:val="20"/>
              </w:rPr>
              <w:t> </w:t>
            </w:r>
            <w:r w:rsidRPr="00D6638C">
              <w:rPr>
                <w:rFonts w:ascii="Calibri" w:hAnsi="Calibri"/>
                <w:sz w:val="20"/>
              </w:rPr>
              <w:fldChar w:fldCharType="end"/>
            </w:r>
          </w:p>
        </w:tc>
      </w:tr>
      <w:tr w:rsidR="00BA3505" w:rsidRPr="00D6638C" w14:paraId="42338748" w14:textId="77777777" w:rsidTr="00BA350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36" w:type="pct"/>
          </w:tcPr>
          <w:p w14:paraId="45335236" w14:textId="77777777" w:rsidR="00BA3505" w:rsidRPr="00D6638C" w:rsidRDefault="00BA3505" w:rsidP="00BA3505">
            <w:pPr>
              <w:rPr>
                <w:rFonts w:ascii="Calibri" w:hAnsi="Calibri"/>
                <w:sz w:val="20"/>
              </w:rPr>
            </w:pPr>
            <w:r w:rsidRPr="00D6638C">
              <w:rPr>
                <w:rFonts w:ascii="Calibri" w:hAnsi="Calibri"/>
                <w:sz w:val="20"/>
              </w:rPr>
              <w:t>M&amp;E Plan Implementation</w:t>
            </w:r>
          </w:p>
        </w:tc>
        <w:tc>
          <w:tcPr>
            <w:tcW w:w="390" w:type="pct"/>
            <w:tcBorders>
              <w:bottom w:val="single" w:sz="4" w:space="0" w:color="auto"/>
            </w:tcBorders>
          </w:tcPr>
          <w:p w14:paraId="5CE5B95B" w14:textId="77777777" w:rsidR="00BA3505" w:rsidRPr="00D6638C" w:rsidRDefault="00BA3505" w:rsidP="00BA3505">
            <w:pPr>
              <w:rPr>
                <w:rFonts w:ascii="Calibri" w:hAnsi="Calibri"/>
                <w:sz w:val="20"/>
              </w:rPr>
            </w:pPr>
            <w:r w:rsidRPr="00D6638C">
              <w:rPr>
                <w:rFonts w:ascii="Calibri" w:hAnsi="Calibri"/>
                <w:sz w:val="20"/>
              </w:rPr>
              <w:fldChar w:fldCharType="begin">
                <w:ffData>
                  <w:name w:val="Text1"/>
                  <w:enabled/>
                  <w:calcOnExit w:val="0"/>
                  <w:textInput/>
                </w:ffData>
              </w:fldChar>
            </w:r>
            <w:r w:rsidRPr="00D6638C">
              <w:rPr>
                <w:rFonts w:ascii="Calibri" w:hAnsi="Calibri"/>
                <w:sz w:val="20"/>
              </w:rPr>
              <w:instrText xml:space="preserve"> FORMTEXT </w:instrText>
            </w:r>
            <w:r w:rsidRPr="00D6638C">
              <w:rPr>
                <w:rFonts w:ascii="Calibri" w:hAnsi="Calibri"/>
                <w:sz w:val="20"/>
              </w:rPr>
            </w:r>
            <w:r w:rsidRPr="00D6638C">
              <w:rPr>
                <w:rFonts w:ascii="Calibri" w:hAnsi="Calibri"/>
                <w:sz w:val="20"/>
              </w:rPr>
              <w:fldChar w:fldCharType="separate"/>
            </w:r>
            <w:r>
              <w:rPr>
                <w:rFonts w:ascii="Calibri" w:hAnsi="Calibri"/>
                <w:noProof/>
                <w:sz w:val="20"/>
              </w:rPr>
              <w:t> </w:t>
            </w:r>
            <w:r>
              <w:rPr>
                <w:rFonts w:ascii="Calibri" w:hAnsi="Calibri"/>
                <w:noProof/>
                <w:sz w:val="20"/>
              </w:rPr>
              <w:t> </w:t>
            </w:r>
            <w:r>
              <w:rPr>
                <w:rFonts w:ascii="Calibri" w:hAnsi="Calibri"/>
                <w:noProof/>
                <w:sz w:val="20"/>
              </w:rPr>
              <w:t> </w:t>
            </w:r>
            <w:r>
              <w:rPr>
                <w:rFonts w:ascii="Calibri" w:hAnsi="Calibri"/>
                <w:noProof/>
                <w:sz w:val="20"/>
              </w:rPr>
              <w:t> </w:t>
            </w:r>
            <w:r>
              <w:rPr>
                <w:rFonts w:ascii="Calibri" w:hAnsi="Calibri"/>
                <w:noProof/>
                <w:sz w:val="20"/>
              </w:rPr>
              <w:t> </w:t>
            </w:r>
            <w:r w:rsidRPr="00D6638C">
              <w:rPr>
                <w:rFonts w:ascii="Calibri" w:hAnsi="Calibri"/>
                <w:sz w:val="20"/>
              </w:rPr>
              <w:fldChar w:fldCharType="end"/>
            </w:r>
          </w:p>
        </w:tc>
        <w:tc>
          <w:tcPr>
            <w:tcW w:w="2583" w:type="pct"/>
            <w:tcBorders>
              <w:bottom w:val="single" w:sz="4" w:space="0" w:color="auto"/>
            </w:tcBorders>
          </w:tcPr>
          <w:p w14:paraId="7404CCCB" w14:textId="77777777" w:rsidR="00BA3505" w:rsidRPr="00D6638C" w:rsidRDefault="00BA3505" w:rsidP="00BA3505">
            <w:pPr>
              <w:rPr>
                <w:rFonts w:ascii="Calibri" w:hAnsi="Calibri"/>
                <w:sz w:val="20"/>
              </w:rPr>
            </w:pPr>
            <w:r w:rsidRPr="00D6638C">
              <w:rPr>
                <w:rFonts w:ascii="Calibri" w:hAnsi="Calibri"/>
                <w:sz w:val="20"/>
              </w:rPr>
              <w:t xml:space="preserve">Quality of Execution - Executing Agency </w:t>
            </w:r>
          </w:p>
        </w:tc>
        <w:tc>
          <w:tcPr>
            <w:tcW w:w="390" w:type="pct"/>
            <w:tcBorders>
              <w:bottom w:val="single" w:sz="4" w:space="0" w:color="auto"/>
            </w:tcBorders>
          </w:tcPr>
          <w:p w14:paraId="773187CC" w14:textId="77777777" w:rsidR="00BA3505" w:rsidRPr="00D6638C" w:rsidRDefault="00BA3505" w:rsidP="00BA3505">
            <w:pPr>
              <w:rPr>
                <w:rFonts w:ascii="Calibri" w:hAnsi="Calibri"/>
                <w:sz w:val="20"/>
              </w:rPr>
            </w:pPr>
            <w:r w:rsidRPr="00D6638C">
              <w:rPr>
                <w:rFonts w:ascii="Calibri" w:hAnsi="Calibri"/>
                <w:sz w:val="20"/>
              </w:rPr>
              <w:fldChar w:fldCharType="begin">
                <w:ffData>
                  <w:name w:val="Text1"/>
                  <w:enabled/>
                  <w:calcOnExit w:val="0"/>
                  <w:textInput/>
                </w:ffData>
              </w:fldChar>
            </w:r>
            <w:r w:rsidRPr="00D6638C">
              <w:rPr>
                <w:rFonts w:ascii="Calibri" w:hAnsi="Calibri"/>
                <w:sz w:val="20"/>
              </w:rPr>
              <w:instrText xml:space="preserve"> FORMTEXT </w:instrText>
            </w:r>
            <w:r w:rsidRPr="00D6638C">
              <w:rPr>
                <w:rFonts w:ascii="Calibri" w:hAnsi="Calibri"/>
                <w:sz w:val="20"/>
              </w:rPr>
            </w:r>
            <w:r w:rsidRPr="00D6638C">
              <w:rPr>
                <w:rFonts w:ascii="Calibri" w:hAnsi="Calibri"/>
                <w:sz w:val="20"/>
              </w:rPr>
              <w:fldChar w:fldCharType="separate"/>
            </w:r>
            <w:r>
              <w:rPr>
                <w:rFonts w:ascii="Calibri" w:hAnsi="Calibri"/>
                <w:noProof/>
                <w:sz w:val="20"/>
              </w:rPr>
              <w:t> </w:t>
            </w:r>
            <w:r>
              <w:rPr>
                <w:rFonts w:ascii="Calibri" w:hAnsi="Calibri"/>
                <w:noProof/>
                <w:sz w:val="20"/>
              </w:rPr>
              <w:t> </w:t>
            </w:r>
            <w:r>
              <w:rPr>
                <w:rFonts w:ascii="Calibri" w:hAnsi="Calibri"/>
                <w:noProof/>
                <w:sz w:val="20"/>
              </w:rPr>
              <w:t> </w:t>
            </w:r>
            <w:r>
              <w:rPr>
                <w:rFonts w:ascii="Calibri" w:hAnsi="Calibri"/>
                <w:noProof/>
                <w:sz w:val="20"/>
              </w:rPr>
              <w:t> </w:t>
            </w:r>
            <w:r>
              <w:rPr>
                <w:rFonts w:ascii="Calibri" w:hAnsi="Calibri"/>
                <w:noProof/>
                <w:sz w:val="20"/>
              </w:rPr>
              <w:t> </w:t>
            </w:r>
            <w:r w:rsidRPr="00D6638C">
              <w:rPr>
                <w:rFonts w:ascii="Calibri" w:hAnsi="Calibri"/>
                <w:sz w:val="20"/>
              </w:rPr>
              <w:fldChar w:fldCharType="end"/>
            </w:r>
          </w:p>
        </w:tc>
      </w:tr>
      <w:tr w:rsidR="00BA3505" w:rsidRPr="00D6638C" w14:paraId="2C3B58F2" w14:textId="77777777" w:rsidTr="00BA350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36" w:type="pct"/>
          </w:tcPr>
          <w:p w14:paraId="4DD9BDD5" w14:textId="77777777" w:rsidR="00BA3505" w:rsidRPr="00D6638C" w:rsidRDefault="00BA3505" w:rsidP="00BA3505">
            <w:pPr>
              <w:rPr>
                <w:rFonts w:ascii="Calibri" w:hAnsi="Calibri"/>
                <w:sz w:val="20"/>
              </w:rPr>
            </w:pPr>
            <w:r w:rsidRPr="00D6638C">
              <w:rPr>
                <w:rFonts w:ascii="Calibri" w:hAnsi="Calibri"/>
                <w:sz w:val="20"/>
              </w:rPr>
              <w:t>Overall quality of M&amp;E</w:t>
            </w:r>
          </w:p>
        </w:tc>
        <w:tc>
          <w:tcPr>
            <w:tcW w:w="390" w:type="pct"/>
            <w:tcBorders>
              <w:bottom w:val="single" w:sz="4" w:space="0" w:color="auto"/>
            </w:tcBorders>
          </w:tcPr>
          <w:p w14:paraId="355464B4" w14:textId="77777777" w:rsidR="00BA3505" w:rsidRPr="00D6638C" w:rsidRDefault="00BA3505" w:rsidP="00BA3505">
            <w:pPr>
              <w:rPr>
                <w:rFonts w:ascii="Calibri" w:hAnsi="Calibri"/>
                <w:sz w:val="20"/>
              </w:rPr>
            </w:pPr>
            <w:r w:rsidRPr="00D6638C">
              <w:rPr>
                <w:rFonts w:ascii="Calibri" w:hAnsi="Calibri"/>
                <w:sz w:val="20"/>
              </w:rPr>
              <w:fldChar w:fldCharType="begin">
                <w:ffData>
                  <w:name w:val="Text1"/>
                  <w:enabled/>
                  <w:calcOnExit w:val="0"/>
                  <w:textInput/>
                </w:ffData>
              </w:fldChar>
            </w:r>
            <w:r w:rsidRPr="00D6638C">
              <w:rPr>
                <w:rFonts w:ascii="Calibri" w:hAnsi="Calibri"/>
                <w:sz w:val="20"/>
              </w:rPr>
              <w:instrText xml:space="preserve"> FORMTEXT </w:instrText>
            </w:r>
            <w:r w:rsidRPr="00D6638C">
              <w:rPr>
                <w:rFonts w:ascii="Calibri" w:hAnsi="Calibri"/>
                <w:sz w:val="20"/>
              </w:rPr>
            </w:r>
            <w:r w:rsidRPr="00D6638C">
              <w:rPr>
                <w:rFonts w:ascii="Calibri" w:hAnsi="Calibri"/>
                <w:sz w:val="20"/>
              </w:rPr>
              <w:fldChar w:fldCharType="separate"/>
            </w:r>
            <w:r>
              <w:rPr>
                <w:rFonts w:ascii="Calibri" w:hAnsi="Calibri"/>
                <w:noProof/>
                <w:sz w:val="20"/>
              </w:rPr>
              <w:t> </w:t>
            </w:r>
            <w:r>
              <w:rPr>
                <w:rFonts w:ascii="Calibri" w:hAnsi="Calibri"/>
                <w:noProof/>
                <w:sz w:val="20"/>
              </w:rPr>
              <w:t> </w:t>
            </w:r>
            <w:r>
              <w:rPr>
                <w:rFonts w:ascii="Calibri" w:hAnsi="Calibri"/>
                <w:noProof/>
                <w:sz w:val="20"/>
              </w:rPr>
              <w:t> </w:t>
            </w:r>
            <w:r>
              <w:rPr>
                <w:rFonts w:ascii="Calibri" w:hAnsi="Calibri"/>
                <w:noProof/>
                <w:sz w:val="20"/>
              </w:rPr>
              <w:t> </w:t>
            </w:r>
            <w:r>
              <w:rPr>
                <w:rFonts w:ascii="Calibri" w:hAnsi="Calibri"/>
                <w:noProof/>
                <w:sz w:val="20"/>
              </w:rPr>
              <w:t> </w:t>
            </w:r>
            <w:r w:rsidRPr="00D6638C">
              <w:rPr>
                <w:rFonts w:ascii="Calibri" w:hAnsi="Calibri"/>
                <w:sz w:val="20"/>
              </w:rPr>
              <w:fldChar w:fldCharType="end"/>
            </w:r>
          </w:p>
        </w:tc>
        <w:tc>
          <w:tcPr>
            <w:tcW w:w="2583" w:type="pct"/>
            <w:tcBorders>
              <w:bottom w:val="single" w:sz="4" w:space="0" w:color="auto"/>
            </w:tcBorders>
          </w:tcPr>
          <w:p w14:paraId="01A81C72" w14:textId="77777777" w:rsidR="00BA3505" w:rsidRPr="00D6638C" w:rsidRDefault="00BA3505" w:rsidP="00BA3505">
            <w:pPr>
              <w:rPr>
                <w:rFonts w:ascii="Calibri" w:hAnsi="Calibri"/>
                <w:sz w:val="20"/>
              </w:rPr>
            </w:pPr>
            <w:r w:rsidRPr="00D6638C">
              <w:rPr>
                <w:rFonts w:ascii="Calibri" w:hAnsi="Calibri"/>
                <w:sz w:val="20"/>
              </w:rPr>
              <w:t>Overall quality of Implementation / Execution</w:t>
            </w:r>
          </w:p>
        </w:tc>
        <w:tc>
          <w:tcPr>
            <w:tcW w:w="390" w:type="pct"/>
            <w:tcBorders>
              <w:bottom w:val="single" w:sz="4" w:space="0" w:color="auto"/>
            </w:tcBorders>
          </w:tcPr>
          <w:p w14:paraId="2957E6BB" w14:textId="77777777" w:rsidR="00BA3505" w:rsidRPr="00D6638C" w:rsidRDefault="00BA3505" w:rsidP="00BA3505">
            <w:pPr>
              <w:rPr>
                <w:rFonts w:ascii="Calibri" w:hAnsi="Calibri"/>
                <w:sz w:val="20"/>
              </w:rPr>
            </w:pPr>
            <w:r w:rsidRPr="00D6638C">
              <w:rPr>
                <w:rFonts w:ascii="Calibri" w:hAnsi="Calibri"/>
                <w:sz w:val="20"/>
              </w:rPr>
              <w:fldChar w:fldCharType="begin">
                <w:ffData>
                  <w:name w:val="Text1"/>
                  <w:enabled/>
                  <w:calcOnExit w:val="0"/>
                  <w:textInput/>
                </w:ffData>
              </w:fldChar>
            </w:r>
            <w:r w:rsidRPr="00D6638C">
              <w:rPr>
                <w:rFonts w:ascii="Calibri" w:hAnsi="Calibri"/>
                <w:sz w:val="20"/>
              </w:rPr>
              <w:instrText xml:space="preserve"> FORMTEXT </w:instrText>
            </w:r>
            <w:r w:rsidRPr="00D6638C">
              <w:rPr>
                <w:rFonts w:ascii="Calibri" w:hAnsi="Calibri"/>
                <w:sz w:val="20"/>
              </w:rPr>
            </w:r>
            <w:r w:rsidRPr="00D6638C">
              <w:rPr>
                <w:rFonts w:ascii="Calibri" w:hAnsi="Calibri"/>
                <w:sz w:val="20"/>
              </w:rPr>
              <w:fldChar w:fldCharType="separate"/>
            </w:r>
            <w:r>
              <w:rPr>
                <w:rFonts w:ascii="Calibri" w:hAnsi="Calibri"/>
                <w:noProof/>
                <w:sz w:val="20"/>
              </w:rPr>
              <w:t> </w:t>
            </w:r>
            <w:r>
              <w:rPr>
                <w:rFonts w:ascii="Calibri" w:hAnsi="Calibri"/>
                <w:noProof/>
                <w:sz w:val="20"/>
              </w:rPr>
              <w:t> </w:t>
            </w:r>
            <w:r>
              <w:rPr>
                <w:rFonts w:ascii="Calibri" w:hAnsi="Calibri"/>
                <w:noProof/>
                <w:sz w:val="20"/>
              </w:rPr>
              <w:t> </w:t>
            </w:r>
            <w:r>
              <w:rPr>
                <w:rFonts w:ascii="Calibri" w:hAnsi="Calibri"/>
                <w:noProof/>
                <w:sz w:val="20"/>
              </w:rPr>
              <w:t> </w:t>
            </w:r>
            <w:r>
              <w:rPr>
                <w:rFonts w:ascii="Calibri" w:hAnsi="Calibri"/>
                <w:noProof/>
                <w:sz w:val="20"/>
              </w:rPr>
              <w:t> </w:t>
            </w:r>
            <w:r w:rsidRPr="00D6638C">
              <w:rPr>
                <w:rFonts w:ascii="Calibri" w:hAnsi="Calibri"/>
                <w:sz w:val="20"/>
              </w:rPr>
              <w:fldChar w:fldCharType="end"/>
            </w:r>
          </w:p>
        </w:tc>
      </w:tr>
      <w:tr w:rsidR="00BA3505" w:rsidRPr="00D6638C" w14:paraId="5762F73D" w14:textId="77777777" w:rsidTr="00BA3505">
        <w:tblPrEx>
          <w:shd w:val="clear" w:color="auto" w:fill="4F81BD"/>
        </w:tblPrEx>
        <w:tc>
          <w:tcPr>
            <w:tcW w:w="1636" w:type="pct"/>
            <w:shd w:val="clear" w:color="auto" w:fill="7F7F7F"/>
          </w:tcPr>
          <w:p w14:paraId="7BD0060D" w14:textId="77777777" w:rsidR="00BA3505" w:rsidRPr="00D6638C" w:rsidRDefault="00BA3505" w:rsidP="00BA3505">
            <w:pPr>
              <w:contextualSpacing/>
              <w:rPr>
                <w:rFonts w:ascii="Calibri" w:hAnsi="Calibri" w:cs="Calibri"/>
                <w:b/>
                <w:bCs/>
                <w:color w:val="FFFFFF"/>
                <w:sz w:val="20"/>
              </w:rPr>
            </w:pPr>
            <w:r w:rsidRPr="00D6638C">
              <w:rPr>
                <w:rFonts w:ascii="Calibri" w:hAnsi="Calibri" w:cs="Calibri"/>
                <w:b/>
                <w:bCs/>
                <w:color w:val="FFFFFF"/>
                <w:sz w:val="20"/>
              </w:rPr>
              <w:t xml:space="preserve">3. Assessment of Outcomes </w:t>
            </w:r>
          </w:p>
        </w:tc>
        <w:tc>
          <w:tcPr>
            <w:tcW w:w="390" w:type="pct"/>
            <w:shd w:val="clear" w:color="auto" w:fill="7F7F7F"/>
          </w:tcPr>
          <w:p w14:paraId="768529E0" w14:textId="77777777" w:rsidR="00BA3505" w:rsidRPr="00D6638C" w:rsidRDefault="00BA3505" w:rsidP="00BA3505">
            <w:pPr>
              <w:contextualSpacing/>
              <w:jc w:val="center"/>
              <w:rPr>
                <w:rFonts w:ascii="Calibri" w:hAnsi="Calibri" w:cs="Calibri"/>
                <w:b/>
                <w:bCs/>
                <w:color w:val="FFFFFF"/>
                <w:sz w:val="20"/>
              </w:rPr>
            </w:pPr>
            <w:r w:rsidRPr="00D6638C">
              <w:rPr>
                <w:rFonts w:ascii="Calibri" w:hAnsi="Calibri" w:cs="Calibri"/>
                <w:b/>
                <w:bCs/>
                <w:color w:val="FFFFFF"/>
                <w:sz w:val="20"/>
              </w:rPr>
              <w:t>rating</w:t>
            </w:r>
          </w:p>
        </w:tc>
        <w:tc>
          <w:tcPr>
            <w:tcW w:w="2583" w:type="pct"/>
            <w:shd w:val="clear" w:color="auto" w:fill="7F7F7F"/>
          </w:tcPr>
          <w:p w14:paraId="6DA4766D" w14:textId="77777777" w:rsidR="00BA3505" w:rsidRPr="00D6638C" w:rsidRDefault="00BA3505" w:rsidP="00BA3505">
            <w:pPr>
              <w:contextualSpacing/>
              <w:rPr>
                <w:rFonts w:ascii="Calibri" w:hAnsi="Calibri" w:cs="Calibri"/>
                <w:b/>
                <w:bCs/>
                <w:color w:val="FFFFFF"/>
                <w:sz w:val="20"/>
              </w:rPr>
            </w:pPr>
            <w:r w:rsidRPr="00D6638C">
              <w:rPr>
                <w:rFonts w:ascii="Calibri" w:hAnsi="Calibri" w:cs="Calibri"/>
                <w:b/>
                <w:bCs/>
                <w:color w:val="FFFFFF"/>
                <w:sz w:val="20"/>
              </w:rPr>
              <w:t>4. Sustainability</w:t>
            </w:r>
          </w:p>
        </w:tc>
        <w:tc>
          <w:tcPr>
            <w:tcW w:w="390" w:type="pct"/>
            <w:shd w:val="clear" w:color="auto" w:fill="7F7F7F"/>
          </w:tcPr>
          <w:p w14:paraId="59601DC5" w14:textId="77777777" w:rsidR="00BA3505" w:rsidRPr="00D6638C" w:rsidRDefault="00BA3505" w:rsidP="00BA3505">
            <w:pPr>
              <w:contextualSpacing/>
              <w:jc w:val="center"/>
              <w:rPr>
                <w:rFonts w:ascii="Calibri" w:hAnsi="Calibri" w:cs="Calibri"/>
                <w:b/>
                <w:bCs/>
                <w:color w:val="FFFFFF"/>
                <w:sz w:val="20"/>
              </w:rPr>
            </w:pPr>
            <w:r w:rsidRPr="00D6638C">
              <w:rPr>
                <w:rFonts w:ascii="Calibri" w:hAnsi="Calibri" w:cs="Calibri"/>
                <w:b/>
                <w:bCs/>
                <w:color w:val="FFFFFF"/>
                <w:sz w:val="20"/>
              </w:rPr>
              <w:t>rating</w:t>
            </w:r>
          </w:p>
        </w:tc>
      </w:tr>
      <w:tr w:rsidR="00BA3505" w:rsidRPr="00D6638C" w14:paraId="44613CC3" w14:textId="77777777" w:rsidTr="00BA350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36" w:type="pct"/>
          </w:tcPr>
          <w:p w14:paraId="0AB3D5DA" w14:textId="77777777" w:rsidR="00BA3505" w:rsidRPr="00D6638C" w:rsidRDefault="00BA3505" w:rsidP="00BA3505">
            <w:pPr>
              <w:rPr>
                <w:rFonts w:ascii="Calibri" w:hAnsi="Calibri"/>
                <w:sz w:val="20"/>
              </w:rPr>
            </w:pPr>
            <w:r w:rsidRPr="00D6638C">
              <w:rPr>
                <w:rFonts w:ascii="Calibri" w:hAnsi="Calibri"/>
                <w:sz w:val="20"/>
              </w:rPr>
              <w:t xml:space="preserve">Relevance </w:t>
            </w:r>
          </w:p>
        </w:tc>
        <w:tc>
          <w:tcPr>
            <w:tcW w:w="390" w:type="pct"/>
          </w:tcPr>
          <w:p w14:paraId="301FB4E2" w14:textId="77777777" w:rsidR="00BA3505" w:rsidRPr="00D6638C" w:rsidRDefault="00BA3505" w:rsidP="00BA3505">
            <w:pPr>
              <w:rPr>
                <w:rFonts w:ascii="Calibri" w:hAnsi="Calibri"/>
                <w:sz w:val="20"/>
              </w:rPr>
            </w:pPr>
            <w:r w:rsidRPr="00D6638C">
              <w:rPr>
                <w:rFonts w:ascii="Calibri" w:hAnsi="Calibri"/>
                <w:sz w:val="20"/>
              </w:rPr>
              <w:fldChar w:fldCharType="begin">
                <w:ffData>
                  <w:name w:val="Text1"/>
                  <w:enabled/>
                  <w:calcOnExit w:val="0"/>
                  <w:textInput/>
                </w:ffData>
              </w:fldChar>
            </w:r>
            <w:r w:rsidRPr="00D6638C">
              <w:rPr>
                <w:rFonts w:ascii="Calibri" w:hAnsi="Calibri"/>
                <w:sz w:val="20"/>
              </w:rPr>
              <w:instrText xml:space="preserve"> FORMTEXT </w:instrText>
            </w:r>
            <w:r w:rsidRPr="00D6638C">
              <w:rPr>
                <w:rFonts w:ascii="Calibri" w:hAnsi="Calibri"/>
                <w:sz w:val="20"/>
              </w:rPr>
            </w:r>
            <w:r w:rsidRPr="00D6638C">
              <w:rPr>
                <w:rFonts w:ascii="Calibri" w:hAnsi="Calibri"/>
                <w:sz w:val="20"/>
              </w:rPr>
              <w:fldChar w:fldCharType="separate"/>
            </w:r>
            <w:r>
              <w:rPr>
                <w:rFonts w:ascii="Calibri" w:hAnsi="Calibri"/>
                <w:noProof/>
                <w:sz w:val="20"/>
              </w:rPr>
              <w:t> </w:t>
            </w:r>
            <w:r>
              <w:rPr>
                <w:rFonts w:ascii="Calibri" w:hAnsi="Calibri"/>
                <w:noProof/>
                <w:sz w:val="20"/>
              </w:rPr>
              <w:t> </w:t>
            </w:r>
            <w:r>
              <w:rPr>
                <w:rFonts w:ascii="Calibri" w:hAnsi="Calibri"/>
                <w:noProof/>
                <w:sz w:val="20"/>
              </w:rPr>
              <w:t> </w:t>
            </w:r>
            <w:r>
              <w:rPr>
                <w:rFonts w:ascii="Calibri" w:hAnsi="Calibri"/>
                <w:noProof/>
                <w:sz w:val="20"/>
              </w:rPr>
              <w:t> </w:t>
            </w:r>
            <w:r>
              <w:rPr>
                <w:rFonts w:ascii="Calibri" w:hAnsi="Calibri"/>
                <w:noProof/>
                <w:sz w:val="20"/>
              </w:rPr>
              <w:t> </w:t>
            </w:r>
            <w:r w:rsidRPr="00D6638C">
              <w:rPr>
                <w:rFonts w:ascii="Calibri" w:hAnsi="Calibri"/>
                <w:sz w:val="20"/>
              </w:rPr>
              <w:fldChar w:fldCharType="end"/>
            </w:r>
          </w:p>
        </w:tc>
        <w:tc>
          <w:tcPr>
            <w:tcW w:w="2583" w:type="pct"/>
          </w:tcPr>
          <w:p w14:paraId="4B6B0DC7" w14:textId="77777777" w:rsidR="00BA3505" w:rsidRPr="00D6638C" w:rsidRDefault="00BA3505" w:rsidP="00BA3505">
            <w:pPr>
              <w:rPr>
                <w:rFonts w:ascii="Calibri" w:hAnsi="Calibri"/>
                <w:sz w:val="20"/>
              </w:rPr>
            </w:pPr>
            <w:r w:rsidRPr="00D6638C">
              <w:rPr>
                <w:rFonts w:ascii="Calibri" w:hAnsi="Calibri"/>
                <w:sz w:val="20"/>
              </w:rPr>
              <w:t>Financial resources:</w:t>
            </w:r>
          </w:p>
        </w:tc>
        <w:tc>
          <w:tcPr>
            <w:tcW w:w="390" w:type="pct"/>
          </w:tcPr>
          <w:p w14:paraId="64FC76AA" w14:textId="77777777" w:rsidR="00BA3505" w:rsidRPr="00D6638C" w:rsidRDefault="00BA3505" w:rsidP="00BA3505">
            <w:pPr>
              <w:rPr>
                <w:rFonts w:ascii="Calibri" w:hAnsi="Calibri"/>
                <w:sz w:val="20"/>
              </w:rPr>
            </w:pPr>
            <w:r w:rsidRPr="00D6638C">
              <w:rPr>
                <w:rFonts w:ascii="Calibri" w:hAnsi="Calibri"/>
                <w:sz w:val="20"/>
              </w:rPr>
              <w:fldChar w:fldCharType="begin">
                <w:ffData>
                  <w:name w:val="Text1"/>
                  <w:enabled/>
                  <w:calcOnExit w:val="0"/>
                  <w:textInput/>
                </w:ffData>
              </w:fldChar>
            </w:r>
            <w:r w:rsidRPr="00D6638C">
              <w:rPr>
                <w:rFonts w:ascii="Calibri" w:hAnsi="Calibri"/>
                <w:sz w:val="20"/>
              </w:rPr>
              <w:instrText xml:space="preserve"> FORMTEXT </w:instrText>
            </w:r>
            <w:r w:rsidRPr="00D6638C">
              <w:rPr>
                <w:rFonts w:ascii="Calibri" w:hAnsi="Calibri"/>
                <w:sz w:val="20"/>
              </w:rPr>
            </w:r>
            <w:r w:rsidRPr="00D6638C">
              <w:rPr>
                <w:rFonts w:ascii="Calibri" w:hAnsi="Calibri"/>
                <w:sz w:val="20"/>
              </w:rPr>
              <w:fldChar w:fldCharType="separate"/>
            </w:r>
            <w:r>
              <w:rPr>
                <w:rFonts w:ascii="Calibri" w:hAnsi="Calibri"/>
                <w:noProof/>
                <w:sz w:val="20"/>
              </w:rPr>
              <w:t> </w:t>
            </w:r>
            <w:r>
              <w:rPr>
                <w:rFonts w:ascii="Calibri" w:hAnsi="Calibri"/>
                <w:noProof/>
                <w:sz w:val="20"/>
              </w:rPr>
              <w:t> </w:t>
            </w:r>
            <w:r>
              <w:rPr>
                <w:rFonts w:ascii="Calibri" w:hAnsi="Calibri"/>
                <w:noProof/>
                <w:sz w:val="20"/>
              </w:rPr>
              <w:t> </w:t>
            </w:r>
            <w:r>
              <w:rPr>
                <w:rFonts w:ascii="Calibri" w:hAnsi="Calibri"/>
                <w:noProof/>
                <w:sz w:val="20"/>
              </w:rPr>
              <w:t> </w:t>
            </w:r>
            <w:r>
              <w:rPr>
                <w:rFonts w:ascii="Calibri" w:hAnsi="Calibri"/>
                <w:noProof/>
                <w:sz w:val="20"/>
              </w:rPr>
              <w:t> </w:t>
            </w:r>
            <w:r w:rsidRPr="00D6638C">
              <w:rPr>
                <w:rFonts w:ascii="Calibri" w:hAnsi="Calibri"/>
                <w:sz w:val="20"/>
              </w:rPr>
              <w:fldChar w:fldCharType="end"/>
            </w:r>
          </w:p>
        </w:tc>
      </w:tr>
      <w:tr w:rsidR="00BA3505" w:rsidRPr="00D6638C" w14:paraId="3E490C94" w14:textId="77777777" w:rsidTr="00BA350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36" w:type="pct"/>
          </w:tcPr>
          <w:p w14:paraId="6164D8FC" w14:textId="77777777" w:rsidR="00BA3505" w:rsidRPr="00D6638C" w:rsidRDefault="00BA3505" w:rsidP="00BA3505">
            <w:pPr>
              <w:rPr>
                <w:rFonts w:ascii="Calibri" w:hAnsi="Calibri"/>
                <w:sz w:val="20"/>
              </w:rPr>
            </w:pPr>
            <w:r w:rsidRPr="00D6638C">
              <w:rPr>
                <w:rFonts w:ascii="Calibri" w:hAnsi="Calibri"/>
                <w:sz w:val="20"/>
              </w:rPr>
              <w:t>Effectiveness</w:t>
            </w:r>
          </w:p>
        </w:tc>
        <w:tc>
          <w:tcPr>
            <w:tcW w:w="390" w:type="pct"/>
          </w:tcPr>
          <w:p w14:paraId="74E514B5" w14:textId="77777777" w:rsidR="00BA3505" w:rsidRPr="00D6638C" w:rsidRDefault="00BA3505" w:rsidP="00BA3505">
            <w:pPr>
              <w:rPr>
                <w:rFonts w:ascii="Calibri" w:hAnsi="Calibri"/>
                <w:sz w:val="20"/>
              </w:rPr>
            </w:pPr>
            <w:r w:rsidRPr="00D6638C">
              <w:rPr>
                <w:rFonts w:ascii="Calibri" w:hAnsi="Calibri"/>
                <w:sz w:val="20"/>
              </w:rPr>
              <w:fldChar w:fldCharType="begin">
                <w:ffData>
                  <w:name w:val="Text1"/>
                  <w:enabled/>
                  <w:calcOnExit w:val="0"/>
                  <w:textInput/>
                </w:ffData>
              </w:fldChar>
            </w:r>
            <w:r w:rsidRPr="00D6638C">
              <w:rPr>
                <w:rFonts w:ascii="Calibri" w:hAnsi="Calibri"/>
                <w:sz w:val="20"/>
              </w:rPr>
              <w:instrText xml:space="preserve"> FORMTEXT </w:instrText>
            </w:r>
            <w:r w:rsidRPr="00D6638C">
              <w:rPr>
                <w:rFonts w:ascii="Calibri" w:hAnsi="Calibri"/>
                <w:sz w:val="20"/>
              </w:rPr>
            </w:r>
            <w:r w:rsidRPr="00D6638C">
              <w:rPr>
                <w:rFonts w:ascii="Calibri" w:hAnsi="Calibri"/>
                <w:sz w:val="20"/>
              </w:rPr>
              <w:fldChar w:fldCharType="separate"/>
            </w:r>
            <w:r>
              <w:rPr>
                <w:rFonts w:ascii="Calibri" w:hAnsi="Calibri"/>
                <w:noProof/>
                <w:sz w:val="20"/>
              </w:rPr>
              <w:t> </w:t>
            </w:r>
            <w:r>
              <w:rPr>
                <w:rFonts w:ascii="Calibri" w:hAnsi="Calibri"/>
                <w:noProof/>
                <w:sz w:val="20"/>
              </w:rPr>
              <w:t> </w:t>
            </w:r>
            <w:r>
              <w:rPr>
                <w:rFonts w:ascii="Calibri" w:hAnsi="Calibri"/>
                <w:noProof/>
                <w:sz w:val="20"/>
              </w:rPr>
              <w:t> </w:t>
            </w:r>
            <w:r>
              <w:rPr>
                <w:rFonts w:ascii="Calibri" w:hAnsi="Calibri"/>
                <w:noProof/>
                <w:sz w:val="20"/>
              </w:rPr>
              <w:t> </w:t>
            </w:r>
            <w:r>
              <w:rPr>
                <w:rFonts w:ascii="Calibri" w:hAnsi="Calibri"/>
                <w:noProof/>
                <w:sz w:val="20"/>
              </w:rPr>
              <w:t> </w:t>
            </w:r>
            <w:r w:rsidRPr="00D6638C">
              <w:rPr>
                <w:rFonts w:ascii="Calibri" w:hAnsi="Calibri"/>
                <w:sz w:val="20"/>
              </w:rPr>
              <w:fldChar w:fldCharType="end"/>
            </w:r>
          </w:p>
        </w:tc>
        <w:tc>
          <w:tcPr>
            <w:tcW w:w="2583" w:type="pct"/>
          </w:tcPr>
          <w:p w14:paraId="135869CE" w14:textId="77777777" w:rsidR="00BA3505" w:rsidRPr="00D6638C" w:rsidRDefault="00BA3505" w:rsidP="00BA3505">
            <w:pPr>
              <w:rPr>
                <w:rFonts w:ascii="Calibri" w:hAnsi="Calibri"/>
                <w:sz w:val="20"/>
              </w:rPr>
            </w:pPr>
            <w:r w:rsidRPr="00D6638C">
              <w:rPr>
                <w:rFonts w:ascii="Calibri" w:hAnsi="Calibri"/>
                <w:sz w:val="20"/>
              </w:rPr>
              <w:t>Socio-political:</w:t>
            </w:r>
          </w:p>
        </w:tc>
        <w:tc>
          <w:tcPr>
            <w:tcW w:w="390" w:type="pct"/>
          </w:tcPr>
          <w:p w14:paraId="41DFB5AA" w14:textId="77777777" w:rsidR="00BA3505" w:rsidRPr="00D6638C" w:rsidRDefault="00BA3505" w:rsidP="00BA3505">
            <w:pPr>
              <w:rPr>
                <w:rFonts w:ascii="Calibri" w:hAnsi="Calibri"/>
                <w:sz w:val="20"/>
              </w:rPr>
            </w:pPr>
            <w:r w:rsidRPr="00D6638C">
              <w:rPr>
                <w:rFonts w:ascii="Calibri" w:hAnsi="Calibri"/>
                <w:sz w:val="20"/>
              </w:rPr>
              <w:fldChar w:fldCharType="begin">
                <w:ffData>
                  <w:name w:val="Text1"/>
                  <w:enabled/>
                  <w:calcOnExit w:val="0"/>
                  <w:textInput/>
                </w:ffData>
              </w:fldChar>
            </w:r>
            <w:r w:rsidRPr="00D6638C">
              <w:rPr>
                <w:rFonts w:ascii="Calibri" w:hAnsi="Calibri"/>
                <w:sz w:val="20"/>
              </w:rPr>
              <w:instrText xml:space="preserve"> FORMTEXT </w:instrText>
            </w:r>
            <w:r w:rsidRPr="00D6638C">
              <w:rPr>
                <w:rFonts w:ascii="Calibri" w:hAnsi="Calibri"/>
                <w:sz w:val="20"/>
              </w:rPr>
            </w:r>
            <w:r w:rsidRPr="00D6638C">
              <w:rPr>
                <w:rFonts w:ascii="Calibri" w:hAnsi="Calibri"/>
                <w:sz w:val="20"/>
              </w:rPr>
              <w:fldChar w:fldCharType="separate"/>
            </w:r>
            <w:r>
              <w:rPr>
                <w:rFonts w:ascii="Calibri" w:hAnsi="Calibri"/>
                <w:noProof/>
                <w:sz w:val="20"/>
              </w:rPr>
              <w:t> </w:t>
            </w:r>
            <w:r>
              <w:rPr>
                <w:rFonts w:ascii="Calibri" w:hAnsi="Calibri"/>
                <w:noProof/>
                <w:sz w:val="20"/>
              </w:rPr>
              <w:t> </w:t>
            </w:r>
            <w:r>
              <w:rPr>
                <w:rFonts w:ascii="Calibri" w:hAnsi="Calibri"/>
                <w:noProof/>
                <w:sz w:val="20"/>
              </w:rPr>
              <w:t> </w:t>
            </w:r>
            <w:r>
              <w:rPr>
                <w:rFonts w:ascii="Calibri" w:hAnsi="Calibri"/>
                <w:noProof/>
                <w:sz w:val="20"/>
              </w:rPr>
              <w:t> </w:t>
            </w:r>
            <w:r>
              <w:rPr>
                <w:rFonts w:ascii="Calibri" w:hAnsi="Calibri"/>
                <w:noProof/>
                <w:sz w:val="20"/>
              </w:rPr>
              <w:t> </w:t>
            </w:r>
            <w:r w:rsidRPr="00D6638C">
              <w:rPr>
                <w:rFonts w:ascii="Calibri" w:hAnsi="Calibri"/>
                <w:sz w:val="20"/>
              </w:rPr>
              <w:fldChar w:fldCharType="end"/>
            </w:r>
          </w:p>
        </w:tc>
      </w:tr>
      <w:tr w:rsidR="00BA3505" w:rsidRPr="00D6638C" w14:paraId="48674B9B" w14:textId="77777777" w:rsidTr="00BA350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36" w:type="pct"/>
          </w:tcPr>
          <w:p w14:paraId="13747118" w14:textId="77777777" w:rsidR="00BA3505" w:rsidRPr="00D6638C" w:rsidRDefault="00BA3505" w:rsidP="00BA3505">
            <w:pPr>
              <w:rPr>
                <w:rFonts w:ascii="Calibri" w:hAnsi="Calibri"/>
                <w:sz w:val="20"/>
              </w:rPr>
            </w:pPr>
            <w:r w:rsidRPr="00D6638C">
              <w:rPr>
                <w:rFonts w:ascii="Calibri" w:hAnsi="Calibri"/>
                <w:sz w:val="20"/>
              </w:rPr>
              <w:t xml:space="preserve">Efficiency </w:t>
            </w:r>
          </w:p>
        </w:tc>
        <w:tc>
          <w:tcPr>
            <w:tcW w:w="390" w:type="pct"/>
          </w:tcPr>
          <w:p w14:paraId="75236BB3" w14:textId="77777777" w:rsidR="00BA3505" w:rsidRPr="00D6638C" w:rsidRDefault="00BA3505" w:rsidP="00BA3505">
            <w:pPr>
              <w:rPr>
                <w:rFonts w:ascii="Calibri" w:hAnsi="Calibri"/>
                <w:sz w:val="20"/>
              </w:rPr>
            </w:pPr>
            <w:r w:rsidRPr="00D6638C">
              <w:rPr>
                <w:rFonts w:ascii="Calibri" w:hAnsi="Calibri"/>
                <w:sz w:val="20"/>
              </w:rPr>
              <w:fldChar w:fldCharType="begin">
                <w:ffData>
                  <w:name w:val="Text1"/>
                  <w:enabled/>
                  <w:calcOnExit w:val="0"/>
                  <w:textInput/>
                </w:ffData>
              </w:fldChar>
            </w:r>
            <w:r w:rsidRPr="00D6638C">
              <w:rPr>
                <w:rFonts w:ascii="Calibri" w:hAnsi="Calibri"/>
                <w:sz w:val="20"/>
              </w:rPr>
              <w:instrText xml:space="preserve"> FORMTEXT </w:instrText>
            </w:r>
            <w:r w:rsidRPr="00D6638C">
              <w:rPr>
                <w:rFonts w:ascii="Calibri" w:hAnsi="Calibri"/>
                <w:sz w:val="20"/>
              </w:rPr>
            </w:r>
            <w:r w:rsidRPr="00D6638C">
              <w:rPr>
                <w:rFonts w:ascii="Calibri" w:hAnsi="Calibri"/>
                <w:sz w:val="20"/>
              </w:rPr>
              <w:fldChar w:fldCharType="separate"/>
            </w:r>
            <w:r>
              <w:rPr>
                <w:rFonts w:ascii="Calibri" w:hAnsi="Calibri"/>
                <w:noProof/>
                <w:sz w:val="20"/>
              </w:rPr>
              <w:t> </w:t>
            </w:r>
            <w:r>
              <w:rPr>
                <w:rFonts w:ascii="Calibri" w:hAnsi="Calibri"/>
                <w:noProof/>
                <w:sz w:val="20"/>
              </w:rPr>
              <w:t> </w:t>
            </w:r>
            <w:r>
              <w:rPr>
                <w:rFonts w:ascii="Calibri" w:hAnsi="Calibri"/>
                <w:noProof/>
                <w:sz w:val="20"/>
              </w:rPr>
              <w:t> </w:t>
            </w:r>
            <w:r>
              <w:rPr>
                <w:rFonts w:ascii="Calibri" w:hAnsi="Calibri"/>
                <w:noProof/>
                <w:sz w:val="20"/>
              </w:rPr>
              <w:t> </w:t>
            </w:r>
            <w:r>
              <w:rPr>
                <w:rFonts w:ascii="Calibri" w:hAnsi="Calibri"/>
                <w:noProof/>
                <w:sz w:val="20"/>
              </w:rPr>
              <w:t> </w:t>
            </w:r>
            <w:r w:rsidRPr="00D6638C">
              <w:rPr>
                <w:rFonts w:ascii="Calibri" w:hAnsi="Calibri"/>
                <w:sz w:val="20"/>
              </w:rPr>
              <w:fldChar w:fldCharType="end"/>
            </w:r>
          </w:p>
        </w:tc>
        <w:tc>
          <w:tcPr>
            <w:tcW w:w="2583" w:type="pct"/>
          </w:tcPr>
          <w:p w14:paraId="6AE7A4E4" w14:textId="77777777" w:rsidR="00BA3505" w:rsidRPr="00D6638C" w:rsidRDefault="00BA3505" w:rsidP="00BA3505">
            <w:pPr>
              <w:rPr>
                <w:rFonts w:ascii="Calibri" w:hAnsi="Calibri"/>
                <w:sz w:val="20"/>
              </w:rPr>
            </w:pPr>
            <w:r w:rsidRPr="00D6638C">
              <w:rPr>
                <w:rFonts w:ascii="Calibri" w:hAnsi="Calibri"/>
                <w:sz w:val="20"/>
              </w:rPr>
              <w:t>Institutional framework and governance:</w:t>
            </w:r>
          </w:p>
        </w:tc>
        <w:tc>
          <w:tcPr>
            <w:tcW w:w="390" w:type="pct"/>
          </w:tcPr>
          <w:p w14:paraId="53ADAA33" w14:textId="77777777" w:rsidR="00BA3505" w:rsidRPr="00D6638C" w:rsidRDefault="00BA3505" w:rsidP="00BA3505">
            <w:pPr>
              <w:rPr>
                <w:rFonts w:ascii="Calibri" w:hAnsi="Calibri"/>
                <w:sz w:val="20"/>
              </w:rPr>
            </w:pPr>
            <w:r w:rsidRPr="00D6638C">
              <w:rPr>
                <w:rFonts w:ascii="Calibri" w:hAnsi="Calibri"/>
                <w:sz w:val="20"/>
              </w:rPr>
              <w:fldChar w:fldCharType="begin">
                <w:ffData>
                  <w:name w:val="Text1"/>
                  <w:enabled/>
                  <w:calcOnExit w:val="0"/>
                  <w:textInput/>
                </w:ffData>
              </w:fldChar>
            </w:r>
            <w:r w:rsidRPr="00D6638C">
              <w:rPr>
                <w:rFonts w:ascii="Calibri" w:hAnsi="Calibri"/>
                <w:sz w:val="20"/>
              </w:rPr>
              <w:instrText xml:space="preserve"> FORMTEXT </w:instrText>
            </w:r>
            <w:r w:rsidRPr="00D6638C">
              <w:rPr>
                <w:rFonts w:ascii="Calibri" w:hAnsi="Calibri"/>
                <w:sz w:val="20"/>
              </w:rPr>
            </w:r>
            <w:r w:rsidRPr="00D6638C">
              <w:rPr>
                <w:rFonts w:ascii="Calibri" w:hAnsi="Calibri"/>
                <w:sz w:val="20"/>
              </w:rPr>
              <w:fldChar w:fldCharType="separate"/>
            </w:r>
            <w:r>
              <w:rPr>
                <w:rFonts w:ascii="Calibri" w:hAnsi="Calibri"/>
                <w:noProof/>
                <w:sz w:val="20"/>
              </w:rPr>
              <w:t> </w:t>
            </w:r>
            <w:r>
              <w:rPr>
                <w:rFonts w:ascii="Calibri" w:hAnsi="Calibri"/>
                <w:noProof/>
                <w:sz w:val="20"/>
              </w:rPr>
              <w:t> </w:t>
            </w:r>
            <w:r>
              <w:rPr>
                <w:rFonts w:ascii="Calibri" w:hAnsi="Calibri"/>
                <w:noProof/>
                <w:sz w:val="20"/>
              </w:rPr>
              <w:t> </w:t>
            </w:r>
            <w:r>
              <w:rPr>
                <w:rFonts w:ascii="Calibri" w:hAnsi="Calibri"/>
                <w:noProof/>
                <w:sz w:val="20"/>
              </w:rPr>
              <w:t> </w:t>
            </w:r>
            <w:r>
              <w:rPr>
                <w:rFonts w:ascii="Calibri" w:hAnsi="Calibri"/>
                <w:noProof/>
                <w:sz w:val="20"/>
              </w:rPr>
              <w:t> </w:t>
            </w:r>
            <w:r w:rsidRPr="00D6638C">
              <w:rPr>
                <w:rFonts w:ascii="Calibri" w:hAnsi="Calibri"/>
                <w:sz w:val="20"/>
              </w:rPr>
              <w:fldChar w:fldCharType="end"/>
            </w:r>
          </w:p>
        </w:tc>
      </w:tr>
      <w:tr w:rsidR="00BA3505" w:rsidRPr="00D6638C" w14:paraId="4206C7FF" w14:textId="77777777" w:rsidTr="00BA350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36" w:type="pct"/>
          </w:tcPr>
          <w:p w14:paraId="3DCC546C" w14:textId="77777777" w:rsidR="00BA3505" w:rsidRPr="00D6638C" w:rsidRDefault="00BA3505" w:rsidP="00BA3505">
            <w:pPr>
              <w:rPr>
                <w:rFonts w:ascii="Calibri" w:hAnsi="Calibri"/>
                <w:sz w:val="20"/>
              </w:rPr>
            </w:pPr>
            <w:r w:rsidRPr="00D6638C">
              <w:rPr>
                <w:rFonts w:ascii="Calibri" w:hAnsi="Calibri"/>
                <w:sz w:val="20"/>
              </w:rPr>
              <w:t>Overall Project Outcome Rating</w:t>
            </w:r>
          </w:p>
        </w:tc>
        <w:tc>
          <w:tcPr>
            <w:tcW w:w="390" w:type="pct"/>
          </w:tcPr>
          <w:p w14:paraId="62CF8847" w14:textId="77777777" w:rsidR="00BA3505" w:rsidRPr="00D6638C" w:rsidRDefault="00BA3505" w:rsidP="00BA3505">
            <w:pPr>
              <w:rPr>
                <w:rFonts w:ascii="Calibri" w:hAnsi="Calibri"/>
                <w:sz w:val="20"/>
              </w:rPr>
            </w:pPr>
            <w:r w:rsidRPr="00D6638C">
              <w:rPr>
                <w:rFonts w:ascii="Calibri" w:hAnsi="Calibri"/>
                <w:sz w:val="20"/>
              </w:rPr>
              <w:fldChar w:fldCharType="begin">
                <w:ffData>
                  <w:name w:val="Text1"/>
                  <w:enabled/>
                  <w:calcOnExit w:val="0"/>
                  <w:textInput/>
                </w:ffData>
              </w:fldChar>
            </w:r>
            <w:r w:rsidRPr="00D6638C">
              <w:rPr>
                <w:rFonts w:ascii="Calibri" w:hAnsi="Calibri"/>
                <w:sz w:val="20"/>
              </w:rPr>
              <w:instrText xml:space="preserve"> FORMTEXT </w:instrText>
            </w:r>
            <w:r w:rsidRPr="00D6638C">
              <w:rPr>
                <w:rFonts w:ascii="Calibri" w:hAnsi="Calibri"/>
                <w:sz w:val="20"/>
              </w:rPr>
            </w:r>
            <w:r w:rsidRPr="00D6638C">
              <w:rPr>
                <w:rFonts w:ascii="Calibri" w:hAnsi="Calibri"/>
                <w:sz w:val="20"/>
              </w:rPr>
              <w:fldChar w:fldCharType="separate"/>
            </w:r>
            <w:r>
              <w:rPr>
                <w:rFonts w:ascii="Calibri" w:hAnsi="Calibri"/>
                <w:noProof/>
                <w:sz w:val="20"/>
              </w:rPr>
              <w:t> </w:t>
            </w:r>
            <w:r>
              <w:rPr>
                <w:rFonts w:ascii="Calibri" w:hAnsi="Calibri"/>
                <w:noProof/>
                <w:sz w:val="20"/>
              </w:rPr>
              <w:t> </w:t>
            </w:r>
            <w:r>
              <w:rPr>
                <w:rFonts w:ascii="Calibri" w:hAnsi="Calibri"/>
                <w:noProof/>
                <w:sz w:val="20"/>
              </w:rPr>
              <w:t> </w:t>
            </w:r>
            <w:r>
              <w:rPr>
                <w:rFonts w:ascii="Calibri" w:hAnsi="Calibri"/>
                <w:noProof/>
                <w:sz w:val="20"/>
              </w:rPr>
              <w:t> </w:t>
            </w:r>
            <w:r>
              <w:rPr>
                <w:rFonts w:ascii="Calibri" w:hAnsi="Calibri"/>
                <w:noProof/>
                <w:sz w:val="20"/>
              </w:rPr>
              <w:t> </w:t>
            </w:r>
            <w:r w:rsidRPr="00D6638C">
              <w:rPr>
                <w:rFonts w:ascii="Calibri" w:hAnsi="Calibri"/>
                <w:sz w:val="20"/>
              </w:rPr>
              <w:fldChar w:fldCharType="end"/>
            </w:r>
          </w:p>
        </w:tc>
        <w:tc>
          <w:tcPr>
            <w:tcW w:w="2583" w:type="pct"/>
          </w:tcPr>
          <w:p w14:paraId="4EABEBDA" w14:textId="77777777" w:rsidR="00BA3505" w:rsidRPr="00D6638C" w:rsidRDefault="00BA3505" w:rsidP="00BA3505">
            <w:pPr>
              <w:rPr>
                <w:rFonts w:ascii="Calibri" w:hAnsi="Calibri"/>
                <w:sz w:val="20"/>
              </w:rPr>
            </w:pPr>
            <w:r w:rsidRPr="00D6638C">
              <w:rPr>
                <w:rFonts w:ascii="Calibri" w:hAnsi="Calibri"/>
                <w:sz w:val="20"/>
              </w:rPr>
              <w:t>Environmental :</w:t>
            </w:r>
          </w:p>
        </w:tc>
        <w:tc>
          <w:tcPr>
            <w:tcW w:w="390" w:type="pct"/>
          </w:tcPr>
          <w:p w14:paraId="3483DECA" w14:textId="77777777" w:rsidR="00BA3505" w:rsidRPr="00D6638C" w:rsidRDefault="00BA3505" w:rsidP="00BA3505">
            <w:pPr>
              <w:rPr>
                <w:rFonts w:ascii="Calibri" w:hAnsi="Calibri"/>
                <w:sz w:val="20"/>
              </w:rPr>
            </w:pPr>
            <w:r w:rsidRPr="00D6638C">
              <w:rPr>
                <w:rFonts w:ascii="Calibri" w:hAnsi="Calibri"/>
                <w:sz w:val="20"/>
              </w:rPr>
              <w:fldChar w:fldCharType="begin">
                <w:ffData>
                  <w:name w:val="Text1"/>
                  <w:enabled/>
                  <w:calcOnExit w:val="0"/>
                  <w:textInput/>
                </w:ffData>
              </w:fldChar>
            </w:r>
            <w:r w:rsidRPr="00D6638C">
              <w:rPr>
                <w:rFonts w:ascii="Calibri" w:hAnsi="Calibri"/>
                <w:sz w:val="20"/>
              </w:rPr>
              <w:instrText xml:space="preserve"> FORMTEXT </w:instrText>
            </w:r>
            <w:r w:rsidRPr="00D6638C">
              <w:rPr>
                <w:rFonts w:ascii="Calibri" w:hAnsi="Calibri"/>
                <w:sz w:val="20"/>
              </w:rPr>
            </w:r>
            <w:r w:rsidRPr="00D6638C">
              <w:rPr>
                <w:rFonts w:ascii="Calibri" w:hAnsi="Calibri"/>
                <w:sz w:val="20"/>
              </w:rPr>
              <w:fldChar w:fldCharType="separate"/>
            </w:r>
            <w:r>
              <w:rPr>
                <w:rFonts w:ascii="Calibri" w:hAnsi="Calibri"/>
                <w:noProof/>
                <w:sz w:val="20"/>
              </w:rPr>
              <w:t> </w:t>
            </w:r>
            <w:r>
              <w:rPr>
                <w:rFonts w:ascii="Calibri" w:hAnsi="Calibri"/>
                <w:noProof/>
                <w:sz w:val="20"/>
              </w:rPr>
              <w:t> </w:t>
            </w:r>
            <w:r>
              <w:rPr>
                <w:rFonts w:ascii="Calibri" w:hAnsi="Calibri"/>
                <w:noProof/>
                <w:sz w:val="20"/>
              </w:rPr>
              <w:t> </w:t>
            </w:r>
            <w:r>
              <w:rPr>
                <w:rFonts w:ascii="Calibri" w:hAnsi="Calibri"/>
                <w:noProof/>
                <w:sz w:val="20"/>
              </w:rPr>
              <w:t> </w:t>
            </w:r>
            <w:r>
              <w:rPr>
                <w:rFonts w:ascii="Calibri" w:hAnsi="Calibri"/>
                <w:noProof/>
                <w:sz w:val="20"/>
              </w:rPr>
              <w:t> </w:t>
            </w:r>
            <w:r w:rsidRPr="00D6638C">
              <w:rPr>
                <w:rFonts w:ascii="Calibri" w:hAnsi="Calibri"/>
                <w:sz w:val="20"/>
              </w:rPr>
              <w:fldChar w:fldCharType="end"/>
            </w:r>
          </w:p>
        </w:tc>
      </w:tr>
      <w:tr w:rsidR="00BA3505" w:rsidRPr="00D6638C" w14:paraId="72FC124F" w14:textId="77777777" w:rsidTr="00BA350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36" w:type="pct"/>
          </w:tcPr>
          <w:p w14:paraId="19334899" w14:textId="77777777" w:rsidR="00BA3505" w:rsidRPr="00D6638C" w:rsidRDefault="00BA3505" w:rsidP="00BA3505">
            <w:pPr>
              <w:rPr>
                <w:rFonts w:ascii="Calibri" w:hAnsi="Calibri"/>
                <w:sz w:val="20"/>
              </w:rPr>
            </w:pPr>
          </w:p>
        </w:tc>
        <w:tc>
          <w:tcPr>
            <w:tcW w:w="390" w:type="pct"/>
          </w:tcPr>
          <w:p w14:paraId="5F74C995" w14:textId="77777777" w:rsidR="00BA3505" w:rsidRPr="00D6638C" w:rsidRDefault="00BA3505" w:rsidP="00BA3505">
            <w:pPr>
              <w:rPr>
                <w:rFonts w:ascii="Calibri" w:hAnsi="Calibri"/>
                <w:sz w:val="20"/>
              </w:rPr>
            </w:pPr>
          </w:p>
        </w:tc>
        <w:tc>
          <w:tcPr>
            <w:tcW w:w="2583" w:type="pct"/>
          </w:tcPr>
          <w:p w14:paraId="1E663538" w14:textId="77777777" w:rsidR="00BA3505" w:rsidRPr="00D6638C" w:rsidRDefault="00BA3505" w:rsidP="00BA3505">
            <w:pPr>
              <w:rPr>
                <w:rFonts w:ascii="Calibri" w:hAnsi="Calibri"/>
                <w:sz w:val="20"/>
              </w:rPr>
            </w:pPr>
            <w:r w:rsidRPr="00D6638C">
              <w:rPr>
                <w:rFonts w:ascii="Calibri" w:hAnsi="Calibri"/>
                <w:sz w:val="20"/>
              </w:rPr>
              <w:t>Overall likelihood of sustainability:</w:t>
            </w:r>
          </w:p>
        </w:tc>
        <w:tc>
          <w:tcPr>
            <w:tcW w:w="390" w:type="pct"/>
          </w:tcPr>
          <w:p w14:paraId="521461E3" w14:textId="77777777" w:rsidR="00BA3505" w:rsidRPr="00D6638C" w:rsidRDefault="00BA3505" w:rsidP="00BA3505">
            <w:pPr>
              <w:rPr>
                <w:rFonts w:ascii="Calibri" w:hAnsi="Calibri"/>
                <w:sz w:val="20"/>
              </w:rPr>
            </w:pPr>
            <w:r w:rsidRPr="00D6638C">
              <w:rPr>
                <w:rFonts w:ascii="Calibri" w:hAnsi="Calibri"/>
                <w:sz w:val="20"/>
              </w:rPr>
              <w:fldChar w:fldCharType="begin">
                <w:ffData>
                  <w:name w:val="Text1"/>
                  <w:enabled/>
                  <w:calcOnExit w:val="0"/>
                  <w:textInput/>
                </w:ffData>
              </w:fldChar>
            </w:r>
            <w:r w:rsidRPr="00D6638C">
              <w:rPr>
                <w:rFonts w:ascii="Calibri" w:hAnsi="Calibri"/>
                <w:sz w:val="20"/>
              </w:rPr>
              <w:instrText xml:space="preserve"> FORMTEXT </w:instrText>
            </w:r>
            <w:r w:rsidRPr="00D6638C">
              <w:rPr>
                <w:rFonts w:ascii="Calibri" w:hAnsi="Calibri"/>
                <w:sz w:val="20"/>
              </w:rPr>
            </w:r>
            <w:r w:rsidRPr="00D6638C">
              <w:rPr>
                <w:rFonts w:ascii="Calibri" w:hAnsi="Calibri"/>
                <w:sz w:val="20"/>
              </w:rPr>
              <w:fldChar w:fldCharType="separate"/>
            </w:r>
            <w:r>
              <w:rPr>
                <w:rFonts w:ascii="Calibri" w:hAnsi="Calibri"/>
                <w:noProof/>
                <w:sz w:val="20"/>
              </w:rPr>
              <w:t> </w:t>
            </w:r>
            <w:r>
              <w:rPr>
                <w:rFonts w:ascii="Calibri" w:hAnsi="Calibri"/>
                <w:noProof/>
                <w:sz w:val="20"/>
              </w:rPr>
              <w:t> </w:t>
            </w:r>
            <w:r>
              <w:rPr>
                <w:rFonts w:ascii="Calibri" w:hAnsi="Calibri"/>
                <w:noProof/>
                <w:sz w:val="20"/>
              </w:rPr>
              <w:t> </w:t>
            </w:r>
            <w:r>
              <w:rPr>
                <w:rFonts w:ascii="Calibri" w:hAnsi="Calibri"/>
                <w:noProof/>
                <w:sz w:val="20"/>
              </w:rPr>
              <w:t> </w:t>
            </w:r>
            <w:r>
              <w:rPr>
                <w:rFonts w:ascii="Calibri" w:hAnsi="Calibri"/>
                <w:noProof/>
                <w:sz w:val="20"/>
              </w:rPr>
              <w:t> </w:t>
            </w:r>
            <w:r w:rsidRPr="00D6638C">
              <w:rPr>
                <w:rFonts w:ascii="Calibri" w:hAnsi="Calibri"/>
                <w:sz w:val="20"/>
              </w:rPr>
              <w:fldChar w:fldCharType="end"/>
            </w:r>
          </w:p>
        </w:tc>
      </w:tr>
    </w:tbl>
    <w:p w14:paraId="4B576087" w14:textId="77777777" w:rsidR="00BA3505" w:rsidRPr="00D6638C" w:rsidRDefault="00BA3505" w:rsidP="00BA3505">
      <w:pPr>
        <w:pStyle w:val="Heading51"/>
      </w:pPr>
      <w:bookmarkStart w:id="172" w:name="_Toc321341552"/>
      <w:bookmarkStart w:id="173" w:name="_Toc277677977"/>
      <w:bookmarkStart w:id="174" w:name="_Toc299122831"/>
      <w:bookmarkStart w:id="175" w:name="_Toc299122853"/>
      <w:bookmarkStart w:id="176" w:name="_Toc299122832"/>
      <w:bookmarkStart w:id="177" w:name="_Toc299122854"/>
      <w:bookmarkStart w:id="178" w:name="_Toc299126619"/>
      <w:bookmarkEnd w:id="165"/>
      <w:bookmarkEnd w:id="171"/>
      <w:r w:rsidRPr="00D6638C">
        <w:t>Project finance / cofinance</w:t>
      </w:r>
      <w:bookmarkEnd w:id="172"/>
    </w:p>
    <w:p w14:paraId="721EF062" w14:textId="77777777" w:rsidR="00BA3505" w:rsidRPr="00D6638C" w:rsidRDefault="00BA3505" w:rsidP="00BA3505">
      <w:pPr>
        <w:spacing w:before="200"/>
        <w:rPr>
          <w:rFonts w:ascii="Calibri" w:hAnsi="Calibri"/>
          <w:sz w:val="20"/>
        </w:rPr>
      </w:pPr>
      <w:r w:rsidRPr="00D6638C">
        <w:rPr>
          <w:rFonts w:ascii="Calibri" w:hAnsi="Calibri"/>
          <w:sz w:val="20"/>
        </w:rPr>
        <w:t xml:space="preserve">The Evaluation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 available, should be taken into consideration. The evaluator(s) will receive assistance from </w:t>
      </w:r>
      <w:r w:rsidRPr="00D6638C">
        <w:rPr>
          <w:rFonts w:ascii="Calibri" w:hAnsi="Calibri"/>
          <w:sz w:val="20"/>
        </w:rPr>
        <w:lastRenderedPageBreak/>
        <w:t xml:space="preserve">the Country Office (CO) and Project Team to obtain financial data in order to complete the co-financing table below, which will be included in the terminal evaluation report.  </w:t>
      </w:r>
    </w:p>
    <w:tbl>
      <w:tblPr>
        <w:tblpPr w:leftFromText="180" w:rightFromText="180" w:vertAnchor="text" w:horzAnchor="margin" w:tblpX="144" w:tblpY="79"/>
        <w:tblW w:w="9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4"/>
        <w:gridCol w:w="900"/>
        <w:gridCol w:w="1080"/>
        <w:gridCol w:w="1080"/>
        <w:gridCol w:w="1080"/>
        <w:gridCol w:w="1080"/>
        <w:gridCol w:w="990"/>
        <w:gridCol w:w="911"/>
        <w:gridCol w:w="734"/>
      </w:tblGrid>
      <w:tr w:rsidR="00BA3505" w:rsidRPr="00D6638C" w14:paraId="5F36048A" w14:textId="77777777" w:rsidTr="00BA3505">
        <w:tc>
          <w:tcPr>
            <w:tcW w:w="1944" w:type="dxa"/>
            <w:vMerge w:val="restart"/>
          </w:tcPr>
          <w:p w14:paraId="27F8DB89" w14:textId="77777777" w:rsidR="00BA3505" w:rsidRPr="00D6638C" w:rsidRDefault="00BA3505" w:rsidP="00BA3505">
            <w:pPr>
              <w:rPr>
                <w:rFonts w:ascii="Calibri" w:hAnsi="Calibri"/>
                <w:sz w:val="20"/>
              </w:rPr>
            </w:pPr>
            <w:r w:rsidRPr="00D6638C">
              <w:rPr>
                <w:rFonts w:ascii="Calibri" w:hAnsi="Calibri"/>
                <w:sz w:val="20"/>
              </w:rPr>
              <w:t>Co-financing</w:t>
            </w:r>
          </w:p>
          <w:p w14:paraId="110ADB08" w14:textId="77777777" w:rsidR="00BA3505" w:rsidRPr="00D6638C" w:rsidRDefault="00BA3505" w:rsidP="00BA3505">
            <w:pPr>
              <w:rPr>
                <w:rFonts w:ascii="Calibri" w:hAnsi="Calibri"/>
                <w:sz w:val="20"/>
              </w:rPr>
            </w:pPr>
            <w:r w:rsidRPr="00D6638C">
              <w:rPr>
                <w:rFonts w:ascii="Calibri" w:hAnsi="Calibri"/>
                <w:sz w:val="20"/>
              </w:rPr>
              <w:t>(type/source)</w:t>
            </w:r>
          </w:p>
        </w:tc>
        <w:tc>
          <w:tcPr>
            <w:tcW w:w="1980" w:type="dxa"/>
            <w:gridSpan w:val="2"/>
          </w:tcPr>
          <w:p w14:paraId="68818796" w14:textId="77777777" w:rsidR="00BA3505" w:rsidRPr="00D6638C" w:rsidRDefault="00BA3505" w:rsidP="00BA3505">
            <w:pPr>
              <w:rPr>
                <w:rFonts w:ascii="Calibri" w:hAnsi="Calibri"/>
                <w:sz w:val="20"/>
              </w:rPr>
            </w:pPr>
            <w:r w:rsidRPr="00D6638C">
              <w:rPr>
                <w:rFonts w:ascii="Calibri" w:hAnsi="Calibri"/>
                <w:sz w:val="20"/>
              </w:rPr>
              <w:t>UNDP own financing (mill. US$)</w:t>
            </w:r>
          </w:p>
        </w:tc>
        <w:tc>
          <w:tcPr>
            <w:tcW w:w="2160" w:type="dxa"/>
            <w:gridSpan w:val="2"/>
          </w:tcPr>
          <w:p w14:paraId="4C3B82D9" w14:textId="77777777" w:rsidR="00BA3505" w:rsidRPr="00D6638C" w:rsidRDefault="00BA3505" w:rsidP="00BA3505">
            <w:pPr>
              <w:rPr>
                <w:rFonts w:ascii="Calibri" w:hAnsi="Calibri"/>
                <w:sz w:val="20"/>
              </w:rPr>
            </w:pPr>
            <w:r w:rsidRPr="00D6638C">
              <w:rPr>
                <w:rFonts w:ascii="Calibri" w:hAnsi="Calibri"/>
                <w:sz w:val="20"/>
              </w:rPr>
              <w:t>Government</w:t>
            </w:r>
          </w:p>
          <w:p w14:paraId="22179441" w14:textId="77777777" w:rsidR="00BA3505" w:rsidRPr="00D6638C" w:rsidRDefault="00BA3505" w:rsidP="00BA3505">
            <w:pPr>
              <w:rPr>
                <w:rFonts w:ascii="Calibri" w:hAnsi="Calibri"/>
                <w:sz w:val="20"/>
              </w:rPr>
            </w:pPr>
            <w:r w:rsidRPr="00D6638C">
              <w:rPr>
                <w:rFonts w:ascii="Calibri" w:hAnsi="Calibri"/>
                <w:sz w:val="20"/>
              </w:rPr>
              <w:t>(mill. US$)</w:t>
            </w:r>
          </w:p>
        </w:tc>
        <w:tc>
          <w:tcPr>
            <w:tcW w:w="2070" w:type="dxa"/>
            <w:gridSpan w:val="2"/>
          </w:tcPr>
          <w:p w14:paraId="7D9F37C8" w14:textId="77777777" w:rsidR="00BA3505" w:rsidRPr="00D6638C" w:rsidRDefault="00BA3505" w:rsidP="00BA3505">
            <w:pPr>
              <w:rPr>
                <w:rFonts w:ascii="Calibri" w:hAnsi="Calibri"/>
                <w:sz w:val="20"/>
              </w:rPr>
            </w:pPr>
            <w:r w:rsidRPr="00D6638C">
              <w:rPr>
                <w:rFonts w:ascii="Calibri" w:hAnsi="Calibri"/>
                <w:sz w:val="20"/>
              </w:rPr>
              <w:t>Partner Agency</w:t>
            </w:r>
          </w:p>
          <w:p w14:paraId="602C005F" w14:textId="77777777" w:rsidR="00BA3505" w:rsidRPr="00D6638C" w:rsidRDefault="00BA3505" w:rsidP="00BA3505">
            <w:pPr>
              <w:rPr>
                <w:rFonts w:ascii="Calibri" w:hAnsi="Calibri"/>
                <w:sz w:val="20"/>
              </w:rPr>
            </w:pPr>
            <w:r w:rsidRPr="00D6638C">
              <w:rPr>
                <w:rFonts w:ascii="Calibri" w:hAnsi="Calibri"/>
                <w:sz w:val="20"/>
              </w:rPr>
              <w:t>(mill. US$)</w:t>
            </w:r>
          </w:p>
        </w:tc>
        <w:tc>
          <w:tcPr>
            <w:tcW w:w="1645" w:type="dxa"/>
            <w:gridSpan w:val="2"/>
          </w:tcPr>
          <w:p w14:paraId="13171B26" w14:textId="77777777" w:rsidR="00BA3505" w:rsidRPr="00D6638C" w:rsidRDefault="00BA3505" w:rsidP="00BA3505">
            <w:pPr>
              <w:rPr>
                <w:rFonts w:ascii="Calibri" w:hAnsi="Calibri"/>
                <w:sz w:val="20"/>
              </w:rPr>
            </w:pPr>
            <w:r w:rsidRPr="00D6638C">
              <w:rPr>
                <w:rFonts w:ascii="Calibri" w:hAnsi="Calibri"/>
                <w:sz w:val="20"/>
              </w:rPr>
              <w:t>Total</w:t>
            </w:r>
          </w:p>
          <w:p w14:paraId="78794416" w14:textId="77777777" w:rsidR="00BA3505" w:rsidRPr="00D6638C" w:rsidRDefault="00BA3505" w:rsidP="00BA3505">
            <w:pPr>
              <w:rPr>
                <w:rFonts w:ascii="Calibri" w:hAnsi="Calibri"/>
                <w:sz w:val="20"/>
              </w:rPr>
            </w:pPr>
            <w:r w:rsidRPr="00D6638C">
              <w:rPr>
                <w:rFonts w:ascii="Calibri" w:hAnsi="Calibri"/>
                <w:sz w:val="20"/>
              </w:rPr>
              <w:t>(mill. US$)</w:t>
            </w:r>
          </w:p>
        </w:tc>
      </w:tr>
      <w:tr w:rsidR="00BA3505" w:rsidRPr="00D6638C" w14:paraId="7B7015EF" w14:textId="77777777" w:rsidTr="00BA3505">
        <w:trPr>
          <w:trHeight w:val="143"/>
        </w:trPr>
        <w:tc>
          <w:tcPr>
            <w:tcW w:w="1944" w:type="dxa"/>
            <w:vMerge/>
          </w:tcPr>
          <w:p w14:paraId="36590869" w14:textId="77777777" w:rsidR="00BA3505" w:rsidRPr="00D6638C" w:rsidRDefault="00BA3505" w:rsidP="00BA3505">
            <w:pPr>
              <w:rPr>
                <w:rFonts w:ascii="Calibri" w:hAnsi="Calibri"/>
                <w:sz w:val="20"/>
              </w:rPr>
            </w:pPr>
          </w:p>
        </w:tc>
        <w:tc>
          <w:tcPr>
            <w:tcW w:w="900" w:type="dxa"/>
          </w:tcPr>
          <w:p w14:paraId="10A47BAA" w14:textId="77777777" w:rsidR="00BA3505" w:rsidRPr="00D6638C" w:rsidRDefault="00BA3505" w:rsidP="00BA3505">
            <w:pPr>
              <w:rPr>
                <w:rFonts w:ascii="Calibri" w:hAnsi="Calibri"/>
                <w:sz w:val="20"/>
              </w:rPr>
            </w:pPr>
            <w:r w:rsidRPr="00D6638C">
              <w:rPr>
                <w:rFonts w:ascii="Calibri" w:hAnsi="Calibri"/>
                <w:sz w:val="20"/>
              </w:rPr>
              <w:t>Planned</w:t>
            </w:r>
          </w:p>
        </w:tc>
        <w:tc>
          <w:tcPr>
            <w:tcW w:w="1080" w:type="dxa"/>
          </w:tcPr>
          <w:p w14:paraId="1128E23B" w14:textId="77777777" w:rsidR="00BA3505" w:rsidRPr="00D6638C" w:rsidRDefault="00BA3505" w:rsidP="00BA3505">
            <w:pPr>
              <w:rPr>
                <w:rFonts w:ascii="Calibri" w:hAnsi="Calibri"/>
                <w:sz w:val="20"/>
              </w:rPr>
            </w:pPr>
            <w:r w:rsidRPr="00D6638C">
              <w:rPr>
                <w:rFonts w:ascii="Calibri" w:hAnsi="Calibri"/>
                <w:sz w:val="20"/>
              </w:rPr>
              <w:t xml:space="preserve">Actual </w:t>
            </w:r>
          </w:p>
        </w:tc>
        <w:tc>
          <w:tcPr>
            <w:tcW w:w="1080" w:type="dxa"/>
          </w:tcPr>
          <w:p w14:paraId="687BB11F" w14:textId="77777777" w:rsidR="00BA3505" w:rsidRPr="00D6638C" w:rsidRDefault="00BA3505" w:rsidP="00BA3505">
            <w:pPr>
              <w:rPr>
                <w:rFonts w:ascii="Calibri" w:hAnsi="Calibri"/>
                <w:sz w:val="20"/>
              </w:rPr>
            </w:pPr>
            <w:r w:rsidRPr="00D6638C">
              <w:rPr>
                <w:rFonts w:ascii="Calibri" w:hAnsi="Calibri"/>
                <w:sz w:val="20"/>
              </w:rPr>
              <w:t>Planned</w:t>
            </w:r>
          </w:p>
        </w:tc>
        <w:tc>
          <w:tcPr>
            <w:tcW w:w="1080" w:type="dxa"/>
          </w:tcPr>
          <w:p w14:paraId="6C46DB3C" w14:textId="77777777" w:rsidR="00BA3505" w:rsidRPr="00D6638C" w:rsidRDefault="00BA3505" w:rsidP="00BA3505">
            <w:pPr>
              <w:rPr>
                <w:rFonts w:ascii="Calibri" w:hAnsi="Calibri"/>
                <w:sz w:val="20"/>
              </w:rPr>
            </w:pPr>
            <w:r w:rsidRPr="00D6638C">
              <w:rPr>
                <w:rFonts w:ascii="Calibri" w:hAnsi="Calibri"/>
                <w:sz w:val="20"/>
              </w:rPr>
              <w:t>Actual</w:t>
            </w:r>
          </w:p>
        </w:tc>
        <w:tc>
          <w:tcPr>
            <w:tcW w:w="1080" w:type="dxa"/>
          </w:tcPr>
          <w:p w14:paraId="755578FE" w14:textId="77777777" w:rsidR="00BA3505" w:rsidRPr="00D6638C" w:rsidRDefault="00BA3505" w:rsidP="00BA3505">
            <w:pPr>
              <w:rPr>
                <w:rFonts w:ascii="Calibri" w:hAnsi="Calibri"/>
                <w:sz w:val="20"/>
              </w:rPr>
            </w:pPr>
            <w:r w:rsidRPr="00D6638C">
              <w:rPr>
                <w:rFonts w:ascii="Calibri" w:hAnsi="Calibri"/>
                <w:sz w:val="20"/>
              </w:rPr>
              <w:t>Planned</w:t>
            </w:r>
          </w:p>
        </w:tc>
        <w:tc>
          <w:tcPr>
            <w:tcW w:w="990" w:type="dxa"/>
          </w:tcPr>
          <w:p w14:paraId="6B0F8D33" w14:textId="77777777" w:rsidR="00BA3505" w:rsidRPr="00D6638C" w:rsidRDefault="00BA3505" w:rsidP="00BA3505">
            <w:pPr>
              <w:rPr>
                <w:rFonts w:ascii="Calibri" w:hAnsi="Calibri"/>
                <w:sz w:val="20"/>
              </w:rPr>
            </w:pPr>
            <w:r w:rsidRPr="00D6638C">
              <w:rPr>
                <w:rFonts w:ascii="Calibri" w:hAnsi="Calibri"/>
                <w:sz w:val="20"/>
              </w:rPr>
              <w:t>Actual</w:t>
            </w:r>
          </w:p>
        </w:tc>
        <w:tc>
          <w:tcPr>
            <w:tcW w:w="911" w:type="dxa"/>
          </w:tcPr>
          <w:p w14:paraId="4EA8D124" w14:textId="77777777" w:rsidR="00BA3505" w:rsidRPr="00D6638C" w:rsidRDefault="00BA3505" w:rsidP="00BA3505">
            <w:pPr>
              <w:rPr>
                <w:rFonts w:ascii="Calibri" w:hAnsi="Calibri"/>
                <w:sz w:val="20"/>
              </w:rPr>
            </w:pPr>
            <w:r w:rsidRPr="00D6638C">
              <w:rPr>
                <w:rFonts w:ascii="Calibri" w:hAnsi="Calibri"/>
                <w:sz w:val="20"/>
              </w:rPr>
              <w:t>Actual</w:t>
            </w:r>
          </w:p>
        </w:tc>
        <w:tc>
          <w:tcPr>
            <w:tcW w:w="734" w:type="dxa"/>
          </w:tcPr>
          <w:p w14:paraId="3D6C3668" w14:textId="77777777" w:rsidR="00BA3505" w:rsidRPr="00D6638C" w:rsidRDefault="00BA3505" w:rsidP="00BA3505">
            <w:pPr>
              <w:rPr>
                <w:rFonts w:ascii="Calibri" w:hAnsi="Calibri"/>
                <w:sz w:val="20"/>
              </w:rPr>
            </w:pPr>
            <w:r w:rsidRPr="00D6638C">
              <w:rPr>
                <w:rFonts w:ascii="Calibri" w:hAnsi="Calibri"/>
                <w:sz w:val="20"/>
              </w:rPr>
              <w:t>Actual</w:t>
            </w:r>
          </w:p>
        </w:tc>
      </w:tr>
      <w:tr w:rsidR="00BA3505" w:rsidRPr="00D6638C" w14:paraId="232205A0" w14:textId="77777777" w:rsidTr="00BA3505">
        <w:tc>
          <w:tcPr>
            <w:tcW w:w="1944" w:type="dxa"/>
          </w:tcPr>
          <w:p w14:paraId="16067015" w14:textId="77777777" w:rsidR="00BA3505" w:rsidRPr="00D6638C" w:rsidRDefault="00BA3505" w:rsidP="00BA3505">
            <w:pPr>
              <w:rPr>
                <w:rFonts w:ascii="Calibri" w:hAnsi="Calibri"/>
                <w:sz w:val="20"/>
              </w:rPr>
            </w:pPr>
            <w:r w:rsidRPr="00D6638C">
              <w:rPr>
                <w:rFonts w:ascii="Calibri" w:hAnsi="Calibri"/>
                <w:sz w:val="20"/>
              </w:rPr>
              <w:t xml:space="preserve">Grants </w:t>
            </w:r>
          </w:p>
        </w:tc>
        <w:tc>
          <w:tcPr>
            <w:tcW w:w="900" w:type="dxa"/>
          </w:tcPr>
          <w:p w14:paraId="10068BA8" w14:textId="77777777" w:rsidR="00BA3505" w:rsidRPr="00D6638C" w:rsidRDefault="00BA3505" w:rsidP="00BA3505">
            <w:pPr>
              <w:rPr>
                <w:rFonts w:ascii="Calibri" w:hAnsi="Calibri"/>
                <w:sz w:val="20"/>
              </w:rPr>
            </w:pPr>
          </w:p>
        </w:tc>
        <w:tc>
          <w:tcPr>
            <w:tcW w:w="1080" w:type="dxa"/>
          </w:tcPr>
          <w:p w14:paraId="66285E15" w14:textId="77777777" w:rsidR="00BA3505" w:rsidRPr="00D6638C" w:rsidRDefault="00BA3505" w:rsidP="00BA3505">
            <w:pPr>
              <w:rPr>
                <w:rFonts w:ascii="Calibri" w:hAnsi="Calibri"/>
                <w:sz w:val="20"/>
              </w:rPr>
            </w:pPr>
          </w:p>
        </w:tc>
        <w:tc>
          <w:tcPr>
            <w:tcW w:w="1080" w:type="dxa"/>
          </w:tcPr>
          <w:p w14:paraId="35AE325B" w14:textId="77777777" w:rsidR="00BA3505" w:rsidRPr="00D6638C" w:rsidRDefault="00BA3505" w:rsidP="00BA3505">
            <w:pPr>
              <w:rPr>
                <w:rFonts w:ascii="Calibri" w:hAnsi="Calibri"/>
                <w:sz w:val="20"/>
              </w:rPr>
            </w:pPr>
          </w:p>
        </w:tc>
        <w:tc>
          <w:tcPr>
            <w:tcW w:w="1080" w:type="dxa"/>
          </w:tcPr>
          <w:p w14:paraId="76CEA805" w14:textId="77777777" w:rsidR="00BA3505" w:rsidRPr="00D6638C" w:rsidRDefault="00BA3505" w:rsidP="00BA3505">
            <w:pPr>
              <w:rPr>
                <w:rFonts w:ascii="Calibri" w:hAnsi="Calibri"/>
                <w:sz w:val="20"/>
              </w:rPr>
            </w:pPr>
          </w:p>
        </w:tc>
        <w:tc>
          <w:tcPr>
            <w:tcW w:w="1080" w:type="dxa"/>
          </w:tcPr>
          <w:p w14:paraId="7110B549" w14:textId="77777777" w:rsidR="00BA3505" w:rsidRPr="00D6638C" w:rsidRDefault="00BA3505" w:rsidP="00BA3505">
            <w:pPr>
              <w:rPr>
                <w:rFonts w:ascii="Calibri" w:hAnsi="Calibri"/>
                <w:sz w:val="20"/>
              </w:rPr>
            </w:pPr>
          </w:p>
        </w:tc>
        <w:tc>
          <w:tcPr>
            <w:tcW w:w="990" w:type="dxa"/>
          </w:tcPr>
          <w:p w14:paraId="290799E5" w14:textId="77777777" w:rsidR="00BA3505" w:rsidRPr="00D6638C" w:rsidRDefault="00BA3505" w:rsidP="00BA3505">
            <w:pPr>
              <w:rPr>
                <w:rFonts w:ascii="Calibri" w:hAnsi="Calibri"/>
                <w:sz w:val="20"/>
              </w:rPr>
            </w:pPr>
          </w:p>
        </w:tc>
        <w:tc>
          <w:tcPr>
            <w:tcW w:w="911" w:type="dxa"/>
          </w:tcPr>
          <w:p w14:paraId="23A7C115" w14:textId="77777777" w:rsidR="00BA3505" w:rsidRPr="00D6638C" w:rsidRDefault="00BA3505" w:rsidP="00BA3505">
            <w:pPr>
              <w:rPr>
                <w:rFonts w:ascii="Calibri" w:hAnsi="Calibri"/>
                <w:sz w:val="20"/>
              </w:rPr>
            </w:pPr>
          </w:p>
        </w:tc>
        <w:tc>
          <w:tcPr>
            <w:tcW w:w="734" w:type="dxa"/>
          </w:tcPr>
          <w:p w14:paraId="75A702C4" w14:textId="77777777" w:rsidR="00BA3505" w:rsidRPr="00D6638C" w:rsidRDefault="00BA3505" w:rsidP="00BA3505">
            <w:pPr>
              <w:rPr>
                <w:rFonts w:ascii="Calibri" w:hAnsi="Calibri"/>
                <w:sz w:val="20"/>
              </w:rPr>
            </w:pPr>
          </w:p>
        </w:tc>
      </w:tr>
      <w:tr w:rsidR="00BA3505" w:rsidRPr="00D6638C" w14:paraId="51671179" w14:textId="77777777" w:rsidTr="00BA3505">
        <w:trPr>
          <w:trHeight w:val="332"/>
        </w:trPr>
        <w:tc>
          <w:tcPr>
            <w:tcW w:w="1944" w:type="dxa"/>
          </w:tcPr>
          <w:p w14:paraId="6B3E9EAB" w14:textId="77777777" w:rsidR="00BA3505" w:rsidRPr="00D6638C" w:rsidRDefault="00BA3505" w:rsidP="00BA3505">
            <w:pPr>
              <w:rPr>
                <w:rFonts w:ascii="Calibri" w:hAnsi="Calibri"/>
                <w:sz w:val="20"/>
              </w:rPr>
            </w:pPr>
            <w:r w:rsidRPr="00D6638C">
              <w:rPr>
                <w:rFonts w:ascii="Calibri" w:hAnsi="Calibri"/>
                <w:sz w:val="20"/>
              </w:rPr>
              <w:t xml:space="preserve">Loans/Concessions </w:t>
            </w:r>
          </w:p>
        </w:tc>
        <w:tc>
          <w:tcPr>
            <w:tcW w:w="900" w:type="dxa"/>
          </w:tcPr>
          <w:p w14:paraId="5C59F444" w14:textId="77777777" w:rsidR="00BA3505" w:rsidRPr="00D6638C" w:rsidRDefault="00BA3505" w:rsidP="00BA3505">
            <w:pPr>
              <w:rPr>
                <w:rFonts w:ascii="Calibri" w:hAnsi="Calibri"/>
                <w:sz w:val="20"/>
              </w:rPr>
            </w:pPr>
          </w:p>
        </w:tc>
        <w:tc>
          <w:tcPr>
            <w:tcW w:w="1080" w:type="dxa"/>
          </w:tcPr>
          <w:p w14:paraId="01FCAF25" w14:textId="77777777" w:rsidR="00BA3505" w:rsidRPr="00D6638C" w:rsidRDefault="00BA3505" w:rsidP="00BA3505">
            <w:pPr>
              <w:rPr>
                <w:rFonts w:ascii="Calibri" w:hAnsi="Calibri"/>
                <w:sz w:val="20"/>
              </w:rPr>
            </w:pPr>
          </w:p>
        </w:tc>
        <w:tc>
          <w:tcPr>
            <w:tcW w:w="1080" w:type="dxa"/>
          </w:tcPr>
          <w:p w14:paraId="55D7DB22" w14:textId="77777777" w:rsidR="00BA3505" w:rsidRPr="00D6638C" w:rsidRDefault="00BA3505" w:rsidP="00BA3505">
            <w:pPr>
              <w:rPr>
                <w:rFonts w:ascii="Calibri" w:hAnsi="Calibri"/>
                <w:sz w:val="20"/>
              </w:rPr>
            </w:pPr>
          </w:p>
        </w:tc>
        <w:tc>
          <w:tcPr>
            <w:tcW w:w="1080" w:type="dxa"/>
          </w:tcPr>
          <w:p w14:paraId="54FE8623" w14:textId="77777777" w:rsidR="00BA3505" w:rsidRPr="00D6638C" w:rsidRDefault="00BA3505" w:rsidP="00BA3505">
            <w:pPr>
              <w:rPr>
                <w:rFonts w:ascii="Calibri" w:hAnsi="Calibri"/>
                <w:sz w:val="20"/>
              </w:rPr>
            </w:pPr>
          </w:p>
        </w:tc>
        <w:tc>
          <w:tcPr>
            <w:tcW w:w="1080" w:type="dxa"/>
          </w:tcPr>
          <w:p w14:paraId="436CD4F1" w14:textId="77777777" w:rsidR="00BA3505" w:rsidRPr="00D6638C" w:rsidRDefault="00BA3505" w:rsidP="00BA3505">
            <w:pPr>
              <w:rPr>
                <w:rFonts w:ascii="Calibri" w:hAnsi="Calibri"/>
                <w:sz w:val="20"/>
              </w:rPr>
            </w:pPr>
          </w:p>
        </w:tc>
        <w:tc>
          <w:tcPr>
            <w:tcW w:w="990" w:type="dxa"/>
          </w:tcPr>
          <w:p w14:paraId="4131EE6D" w14:textId="77777777" w:rsidR="00BA3505" w:rsidRPr="00D6638C" w:rsidRDefault="00BA3505" w:rsidP="00BA3505">
            <w:pPr>
              <w:rPr>
                <w:rFonts w:ascii="Calibri" w:hAnsi="Calibri"/>
                <w:sz w:val="20"/>
              </w:rPr>
            </w:pPr>
          </w:p>
        </w:tc>
        <w:tc>
          <w:tcPr>
            <w:tcW w:w="911" w:type="dxa"/>
          </w:tcPr>
          <w:p w14:paraId="3394B360" w14:textId="77777777" w:rsidR="00BA3505" w:rsidRPr="00D6638C" w:rsidRDefault="00BA3505" w:rsidP="00BA3505">
            <w:pPr>
              <w:rPr>
                <w:rFonts w:ascii="Calibri" w:hAnsi="Calibri"/>
                <w:sz w:val="20"/>
              </w:rPr>
            </w:pPr>
          </w:p>
        </w:tc>
        <w:tc>
          <w:tcPr>
            <w:tcW w:w="734" w:type="dxa"/>
          </w:tcPr>
          <w:p w14:paraId="6AB2334D" w14:textId="77777777" w:rsidR="00BA3505" w:rsidRPr="00D6638C" w:rsidRDefault="00BA3505" w:rsidP="00BA3505">
            <w:pPr>
              <w:rPr>
                <w:rFonts w:ascii="Calibri" w:hAnsi="Calibri"/>
                <w:sz w:val="20"/>
              </w:rPr>
            </w:pPr>
          </w:p>
        </w:tc>
      </w:tr>
      <w:tr w:rsidR="00BA3505" w:rsidRPr="00D6638C" w14:paraId="5ACC1E3D" w14:textId="77777777" w:rsidTr="00BA3505">
        <w:tc>
          <w:tcPr>
            <w:tcW w:w="1944" w:type="dxa"/>
          </w:tcPr>
          <w:p w14:paraId="7A163C80" w14:textId="77777777" w:rsidR="00BA3505" w:rsidRPr="00D6638C" w:rsidRDefault="00BA3505" w:rsidP="00BA3505">
            <w:pPr>
              <w:numPr>
                <w:ilvl w:val="0"/>
                <w:numId w:val="46"/>
              </w:numPr>
              <w:overflowPunct/>
              <w:autoSpaceDE/>
              <w:autoSpaceDN/>
              <w:adjustRightInd/>
              <w:spacing w:before="60" w:after="60"/>
              <w:ind w:left="426" w:hanging="284"/>
              <w:textAlignment w:val="auto"/>
              <w:rPr>
                <w:rFonts w:ascii="Calibri" w:hAnsi="Calibri"/>
                <w:sz w:val="20"/>
              </w:rPr>
            </w:pPr>
            <w:r w:rsidRPr="00D6638C">
              <w:rPr>
                <w:rFonts w:ascii="Calibri" w:hAnsi="Calibri"/>
                <w:sz w:val="20"/>
              </w:rPr>
              <w:t>In-kind support</w:t>
            </w:r>
          </w:p>
        </w:tc>
        <w:tc>
          <w:tcPr>
            <w:tcW w:w="900" w:type="dxa"/>
          </w:tcPr>
          <w:p w14:paraId="421BE9C5" w14:textId="77777777" w:rsidR="00BA3505" w:rsidRPr="00D6638C" w:rsidRDefault="00BA3505" w:rsidP="00BA3505">
            <w:pPr>
              <w:rPr>
                <w:rFonts w:ascii="Calibri" w:hAnsi="Calibri"/>
                <w:sz w:val="20"/>
              </w:rPr>
            </w:pPr>
          </w:p>
        </w:tc>
        <w:tc>
          <w:tcPr>
            <w:tcW w:w="1080" w:type="dxa"/>
          </w:tcPr>
          <w:p w14:paraId="43E3FA5D" w14:textId="77777777" w:rsidR="00BA3505" w:rsidRPr="00D6638C" w:rsidRDefault="00BA3505" w:rsidP="00BA3505">
            <w:pPr>
              <w:rPr>
                <w:rFonts w:ascii="Calibri" w:hAnsi="Calibri"/>
                <w:sz w:val="20"/>
              </w:rPr>
            </w:pPr>
          </w:p>
        </w:tc>
        <w:tc>
          <w:tcPr>
            <w:tcW w:w="1080" w:type="dxa"/>
          </w:tcPr>
          <w:p w14:paraId="1C08ACC9" w14:textId="77777777" w:rsidR="00BA3505" w:rsidRPr="00D6638C" w:rsidRDefault="00BA3505" w:rsidP="00BA3505">
            <w:pPr>
              <w:rPr>
                <w:rFonts w:ascii="Calibri" w:hAnsi="Calibri"/>
                <w:sz w:val="20"/>
              </w:rPr>
            </w:pPr>
          </w:p>
        </w:tc>
        <w:tc>
          <w:tcPr>
            <w:tcW w:w="1080" w:type="dxa"/>
          </w:tcPr>
          <w:p w14:paraId="13D95D2F" w14:textId="77777777" w:rsidR="00BA3505" w:rsidRPr="00D6638C" w:rsidRDefault="00BA3505" w:rsidP="00BA3505">
            <w:pPr>
              <w:rPr>
                <w:rFonts w:ascii="Calibri" w:hAnsi="Calibri"/>
                <w:sz w:val="20"/>
              </w:rPr>
            </w:pPr>
          </w:p>
        </w:tc>
        <w:tc>
          <w:tcPr>
            <w:tcW w:w="1080" w:type="dxa"/>
          </w:tcPr>
          <w:p w14:paraId="14D89677" w14:textId="77777777" w:rsidR="00BA3505" w:rsidRPr="00D6638C" w:rsidRDefault="00BA3505" w:rsidP="00BA3505">
            <w:pPr>
              <w:rPr>
                <w:rFonts w:ascii="Calibri" w:hAnsi="Calibri"/>
                <w:sz w:val="20"/>
              </w:rPr>
            </w:pPr>
          </w:p>
        </w:tc>
        <w:tc>
          <w:tcPr>
            <w:tcW w:w="990" w:type="dxa"/>
          </w:tcPr>
          <w:p w14:paraId="54110428" w14:textId="77777777" w:rsidR="00BA3505" w:rsidRPr="00D6638C" w:rsidRDefault="00BA3505" w:rsidP="00BA3505">
            <w:pPr>
              <w:rPr>
                <w:rFonts w:ascii="Calibri" w:hAnsi="Calibri"/>
                <w:sz w:val="20"/>
              </w:rPr>
            </w:pPr>
          </w:p>
        </w:tc>
        <w:tc>
          <w:tcPr>
            <w:tcW w:w="911" w:type="dxa"/>
          </w:tcPr>
          <w:p w14:paraId="2BD963D3" w14:textId="77777777" w:rsidR="00BA3505" w:rsidRPr="00D6638C" w:rsidRDefault="00BA3505" w:rsidP="00BA3505">
            <w:pPr>
              <w:rPr>
                <w:rFonts w:ascii="Calibri" w:hAnsi="Calibri"/>
                <w:sz w:val="20"/>
              </w:rPr>
            </w:pPr>
          </w:p>
        </w:tc>
        <w:tc>
          <w:tcPr>
            <w:tcW w:w="734" w:type="dxa"/>
          </w:tcPr>
          <w:p w14:paraId="4DD761B4" w14:textId="77777777" w:rsidR="00BA3505" w:rsidRPr="00D6638C" w:rsidRDefault="00BA3505" w:rsidP="00BA3505">
            <w:pPr>
              <w:rPr>
                <w:rFonts w:ascii="Calibri" w:hAnsi="Calibri"/>
                <w:sz w:val="20"/>
              </w:rPr>
            </w:pPr>
          </w:p>
        </w:tc>
      </w:tr>
      <w:tr w:rsidR="00BA3505" w:rsidRPr="00D6638C" w14:paraId="4047F82F" w14:textId="77777777" w:rsidTr="00BA3505">
        <w:tc>
          <w:tcPr>
            <w:tcW w:w="1944" w:type="dxa"/>
          </w:tcPr>
          <w:p w14:paraId="63B100EB" w14:textId="77777777" w:rsidR="00BA3505" w:rsidRPr="00D6638C" w:rsidRDefault="00BA3505" w:rsidP="00BA3505">
            <w:pPr>
              <w:numPr>
                <w:ilvl w:val="0"/>
                <w:numId w:val="46"/>
              </w:numPr>
              <w:overflowPunct/>
              <w:autoSpaceDE/>
              <w:autoSpaceDN/>
              <w:adjustRightInd/>
              <w:spacing w:before="60" w:after="60"/>
              <w:ind w:left="426" w:hanging="284"/>
              <w:textAlignment w:val="auto"/>
              <w:rPr>
                <w:rFonts w:ascii="Calibri" w:hAnsi="Calibri"/>
                <w:sz w:val="20"/>
              </w:rPr>
            </w:pPr>
            <w:r w:rsidRPr="00D6638C">
              <w:rPr>
                <w:rFonts w:ascii="Calibri" w:hAnsi="Calibri"/>
                <w:sz w:val="20"/>
              </w:rPr>
              <w:t>Other</w:t>
            </w:r>
          </w:p>
        </w:tc>
        <w:tc>
          <w:tcPr>
            <w:tcW w:w="900" w:type="dxa"/>
          </w:tcPr>
          <w:p w14:paraId="187D33C1" w14:textId="77777777" w:rsidR="00BA3505" w:rsidRPr="00D6638C" w:rsidRDefault="00BA3505" w:rsidP="00BA3505">
            <w:pPr>
              <w:rPr>
                <w:rFonts w:ascii="Calibri" w:hAnsi="Calibri"/>
                <w:sz w:val="20"/>
              </w:rPr>
            </w:pPr>
          </w:p>
        </w:tc>
        <w:tc>
          <w:tcPr>
            <w:tcW w:w="1080" w:type="dxa"/>
          </w:tcPr>
          <w:p w14:paraId="16373AAC" w14:textId="77777777" w:rsidR="00BA3505" w:rsidRPr="00D6638C" w:rsidRDefault="00BA3505" w:rsidP="00BA3505">
            <w:pPr>
              <w:rPr>
                <w:rFonts w:ascii="Calibri" w:hAnsi="Calibri"/>
                <w:sz w:val="20"/>
              </w:rPr>
            </w:pPr>
          </w:p>
        </w:tc>
        <w:tc>
          <w:tcPr>
            <w:tcW w:w="1080" w:type="dxa"/>
          </w:tcPr>
          <w:p w14:paraId="5FD29DDE" w14:textId="77777777" w:rsidR="00BA3505" w:rsidRPr="00D6638C" w:rsidRDefault="00BA3505" w:rsidP="00BA3505">
            <w:pPr>
              <w:rPr>
                <w:rFonts w:ascii="Calibri" w:hAnsi="Calibri"/>
                <w:sz w:val="20"/>
              </w:rPr>
            </w:pPr>
          </w:p>
        </w:tc>
        <w:tc>
          <w:tcPr>
            <w:tcW w:w="1080" w:type="dxa"/>
          </w:tcPr>
          <w:p w14:paraId="2DFF2F22" w14:textId="77777777" w:rsidR="00BA3505" w:rsidRPr="00D6638C" w:rsidRDefault="00BA3505" w:rsidP="00BA3505">
            <w:pPr>
              <w:rPr>
                <w:rFonts w:ascii="Calibri" w:hAnsi="Calibri"/>
                <w:sz w:val="20"/>
              </w:rPr>
            </w:pPr>
          </w:p>
        </w:tc>
        <w:tc>
          <w:tcPr>
            <w:tcW w:w="1080" w:type="dxa"/>
          </w:tcPr>
          <w:p w14:paraId="31BFEAE4" w14:textId="77777777" w:rsidR="00BA3505" w:rsidRPr="00D6638C" w:rsidRDefault="00BA3505" w:rsidP="00BA3505">
            <w:pPr>
              <w:rPr>
                <w:rFonts w:ascii="Calibri" w:hAnsi="Calibri"/>
                <w:sz w:val="20"/>
              </w:rPr>
            </w:pPr>
          </w:p>
        </w:tc>
        <w:tc>
          <w:tcPr>
            <w:tcW w:w="990" w:type="dxa"/>
          </w:tcPr>
          <w:p w14:paraId="2AA307DE" w14:textId="77777777" w:rsidR="00BA3505" w:rsidRPr="00D6638C" w:rsidRDefault="00BA3505" w:rsidP="00BA3505">
            <w:pPr>
              <w:rPr>
                <w:rFonts w:ascii="Calibri" w:hAnsi="Calibri"/>
                <w:sz w:val="20"/>
              </w:rPr>
            </w:pPr>
          </w:p>
        </w:tc>
        <w:tc>
          <w:tcPr>
            <w:tcW w:w="911" w:type="dxa"/>
          </w:tcPr>
          <w:p w14:paraId="4B719DB9" w14:textId="77777777" w:rsidR="00BA3505" w:rsidRPr="00D6638C" w:rsidRDefault="00BA3505" w:rsidP="00BA3505">
            <w:pPr>
              <w:rPr>
                <w:rFonts w:ascii="Calibri" w:hAnsi="Calibri"/>
                <w:sz w:val="20"/>
              </w:rPr>
            </w:pPr>
          </w:p>
        </w:tc>
        <w:tc>
          <w:tcPr>
            <w:tcW w:w="734" w:type="dxa"/>
          </w:tcPr>
          <w:p w14:paraId="60BCA662" w14:textId="77777777" w:rsidR="00BA3505" w:rsidRPr="00D6638C" w:rsidRDefault="00BA3505" w:rsidP="00BA3505">
            <w:pPr>
              <w:rPr>
                <w:rFonts w:ascii="Calibri" w:hAnsi="Calibri"/>
                <w:sz w:val="20"/>
              </w:rPr>
            </w:pPr>
          </w:p>
        </w:tc>
      </w:tr>
      <w:tr w:rsidR="00BA3505" w:rsidRPr="00D6638C" w14:paraId="0859DADF" w14:textId="77777777" w:rsidTr="00BA3505">
        <w:trPr>
          <w:trHeight w:val="215"/>
        </w:trPr>
        <w:tc>
          <w:tcPr>
            <w:tcW w:w="1944" w:type="dxa"/>
          </w:tcPr>
          <w:p w14:paraId="24090336" w14:textId="77777777" w:rsidR="00BA3505" w:rsidRPr="00D6638C" w:rsidRDefault="00BA3505" w:rsidP="00BA3505">
            <w:pPr>
              <w:rPr>
                <w:rFonts w:ascii="Calibri" w:hAnsi="Calibri"/>
                <w:sz w:val="20"/>
              </w:rPr>
            </w:pPr>
            <w:r w:rsidRPr="00D6638C">
              <w:rPr>
                <w:rFonts w:ascii="Calibri" w:hAnsi="Calibri"/>
                <w:sz w:val="20"/>
              </w:rPr>
              <w:t>Totals</w:t>
            </w:r>
          </w:p>
        </w:tc>
        <w:tc>
          <w:tcPr>
            <w:tcW w:w="900" w:type="dxa"/>
          </w:tcPr>
          <w:p w14:paraId="08CCE3D2" w14:textId="77777777" w:rsidR="00BA3505" w:rsidRPr="00D6638C" w:rsidRDefault="00BA3505" w:rsidP="00BA3505">
            <w:pPr>
              <w:rPr>
                <w:rFonts w:ascii="Calibri" w:hAnsi="Calibri"/>
                <w:sz w:val="20"/>
              </w:rPr>
            </w:pPr>
          </w:p>
        </w:tc>
        <w:tc>
          <w:tcPr>
            <w:tcW w:w="1080" w:type="dxa"/>
          </w:tcPr>
          <w:p w14:paraId="374CA16B" w14:textId="77777777" w:rsidR="00BA3505" w:rsidRPr="00D6638C" w:rsidRDefault="00BA3505" w:rsidP="00BA3505">
            <w:pPr>
              <w:rPr>
                <w:rFonts w:ascii="Calibri" w:hAnsi="Calibri"/>
                <w:sz w:val="20"/>
              </w:rPr>
            </w:pPr>
          </w:p>
        </w:tc>
        <w:tc>
          <w:tcPr>
            <w:tcW w:w="1080" w:type="dxa"/>
          </w:tcPr>
          <w:p w14:paraId="11D94D35" w14:textId="77777777" w:rsidR="00BA3505" w:rsidRPr="00D6638C" w:rsidRDefault="00BA3505" w:rsidP="00BA3505">
            <w:pPr>
              <w:rPr>
                <w:rFonts w:ascii="Calibri" w:hAnsi="Calibri"/>
                <w:sz w:val="20"/>
              </w:rPr>
            </w:pPr>
          </w:p>
        </w:tc>
        <w:tc>
          <w:tcPr>
            <w:tcW w:w="1080" w:type="dxa"/>
          </w:tcPr>
          <w:p w14:paraId="58739ABB" w14:textId="77777777" w:rsidR="00BA3505" w:rsidRPr="00D6638C" w:rsidRDefault="00BA3505" w:rsidP="00BA3505">
            <w:pPr>
              <w:rPr>
                <w:rFonts w:ascii="Calibri" w:hAnsi="Calibri"/>
                <w:sz w:val="20"/>
              </w:rPr>
            </w:pPr>
          </w:p>
        </w:tc>
        <w:tc>
          <w:tcPr>
            <w:tcW w:w="1080" w:type="dxa"/>
          </w:tcPr>
          <w:p w14:paraId="6603E5C7" w14:textId="77777777" w:rsidR="00BA3505" w:rsidRPr="00D6638C" w:rsidRDefault="00BA3505" w:rsidP="00BA3505">
            <w:pPr>
              <w:rPr>
                <w:rFonts w:ascii="Calibri" w:hAnsi="Calibri"/>
                <w:sz w:val="20"/>
              </w:rPr>
            </w:pPr>
          </w:p>
        </w:tc>
        <w:tc>
          <w:tcPr>
            <w:tcW w:w="990" w:type="dxa"/>
          </w:tcPr>
          <w:p w14:paraId="3E92E812" w14:textId="77777777" w:rsidR="00BA3505" w:rsidRPr="00D6638C" w:rsidRDefault="00BA3505" w:rsidP="00BA3505">
            <w:pPr>
              <w:rPr>
                <w:rFonts w:ascii="Calibri" w:hAnsi="Calibri"/>
                <w:sz w:val="20"/>
              </w:rPr>
            </w:pPr>
          </w:p>
        </w:tc>
        <w:tc>
          <w:tcPr>
            <w:tcW w:w="911" w:type="dxa"/>
          </w:tcPr>
          <w:p w14:paraId="24DDE025" w14:textId="77777777" w:rsidR="00BA3505" w:rsidRPr="00D6638C" w:rsidRDefault="00BA3505" w:rsidP="00BA3505">
            <w:pPr>
              <w:rPr>
                <w:rFonts w:ascii="Calibri" w:hAnsi="Calibri"/>
                <w:sz w:val="20"/>
              </w:rPr>
            </w:pPr>
          </w:p>
        </w:tc>
        <w:tc>
          <w:tcPr>
            <w:tcW w:w="734" w:type="dxa"/>
          </w:tcPr>
          <w:p w14:paraId="6EECAA9A" w14:textId="77777777" w:rsidR="00BA3505" w:rsidRPr="00D6638C" w:rsidRDefault="00BA3505" w:rsidP="00BA3505">
            <w:pPr>
              <w:rPr>
                <w:rFonts w:ascii="Calibri" w:hAnsi="Calibri"/>
                <w:sz w:val="20"/>
              </w:rPr>
            </w:pPr>
          </w:p>
        </w:tc>
      </w:tr>
    </w:tbl>
    <w:p w14:paraId="7A2E597A" w14:textId="77777777" w:rsidR="00BA3505" w:rsidRPr="00D6638C" w:rsidRDefault="00BA3505" w:rsidP="00BA3505">
      <w:pPr>
        <w:pStyle w:val="Heading51"/>
      </w:pPr>
      <w:bookmarkStart w:id="179" w:name="_Toc321341553"/>
      <w:r w:rsidRPr="00D6638C">
        <w:t>Mainstreaming</w:t>
      </w:r>
      <w:bookmarkEnd w:id="173"/>
      <w:bookmarkEnd w:id="179"/>
    </w:p>
    <w:p w14:paraId="5F2B8D90" w14:textId="77777777" w:rsidR="00BA3505" w:rsidRDefault="00BA3505" w:rsidP="00BA3505">
      <w:pPr>
        <w:spacing w:before="200" w:after="120"/>
        <w:rPr>
          <w:rFonts w:ascii="Calibri" w:hAnsi="Calibri"/>
          <w:sz w:val="20"/>
        </w:rPr>
      </w:pPr>
      <w:r w:rsidRPr="00D6638C">
        <w:rPr>
          <w:rFonts w:ascii="Calibri" w:hAnsi="Calibri"/>
          <w:sz w:val="20"/>
        </w:rPr>
        <w:t xml:space="preserve">UNDP supported GEF financed projects are key components in UNDP country programming, as well as regional and global programmes. The evaluation will assess the extent to which the project was successfully mainstreamed with other UNDP priorities, including poverty alleviation, improved governance, the prevention and recovery from natural disasters, and gender. </w:t>
      </w:r>
    </w:p>
    <w:p w14:paraId="24E2AB0D" w14:textId="77777777" w:rsidR="00BA3505" w:rsidRPr="00D6638C" w:rsidRDefault="00BA3505" w:rsidP="00BA3505">
      <w:pPr>
        <w:pStyle w:val="Heading51"/>
      </w:pPr>
      <w:bookmarkStart w:id="180" w:name="_Toc277677980"/>
      <w:bookmarkStart w:id="181" w:name="_Toc321341554"/>
      <w:r w:rsidRPr="00D6638C">
        <w:t>Impact</w:t>
      </w:r>
      <w:bookmarkEnd w:id="180"/>
      <w:bookmarkEnd w:id="181"/>
    </w:p>
    <w:p w14:paraId="26C8CE1E" w14:textId="77777777" w:rsidR="00BA3505" w:rsidRPr="00D6638C" w:rsidRDefault="00BA3505" w:rsidP="00BA3505">
      <w:pPr>
        <w:spacing w:before="200" w:after="120"/>
        <w:rPr>
          <w:rFonts w:ascii="Calibri" w:hAnsi="Calibri"/>
          <w:sz w:val="20"/>
        </w:rPr>
      </w:pPr>
      <w:r w:rsidRPr="00D6638C">
        <w:rPr>
          <w:rFonts w:ascii="Calibri" w:hAnsi="Calibri"/>
          <w:sz w:val="20"/>
        </w:rPr>
        <w:t>The evaluators will assess the extent to which the project is achieving impacts or progressing towards the achievement of impacts.</w:t>
      </w:r>
      <w:r w:rsidRPr="00B95114">
        <w:rPr>
          <w:rFonts w:ascii="Calibri" w:hAnsi="Calibri"/>
          <w:sz w:val="20"/>
        </w:rPr>
        <w:t xml:space="preserve"> K</w:t>
      </w:r>
      <w:r w:rsidRPr="00D6638C">
        <w:rPr>
          <w:rFonts w:ascii="Calibri" w:hAnsi="Calibri"/>
          <w:sz w:val="20"/>
        </w:rPr>
        <w:t>ey findings that should be brought out in the evaluations include whether the project has</w:t>
      </w:r>
      <w:r>
        <w:rPr>
          <w:rFonts w:ascii="Calibri" w:hAnsi="Calibri"/>
          <w:sz w:val="20"/>
        </w:rPr>
        <w:t xml:space="preserve"> </w:t>
      </w:r>
      <w:r w:rsidRPr="00D6638C">
        <w:rPr>
          <w:rFonts w:ascii="Calibri" w:hAnsi="Calibri"/>
          <w:sz w:val="20"/>
        </w:rPr>
        <w:t xml:space="preserve">demonstrated: a) verifiable improvements in ecological status, b) verifiable reductions in stress on ecological systems, </w:t>
      </w:r>
      <w:r>
        <w:rPr>
          <w:rFonts w:ascii="Calibri" w:hAnsi="Calibri"/>
          <w:sz w:val="20"/>
        </w:rPr>
        <w:t>and/</w:t>
      </w:r>
      <w:r w:rsidRPr="00D6638C">
        <w:rPr>
          <w:rFonts w:ascii="Calibri" w:hAnsi="Calibri"/>
          <w:sz w:val="20"/>
        </w:rPr>
        <w:t>or c) demonstrated progress towards these impact achievements.</w:t>
      </w:r>
      <w:r w:rsidRPr="00B95114">
        <w:footnoteReference w:id="43"/>
      </w:r>
      <w:r w:rsidRPr="00D6638C">
        <w:rPr>
          <w:rFonts w:ascii="Calibri" w:hAnsi="Calibri"/>
          <w:sz w:val="20"/>
        </w:rPr>
        <w:t xml:space="preserve"> </w:t>
      </w:r>
    </w:p>
    <w:p w14:paraId="009817D0" w14:textId="77777777" w:rsidR="00BA3505" w:rsidRPr="00D6638C" w:rsidRDefault="00BA3505" w:rsidP="00BA3505">
      <w:pPr>
        <w:pStyle w:val="Heading51"/>
      </w:pPr>
      <w:bookmarkStart w:id="182" w:name="_Toc278193982"/>
      <w:bookmarkStart w:id="183" w:name="_Toc299133042"/>
      <w:bookmarkStart w:id="184" w:name="_Toc321341555"/>
      <w:bookmarkStart w:id="185" w:name="_Toc299126621"/>
      <w:bookmarkEnd w:id="174"/>
      <w:bookmarkEnd w:id="175"/>
      <w:bookmarkEnd w:id="176"/>
      <w:bookmarkEnd w:id="177"/>
      <w:bookmarkEnd w:id="178"/>
      <w:r w:rsidRPr="00D6638C">
        <w:t>Conclusions</w:t>
      </w:r>
      <w:bookmarkStart w:id="186" w:name="_Toc277677982"/>
      <w:r w:rsidRPr="00D6638C">
        <w:t>, recommendations &amp; lessons</w:t>
      </w:r>
      <w:bookmarkEnd w:id="182"/>
      <w:bookmarkEnd w:id="183"/>
      <w:bookmarkEnd w:id="184"/>
      <w:bookmarkEnd w:id="186"/>
    </w:p>
    <w:p w14:paraId="65D641E7" w14:textId="77777777" w:rsidR="00BA3505" w:rsidRPr="00D6638C" w:rsidRDefault="00BA3505" w:rsidP="00BA3505">
      <w:pPr>
        <w:spacing w:before="200"/>
        <w:rPr>
          <w:rFonts w:ascii="Calibri" w:hAnsi="Calibri"/>
          <w:sz w:val="20"/>
        </w:rPr>
      </w:pPr>
      <w:r w:rsidRPr="00D6638C">
        <w:rPr>
          <w:rFonts w:ascii="Calibri" w:hAnsi="Calibri"/>
          <w:sz w:val="20"/>
        </w:rPr>
        <w:t xml:space="preserve">The evaluation report must include a chapter providing a set of </w:t>
      </w:r>
      <w:r w:rsidRPr="00B95114">
        <w:rPr>
          <w:rFonts w:ascii="Calibri" w:hAnsi="Calibri"/>
          <w:sz w:val="20"/>
        </w:rPr>
        <w:t>conclusions</w:t>
      </w:r>
      <w:r w:rsidRPr="00D6638C">
        <w:rPr>
          <w:rFonts w:ascii="Calibri" w:hAnsi="Calibri"/>
          <w:sz w:val="20"/>
        </w:rPr>
        <w:t xml:space="preserve">, </w:t>
      </w:r>
      <w:r w:rsidRPr="00B95114">
        <w:rPr>
          <w:rFonts w:ascii="Calibri" w:hAnsi="Calibri"/>
          <w:sz w:val="20"/>
        </w:rPr>
        <w:t>recommendations</w:t>
      </w:r>
      <w:r w:rsidRPr="00D6638C">
        <w:rPr>
          <w:rFonts w:ascii="Calibri" w:hAnsi="Calibri"/>
          <w:sz w:val="20"/>
        </w:rPr>
        <w:t xml:space="preserve"> and </w:t>
      </w:r>
      <w:r w:rsidRPr="00B95114">
        <w:rPr>
          <w:rFonts w:ascii="Calibri" w:hAnsi="Calibri"/>
          <w:sz w:val="20"/>
        </w:rPr>
        <w:t>lessons</w:t>
      </w:r>
      <w:r w:rsidRPr="00D6638C">
        <w:rPr>
          <w:rFonts w:ascii="Calibri" w:hAnsi="Calibri"/>
          <w:sz w:val="20"/>
        </w:rPr>
        <w:t xml:space="preserve">.  </w:t>
      </w:r>
    </w:p>
    <w:p w14:paraId="67AB35B9" w14:textId="77777777" w:rsidR="00BA3505" w:rsidRPr="00D6638C" w:rsidRDefault="00BA3505" w:rsidP="00BA3505">
      <w:pPr>
        <w:pStyle w:val="Heading51"/>
      </w:pPr>
      <w:bookmarkStart w:id="187" w:name="_Toc299126625"/>
      <w:bookmarkStart w:id="188" w:name="_Toc299133044"/>
      <w:bookmarkStart w:id="189" w:name="_Toc321341556"/>
      <w:r w:rsidRPr="00D6638C">
        <w:t>Implementation arrangements</w:t>
      </w:r>
      <w:bookmarkEnd w:id="187"/>
      <w:bookmarkEnd w:id="188"/>
      <w:bookmarkEnd w:id="189"/>
    </w:p>
    <w:p w14:paraId="2E38FAB6" w14:textId="77777777" w:rsidR="00BA3505" w:rsidRDefault="00BA3505" w:rsidP="00BA3505">
      <w:pPr>
        <w:spacing w:before="200"/>
        <w:rPr>
          <w:rFonts w:ascii="Calibri" w:hAnsi="Calibri"/>
          <w:sz w:val="20"/>
        </w:rPr>
      </w:pPr>
      <w:r w:rsidRPr="00D6638C">
        <w:rPr>
          <w:rFonts w:ascii="Calibri" w:hAnsi="Calibri"/>
          <w:sz w:val="20"/>
        </w:rPr>
        <w:t xml:space="preserve">The principal responsibility for managing this evaluation resides with the UNDP CO in </w:t>
      </w:r>
      <w:r>
        <w:rPr>
          <w:rFonts w:ascii="Calibri" w:hAnsi="Calibri"/>
          <w:sz w:val="20"/>
        </w:rPr>
        <w:t>Georgia. T</w:t>
      </w:r>
      <w:r w:rsidRPr="00D6638C">
        <w:rPr>
          <w:rFonts w:ascii="Calibri" w:hAnsi="Calibri"/>
          <w:sz w:val="20"/>
        </w:rPr>
        <w:t xml:space="preserve">he UNDP CO will contract the evaluators and ensure the timely provision of per diems and travel arrangements within the country for the evaluation team. The Project Team will be responsible for liaising with the Evaluators team to set up stakeholder interviews, arrange field visits, coordinate with the Government etc.  </w:t>
      </w:r>
      <w:bookmarkStart w:id="190" w:name="_Toc299133047"/>
      <w:bookmarkStart w:id="191" w:name="_Toc299122838"/>
      <w:bookmarkStart w:id="192" w:name="_Toc299122860"/>
      <w:bookmarkStart w:id="193" w:name="_Toc299126629"/>
      <w:bookmarkEnd w:id="185"/>
    </w:p>
    <w:p w14:paraId="5AF6DF4C" w14:textId="77777777" w:rsidR="00BA3505" w:rsidRPr="00D6638C" w:rsidRDefault="00BA3505" w:rsidP="00BA3505">
      <w:pPr>
        <w:pStyle w:val="Heading51"/>
      </w:pPr>
      <w:r w:rsidRPr="00D6638C">
        <w:t>Evaluation timeframe</w:t>
      </w:r>
      <w:bookmarkEnd w:id="190"/>
      <w:bookmarkEnd w:id="191"/>
      <w:bookmarkEnd w:id="192"/>
      <w:bookmarkEnd w:id="193"/>
    </w:p>
    <w:p w14:paraId="4BE155E1" w14:textId="77777777" w:rsidR="00BA3505" w:rsidRPr="00D6638C" w:rsidRDefault="00BA3505" w:rsidP="00BA3505">
      <w:pPr>
        <w:spacing w:before="200"/>
        <w:rPr>
          <w:rFonts w:ascii="Calibri" w:hAnsi="Calibri"/>
          <w:sz w:val="20"/>
        </w:rPr>
      </w:pPr>
      <w:r w:rsidRPr="00D6638C">
        <w:rPr>
          <w:rFonts w:ascii="Calibri" w:hAnsi="Calibri"/>
          <w:sz w:val="20"/>
        </w:rPr>
        <w:t xml:space="preserve">The total duration of the evaluation will be </w:t>
      </w:r>
      <w:r w:rsidRPr="00CC48C1">
        <w:rPr>
          <w:rFonts w:ascii="Calibri" w:hAnsi="Calibri"/>
          <w:sz w:val="20"/>
        </w:rPr>
        <w:t xml:space="preserve">25 </w:t>
      </w:r>
      <w:r w:rsidRPr="00D6638C">
        <w:rPr>
          <w:rFonts w:ascii="Calibri" w:hAnsi="Calibri"/>
          <w:sz w:val="20"/>
        </w:rPr>
        <w:t xml:space="preserve">days according to the following plan: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3387"/>
        <w:gridCol w:w="2965"/>
      </w:tblGrid>
      <w:tr w:rsidR="00BA3505" w:rsidRPr="00D6638C" w14:paraId="2BB8CD1E" w14:textId="77777777" w:rsidTr="00BA3505">
        <w:trPr>
          <w:trHeight w:val="440"/>
        </w:trPr>
        <w:tc>
          <w:tcPr>
            <w:tcW w:w="2795" w:type="dxa"/>
            <w:shd w:val="clear" w:color="auto" w:fill="7F7F7F"/>
          </w:tcPr>
          <w:p w14:paraId="1EA86877" w14:textId="77777777" w:rsidR="00BA3505" w:rsidRPr="00D6638C" w:rsidRDefault="00BA3505" w:rsidP="00BA3505">
            <w:pPr>
              <w:jc w:val="center"/>
              <w:rPr>
                <w:rFonts w:ascii="Calibri" w:hAnsi="Calibri"/>
                <w:b/>
                <w:color w:val="FFFFFF"/>
                <w:sz w:val="20"/>
              </w:rPr>
            </w:pPr>
            <w:r w:rsidRPr="00D6638C">
              <w:rPr>
                <w:rFonts w:ascii="Calibri" w:hAnsi="Calibri"/>
                <w:b/>
                <w:color w:val="FFFFFF"/>
                <w:sz w:val="20"/>
              </w:rPr>
              <w:t>Activity</w:t>
            </w:r>
          </w:p>
        </w:tc>
        <w:tc>
          <w:tcPr>
            <w:tcW w:w="3403" w:type="dxa"/>
            <w:shd w:val="clear" w:color="auto" w:fill="7F7F7F"/>
          </w:tcPr>
          <w:p w14:paraId="3DBC5AE6" w14:textId="77777777" w:rsidR="00BA3505" w:rsidRPr="00D6638C" w:rsidRDefault="00BA3505" w:rsidP="00BA3505">
            <w:pPr>
              <w:jc w:val="center"/>
              <w:rPr>
                <w:rFonts w:ascii="Calibri" w:hAnsi="Calibri"/>
                <w:color w:val="FFFFFF"/>
                <w:sz w:val="20"/>
              </w:rPr>
            </w:pPr>
            <w:r w:rsidRPr="00D6638C">
              <w:rPr>
                <w:rFonts w:ascii="Calibri" w:hAnsi="Calibri"/>
                <w:color w:val="FFFFFF"/>
                <w:sz w:val="20"/>
              </w:rPr>
              <w:t>Timing</w:t>
            </w:r>
          </w:p>
        </w:tc>
        <w:tc>
          <w:tcPr>
            <w:tcW w:w="2980" w:type="dxa"/>
            <w:shd w:val="clear" w:color="auto" w:fill="7F7F7F"/>
          </w:tcPr>
          <w:p w14:paraId="7DF7EFD5" w14:textId="77777777" w:rsidR="00BA3505" w:rsidRPr="00D6638C" w:rsidRDefault="00BA3505" w:rsidP="00BA3505">
            <w:pPr>
              <w:jc w:val="center"/>
              <w:rPr>
                <w:rFonts w:ascii="Calibri" w:hAnsi="Calibri"/>
                <w:color w:val="FFFFFF"/>
                <w:sz w:val="20"/>
              </w:rPr>
            </w:pPr>
            <w:r w:rsidRPr="00D6638C">
              <w:rPr>
                <w:rFonts w:ascii="Calibri" w:hAnsi="Calibri"/>
                <w:color w:val="FFFFFF"/>
                <w:sz w:val="20"/>
              </w:rPr>
              <w:t>Completion Date</w:t>
            </w:r>
          </w:p>
        </w:tc>
      </w:tr>
      <w:tr w:rsidR="00BA3505" w:rsidRPr="00BD0DF2" w14:paraId="45255F21" w14:textId="77777777" w:rsidTr="00BA3505">
        <w:tc>
          <w:tcPr>
            <w:tcW w:w="2795" w:type="dxa"/>
          </w:tcPr>
          <w:p w14:paraId="6BA1D2C9" w14:textId="77777777" w:rsidR="00BA3505" w:rsidRPr="00BD0DF2" w:rsidRDefault="00BA3505" w:rsidP="00BA3505">
            <w:pPr>
              <w:rPr>
                <w:rFonts w:ascii="Calibri" w:hAnsi="Calibri"/>
                <w:b/>
                <w:sz w:val="20"/>
              </w:rPr>
            </w:pPr>
            <w:r w:rsidRPr="00BD0DF2">
              <w:rPr>
                <w:rFonts w:ascii="Calibri" w:hAnsi="Calibri"/>
                <w:b/>
                <w:sz w:val="20"/>
              </w:rPr>
              <w:t>Preparation</w:t>
            </w:r>
          </w:p>
        </w:tc>
        <w:tc>
          <w:tcPr>
            <w:tcW w:w="3403" w:type="dxa"/>
          </w:tcPr>
          <w:p w14:paraId="3A204F86" w14:textId="77777777" w:rsidR="00BA3505" w:rsidRPr="00BD0DF2" w:rsidRDefault="00BA3505" w:rsidP="00BA3505">
            <w:pPr>
              <w:rPr>
                <w:rFonts w:ascii="Calibri" w:hAnsi="Calibri"/>
                <w:b/>
                <w:sz w:val="20"/>
              </w:rPr>
            </w:pPr>
            <w:r w:rsidRPr="00BD0DF2">
              <w:rPr>
                <w:rFonts w:ascii="Calibri" w:hAnsi="Calibri"/>
                <w:i/>
                <w:sz w:val="20"/>
                <w:highlight w:val="lightGray"/>
              </w:rPr>
              <w:t>3</w:t>
            </w:r>
            <w:r w:rsidRPr="00BD0DF2">
              <w:rPr>
                <w:rFonts w:ascii="Calibri" w:hAnsi="Calibri"/>
                <w:sz w:val="20"/>
              </w:rPr>
              <w:t xml:space="preserve"> days </w:t>
            </w:r>
            <w:r w:rsidRPr="00BD0DF2">
              <w:rPr>
                <w:rFonts w:ascii="Calibri" w:hAnsi="Calibri"/>
                <w:i/>
                <w:sz w:val="20"/>
              </w:rPr>
              <w:t>(</w:t>
            </w:r>
            <w:r w:rsidRPr="00BD0DF2">
              <w:rPr>
                <w:rFonts w:ascii="Calibri" w:hAnsi="Calibri"/>
                <w:i/>
                <w:sz w:val="20"/>
                <w:highlight w:val="lightGray"/>
              </w:rPr>
              <w:t>recommended: 2-4)</w:t>
            </w:r>
          </w:p>
        </w:tc>
        <w:tc>
          <w:tcPr>
            <w:tcW w:w="2980" w:type="dxa"/>
          </w:tcPr>
          <w:p w14:paraId="04978DBE" w14:textId="77777777" w:rsidR="00BA3505" w:rsidRPr="00BD0DF2" w:rsidRDefault="00BA3505" w:rsidP="00BA3505">
            <w:pPr>
              <w:rPr>
                <w:rFonts w:ascii="Calibri" w:hAnsi="Calibri"/>
                <w:i/>
                <w:sz w:val="20"/>
                <w:highlight w:val="lightGray"/>
              </w:rPr>
            </w:pPr>
            <w:r w:rsidRPr="00BD0DF2">
              <w:rPr>
                <w:rFonts w:ascii="Calibri" w:hAnsi="Calibri"/>
                <w:i/>
                <w:sz w:val="20"/>
                <w:highlight w:val="lightGray"/>
              </w:rPr>
              <w:t>01.10.2018</w:t>
            </w:r>
          </w:p>
        </w:tc>
      </w:tr>
      <w:tr w:rsidR="00BA3505" w:rsidRPr="00BD0DF2" w14:paraId="5C4B29D5" w14:textId="77777777" w:rsidTr="00BA3505">
        <w:tc>
          <w:tcPr>
            <w:tcW w:w="2795" w:type="dxa"/>
          </w:tcPr>
          <w:p w14:paraId="45BF5C2A" w14:textId="77777777" w:rsidR="00BA3505" w:rsidRPr="00BD0DF2" w:rsidRDefault="00BA3505" w:rsidP="00BA3505">
            <w:pPr>
              <w:rPr>
                <w:rFonts w:ascii="Calibri" w:hAnsi="Calibri"/>
                <w:b/>
                <w:sz w:val="20"/>
              </w:rPr>
            </w:pPr>
            <w:r w:rsidRPr="00BD0DF2">
              <w:rPr>
                <w:rFonts w:ascii="Calibri" w:hAnsi="Calibri"/>
                <w:b/>
                <w:sz w:val="20"/>
              </w:rPr>
              <w:t>Evaluation Mission</w:t>
            </w:r>
          </w:p>
        </w:tc>
        <w:tc>
          <w:tcPr>
            <w:tcW w:w="3403" w:type="dxa"/>
          </w:tcPr>
          <w:p w14:paraId="593F95AB" w14:textId="77777777" w:rsidR="00BA3505" w:rsidRPr="00BD0DF2" w:rsidRDefault="00BA3505" w:rsidP="00BA3505">
            <w:pPr>
              <w:rPr>
                <w:rFonts w:ascii="Calibri" w:hAnsi="Calibri"/>
                <w:b/>
                <w:sz w:val="20"/>
              </w:rPr>
            </w:pPr>
            <w:r w:rsidRPr="00BD0DF2">
              <w:rPr>
                <w:rFonts w:ascii="Calibri" w:hAnsi="Calibri"/>
                <w:sz w:val="20"/>
              </w:rPr>
              <w:t>1</w:t>
            </w:r>
            <w:r>
              <w:rPr>
                <w:rFonts w:ascii="Calibri" w:hAnsi="Calibri"/>
                <w:sz w:val="20"/>
              </w:rPr>
              <w:t>2</w:t>
            </w:r>
            <w:r w:rsidRPr="00BD0DF2">
              <w:rPr>
                <w:rFonts w:ascii="Calibri" w:hAnsi="Calibri"/>
                <w:sz w:val="20"/>
              </w:rPr>
              <w:t xml:space="preserve"> days (</w:t>
            </w:r>
            <w:r w:rsidRPr="00BD0DF2">
              <w:rPr>
                <w:rFonts w:ascii="Calibri" w:hAnsi="Calibri"/>
                <w:i/>
                <w:sz w:val="20"/>
                <w:highlight w:val="lightGray"/>
              </w:rPr>
              <w:t>r: 7-15)</w:t>
            </w:r>
          </w:p>
        </w:tc>
        <w:tc>
          <w:tcPr>
            <w:tcW w:w="2980" w:type="dxa"/>
          </w:tcPr>
          <w:p w14:paraId="775D95DD" w14:textId="77777777" w:rsidR="00BA3505" w:rsidRPr="00BD0DF2" w:rsidRDefault="00BA3505" w:rsidP="00BA3505">
            <w:pPr>
              <w:rPr>
                <w:rFonts w:ascii="Calibri" w:hAnsi="Calibri"/>
                <w:i/>
                <w:sz w:val="20"/>
                <w:highlight w:val="lightGray"/>
              </w:rPr>
            </w:pPr>
            <w:r w:rsidRPr="00BD0DF2">
              <w:rPr>
                <w:rFonts w:ascii="Calibri" w:hAnsi="Calibri"/>
                <w:i/>
                <w:sz w:val="20"/>
                <w:highlight w:val="lightGray"/>
              </w:rPr>
              <w:t>31.10.2018</w:t>
            </w:r>
          </w:p>
        </w:tc>
      </w:tr>
      <w:tr w:rsidR="00BA3505" w:rsidRPr="00BD0DF2" w14:paraId="3173ED84" w14:textId="77777777" w:rsidTr="00BA3505">
        <w:tc>
          <w:tcPr>
            <w:tcW w:w="2795" w:type="dxa"/>
          </w:tcPr>
          <w:p w14:paraId="4A90B59B" w14:textId="77777777" w:rsidR="00BA3505" w:rsidRPr="00BD0DF2" w:rsidRDefault="00BA3505" w:rsidP="00BA3505">
            <w:pPr>
              <w:rPr>
                <w:rFonts w:ascii="Calibri" w:hAnsi="Calibri"/>
                <w:b/>
                <w:sz w:val="20"/>
              </w:rPr>
            </w:pPr>
            <w:r w:rsidRPr="00BD0DF2">
              <w:rPr>
                <w:rFonts w:ascii="Calibri" w:hAnsi="Calibri"/>
                <w:b/>
                <w:sz w:val="20"/>
              </w:rPr>
              <w:t>Draft Evaluation Report</w:t>
            </w:r>
          </w:p>
        </w:tc>
        <w:tc>
          <w:tcPr>
            <w:tcW w:w="3403" w:type="dxa"/>
          </w:tcPr>
          <w:p w14:paraId="2C93E45C" w14:textId="77777777" w:rsidR="00BA3505" w:rsidRPr="00BD0DF2" w:rsidRDefault="00BA3505" w:rsidP="00BA3505">
            <w:pPr>
              <w:rPr>
                <w:rFonts w:ascii="Calibri" w:hAnsi="Calibri"/>
                <w:b/>
                <w:sz w:val="20"/>
              </w:rPr>
            </w:pPr>
            <w:r>
              <w:rPr>
                <w:rFonts w:ascii="Calibri" w:hAnsi="Calibri"/>
                <w:sz w:val="20"/>
              </w:rPr>
              <w:t>8</w:t>
            </w:r>
            <w:r w:rsidRPr="00BD0DF2">
              <w:rPr>
                <w:rFonts w:ascii="Calibri" w:hAnsi="Calibri"/>
                <w:sz w:val="20"/>
              </w:rPr>
              <w:t xml:space="preserve"> days (</w:t>
            </w:r>
            <w:r w:rsidRPr="00BD0DF2">
              <w:rPr>
                <w:rFonts w:ascii="Calibri" w:hAnsi="Calibri"/>
                <w:i/>
                <w:sz w:val="20"/>
                <w:highlight w:val="lightGray"/>
                <w:shd w:val="clear" w:color="auto" w:fill="FFFFFF"/>
              </w:rPr>
              <w:t>r: 5-10</w:t>
            </w:r>
            <w:r w:rsidRPr="00BD0DF2">
              <w:rPr>
                <w:rFonts w:ascii="Calibri" w:hAnsi="Calibri"/>
                <w:sz w:val="20"/>
                <w:highlight w:val="lightGray"/>
                <w:shd w:val="clear" w:color="auto" w:fill="FFFFFF"/>
              </w:rPr>
              <w:t>)</w:t>
            </w:r>
          </w:p>
        </w:tc>
        <w:tc>
          <w:tcPr>
            <w:tcW w:w="2980" w:type="dxa"/>
          </w:tcPr>
          <w:p w14:paraId="40AC6A39" w14:textId="77777777" w:rsidR="00BA3505" w:rsidRPr="00BD0DF2" w:rsidRDefault="00BA3505" w:rsidP="00BA3505">
            <w:pPr>
              <w:rPr>
                <w:rFonts w:ascii="Calibri" w:hAnsi="Calibri"/>
                <w:i/>
                <w:sz w:val="20"/>
                <w:highlight w:val="lightGray"/>
              </w:rPr>
            </w:pPr>
            <w:r w:rsidRPr="00BD0DF2">
              <w:rPr>
                <w:rFonts w:ascii="Calibri" w:hAnsi="Calibri"/>
                <w:i/>
                <w:sz w:val="20"/>
                <w:highlight w:val="lightGray"/>
              </w:rPr>
              <w:t>20.11.2018</w:t>
            </w:r>
          </w:p>
        </w:tc>
      </w:tr>
      <w:tr w:rsidR="00BA3505" w:rsidRPr="00BD0DF2" w14:paraId="41A41850" w14:textId="77777777" w:rsidTr="00BA3505">
        <w:tc>
          <w:tcPr>
            <w:tcW w:w="2795" w:type="dxa"/>
          </w:tcPr>
          <w:p w14:paraId="476BAE81" w14:textId="77777777" w:rsidR="00BA3505" w:rsidRPr="00BD0DF2" w:rsidRDefault="00BA3505" w:rsidP="00BA3505">
            <w:pPr>
              <w:rPr>
                <w:rFonts w:ascii="Calibri" w:hAnsi="Calibri"/>
                <w:b/>
                <w:sz w:val="20"/>
              </w:rPr>
            </w:pPr>
            <w:r w:rsidRPr="00BD0DF2">
              <w:rPr>
                <w:rFonts w:ascii="Calibri" w:hAnsi="Calibri"/>
                <w:b/>
                <w:sz w:val="20"/>
              </w:rPr>
              <w:t>Final Report</w:t>
            </w:r>
          </w:p>
        </w:tc>
        <w:tc>
          <w:tcPr>
            <w:tcW w:w="3403" w:type="dxa"/>
          </w:tcPr>
          <w:p w14:paraId="091264A2" w14:textId="77777777" w:rsidR="00BA3505" w:rsidRPr="00BD0DF2" w:rsidRDefault="00BA3505" w:rsidP="00BA3505">
            <w:pPr>
              <w:rPr>
                <w:rFonts w:ascii="Calibri" w:hAnsi="Calibri"/>
                <w:sz w:val="20"/>
              </w:rPr>
            </w:pPr>
            <w:r w:rsidRPr="00BD0DF2">
              <w:rPr>
                <w:rFonts w:ascii="Calibri" w:hAnsi="Calibri"/>
                <w:sz w:val="20"/>
              </w:rPr>
              <w:t xml:space="preserve">2 days </w:t>
            </w:r>
            <w:r w:rsidRPr="00BD0DF2">
              <w:rPr>
                <w:rFonts w:ascii="Calibri" w:hAnsi="Calibri"/>
                <w:i/>
                <w:sz w:val="20"/>
                <w:highlight w:val="lightGray"/>
              </w:rPr>
              <w:t>(r;: 1-2</w:t>
            </w:r>
            <w:r w:rsidRPr="00BD0DF2">
              <w:rPr>
                <w:rFonts w:ascii="Calibri" w:hAnsi="Calibri"/>
                <w:sz w:val="20"/>
                <w:highlight w:val="lightGray"/>
              </w:rPr>
              <w:t>)</w:t>
            </w:r>
          </w:p>
        </w:tc>
        <w:tc>
          <w:tcPr>
            <w:tcW w:w="2980" w:type="dxa"/>
          </w:tcPr>
          <w:p w14:paraId="21AB3F32" w14:textId="77777777" w:rsidR="00BA3505" w:rsidRPr="00BD0DF2" w:rsidRDefault="00BA3505" w:rsidP="00BA3505">
            <w:pPr>
              <w:rPr>
                <w:rFonts w:ascii="Calibri" w:hAnsi="Calibri"/>
                <w:i/>
                <w:sz w:val="20"/>
                <w:highlight w:val="lightGray"/>
              </w:rPr>
            </w:pPr>
            <w:r w:rsidRPr="00BD0DF2">
              <w:rPr>
                <w:rFonts w:ascii="Calibri" w:hAnsi="Calibri"/>
                <w:i/>
                <w:sz w:val="20"/>
                <w:highlight w:val="lightGray"/>
              </w:rPr>
              <w:t>15.12.2018</w:t>
            </w:r>
          </w:p>
        </w:tc>
      </w:tr>
    </w:tbl>
    <w:p w14:paraId="4F4582EA" w14:textId="77777777" w:rsidR="00BA3505" w:rsidRDefault="00BA3505" w:rsidP="00BA3505">
      <w:pPr>
        <w:pStyle w:val="Heading31"/>
      </w:pPr>
      <w:bookmarkStart w:id="194" w:name="_Toc299133045"/>
      <w:bookmarkStart w:id="195" w:name="_Toc321341557"/>
      <w:bookmarkStart w:id="196" w:name="_Toc299126622"/>
      <w:bookmarkStart w:id="197" w:name="_Toc299133048"/>
    </w:p>
    <w:p w14:paraId="38BC1A48" w14:textId="77777777" w:rsidR="00BA3505" w:rsidRDefault="00BA3505" w:rsidP="00BA3505">
      <w:pPr>
        <w:rPr>
          <w:rFonts w:ascii="Calibri" w:hAnsi="Calibri" w:cs="DaunPenh"/>
          <w:b/>
          <w:caps/>
          <w:spacing w:val="10"/>
          <w:szCs w:val="22"/>
          <w:lang w:val="en-US" w:bidi="en-US"/>
        </w:rPr>
      </w:pPr>
      <w:r>
        <w:br w:type="page"/>
      </w:r>
    </w:p>
    <w:p w14:paraId="23491CBE" w14:textId="77777777" w:rsidR="00BA3505" w:rsidRPr="00BD0DF2" w:rsidRDefault="00BA3505" w:rsidP="00BA3505">
      <w:pPr>
        <w:pStyle w:val="Heading31"/>
      </w:pPr>
      <w:r w:rsidRPr="00BD0DF2">
        <w:lastRenderedPageBreak/>
        <w:t>Evaluation deliverables</w:t>
      </w:r>
      <w:bookmarkEnd w:id="194"/>
      <w:bookmarkEnd w:id="195"/>
    </w:p>
    <w:p w14:paraId="46E05DAB" w14:textId="77777777" w:rsidR="00BA3505" w:rsidRPr="00D6638C" w:rsidRDefault="00BA3505" w:rsidP="00BA3505">
      <w:pPr>
        <w:spacing w:before="200" w:after="120"/>
        <w:rPr>
          <w:rFonts w:ascii="Calibri" w:hAnsi="Calibri"/>
          <w:sz w:val="20"/>
        </w:rPr>
      </w:pPr>
      <w:r w:rsidRPr="00D6638C">
        <w:rPr>
          <w:rFonts w:ascii="Calibri" w:hAnsi="Calibri"/>
          <w:sz w:val="20"/>
        </w:rPr>
        <w:t xml:space="preserve">The evaluation team is expected to deliver the following: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2615"/>
        <w:gridCol w:w="2731"/>
        <w:gridCol w:w="2504"/>
      </w:tblGrid>
      <w:tr w:rsidR="00BA3505" w:rsidRPr="00D6638C" w14:paraId="669BEC0C" w14:textId="77777777" w:rsidTr="00BA3505">
        <w:tc>
          <w:tcPr>
            <w:tcW w:w="1284" w:type="dxa"/>
            <w:shd w:val="clear" w:color="auto" w:fill="7F7F7F"/>
          </w:tcPr>
          <w:p w14:paraId="28764F40" w14:textId="77777777" w:rsidR="00BA3505" w:rsidRPr="00D6638C" w:rsidRDefault="00BA3505" w:rsidP="00BA3505">
            <w:pPr>
              <w:spacing w:before="200"/>
              <w:jc w:val="center"/>
              <w:rPr>
                <w:rFonts w:ascii="Calibri" w:hAnsi="Calibri"/>
                <w:color w:val="FFFFFF"/>
                <w:sz w:val="20"/>
              </w:rPr>
            </w:pPr>
            <w:r w:rsidRPr="00D6638C">
              <w:rPr>
                <w:rFonts w:ascii="Calibri" w:hAnsi="Calibri"/>
                <w:color w:val="FFFFFF"/>
                <w:sz w:val="20"/>
              </w:rPr>
              <w:t>Deliverable</w:t>
            </w:r>
          </w:p>
        </w:tc>
        <w:tc>
          <w:tcPr>
            <w:tcW w:w="2631" w:type="dxa"/>
            <w:shd w:val="clear" w:color="auto" w:fill="7F7F7F"/>
          </w:tcPr>
          <w:p w14:paraId="5DCB13D4" w14:textId="77777777" w:rsidR="00BA3505" w:rsidRPr="00D6638C" w:rsidRDefault="00BA3505" w:rsidP="00BA3505">
            <w:pPr>
              <w:spacing w:before="200"/>
              <w:jc w:val="center"/>
              <w:rPr>
                <w:rFonts w:ascii="Calibri" w:hAnsi="Calibri"/>
                <w:color w:val="FFFFFF"/>
                <w:sz w:val="20"/>
              </w:rPr>
            </w:pPr>
            <w:r w:rsidRPr="00D6638C">
              <w:rPr>
                <w:rFonts w:ascii="Calibri" w:hAnsi="Calibri"/>
                <w:color w:val="FFFFFF"/>
                <w:sz w:val="20"/>
              </w:rPr>
              <w:t xml:space="preserve">Content </w:t>
            </w:r>
          </w:p>
        </w:tc>
        <w:tc>
          <w:tcPr>
            <w:tcW w:w="2748" w:type="dxa"/>
            <w:shd w:val="clear" w:color="auto" w:fill="7F7F7F"/>
          </w:tcPr>
          <w:p w14:paraId="52C49417" w14:textId="77777777" w:rsidR="00BA3505" w:rsidRPr="00D6638C" w:rsidRDefault="00BA3505" w:rsidP="00BA3505">
            <w:pPr>
              <w:spacing w:before="200"/>
              <w:jc w:val="center"/>
              <w:rPr>
                <w:rFonts w:ascii="Calibri" w:hAnsi="Calibri"/>
                <w:color w:val="FFFFFF"/>
                <w:sz w:val="20"/>
              </w:rPr>
            </w:pPr>
            <w:r w:rsidRPr="00D6638C">
              <w:rPr>
                <w:rFonts w:ascii="Calibri" w:hAnsi="Calibri"/>
                <w:color w:val="FFFFFF"/>
                <w:sz w:val="20"/>
              </w:rPr>
              <w:t>Timing</w:t>
            </w:r>
          </w:p>
        </w:tc>
        <w:tc>
          <w:tcPr>
            <w:tcW w:w="2515" w:type="dxa"/>
            <w:shd w:val="clear" w:color="auto" w:fill="7F7F7F"/>
          </w:tcPr>
          <w:p w14:paraId="5A721BA8" w14:textId="77777777" w:rsidR="00BA3505" w:rsidRPr="00D6638C" w:rsidRDefault="00BA3505" w:rsidP="00BA3505">
            <w:pPr>
              <w:spacing w:before="200"/>
              <w:jc w:val="center"/>
              <w:rPr>
                <w:rFonts w:ascii="Calibri" w:hAnsi="Calibri"/>
                <w:color w:val="FFFFFF"/>
                <w:sz w:val="20"/>
              </w:rPr>
            </w:pPr>
            <w:r w:rsidRPr="00D6638C">
              <w:rPr>
                <w:rFonts w:ascii="Calibri" w:hAnsi="Calibri"/>
                <w:color w:val="FFFFFF"/>
                <w:sz w:val="20"/>
              </w:rPr>
              <w:t>Responsibilities</w:t>
            </w:r>
          </w:p>
        </w:tc>
      </w:tr>
      <w:tr w:rsidR="00BA3505" w:rsidRPr="00D6638C" w14:paraId="7F8014C2" w14:textId="77777777" w:rsidTr="00BA3505">
        <w:tc>
          <w:tcPr>
            <w:tcW w:w="1284" w:type="dxa"/>
          </w:tcPr>
          <w:p w14:paraId="06BB7768" w14:textId="77777777" w:rsidR="00BA3505" w:rsidRPr="00D6638C" w:rsidRDefault="00BA3505" w:rsidP="00BA3505">
            <w:pPr>
              <w:rPr>
                <w:rFonts w:ascii="Calibri" w:hAnsi="Calibri"/>
                <w:b/>
                <w:sz w:val="20"/>
              </w:rPr>
            </w:pPr>
            <w:r w:rsidRPr="00D6638C">
              <w:rPr>
                <w:rFonts w:ascii="Calibri" w:hAnsi="Calibri"/>
                <w:b/>
                <w:sz w:val="20"/>
              </w:rPr>
              <w:t>Inception Report</w:t>
            </w:r>
          </w:p>
        </w:tc>
        <w:tc>
          <w:tcPr>
            <w:tcW w:w="2631" w:type="dxa"/>
          </w:tcPr>
          <w:p w14:paraId="60E08B99" w14:textId="77777777" w:rsidR="00BA3505" w:rsidRPr="00D6638C" w:rsidRDefault="00BA3505" w:rsidP="00BA3505">
            <w:pPr>
              <w:rPr>
                <w:rFonts w:ascii="Calibri" w:hAnsi="Calibri"/>
                <w:sz w:val="20"/>
              </w:rPr>
            </w:pPr>
            <w:r w:rsidRPr="00D6638C">
              <w:rPr>
                <w:rFonts w:ascii="Calibri" w:hAnsi="Calibri"/>
                <w:sz w:val="20"/>
              </w:rPr>
              <w:t xml:space="preserve">Evaluator provides clarifications on timing and method </w:t>
            </w:r>
          </w:p>
        </w:tc>
        <w:tc>
          <w:tcPr>
            <w:tcW w:w="2748" w:type="dxa"/>
          </w:tcPr>
          <w:p w14:paraId="21585CFA" w14:textId="77777777" w:rsidR="00BA3505" w:rsidRPr="00D6638C" w:rsidRDefault="00BA3505" w:rsidP="00BA3505">
            <w:pPr>
              <w:rPr>
                <w:rFonts w:ascii="Calibri" w:hAnsi="Calibri"/>
                <w:sz w:val="20"/>
              </w:rPr>
            </w:pPr>
            <w:r w:rsidRPr="00D6638C">
              <w:rPr>
                <w:rFonts w:ascii="Calibri" w:hAnsi="Calibri"/>
                <w:sz w:val="20"/>
              </w:rPr>
              <w:t xml:space="preserve">No later than 2 weeks before the evaluation mission. </w:t>
            </w:r>
          </w:p>
        </w:tc>
        <w:tc>
          <w:tcPr>
            <w:tcW w:w="2515" w:type="dxa"/>
          </w:tcPr>
          <w:p w14:paraId="55F3A7FA" w14:textId="77777777" w:rsidR="00BA3505" w:rsidRPr="00D6638C" w:rsidRDefault="00BA3505" w:rsidP="00BA3505">
            <w:pPr>
              <w:rPr>
                <w:rFonts w:ascii="Calibri" w:hAnsi="Calibri"/>
                <w:sz w:val="20"/>
              </w:rPr>
            </w:pPr>
            <w:r w:rsidRPr="00D6638C">
              <w:rPr>
                <w:rFonts w:ascii="Calibri" w:hAnsi="Calibri"/>
                <w:sz w:val="20"/>
              </w:rPr>
              <w:t xml:space="preserve">Evaluator submits to UNDP CO </w:t>
            </w:r>
          </w:p>
        </w:tc>
      </w:tr>
      <w:tr w:rsidR="00BA3505" w:rsidRPr="00D6638C" w14:paraId="08EA5437" w14:textId="77777777" w:rsidTr="00BA3505">
        <w:tc>
          <w:tcPr>
            <w:tcW w:w="1284" w:type="dxa"/>
          </w:tcPr>
          <w:p w14:paraId="6FA948BD" w14:textId="77777777" w:rsidR="00BA3505" w:rsidRPr="00D6638C" w:rsidRDefault="00BA3505" w:rsidP="00BA3505">
            <w:pPr>
              <w:rPr>
                <w:rFonts w:ascii="Calibri" w:hAnsi="Calibri"/>
                <w:b/>
                <w:sz w:val="20"/>
              </w:rPr>
            </w:pPr>
            <w:r w:rsidRPr="00D6638C">
              <w:rPr>
                <w:rFonts w:ascii="Calibri" w:hAnsi="Calibri"/>
                <w:b/>
                <w:sz w:val="20"/>
              </w:rPr>
              <w:t>Presentation</w:t>
            </w:r>
          </w:p>
        </w:tc>
        <w:tc>
          <w:tcPr>
            <w:tcW w:w="2631" w:type="dxa"/>
          </w:tcPr>
          <w:p w14:paraId="4C587B03" w14:textId="77777777" w:rsidR="00BA3505" w:rsidRPr="00BD0DF2" w:rsidRDefault="00BA3505" w:rsidP="00BA3505">
            <w:pPr>
              <w:rPr>
                <w:rFonts w:ascii="Calibri" w:hAnsi="Calibri"/>
                <w:sz w:val="20"/>
              </w:rPr>
            </w:pPr>
            <w:r w:rsidRPr="00BD0DF2">
              <w:rPr>
                <w:rFonts w:ascii="Calibri" w:hAnsi="Calibri"/>
                <w:sz w:val="20"/>
              </w:rPr>
              <w:t xml:space="preserve">Initial Findings </w:t>
            </w:r>
          </w:p>
        </w:tc>
        <w:tc>
          <w:tcPr>
            <w:tcW w:w="2748" w:type="dxa"/>
          </w:tcPr>
          <w:p w14:paraId="797401C5" w14:textId="77777777" w:rsidR="00BA3505" w:rsidRPr="00BD0DF2" w:rsidRDefault="00BA3505" w:rsidP="00BA3505">
            <w:pPr>
              <w:rPr>
                <w:rFonts w:ascii="Calibri" w:hAnsi="Calibri"/>
                <w:sz w:val="20"/>
              </w:rPr>
            </w:pPr>
            <w:r w:rsidRPr="00BD0DF2">
              <w:rPr>
                <w:rFonts w:ascii="Calibri" w:hAnsi="Calibri"/>
                <w:sz w:val="20"/>
              </w:rPr>
              <w:t>End of evaluation mission</w:t>
            </w:r>
          </w:p>
        </w:tc>
        <w:tc>
          <w:tcPr>
            <w:tcW w:w="2515" w:type="dxa"/>
          </w:tcPr>
          <w:p w14:paraId="7274E10B" w14:textId="77777777" w:rsidR="00BA3505" w:rsidRPr="00BD0DF2" w:rsidRDefault="00BA3505" w:rsidP="00BA3505">
            <w:pPr>
              <w:rPr>
                <w:rFonts w:ascii="Calibri" w:hAnsi="Calibri"/>
                <w:sz w:val="20"/>
              </w:rPr>
            </w:pPr>
            <w:r w:rsidRPr="00BD0DF2">
              <w:rPr>
                <w:rFonts w:ascii="Calibri" w:hAnsi="Calibri"/>
                <w:sz w:val="20"/>
              </w:rPr>
              <w:t>To project management, UNDP CO and APA</w:t>
            </w:r>
          </w:p>
        </w:tc>
      </w:tr>
      <w:tr w:rsidR="00BA3505" w:rsidRPr="00D6638C" w14:paraId="1599D14E" w14:textId="77777777" w:rsidTr="00BA3505">
        <w:tc>
          <w:tcPr>
            <w:tcW w:w="1284" w:type="dxa"/>
          </w:tcPr>
          <w:p w14:paraId="20AD8724" w14:textId="77777777" w:rsidR="00BA3505" w:rsidRPr="00D6638C" w:rsidRDefault="00BA3505" w:rsidP="00BA3505">
            <w:pPr>
              <w:rPr>
                <w:rFonts w:ascii="Calibri" w:hAnsi="Calibri"/>
                <w:b/>
                <w:sz w:val="20"/>
              </w:rPr>
            </w:pPr>
            <w:r w:rsidRPr="00D6638C">
              <w:rPr>
                <w:rFonts w:ascii="Calibri" w:hAnsi="Calibri"/>
                <w:b/>
                <w:sz w:val="20"/>
              </w:rPr>
              <w:t xml:space="preserve">Draft Final Report </w:t>
            </w:r>
          </w:p>
        </w:tc>
        <w:tc>
          <w:tcPr>
            <w:tcW w:w="2631" w:type="dxa"/>
          </w:tcPr>
          <w:p w14:paraId="3C263CA8" w14:textId="77777777" w:rsidR="00BA3505" w:rsidRPr="00BD0DF2" w:rsidRDefault="00BA3505" w:rsidP="00BA3505">
            <w:pPr>
              <w:rPr>
                <w:rFonts w:ascii="Calibri" w:hAnsi="Calibri"/>
                <w:sz w:val="20"/>
              </w:rPr>
            </w:pPr>
            <w:r w:rsidRPr="00BD0DF2">
              <w:rPr>
                <w:rFonts w:ascii="Calibri" w:hAnsi="Calibri"/>
                <w:sz w:val="20"/>
              </w:rPr>
              <w:t>Full report, (per annexed template) with annexes</w:t>
            </w:r>
          </w:p>
        </w:tc>
        <w:tc>
          <w:tcPr>
            <w:tcW w:w="2748" w:type="dxa"/>
          </w:tcPr>
          <w:p w14:paraId="21F1C4F0" w14:textId="77777777" w:rsidR="00BA3505" w:rsidRPr="00BD0DF2" w:rsidRDefault="00BA3505" w:rsidP="00BA3505">
            <w:pPr>
              <w:rPr>
                <w:rFonts w:ascii="Calibri" w:hAnsi="Calibri"/>
                <w:sz w:val="20"/>
              </w:rPr>
            </w:pPr>
            <w:r w:rsidRPr="00BD0DF2">
              <w:rPr>
                <w:rFonts w:ascii="Calibri" w:hAnsi="Calibri"/>
                <w:sz w:val="20"/>
              </w:rPr>
              <w:t>Within 3 weeks of the evaluation mission</w:t>
            </w:r>
          </w:p>
        </w:tc>
        <w:tc>
          <w:tcPr>
            <w:tcW w:w="2515" w:type="dxa"/>
          </w:tcPr>
          <w:p w14:paraId="531CDEBD" w14:textId="77777777" w:rsidR="00BA3505" w:rsidRPr="00BD0DF2" w:rsidRDefault="00BA3505" w:rsidP="00BA3505">
            <w:pPr>
              <w:rPr>
                <w:rFonts w:ascii="Calibri" w:hAnsi="Calibri"/>
                <w:sz w:val="20"/>
              </w:rPr>
            </w:pPr>
            <w:r w:rsidRPr="00BD0DF2">
              <w:rPr>
                <w:rFonts w:ascii="Calibri" w:hAnsi="Calibri"/>
                <w:sz w:val="20"/>
              </w:rPr>
              <w:t xml:space="preserve">Sent to CO, reviewed by RTA, PCU, GEF OFPs, Project Implementing Partner (APA) </w:t>
            </w:r>
          </w:p>
        </w:tc>
      </w:tr>
      <w:tr w:rsidR="00BA3505" w:rsidRPr="00D6638C" w14:paraId="5FF5A700" w14:textId="77777777" w:rsidTr="00BA3505">
        <w:tc>
          <w:tcPr>
            <w:tcW w:w="1284" w:type="dxa"/>
          </w:tcPr>
          <w:p w14:paraId="48FF4C3E" w14:textId="77777777" w:rsidR="00BA3505" w:rsidRPr="00D6638C" w:rsidRDefault="00BA3505" w:rsidP="00BA3505">
            <w:pPr>
              <w:rPr>
                <w:rFonts w:ascii="Calibri" w:hAnsi="Calibri"/>
                <w:b/>
                <w:sz w:val="20"/>
              </w:rPr>
            </w:pPr>
            <w:r w:rsidRPr="00D6638C">
              <w:rPr>
                <w:rFonts w:ascii="Calibri" w:hAnsi="Calibri"/>
                <w:b/>
                <w:sz w:val="20"/>
              </w:rPr>
              <w:t>Final Report*</w:t>
            </w:r>
          </w:p>
        </w:tc>
        <w:tc>
          <w:tcPr>
            <w:tcW w:w="2631" w:type="dxa"/>
          </w:tcPr>
          <w:p w14:paraId="051CB521" w14:textId="77777777" w:rsidR="00BA3505" w:rsidRPr="00BD0DF2" w:rsidRDefault="00BA3505" w:rsidP="00BA3505">
            <w:pPr>
              <w:rPr>
                <w:rFonts w:ascii="Calibri" w:hAnsi="Calibri"/>
                <w:sz w:val="20"/>
              </w:rPr>
            </w:pPr>
            <w:r w:rsidRPr="00BD0DF2">
              <w:rPr>
                <w:rFonts w:ascii="Calibri" w:hAnsi="Calibri"/>
                <w:sz w:val="20"/>
              </w:rPr>
              <w:t xml:space="preserve">Revised report </w:t>
            </w:r>
          </w:p>
        </w:tc>
        <w:tc>
          <w:tcPr>
            <w:tcW w:w="2748" w:type="dxa"/>
          </w:tcPr>
          <w:p w14:paraId="395D54DB" w14:textId="77777777" w:rsidR="00BA3505" w:rsidRPr="00BD0DF2" w:rsidRDefault="00BA3505" w:rsidP="00BA3505">
            <w:pPr>
              <w:rPr>
                <w:rFonts w:ascii="Calibri" w:hAnsi="Calibri"/>
                <w:sz w:val="20"/>
              </w:rPr>
            </w:pPr>
            <w:r w:rsidRPr="00BD0DF2">
              <w:rPr>
                <w:rFonts w:ascii="Calibri" w:hAnsi="Calibri"/>
                <w:sz w:val="20"/>
              </w:rPr>
              <w:t xml:space="preserve">Within 2 weeks of receiving UNDP and other stakeholder comments on draft </w:t>
            </w:r>
          </w:p>
        </w:tc>
        <w:tc>
          <w:tcPr>
            <w:tcW w:w="2515" w:type="dxa"/>
          </w:tcPr>
          <w:p w14:paraId="4C8D334B" w14:textId="77777777" w:rsidR="00BA3505" w:rsidRPr="00BD0DF2" w:rsidRDefault="00BA3505" w:rsidP="00BA3505">
            <w:pPr>
              <w:rPr>
                <w:rFonts w:ascii="Calibri" w:hAnsi="Calibri"/>
                <w:sz w:val="20"/>
              </w:rPr>
            </w:pPr>
            <w:r w:rsidRPr="00BD0DF2">
              <w:rPr>
                <w:rFonts w:ascii="Calibri" w:hAnsi="Calibri"/>
                <w:sz w:val="20"/>
              </w:rPr>
              <w:t xml:space="preserve">Sent to CO for uploading to UNDP ERC. </w:t>
            </w:r>
          </w:p>
        </w:tc>
      </w:tr>
    </w:tbl>
    <w:p w14:paraId="6E149446" w14:textId="77777777" w:rsidR="00BA3505" w:rsidRPr="00D6638C" w:rsidRDefault="00BA3505" w:rsidP="00BA3505">
      <w:pPr>
        <w:spacing w:before="200"/>
        <w:jc w:val="both"/>
        <w:rPr>
          <w:rFonts w:ascii="Calibri" w:hAnsi="Calibri"/>
          <w:sz w:val="20"/>
        </w:rPr>
      </w:pPr>
      <w:r>
        <w:rPr>
          <w:rFonts w:ascii="Calibri" w:hAnsi="Calibri"/>
          <w:sz w:val="20"/>
        </w:rPr>
        <w:t>*</w:t>
      </w:r>
      <w:r w:rsidRPr="00D6638C">
        <w:rPr>
          <w:rFonts w:ascii="Calibri" w:hAnsi="Calibri"/>
          <w:sz w:val="20"/>
        </w:rPr>
        <w:t xml:space="preserve">When submitting the final evaluation report, the evaluator is required also to provide an 'audit trail', detailing how all received comments have (and have not) been addressed in the final evaluation </w:t>
      </w:r>
      <w:bookmarkEnd w:id="196"/>
      <w:bookmarkEnd w:id="197"/>
      <w:r w:rsidRPr="00D6638C">
        <w:rPr>
          <w:rFonts w:ascii="Calibri" w:hAnsi="Calibri"/>
          <w:sz w:val="20"/>
        </w:rPr>
        <w:t xml:space="preserve">report. </w:t>
      </w:r>
    </w:p>
    <w:p w14:paraId="26892323" w14:textId="77777777" w:rsidR="00BA3505" w:rsidRPr="00D6638C" w:rsidRDefault="00BA3505" w:rsidP="00BA3505">
      <w:pPr>
        <w:pStyle w:val="Heading51"/>
      </w:pPr>
      <w:bookmarkStart w:id="198" w:name="_Toc321341558"/>
      <w:r w:rsidRPr="00D6638C">
        <w:t>Team Composition</w:t>
      </w:r>
      <w:bookmarkEnd w:id="198"/>
    </w:p>
    <w:p w14:paraId="7615CA28" w14:textId="77777777" w:rsidR="00BA3505" w:rsidRPr="00D6638C" w:rsidRDefault="00BA3505" w:rsidP="00BA3505">
      <w:pPr>
        <w:spacing w:before="200"/>
        <w:rPr>
          <w:rFonts w:ascii="Calibri" w:hAnsi="Calibri"/>
          <w:sz w:val="20"/>
        </w:rPr>
      </w:pPr>
      <w:r w:rsidRPr="00D6638C">
        <w:rPr>
          <w:rFonts w:ascii="Calibri" w:hAnsi="Calibri"/>
          <w:sz w:val="20"/>
        </w:rPr>
        <w:t>The evaluation team will be composed of</w:t>
      </w:r>
      <w:r>
        <w:rPr>
          <w:rFonts w:ascii="Calibri" w:hAnsi="Calibri"/>
          <w:sz w:val="20"/>
        </w:rPr>
        <w:t xml:space="preserve"> 1 international evaluator (team leader) and 1 national evaluator.</w:t>
      </w:r>
      <w:r w:rsidRPr="00D6638C">
        <w:rPr>
          <w:rFonts w:ascii="Calibri" w:hAnsi="Calibri"/>
          <w:sz w:val="20"/>
        </w:rPr>
        <w:t xml:space="preserve">  The consultants shall have prior experience in evaluating similar projects.  Experience with GEF financed projects is an advantage</w:t>
      </w:r>
      <w:r>
        <w:rPr>
          <w:rFonts w:ascii="Calibri" w:hAnsi="Calibri"/>
          <w:sz w:val="20"/>
        </w:rPr>
        <w:t xml:space="preserve">. </w:t>
      </w:r>
      <w:r w:rsidRPr="00D6638C">
        <w:rPr>
          <w:rFonts w:ascii="Calibri" w:hAnsi="Calibri"/>
          <w:sz w:val="20"/>
        </w:rPr>
        <w:t>The evaluators selected should not have participated in the project preparation and/or implementation and should not have conflict of interest with project related activities.</w:t>
      </w:r>
    </w:p>
    <w:p w14:paraId="3CF95592" w14:textId="77777777" w:rsidR="00BA3505" w:rsidRPr="00D6638C" w:rsidRDefault="00BA3505" w:rsidP="00BA3505">
      <w:pPr>
        <w:spacing w:before="200"/>
        <w:rPr>
          <w:rFonts w:ascii="Calibri" w:hAnsi="Calibri"/>
          <w:sz w:val="20"/>
        </w:rPr>
      </w:pPr>
      <w:r w:rsidRPr="00D6638C">
        <w:rPr>
          <w:rFonts w:ascii="Calibri" w:hAnsi="Calibri"/>
          <w:sz w:val="20"/>
        </w:rPr>
        <w:t xml:space="preserve">The </w:t>
      </w:r>
      <w:r>
        <w:rPr>
          <w:rFonts w:ascii="Calibri" w:hAnsi="Calibri"/>
          <w:sz w:val="20"/>
        </w:rPr>
        <w:t xml:space="preserve">international evaluator (team leader) </w:t>
      </w:r>
      <w:r w:rsidRPr="00D6638C">
        <w:rPr>
          <w:rFonts w:ascii="Calibri" w:hAnsi="Calibri"/>
          <w:sz w:val="20"/>
        </w:rPr>
        <w:t>must present the following qualifications:</w:t>
      </w:r>
    </w:p>
    <w:p w14:paraId="44549163" w14:textId="77777777" w:rsidR="00BA3505" w:rsidRPr="00BD0DF2" w:rsidRDefault="00BA3505" w:rsidP="00BA3505">
      <w:pPr>
        <w:numPr>
          <w:ilvl w:val="0"/>
          <w:numId w:val="46"/>
        </w:numPr>
        <w:overflowPunct/>
        <w:autoSpaceDE/>
        <w:autoSpaceDN/>
        <w:adjustRightInd/>
        <w:textAlignment w:val="auto"/>
        <w:rPr>
          <w:rFonts w:ascii="Calibri" w:hAnsi="Calibri"/>
          <w:sz w:val="20"/>
        </w:rPr>
      </w:pPr>
      <w:r>
        <w:rPr>
          <w:rFonts w:ascii="Calibri" w:hAnsi="Calibri"/>
          <w:sz w:val="20"/>
        </w:rPr>
        <w:t xml:space="preserve">Proven </w:t>
      </w:r>
      <w:r w:rsidRPr="00BD0DF2">
        <w:rPr>
          <w:rFonts w:ascii="Calibri" w:hAnsi="Calibri"/>
          <w:sz w:val="20"/>
        </w:rPr>
        <w:t>Technical knowledge in the targeted focal area(s) – Biodiversity conservation and specifically protected areas management (ideally including practical protected areas management experience or experience in projects supporting protected areas establishment/management)</w:t>
      </w:r>
    </w:p>
    <w:p w14:paraId="7B5A6A83" w14:textId="77777777" w:rsidR="00BA3505" w:rsidRPr="00BD0DF2" w:rsidRDefault="00BA3505" w:rsidP="00BA3505">
      <w:pPr>
        <w:numPr>
          <w:ilvl w:val="0"/>
          <w:numId w:val="46"/>
        </w:numPr>
        <w:overflowPunct/>
        <w:autoSpaceDE/>
        <w:autoSpaceDN/>
        <w:adjustRightInd/>
        <w:textAlignment w:val="auto"/>
        <w:rPr>
          <w:rFonts w:ascii="Calibri" w:hAnsi="Calibri"/>
          <w:sz w:val="20"/>
        </w:rPr>
      </w:pPr>
      <w:r w:rsidRPr="00BD0DF2">
        <w:rPr>
          <w:rFonts w:ascii="Calibri" w:hAnsi="Calibri"/>
          <w:sz w:val="20"/>
          <w:shd w:val="clear" w:color="auto" w:fill="FFFFFF"/>
        </w:rPr>
        <w:t xml:space="preserve">Minimum </w:t>
      </w:r>
      <w:r w:rsidRPr="00BD0DF2">
        <w:rPr>
          <w:rFonts w:ascii="Calibri" w:hAnsi="Calibri"/>
          <w:i/>
          <w:sz w:val="20"/>
          <w:highlight w:val="lightGray"/>
          <w:shd w:val="clear" w:color="auto" w:fill="FFFFFF"/>
        </w:rPr>
        <w:t xml:space="preserve">10 </w:t>
      </w:r>
      <w:r w:rsidRPr="00BD0DF2">
        <w:rPr>
          <w:rFonts w:ascii="Calibri" w:hAnsi="Calibri"/>
          <w:sz w:val="20"/>
          <w:shd w:val="clear" w:color="auto" w:fill="FFFFFF"/>
        </w:rPr>
        <w:t>years of</w:t>
      </w:r>
      <w:r w:rsidRPr="00BD0DF2">
        <w:rPr>
          <w:rFonts w:ascii="Calibri" w:hAnsi="Calibri"/>
          <w:sz w:val="20"/>
        </w:rPr>
        <w:t xml:space="preserve"> relevant professional experience</w:t>
      </w:r>
    </w:p>
    <w:p w14:paraId="56B524D7" w14:textId="77777777" w:rsidR="00BA3505" w:rsidRPr="00BD0DF2" w:rsidRDefault="00BA3505" w:rsidP="00BA3505">
      <w:pPr>
        <w:numPr>
          <w:ilvl w:val="0"/>
          <w:numId w:val="46"/>
        </w:numPr>
        <w:overflowPunct/>
        <w:autoSpaceDE/>
        <w:autoSpaceDN/>
        <w:adjustRightInd/>
        <w:textAlignment w:val="auto"/>
        <w:rPr>
          <w:rFonts w:ascii="Calibri" w:hAnsi="Calibri"/>
          <w:sz w:val="20"/>
        </w:rPr>
      </w:pPr>
      <w:r w:rsidRPr="00BD0DF2">
        <w:rPr>
          <w:rFonts w:ascii="Calibri" w:hAnsi="Calibri"/>
          <w:sz w:val="20"/>
        </w:rPr>
        <w:t xml:space="preserve">Knowledge of UNDP and GEF </w:t>
      </w:r>
      <w:r>
        <w:rPr>
          <w:rFonts w:ascii="Calibri" w:hAnsi="Calibri" w:cs="Calibri"/>
          <w:sz w:val="19"/>
          <w:szCs w:val="19"/>
        </w:rPr>
        <w:t>evaluation procedures</w:t>
      </w:r>
    </w:p>
    <w:p w14:paraId="7E5332AE" w14:textId="77777777" w:rsidR="00BA3505" w:rsidRDefault="00BA3505" w:rsidP="00BA3505">
      <w:pPr>
        <w:numPr>
          <w:ilvl w:val="0"/>
          <w:numId w:val="46"/>
        </w:numPr>
        <w:overflowPunct/>
        <w:autoSpaceDE/>
        <w:autoSpaceDN/>
        <w:adjustRightInd/>
        <w:textAlignment w:val="auto"/>
        <w:rPr>
          <w:rFonts w:ascii="Calibri" w:hAnsi="Calibri"/>
          <w:sz w:val="20"/>
        </w:rPr>
      </w:pPr>
      <w:r w:rsidRPr="00BD0DF2">
        <w:rPr>
          <w:rFonts w:ascii="Calibri" w:hAnsi="Calibri"/>
          <w:sz w:val="20"/>
        </w:rPr>
        <w:t>Previous experience with results‐based monitoring and evaluation methodologies;</w:t>
      </w:r>
    </w:p>
    <w:p w14:paraId="58CC3099" w14:textId="77777777" w:rsidR="00BA3505" w:rsidRPr="00BD0DF2" w:rsidRDefault="00BA3505" w:rsidP="00BA3505">
      <w:pPr>
        <w:numPr>
          <w:ilvl w:val="0"/>
          <w:numId w:val="46"/>
        </w:numPr>
        <w:overflowPunct/>
        <w:autoSpaceDE/>
        <w:autoSpaceDN/>
        <w:adjustRightInd/>
        <w:textAlignment w:val="auto"/>
        <w:rPr>
          <w:rFonts w:ascii="Calibri" w:hAnsi="Calibri"/>
          <w:sz w:val="20"/>
        </w:rPr>
      </w:pPr>
      <w:r>
        <w:rPr>
          <w:rFonts w:ascii="Calibri" w:hAnsi="Calibri" w:cs="Calibri"/>
          <w:sz w:val="19"/>
          <w:szCs w:val="19"/>
        </w:rPr>
        <w:t xml:space="preserve">At least 5 similar tasks completed </w:t>
      </w:r>
    </w:p>
    <w:p w14:paraId="2C71534C" w14:textId="77777777" w:rsidR="00BA3505" w:rsidRPr="00AF2C95" w:rsidRDefault="00BA3505" w:rsidP="00BA3505">
      <w:pPr>
        <w:pStyle w:val="ListParagraph"/>
        <w:numPr>
          <w:ilvl w:val="0"/>
          <w:numId w:val="46"/>
        </w:numPr>
        <w:autoSpaceDE w:val="0"/>
        <w:autoSpaceDN w:val="0"/>
        <w:adjustRightInd w:val="0"/>
        <w:spacing w:after="0" w:line="240" w:lineRule="auto"/>
        <w:rPr>
          <w:rFonts w:cs="Calibri"/>
          <w:sz w:val="19"/>
          <w:szCs w:val="19"/>
        </w:rPr>
      </w:pPr>
      <w:r w:rsidRPr="00AF2C95">
        <w:rPr>
          <w:rFonts w:cs="Calibri"/>
          <w:sz w:val="19"/>
          <w:szCs w:val="19"/>
        </w:rPr>
        <w:t>Excellent English is required,</w:t>
      </w:r>
    </w:p>
    <w:p w14:paraId="12954BCD" w14:textId="77777777" w:rsidR="00BA3505" w:rsidRDefault="00BA3505" w:rsidP="00BA3505">
      <w:pPr>
        <w:spacing w:before="60" w:after="60"/>
        <w:rPr>
          <w:rFonts w:ascii="Calibri" w:hAnsi="Calibri"/>
          <w:sz w:val="20"/>
        </w:rPr>
      </w:pPr>
    </w:p>
    <w:p w14:paraId="0489AC00" w14:textId="77777777" w:rsidR="00BA3505" w:rsidRPr="00BD0DF2" w:rsidRDefault="00BA3505" w:rsidP="00BA3505">
      <w:pPr>
        <w:spacing w:before="60" w:after="60"/>
        <w:contextualSpacing/>
        <w:rPr>
          <w:rFonts w:ascii="Calibri" w:hAnsi="Calibri"/>
          <w:sz w:val="20"/>
        </w:rPr>
      </w:pPr>
      <w:r w:rsidRPr="00BD0DF2">
        <w:rPr>
          <w:rFonts w:ascii="Calibri" w:hAnsi="Calibri"/>
          <w:sz w:val="20"/>
        </w:rPr>
        <w:t>Assets would include:</w:t>
      </w:r>
    </w:p>
    <w:p w14:paraId="30983C24" w14:textId="77777777" w:rsidR="00BA3505" w:rsidRPr="00BD0DF2" w:rsidRDefault="00BA3505" w:rsidP="00BA3505">
      <w:pPr>
        <w:numPr>
          <w:ilvl w:val="0"/>
          <w:numId w:val="46"/>
        </w:numPr>
        <w:overflowPunct/>
        <w:autoSpaceDE/>
        <w:autoSpaceDN/>
        <w:adjustRightInd/>
        <w:spacing w:after="60"/>
        <w:ind w:left="714" w:hanging="357"/>
        <w:contextualSpacing/>
        <w:textAlignment w:val="auto"/>
        <w:rPr>
          <w:sz w:val="20"/>
        </w:rPr>
      </w:pPr>
      <w:bookmarkStart w:id="199" w:name="_Toc278193977"/>
      <w:bookmarkStart w:id="200" w:name="_Toc299122835"/>
      <w:bookmarkStart w:id="201" w:name="_Toc299122857"/>
      <w:bookmarkStart w:id="202" w:name="_Toc299126624"/>
      <w:bookmarkStart w:id="203" w:name="_Toc299133050"/>
      <w:bookmarkStart w:id="204" w:name="_Toc321341559"/>
      <w:r w:rsidRPr="00BD0DF2">
        <w:rPr>
          <w:sz w:val="20"/>
        </w:rPr>
        <w:t>Experience of implementing GEF funded or relevant/ similar donor funded biodiversity projects.</w:t>
      </w:r>
    </w:p>
    <w:p w14:paraId="5B47F722" w14:textId="77777777" w:rsidR="00BA3505" w:rsidRDefault="00BA3505" w:rsidP="00BA3505">
      <w:pPr>
        <w:numPr>
          <w:ilvl w:val="0"/>
          <w:numId w:val="46"/>
        </w:numPr>
        <w:overflowPunct/>
        <w:autoSpaceDE/>
        <w:autoSpaceDN/>
        <w:adjustRightInd/>
        <w:spacing w:before="60" w:after="60"/>
        <w:textAlignment w:val="auto"/>
        <w:rPr>
          <w:sz w:val="20"/>
        </w:rPr>
      </w:pPr>
      <w:r w:rsidRPr="00BD0DF2">
        <w:rPr>
          <w:sz w:val="20"/>
        </w:rPr>
        <w:t>Experience in the CIS region and ideally in Georgia (relevant to Team Leader only)</w:t>
      </w:r>
    </w:p>
    <w:p w14:paraId="72E0CD2F" w14:textId="77777777" w:rsidR="00BA3505" w:rsidRDefault="00BA3505" w:rsidP="00BA3505">
      <w:pPr>
        <w:spacing w:before="60" w:after="60"/>
        <w:rPr>
          <w:sz w:val="20"/>
        </w:rPr>
      </w:pPr>
    </w:p>
    <w:p w14:paraId="352C6B40" w14:textId="77777777" w:rsidR="00BA3505" w:rsidRDefault="00BA3505" w:rsidP="00BA3505">
      <w:pPr>
        <w:contextualSpacing/>
        <w:rPr>
          <w:rFonts w:ascii="Calibri" w:hAnsi="Calibri" w:cs="Calibri"/>
          <w:sz w:val="19"/>
          <w:szCs w:val="19"/>
        </w:rPr>
      </w:pPr>
      <w:r>
        <w:rPr>
          <w:rFonts w:ascii="Calibri" w:hAnsi="Calibri" w:cs="Calibri"/>
          <w:sz w:val="19"/>
          <w:szCs w:val="19"/>
        </w:rPr>
        <w:t>Corporate competencies:</w:t>
      </w:r>
    </w:p>
    <w:p w14:paraId="041B54BD" w14:textId="77777777" w:rsidR="00BA3505" w:rsidRPr="00074847" w:rsidRDefault="00BA3505" w:rsidP="00BA3505">
      <w:pPr>
        <w:pStyle w:val="ListParagraph"/>
        <w:numPr>
          <w:ilvl w:val="0"/>
          <w:numId w:val="49"/>
        </w:numPr>
        <w:autoSpaceDE w:val="0"/>
        <w:autoSpaceDN w:val="0"/>
        <w:adjustRightInd w:val="0"/>
        <w:spacing w:after="0" w:line="240" w:lineRule="auto"/>
        <w:rPr>
          <w:rFonts w:cs="Calibri"/>
          <w:sz w:val="19"/>
          <w:szCs w:val="19"/>
        </w:rPr>
      </w:pPr>
      <w:r w:rsidRPr="00074847">
        <w:rPr>
          <w:rFonts w:cs="Calibri"/>
          <w:sz w:val="19"/>
          <w:szCs w:val="19"/>
        </w:rPr>
        <w:t>Demonstrates integrity by modeling the UN’s values and ethical standards,</w:t>
      </w:r>
    </w:p>
    <w:p w14:paraId="278E8C03" w14:textId="77777777" w:rsidR="00BA3505" w:rsidRPr="00074847" w:rsidRDefault="00BA3505" w:rsidP="00BA3505">
      <w:pPr>
        <w:pStyle w:val="ListParagraph"/>
        <w:numPr>
          <w:ilvl w:val="0"/>
          <w:numId w:val="49"/>
        </w:numPr>
        <w:autoSpaceDE w:val="0"/>
        <w:autoSpaceDN w:val="0"/>
        <w:adjustRightInd w:val="0"/>
        <w:spacing w:before="200" w:after="0" w:line="240" w:lineRule="auto"/>
        <w:rPr>
          <w:rFonts w:cs="Calibri"/>
          <w:sz w:val="19"/>
          <w:szCs w:val="19"/>
        </w:rPr>
      </w:pPr>
      <w:r w:rsidRPr="00074847">
        <w:rPr>
          <w:rFonts w:cs="Calibri"/>
          <w:sz w:val="19"/>
          <w:szCs w:val="19"/>
        </w:rPr>
        <w:t>Promotes the vision, mission, and strategic goals of UNDP,</w:t>
      </w:r>
    </w:p>
    <w:p w14:paraId="229E0F28" w14:textId="77777777" w:rsidR="00BA3505" w:rsidRPr="00074847" w:rsidRDefault="00BA3505" w:rsidP="00BA3505">
      <w:pPr>
        <w:pStyle w:val="ListParagraph"/>
        <w:numPr>
          <w:ilvl w:val="0"/>
          <w:numId w:val="49"/>
        </w:numPr>
        <w:autoSpaceDE w:val="0"/>
        <w:autoSpaceDN w:val="0"/>
        <w:adjustRightInd w:val="0"/>
        <w:spacing w:before="200" w:after="0" w:line="240" w:lineRule="auto"/>
        <w:rPr>
          <w:rFonts w:cs="Calibri"/>
          <w:sz w:val="19"/>
          <w:szCs w:val="19"/>
        </w:rPr>
      </w:pPr>
      <w:r w:rsidRPr="00074847">
        <w:rPr>
          <w:rFonts w:cs="Calibri"/>
          <w:sz w:val="19"/>
          <w:szCs w:val="19"/>
        </w:rPr>
        <w:t>Displays cultural, gender, religion, race, nationality and age sensitivity and adaptability.</w:t>
      </w:r>
    </w:p>
    <w:p w14:paraId="24B8309F" w14:textId="77777777" w:rsidR="00BA3505" w:rsidRDefault="00BA3505" w:rsidP="00BA3505">
      <w:pPr>
        <w:rPr>
          <w:rFonts w:ascii="Calibri" w:hAnsi="Calibri" w:cs="Calibri"/>
          <w:sz w:val="19"/>
          <w:szCs w:val="19"/>
        </w:rPr>
      </w:pPr>
    </w:p>
    <w:p w14:paraId="492E1B5A" w14:textId="77777777" w:rsidR="00BA3505" w:rsidRDefault="00BA3505" w:rsidP="00BA3505">
      <w:pPr>
        <w:rPr>
          <w:rFonts w:ascii="Calibri" w:hAnsi="Calibri" w:cs="Calibri"/>
          <w:sz w:val="19"/>
          <w:szCs w:val="19"/>
        </w:rPr>
      </w:pPr>
      <w:r>
        <w:rPr>
          <w:rFonts w:ascii="Calibri" w:hAnsi="Calibri" w:cs="Calibri"/>
          <w:sz w:val="19"/>
          <w:szCs w:val="19"/>
        </w:rPr>
        <w:t>Functional competencies:</w:t>
      </w:r>
    </w:p>
    <w:p w14:paraId="08DC3280" w14:textId="77777777" w:rsidR="00BA3505" w:rsidRPr="00074847" w:rsidRDefault="00BA3505" w:rsidP="00CB48FA">
      <w:pPr>
        <w:pStyle w:val="ListParagraph"/>
        <w:numPr>
          <w:ilvl w:val="0"/>
          <w:numId w:val="50"/>
        </w:numPr>
        <w:autoSpaceDE w:val="0"/>
        <w:autoSpaceDN w:val="0"/>
        <w:adjustRightInd w:val="0"/>
        <w:spacing w:after="0" w:line="240" w:lineRule="auto"/>
        <w:ind w:left="714" w:hanging="357"/>
        <w:rPr>
          <w:rFonts w:cs="Calibri"/>
          <w:sz w:val="19"/>
          <w:szCs w:val="19"/>
        </w:rPr>
      </w:pPr>
      <w:r w:rsidRPr="00074847">
        <w:rPr>
          <w:rFonts w:cs="Calibri"/>
          <w:sz w:val="19"/>
          <w:szCs w:val="19"/>
        </w:rPr>
        <w:t>Strong interpersonal skills, communication skills and ability to work in a team,</w:t>
      </w:r>
    </w:p>
    <w:p w14:paraId="028A1412" w14:textId="77777777" w:rsidR="00BA3505" w:rsidRPr="00074847" w:rsidRDefault="00BA3505" w:rsidP="00BA3505">
      <w:pPr>
        <w:pStyle w:val="ListParagraph"/>
        <w:numPr>
          <w:ilvl w:val="0"/>
          <w:numId w:val="50"/>
        </w:numPr>
        <w:autoSpaceDE w:val="0"/>
        <w:autoSpaceDN w:val="0"/>
        <w:adjustRightInd w:val="0"/>
        <w:spacing w:before="200" w:after="0" w:line="240" w:lineRule="auto"/>
        <w:rPr>
          <w:rFonts w:cs="Calibri"/>
          <w:sz w:val="19"/>
          <w:szCs w:val="19"/>
        </w:rPr>
      </w:pPr>
      <w:r w:rsidRPr="00074847">
        <w:rPr>
          <w:rFonts w:cs="Calibri"/>
          <w:sz w:val="19"/>
          <w:szCs w:val="19"/>
        </w:rPr>
        <w:t>Ability to plan and organize work, efficiency in meeting commitments, observing deadlines and achieving</w:t>
      </w:r>
      <w:r>
        <w:rPr>
          <w:rFonts w:cs="Calibri"/>
          <w:sz w:val="19"/>
          <w:szCs w:val="19"/>
        </w:rPr>
        <w:t xml:space="preserve"> </w:t>
      </w:r>
      <w:r w:rsidRPr="00074847">
        <w:rPr>
          <w:rFonts w:cs="Calibri"/>
          <w:sz w:val="19"/>
          <w:szCs w:val="19"/>
        </w:rPr>
        <w:t>results,</w:t>
      </w:r>
    </w:p>
    <w:p w14:paraId="0630B987" w14:textId="77777777" w:rsidR="00BA3505" w:rsidRPr="00074847" w:rsidRDefault="00BA3505" w:rsidP="00BA3505">
      <w:pPr>
        <w:pStyle w:val="ListParagraph"/>
        <w:numPr>
          <w:ilvl w:val="0"/>
          <w:numId w:val="50"/>
        </w:numPr>
        <w:autoSpaceDE w:val="0"/>
        <w:autoSpaceDN w:val="0"/>
        <w:adjustRightInd w:val="0"/>
        <w:spacing w:before="200" w:after="0" w:line="240" w:lineRule="auto"/>
        <w:rPr>
          <w:rFonts w:cs="Calibri"/>
          <w:sz w:val="19"/>
          <w:szCs w:val="19"/>
        </w:rPr>
      </w:pPr>
      <w:r w:rsidRPr="00074847">
        <w:rPr>
          <w:rFonts w:cs="Calibri"/>
          <w:sz w:val="19"/>
          <w:szCs w:val="19"/>
        </w:rPr>
        <w:t>Openness to change and ability to receive/integrate feedback,</w:t>
      </w:r>
    </w:p>
    <w:p w14:paraId="164A325C" w14:textId="77777777" w:rsidR="00BA3505" w:rsidRPr="00074847" w:rsidRDefault="00BA3505" w:rsidP="00BA3505">
      <w:pPr>
        <w:pStyle w:val="ListParagraph"/>
        <w:numPr>
          <w:ilvl w:val="0"/>
          <w:numId w:val="50"/>
        </w:numPr>
        <w:autoSpaceDE w:val="0"/>
        <w:autoSpaceDN w:val="0"/>
        <w:adjustRightInd w:val="0"/>
        <w:spacing w:before="200" w:after="0" w:line="240" w:lineRule="auto"/>
        <w:rPr>
          <w:rFonts w:cs="Calibri"/>
          <w:sz w:val="19"/>
          <w:szCs w:val="19"/>
        </w:rPr>
      </w:pPr>
      <w:r w:rsidRPr="00074847">
        <w:rPr>
          <w:rFonts w:cs="Calibri"/>
          <w:sz w:val="19"/>
          <w:szCs w:val="19"/>
        </w:rPr>
        <w:t>Ability to work under pressure and stressful situations,</w:t>
      </w:r>
    </w:p>
    <w:p w14:paraId="377AB460" w14:textId="77777777" w:rsidR="00BA3505" w:rsidRPr="00074847" w:rsidRDefault="00BA3505" w:rsidP="00BA3505">
      <w:pPr>
        <w:pStyle w:val="ListParagraph"/>
        <w:numPr>
          <w:ilvl w:val="0"/>
          <w:numId w:val="50"/>
        </w:numPr>
        <w:autoSpaceDE w:val="0"/>
        <w:autoSpaceDN w:val="0"/>
        <w:adjustRightInd w:val="0"/>
        <w:spacing w:before="200" w:after="0" w:line="240" w:lineRule="auto"/>
        <w:rPr>
          <w:rFonts w:cs="Calibri"/>
          <w:sz w:val="19"/>
          <w:szCs w:val="19"/>
        </w:rPr>
      </w:pPr>
      <w:r w:rsidRPr="00074847">
        <w:rPr>
          <w:rFonts w:cs="Calibri"/>
          <w:sz w:val="19"/>
          <w:szCs w:val="19"/>
        </w:rPr>
        <w:t>Strong analytical, research, reporting and writing abilities.</w:t>
      </w:r>
    </w:p>
    <w:p w14:paraId="7966A3F8" w14:textId="77777777" w:rsidR="00BA3505" w:rsidRDefault="00BA3505" w:rsidP="00BA3505">
      <w:pPr>
        <w:pStyle w:val="Heading51"/>
      </w:pPr>
      <w:r w:rsidRPr="00D6638C">
        <w:lastRenderedPageBreak/>
        <w:t>Evaluator Ethics</w:t>
      </w:r>
      <w:bookmarkEnd w:id="199"/>
      <w:bookmarkEnd w:id="200"/>
      <w:bookmarkEnd w:id="201"/>
      <w:bookmarkEnd w:id="202"/>
      <w:bookmarkEnd w:id="203"/>
      <w:bookmarkEnd w:id="204"/>
    </w:p>
    <w:p w14:paraId="71AD6890" w14:textId="77777777" w:rsidR="00BA3505" w:rsidRPr="0038128E" w:rsidRDefault="00BA3505" w:rsidP="00BA3505">
      <w:pPr>
        <w:spacing w:before="200"/>
        <w:contextualSpacing/>
        <w:rPr>
          <w:rFonts w:ascii="Calibri" w:hAnsi="Calibri"/>
          <w:sz w:val="20"/>
        </w:rPr>
      </w:pPr>
      <w:r w:rsidRPr="0038128E">
        <w:rPr>
          <w:rFonts w:ascii="Calibri" w:hAnsi="Calibri"/>
          <w:sz w:val="20"/>
        </w:rPr>
        <w:t xml:space="preserve">Evaluation consultants will be held to the highest ethical standards and are required to sign a Code of Conduct (Annex E) upon acceptance of the assignment. UNDP evaluations are conducted in accordance with the principles outlined in the </w:t>
      </w:r>
      <w:hyperlink r:id="rId22" w:history="1">
        <w:r w:rsidRPr="0038128E">
          <w:rPr>
            <w:rStyle w:val="Hyperlink"/>
            <w:sz w:val="20"/>
          </w:rPr>
          <w:t>UNEG 'Ethical Guidelines for Evaluations'</w:t>
        </w:r>
      </w:hyperlink>
    </w:p>
    <w:p w14:paraId="249145BD" w14:textId="77777777" w:rsidR="00BA3505" w:rsidRDefault="00BA3505" w:rsidP="00BA3505">
      <w:pPr>
        <w:pStyle w:val="Heading51"/>
      </w:pPr>
      <w:bookmarkStart w:id="205" w:name="_Toc299126626"/>
      <w:bookmarkStart w:id="206" w:name="_Toc299133051"/>
      <w:bookmarkStart w:id="207" w:name="_Toc321341560"/>
      <w:bookmarkStart w:id="208" w:name="_Toc299122837"/>
      <w:bookmarkStart w:id="209" w:name="_Toc299122859"/>
      <w:bookmarkStart w:id="210" w:name="_Toc299126627"/>
      <w:r w:rsidRPr="00D6638C">
        <w:t>Payment modalities and specifications</w:t>
      </w:r>
      <w:bookmarkEnd w:id="205"/>
      <w:bookmarkEnd w:id="206"/>
      <w:bookmarkEnd w:id="207"/>
      <w:r>
        <w:t xml:space="preserve"> </w:t>
      </w:r>
    </w:p>
    <w:p w14:paraId="742D2D03" w14:textId="77777777" w:rsidR="00BA3505" w:rsidRPr="0038128E" w:rsidRDefault="00BA3505" w:rsidP="00BA3505">
      <w:pPr>
        <w:spacing w:before="200" w:after="120"/>
        <w:rPr>
          <w:rFonts w:ascii="Calibri" w:hAnsi="Calibri"/>
          <w:sz w:val="20"/>
        </w:rPr>
      </w:pPr>
      <w:r w:rsidRPr="0038128E">
        <w:rPr>
          <w:rFonts w:ascii="Calibri" w:hAnsi="Calibri"/>
          <w:sz w:val="20"/>
          <w:highlight w:val="lightGray"/>
        </w:rPr>
        <w:t>(</w:t>
      </w:r>
      <w:r w:rsidRPr="0038128E">
        <w:rPr>
          <w:rFonts w:ascii="Calibri" w:hAnsi="Calibri"/>
          <w:i/>
          <w:sz w:val="20"/>
          <w:highlight w:val="lightGray"/>
        </w:rPr>
        <w:t>this payment schedule is indicative, to be filled in by the CO and UNDP GEF Technical Adviser based on their standard procurement procedures)</w:t>
      </w:r>
      <w:r w:rsidRPr="0038128E">
        <w:rPr>
          <w:rFonts w:ascii="Calibri" w:hAnsi="Calibri"/>
          <w:sz w:val="20"/>
        </w:rPr>
        <w:t xml:space="preserve"> </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8505"/>
      </w:tblGrid>
      <w:tr w:rsidR="00BA3505" w:rsidRPr="00D6638C" w14:paraId="4E0C423B" w14:textId="77777777" w:rsidTr="00BA3505">
        <w:tc>
          <w:tcPr>
            <w:tcW w:w="880" w:type="dxa"/>
            <w:shd w:val="clear" w:color="auto" w:fill="7F7F7F"/>
          </w:tcPr>
          <w:p w14:paraId="0424C5A1" w14:textId="77777777" w:rsidR="00BA3505" w:rsidRPr="00D6638C" w:rsidRDefault="00BA3505" w:rsidP="00BA3505">
            <w:pPr>
              <w:jc w:val="center"/>
              <w:rPr>
                <w:rFonts w:ascii="Calibri" w:hAnsi="Calibri"/>
                <w:color w:val="FFFFFF"/>
                <w:sz w:val="20"/>
              </w:rPr>
            </w:pPr>
            <w:r w:rsidRPr="00D6638C">
              <w:rPr>
                <w:rFonts w:ascii="Calibri" w:hAnsi="Calibri"/>
                <w:color w:val="FFFFFF"/>
                <w:sz w:val="20"/>
              </w:rPr>
              <w:t>%</w:t>
            </w:r>
          </w:p>
        </w:tc>
        <w:tc>
          <w:tcPr>
            <w:tcW w:w="8505" w:type="dxa"/>
            <w:shd w:val="clear" w:color="auto" w:fill="7F7F7F"/>
          </w:tcPr>
          <w:p w14:paraId="11BE5695" w14:textId="77777777" w:rsidR="00BA3505" w:rsidRPr="00D6638C" w:rsidRDefault="00BA3505" w:rsidP="00BA3505">
            <w:pPr>
              <w:jc w:val="center"/>
              <w:rPr>
                <w:rFonts w:ascii="Calibri" w:hAnsi="Calibri"/>
                <w:color w:val="FFFFFF"/>
                <w:sz w:val="20"/>
              </w:rPr>
            </w:pPr>
            <w:r w:rsidRPr="00D6638C">
              <w:rPr>
                <w:rFonts w:ascii="Calibri" w:hAnsi="Calibri"/>
                <w:color w:val="FFFFFF"/>
                <w:sz w:val="20"/>
              </w:rPr>
              <w:t>Milestone</w:t>
            </w:r>
          </w:p>
        </w:tc>
      </w:tr>
      <w:tr w:rsidR="00BA3505" w:rsidRPr="00D6638C" w14:paraId="01229682" w14:textId="77777777" w:rsidTr="00BA3505">
        <w:tc>
          <w:tcPr>
            <w:tcW w:w="880" w:type="dxa"/>
          </w:tcPr>
          <w:p w14:paraId="4755C2CD" w14:textId="77777777" w:rsidR="00BA3505" w:rsidRPr="00BD0DF2" w:rsidRDefault="00BA3505" w:rsidP="00BA3505">
            <w:pPr>
              <w:jc w:val="center"/>
              <w:rPr>
                <w:rFonts w:ascii="Calibri" w:hAnsi="Calibri"/>
                <w:i/>
                <w:sz w:val="20"/>
              </w:rPr>
            </w:pPr>
            <w:r w:rsidRPr="00BD0DF2">
              <w:rPr>
                <w:rFonts w:ascii="Calibri" w:hAnsi="Calibri"/>
                <w:i/>
                <w:sz w:val="20"/>
              </w:rPr>
              <w:t>10%</w:t>
            </w:r>
          </w:p>
        </w:tc>
        <w:tc>
          <w:tcPr>
            <w:tcW w:w="8505" w:type="dxa"/>
          </w:tcPr>
          <w:p w14:paraId="401F057E" w14:textId="77777777" w:rsidR="00BA3505" w:rsidRPr="00BD0DF2" w:rsidRDefault="00BA3505" w:rsidP="00BA3505">
            <w:pPr>
              <w:rPr>
                <w:rFonts w:ascii="Calibri" w:hAnsi="Calibri"/>
                <w:sz w:val="20"/>
              </w:rPr>
            </w:pPr>
            <w:r w:rsidRPr="00BD0DF2">
              <w:rPr>
                <w:rFonts w:ascii="Calibri" w:hAnsi="Calibri"/>
                <w:sz w:val="20"/>
              </w:rPr>
              <w:t>After clearance of Inception report by UNDP CO</w:t>
            </w:r>
          </w:p>
        </w:tc>
      </w:tr>
      <w:tr w:rsidR="00BA3505" w:rsidRPr="00D6638C" w14:paraId="4E7508EF" w14:textId="77777777" w:rsidTr="00BA3505">
        <w:tc>
          <w:tcPr>
            <w:tcW w:w="880" w:type="dxa"/>
          </w:tcPr>
          <w:p w14:paraId="26F4A3A3" w14:textId="77777777" w:rsidR="00BA3505" w:rsidRPr="00BD0DF2" w:rsidRDefault="00BA3505" w:rsidP="00BA3505">
            <w:pPr>
              <w:jc w:val="center"/>
              <w:rPr>
                <w:rFonts w:ascii="Calibri" w:hAnsi="Calibri"/>
                <w:i/>
                <w:sz w:val="20"/>
              </w:rPr>
            </w:pPr>
            <w:r w:rsidRPr="00BD0DF2">
              <w:rPr>
                <w:rFonts w:ascii="Calibri" w:hAnsi="Calibri"/>
                <w:i/>
                <w:sz w:val="20"/>
              </w:rPr>
              <w:t>40%</w:t>
            </w:r>
          </w:p>
        </w:tc>
        <w:tc>
          <w:tcPr>
            <w:tcW w:w="8505" w:type="dxa"/>
          </w:tcPr>
          <w:p w14:paraId="123676B7" w14:textId="77777777" w:rsidR="00BA3505" w:rsidRPr="00BD0DF2" w:rsidRDefault="00BA3505" w:rsidP="00BA3505">
            <w:pPr>
              <w:rPr>
                <w:rFonts w:ascii="Calibri" w:hAnsi="Calibri"/>
                <w:sz w:val="20"/>
              </w:rPr>
            </w:pPr>
            <w:r w:rsidRPr="00BD0DF2">
              <w:rPr>
                <w:rFonts w:ascii="Calibri" w:hAnsi="Calibri"/>
                <w:sz w:val="20"/>
              </w:rPr>
              <w:t>Following submission and approval of the 1ST draft terminal evaluation report</w:t>
            </w:r>
          </w:p>
        </w:tc>
      </w:tr>
      <w:tr w:rsidR="00BA3505" w:rsidRPr="00D6638C" w14:paraId="34F9EF07" w14:textId="77777777" w:rsidTr="00BA3505">
        <w:tc>
          <w:tcPr>
            <w:tcW w:w="880" w:type="dxa"/>
          </w:tcPr>
          <w:p w14:paraId="7AE48EBA" w14:textId="77777777" w:rsidR="00BA3505" w:rsidRPr="00BD0DF2" w:rsidRDefault="00BA3505" w:rsidP="00BA3505">
            <w:pPr>
              <w:jc w:val="center"/>
              <w:rPr>
                <w:rFonts w:ascii="Calibri" w:hAnsi="Calibri"/>
                <w:i/>
                <w:sz w:val="20"/>
              </w:rPr>
            </w:pPr>
            <w:r w:rsidRPr="00BD0DF2">
              <w:rPr>
                <w:rFonts w:ascii="Calibri" w:hAnsi="Calibri"/>
                <w:i/>
                <w:sz w:val="20"/>
              </w:rPr>
              <w:t>50%</w:t>
            </w:r>
          </w:p>
        </w:tc>
        <w:tc>
          <w:tcPr>
            <w:tcW w:w="8505" w:type="dxa"/>
          </w:tcPr>
          <w:p w14:paraId="2D446C42" w14:textId="77777777" w:rsidR="00BA3505" w:rsidRPr="00BD0DF2" w:rsidRDefault="00BA3505" w:rsidP="00BA3505">
            <w:pPr>
              <w:rPr>
                <w:rFonts w:ascii="Calibri" w:hAnsi="Calibri"/>
                <w:sz w:val="20"/>
              </w:rPr>
            </w:pPr>
            <w:r w:rsidRPr="00BD0DF2">
              <w:rPr>
                <w:rFonts w:ascii="Calibri" w:hAnsi="Calibri"/>
                <w:sz w:val="20"/>
              </w:rPr>
              <w:t xml:space="preserve">Following submission and approval (UNDP-CO and UNDP RTA) of the final terminal evaluation report </w:t>
            </w:r>
          </w:p>
        </w:tc>
      </w:tr>
    </w:tbl>
    <w:p w14:paraId="7353AB38" w14:textId="77777777" w:rsidR="00BA3505" w:rsidRPr="00D6638C" w:rsidRDefault="00BA3505" w:rsidP="00BA3505">
      <w:pPr>
        <w:pStyle w:val="Heading51"/>
      </w:pPr>
      <w:bookmarkStart w:id="211" w:name="_Toc299133052"/>
      <w:bookmarkStart w:id="212" w:name="_Toc321341561"/>
      <w:r w:rsidRPr="00D6638C">
        <w:t>Application process</w:t>
      </w:r>
      <w:bookmarkEnd w:id="208"/>
      <w:bookmarkEnd w:id="209"/>
      <w:bookmarkEnd w:id="210"/>
      <w:bookmarkEnd w:id="211"/>
      <w:bookmarkEnd w:id="212"/>
    </w:p>
    <w:p w14:paraId="6BDC6EB7" w14:textId="77777777" w:rsidR="00BA3505" w:rsidRPr="00555216" w:rsidRDefault="00BA3505" w:rsidP="00BA3505">
      <w:pPr>
        <w:spacing w:before="200"/>
      </w:pPr>
      <w:r w:rsidRPr="00D6638C">
        <w:rPr>
          <w:rFonts w:ascii="Calibri" w:hAnsi="Calibri"/>
          <w:sz w:val="20"/>
        </w:rPr>
        <w:t xml:space="preserve">Applicants are requested to apply online </w:t>
      </w:r>
      <w:hyperlink r:id="rId23" w:history="1">
        <w:r w:rsidRPr="0038128E">
          <w:rPr>
            <w:rStyle w:val="Hyperlink"/>
            <w:sz w:val="20"/>
          </w:rPr>
          <w:t>http://www.ge.undp.org/content/georgia/en/home/operations/jobs.html</w:t>
        </w:r>
      </w:hyperlink>
      <w:r w:rsidRPr="0038128E">
        <w:rPr>
          <w:rFonts w:ascii="Calibri" w:hAnsi="Calibri"/>
          <w:color w:val="FF0000"/>
          <w:sz w:val="20"/>
        </w:rPr>
        <w:t xml:space="preserve"> </w:t>
      </w:r>
      <w:r w:rsidRPr="0038128E">
        <w:rPr>
          <w:rFonts w:ascii="Calibri" w:hAnsi="Calibri"/>
          <w:sz w:val="20"/>
        </w:rPr>
        <w:t xml:space="preserve">by </w:t>
      </w:r>
      <w:r w:rsidRPr="0038128E">
        <w:rPr>
          <w:rFonts w:ascii="Calibri" w:hAnsi="Calibri"/>
          <w:sz w:val="20"/>
          <w:highlight w:val="lightGray"/>
          <w:lang w:val="ka-GE"/>
        </w:rPr>
        <w:t>31.07.2018</w:t>
      </w:r>
      <w:r w:rsidRPr="0038128E">
        <w:rPr>
          <w:rFonts w:ascii="Calibri" w:hAnsi="Calibri"/>
          <w:sz w:val="20"/>
          <w:highlight w:val="lightGray"/>
        </w:rPr>
        <w:t>.</w:t>
      </w:r>
      <w:r w:rsidRPr="0038128E">
        <w:rPr>
          <w:rFonts w:ascii="Calibri" w:hAnsi="Calibri"/>
          <w:sz w:val="20"/>
        </w:rPr>
        <w:t xml:space="preserve"> Individual</w:t>
      </w:r>
      <w:r w:rsidRPr="0003762B">
        <w:rPr>
          <w:rFonts w:ascii="Calibri" w:hAnsi="Calibri"/>
          <w:sz w:val="20"/>
        </w:rPr>
        <w:t xml:space="preserve"> consultants are invited to submit applications together with their CV for these positions. The </w:t>
      </w:r>
      <w:r w:rsidRPr="00D6638C">
        <w:rPr>
          <w:rFonts w:ascii="Calibri" w:hAnsi="Calibri"/>
          <w:sz w:val="20"/>
        </w:rPr>
        <w:t>application should contain a current and complete C.V</w:t>
      </w:r>
      <w:r w:rsidRPr="0003762B">
        <w:rPr>
          <w:rFonts w:ascii="Calibri" w:hAnsi="Calibri"/>
          <w:sz w:val="20"/>
        </w:rPr>
        <w:t xml:space="preserve">. in English with </w:t>
      </w:r>
      <w:r w:rsidRPr="00D6638C">
        <w:rPr>
          <w:rFonts w:ascii="Calibri" w:hAnsi="Calibri"/>
          <w:sz w:val="20"/>
        </w:rPr>
        <w:t xml:space="preserve">indication of the e‐mail and phone contact. Shortlisted candidates will be requested to submit a price offer indicating the total cost of the assignment (including daily fee, per diem and travel costs). </w:t>
      </w:r>
    </w:p>
    <w:p w14:paraId="02904790" w14:textId="77777777" w:rsidR="00BA3505" w:rsidRDefault="00BA3505" w:rsidP="00BA3505">
      <w:pPr>
        <w:spacing w:before="200"/>
        <w:rPr>
          <w:rFonts w:ascii="Calibri" w:hAnsi="Calibri"/>
          <w:sz w:val="20"/>
        </w:rPr>
      </w:pPr>
      <w:r w:rsidRPr="00D6638C">
        <w:rPr>
          <w:rFonts w:ascii="Calibri" w:hAnsi="Calibri"/>
          <w:sz w:val="20"/>
        </w:rPr>
        <w:t xml:space="preserve">UNDP applies a fair and transparent selection process that will take into account the competencies/skills of the applicants as well as their financial proposals. Qualified women and members of social minorities are encouraged to apply. </w:t>
      </w:r>
    </w:p>
    <w:p w14:paraId="2DF0B3BF" w14:textId="77777777" w:rsidR="00070254" w:rsidRPr="00D6638C" w:rsidRDefault="00070254" w:rsidP="00070254">
      <w:pPr>
        <w:spacing w:before="200"/>
        <w:rPr>
          <w:rFonts w:ascii="Calibri" w:hAnsi="Calibri"/>
          <w:sz w:val="20"/>
        </w:rPr>
      </w:pPr>
    </w:p>
    <w:tbl>
      <w:tblPr>
        <w:tblW w:w="0" w:type="auto"/>
        <w:tblInd w:w="114"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9008"/>
      </w:tblGrid>
      <w:tr w:rsidR="00070254" w14:paraId="791C42B2" w14:textId="77777777" w:rsidTr="00070254">
        <w:trPr>
          <w:trHeight w:val="4672"/>
        </w:trPr>
        <w:tc>
          <w:tcPr>
            <w:tcW w:w="9008" w:type="dxa"/>
          </w:tcPr>
          <w:p w14:paraId="062C71D8" w14:textId="23B2C6E0" w:rsidR="00070254" w:rsidRPr="00A9092C" w:rsidRDefault="00070254" w:rsidP="00070254">
            <w:pPr>
              <w:shd w:val="clear" w:color="auto" w:fill="B3B3B3"/>
              <w:spacing w:before="200"/>
              <w:rPr>
                <w:rFonts w:ascii="Calibri" w:hAnsi="Calibri"/>
                <w:b/>
                <w:sz w:val="20"/>
              </w:rPr>
            </w:pPr>
            <w:r>
              <w:rPr>
                <w:rFonts w:ascii="Calibri" w:hAnsi="Calibri"/>
                <w:b/>
                <w:sz w:val="20"/>
              </w:rPr>
              <w:t>These annexes in the ToR are n</w:t>
            </w:r>
            <w:r w:rsidRPr="00A9092C">
              <w:rPr>
                <w:rFonts w:ascii="Calibri" w:hAnsi="Calibri"/>
                <w:b/>
                <w:sz w:val="20"/>
              </w:rPr>
              <w:t>ot included</w:t>
            </w:r>
            <w:r>
              <w:rPr>
                <w:rFonts w:ascii="Calibri" w:hAnsi="Calibri"/>
                <w:b/>
                <w:sz w:val="20"/>
              </w:rPr>
              <w:t xml:space="preserve"> here because most of them appear in this TE Report</w:t>
            </w:r>
            <w:r w:rsidRPr="00A9092C">
              <w:rPr>
                <w:rFonts w:ascii="Calibri" w:hAnsi="Calibri"/>
                <w:b/>
                <w:sz w:val="20"/>
              </w:rPr>
              <w:t>:</w:t>
            </w:r>
          </w:p>
          <w:p w14:paraId="72181B92" w14:textId="77777777" w:rsidR="00070254" w:rsidRDefault="00070254" w:rsidP="00070254">
            <w:pPr>
              <w:pStyle w:val="Heading31"/>
              <w:pBdr>
                <w:bottom w:val="none" w:sz="0" w:space="0" w:color="auto"/>
              </w:pBdr>
            </w:pPr>
            <w:bookmarkStart w:id="213" w:name="_TOR_Annex_A:"/>
            <w:bookmarkStart w:id="214" w:name="_Toc299122844"/>
            <w:bookmarkStart w:id="215" w:name="_Toc299122866"/>
            <w:bookmarkStart w:id="216" w:name="_Toc299126630"/>
            <w:bookmarkStart w:id="217" w:name="_Toc299133053"/>
            <w:bookmarkStart w:id="218" w:name="_Toc321341562"/>
            <w:bookmarkEnd w:id="213"/>
            <w:r w:rsidRPr="00D6638C">
              <w:t>Annex A: Project Logical Framework</w:t>
            </w:r>
            <w:bookmarkEnd w:id="214"/>
            <w:bookmarkEnd w:id="215"/>
            <w:bookmarkEnd w:id="216"/>
            <w:bookmarkEnd w:id="217"/>
            <w:bookmarkEnd w:id="218"/>
          </w:p>
          <w:p w14:paraId="21E6A168" w14:textId="77777777" w:rsidR="00070254" w:rsidRPr="00D6638C" w:rsidRDefault="00070254" w:rsidP="00070254">
            <w:pPr>
              <w:pStyle w:val="Heading31"/>
              <w:pBdr>
                <w:bottom w:val="none" w:sz="0" w:space="0" w:color="auto"/>
              </w:pBdr>
            </w:pPr>
            <w:bookmarkStart w:id="219" w:name="_TOR_Annex_B:"/>
            <w:bookmarkStart w:id="220" w:name="_Toc299122845"/>
            <w:bookmarkStart w:id="221" w:name="_Toc299122867"/>
            <w:bookmarkStart w:id="222" w:name="_Toc299126631"/>
            <w:bookmarkStart w:id="223" w:name="_Toc299133054"/>
            <w:bookmarkStart w:id="224" w:name="_Toc321341563"/>
            <w:bookmarkEnd w:id="219"/>
            <w:r w:rsidRPr="00D6638C">
              <w:t>Annex B: List of Documents to be reviewed by the evaluators</w:t>
            </w:r>
            <w:bookmarkEnd w:id="220"/>
            <w:bookmarkEnd w:id="221"/>
            <w:bookmarkEnd w:id="222"/>
            <w:bookmarkEnd w:id="223"/>
            <w:bookmarkEnd w:id="224"/>
          </w:p>
          <w:p w14:paraId="27CAE5E1" w14:textId="77777777" w:rsidR="00070254" w:rsidRDefault="00070254" w:rsidP="00070254">
            <w:pPr>
              <w:pStyle w:val="Heading31"/>
              <w:pBdr>
                <w:bottom w:val="none" w:sz="0" w:space="0" w:color="auto"/>
              </w:pBdr>
            </w:pPr>
            <w:bookmarkStart w:id="225" w:name="_TOR_Annex_C:"/>
            <w:bookmarkStart w:id="226" w:name="_Toc321341564"/>
            <w:bookmarkStart w:id="227" w:name="_Toc299122846"/>
            <w:bookmarkStart w:id="228" w:name="_Toc299122868"/>
            <w:bookmarkStart w:id="229" w:name="_Toc299126632"/>
            <w:bookmarkEnd w:id="225"/>
            <w:r w:rsidRPr="00D6638C">
              <w:t>Annex C: Evaluation Questions</w:t>
            </w:r>
            <w:bookmarkEnd w:id="226"/>
          </w:p>
          <w:p w14:paraId="2DE1AD13" w14:textId="77777777" w:rsidR="00070254" w:rsidRDefault="00070254" w:rsidP="00070254">
            <w:pPr>
              <w:pStyle w:val="Heading31"/>
              <w:pBdr>
                <w:bottom w:val="none" w:sz="0" w:space="0" w:color="auto"/>
              </w:pBdr>
            </w:pPr>
            <w:bookmarkStart w:id="230" w:name="_TOR_Annex_D:"/>
            <w:bookmarkStart w:id="231" w:name="_Toc321341565"/>
            <w:bookmarkEnd w:id="230"/>
            <w:r w:rsidRPr="00D6638C">
              <w:t>Annex D: Rating</w:t>
            </w:r>
            <w:r>
              <w:t xml:space="preserve"> Scales</w:t>
            </w:r>
            <w:bookmarkEnd w:id="231"/>
          </w:p>
          <w:p w14:paraId="45B97E8E" w14:textId="77777777" w:rsidR="00070254" w:rsidRPr="00D6638C" w:rsidRDefault="00070254" w:rsidP="00070254">
            <w:pPr>
              <w:pStyle w:val="Heading31"/>
              <w:pBdr>
                <w:bottom w:val="none" w:sz="0" w:space="0" w:color="auto"/>
              </w:pBdr>
            </w:pPr>
            <w:bookmarkStart w:id="232" w:name="_Toc299133056"/>
            <w:bookmarkStart w:id="233" w:name="_Toc321341566"/>
            <w:r w:rsidRPr="00D6638C">
              <w:t xml:space="preserve">Annex E: Evaluation Consultant Code of Conduct </w:t>
            </w:r>
            <w:r>
              <w:t xml:space="preserve">and </w:t>
            </w:r>
            <w:r w:rsidRPr="00D6638C">
              <w:t>Agreement Form</w:t>
            </w:r>
            <w:bookmarkEnd w:id="227"/>
            <w:bookmarkEnd w:id="228"/>
            <w:bookmarkEnd w:id="229"/>
            <w:bookmarkEnd w:id="232"/>
            <w:bookmarkEnd w:id="233"/>
          </w:p>
          <w:p w14:paraId="7838E074" w14:textId="77777777" w:rsidR="00070254" w:rsidRPr="00D6638C" w:rsidRDefault="00070254" w:rsidP="00070254">
            <w:pPr>
              <w:pStyle w:val="Heading31"/>
              <w:pBdr>
                <w:bottom w:val="none" w:sz="0" w:space="0" w:color="auto"/>
              </w:pBdr>
            </w:pPr>
            <w:bookmarkStart w:id="234" w:name="_TOR_Annex_F:"/>
            <w:bookmarkStart w:id="235" w:name="_Toc299122847"/>
            <w:bookmarkStart w:id="236" w:name="_Toc299122869"/>
            <w:bookmarkStart w:id="237" w:name="_Toc299126633"/>
            <w:bookmarkStart w:id="238" w:name="_Toc299133057"/>
            <w:bookmarkStart w:id="239" w:name="_Toc321341567"/>
            <w:bookmarkEnd w:id="234"/>
            <w:r w:rsidRPr="00D6638C">
              <w:t>Annex F: Evaluation Report Outline</w:t>
            </w:r>
            <w:bookmarkEnd w:id="235"/>
            <w:bookmarkEnd w:id="236"/>
            <w:bookmarkEnd w:id="237"/>
            <w:bookmarkEnd w:id="238"/>
            <w:r w:rsidRPr="00070254">
              <w:rPr>
                <w:bCs/>
                <w:vertAlign w:val="superscript"/>
              </w:rPr>
              <w:footnoteReference w:id="44"/>
            </w:r>
            <w:bookmarkEnd w:id="239"/>
          </w:p>
          <w:p w14:paraId="3907BE4C" w14:textId="77777777" w:rsidR="00070254" w:rsidRPr="00A9092C" w:rsidRDefault="00070254" w:rsidP="00070254">
            <w:pPr>
              <w:pStyle w:val="Heading31"/>
              <w:pBdr>
                <w:bottom w:val="none" w:sz="0" w:space="0" w:color="auto"/>
              </w:pBdr>
            </w:pPr>
            <w:bookmarkStart w:id="240" w:name="_TOR_Annex_G:_1"/>
            <w:bookmarkStart w:id="241" w:name="_Toc299133058"/>
            <w:bookmarkStart w:id="242" w:name="_Toc321341568"/>
            <w:bookmarkStart w:id="243" w:name="_Toc299122848"/>
            <w:bookmarkStart w:id="244" w:name="_Toc299122870"/>
            <w:bookmarkStart w:id="245" w:name="_Toc299126634"/>
            <w:bookmarkEnd w:id="240"/>
            <w:r w:rsidRPr="00F05366">
              <w:t>Annex G: Evaluation Report Clearance Form</w:t>
            </w:r>
            <w:bookmarkEnd w:id="241"/>
            <w:bookmarkEnd w:id="242"/>
            <w:bookmarkEnd w:id="243"/>
            <w:bookmarkEnd w:id="244"/>
            <w:bookmarkEnd w:id="245"/>
          </w:p>
        </w:tc>
      </w:tr>
    </w:tbl>
    <w:p w14:paraId="68F5F460" w14:textId="77777777" w:rsidR="00A41FA0" w:rsidRDefault="00A41FA0" w:rsidP="00EA6574">
      <w:pPr>
        <w:rPr>
          <w:rFonts w:ascii="Cambria" w:hAnsi="Cambria"/>
          <w:b/>
        </w:rPr>
      </w:pPr>
    </w:p>
    <w:p w14:paraId="7D06A9E0" w14:textId="77777777" w:rsidR="00EA6574" w:rsidRPr="00E22EBA" w:rsidRDefault="00EA6574" w:rsidP="00EA6574">
      <w:pPr>
        <w:pStyle w:val="BodyText"/>
        <w:sectPr w:rsidR="00EA6574" w:rsidRPr="00E22EBA" w:rsidSect="001B651D">
          <w:footnotePr>
            <w:numRestart w:val="eachPage"/>
          </w:footnotePr>
          <w:pgSz w:w="11906" w:h="16838" w:code="1"/>
          <w:pgMar w:top="1440" w:right="1440" w:bottom="1440" w:left="1440" w:header="288" w:footer="288" w:gutter="0"/>
          <w:pgNumType w:start="1"/>
          <w:cols w:space="708"/>
          <w:docGrid w:linePitch="299"/>
        </w:sectPr>
      </w:pPr>
    </w:p>
    <w:p w14:paraId="0AB46DE9" w14:textId="4EDD2D29" w:rsidR="00EA6574" w:rsidRDefault="00332D0C" w:rsidP="00EA6574">
      <w:pPr>
        <w:pStyle w:val="Heading2"/>
        <w:tabs>
          <w:tab w:val="left" w:pos="1134"/>
        </w:tabs>
        <w:spacing w:after="240" w:line="240" w:lineRule="auto"/>
        <w:ind w:left="1134" w:hanging="1134"/>
        <w:rPr>
          <w:rFonts w:asciiTheme="minorHAnsi" w:hAnsiTheme="minorHAnsi"/>
          <w:b/>
          <w:caps w:val="0"/>
        </w:rPr>
      </w:pPr>
      <w:bookmarkStart w:id="246" w:name="_Toc414745348"/>
      <w:r w:rsidRPr="00E22EBA">
        <w:rPr>
          <w:rFonts w:asciiTheme="minorHAnsi" w:hAnsiTheme="minorHAnsi"/>
          <w:b/>
          <w:caps w:val="0"/>
        </w:rPr>
        <w:lastRenderedPageBreak/>
        <w:t xml:space="preserve">Annex </w:t>
      </w:r>
      <w:r w:rsidR="00EA6574">
        <w:rPr>
          <w:rFonts w:asciiTheme="minorHAnsi" w:hAnsiTheme="minorHAnsi"/>
          <w:b/>
          <w:caps w:val="0"/>
        </w:rPr>
        <w:t>2:</w:t>
      </w:r>
      <w:r w:rsidR="00EA6574">
        <w:rPr>
          <w:rFonts w:asciiTheme="minorHAnsi" w:hAnsiTheme="minorHAnsi"/>
          <w:b/>
          <w:caps w:val="0"/>
        </w:rPr>
        <w:tab/>
        <w:t>Evaluation Consultant Code of Conduct Agreement Form</w:t>
      </w:r>
      <w:r w:rsidR="00DE7B39" w:rsidRPr="001A1D99">
        <w:rPr>
          <w:rStyle w:val="FootnoteReference"/>
          <w:rFonts w:ascii="Arial" w:eastAsia="Calibri" w:hAnsi="Arial" w:cs="Arial"/>
          <w:b/>
          <w:bCs/>
          <w:sz w:val="20"/>
        </w:rPr>
        <w:footnoteReference w:id="45"/>
      </w:r>
      <w:bookmarkEnd w:id="246"/>
      <w:r w:rsidR="00EA6574">
        <w:rPr>
          <w:rFonts w:asciiTheme="minorHAnsi" w:hAnsiTheme="minorHAnsi"/>
          <w:b/>
          <w:caps w:val="0"/>
        </w:rPr>
        <w:t xml:space="preserve"> </w:t>
      </w:r>
    </w:p>
    <w:p w14:paraId="7433945D" w14:textId="77777777" w:rsidR="00DE7B39" w:rsidRPr="00DE7B39" w:rsidRDefault="00DE7B39" w:rsidP="00DE7B39">
      <w:pPr>
        <w:pBdr>
          <w:top w:val="single" w:sz="4" w:space="7" w:color="auto"/>
          <w:left w:val="single" w:sz="4" w:space="4" w:color="auto"/>
          <w:bottom w:val="single" w:sz="4" w:space="1" w:color="auto"/>
          <w:right w:val="single" w:sz="4" w:space="2" w:color="auto"/>
        </w:pBdr>
        <w:tabs>
          <w:tab w:val="left" w:pos="0"/>
        </w:tabs>
        <w:spacing w:before="60" w:after="60"/>
        <w:rPr>
          <w:rFonts w:ascii="Calibri" w:hAnsi="Calibri" w:cs="Arial"/>
          <w:szCs w:val="22"/>
        </w:rPr>
      </w:pPr>
      <w:r w:rsidRPr="00DE7B39">
        <w:rPr>
          <w:rFonts w:ascii="Calibri" w:hAnsi="Calibri" w:cs="Arial"/>
          <w:szCs w:val="22"/>
        </w:rPr>
        <w:t>Evaluators:</w:t>
      </w:r>
    </w:p>
    <w:p w14:paraId="79CFB987" w14:textId="77777777" w:rsidR="00DE7B39" w:rsidRPr="00DE7B39" w:rsidRDefault="00DE7B39" w:rsidP="00991B6C">
      <w:pPr>
        <w:numPr>
          <w:ilvl w:val="0"/>
          <w:numId w:val="28"/>
        </w:numPr>
        <w:pBdr>
          <w:top w:val="single" w:sz="4" w:space="7" w:color="auto"/>
          <w:left w:val="single" w:sz="4" w:space="4" w:color="auto"/>
          <w:bottom w:val="single" w:sz="4" w:space="1" w:color="auto"/>
          <w:right w:val="single" w:sz="4" w:space="2" w:color="auto"/>
        </w:pBdr>
        <w:tabs>
          <w:tab w:val="left" w:pos="0"/>
        </w:tabs>
        <w:overflowPunct/>
        <w:autoSpaceDE/>
        <w:autoSpaceDN/>
        <w:adjustRightInd/>
        <w:spacing w:before="60" w:after="60"/>
        <w:jc w:val="both"/>
        <w:textAlignment w:val="auto"/>
        <w:rPr>
          <w:rFonts w:ascii="Calibri" w:hAnsi="Calibri" w:cs="Arial"/>
          <w:szCs w:val="22"/>
        </w:rPr>
      </w:pPr>
      <w:r w:rsidRPr="00DE7B39">
        <w:rPr>
          <w:rFonts w:ascii="Calibri" w:hAnsi="Calibri" w:cs="Arial"/>
          <w:szCs w:val="22"/>
        </w:rPr>
        <w:t>Must present information that is complete and fair in its assessment of strengths and weaknesses so that decisions or actions taken are well founded</w:t>
      </w:r>
    </w:p>
    <w:p w14:paraId="310D7917" w14:textId="77777777" w:rsidR="00DE7B39" w:rsidRPr="00DE7B39" w:rsidRDefault="00DE7B39" w:rsidP="00991B6C">
      <w:pPr>
        <w:numPr>
          <w:ilvl w:val="0"/>
          <w:numId w:val="28"/>
        </w:numPr>
        <w:pBdr>
          <w:top w:val="single" w:sz="4" w:space="7" w:color="auto"/>
          <w:left w:val="single" w:sz="4" w:space="4" w:color="auto"/>
          <w:bottom w:val="single" w:sz="4" w:space="1" w:color="auto"/>
          <w:right w:val="single" w:sz="4" w:space="2" w:color="auto"/>
        </w:pBdr>
        <w:tabs>
          <w:tab w:val="left" w:pos="0"/>
        </w:tabs>
        <w:overflowPunct/>
        <w:autoSpaceDE/>
        <w:autoSpaceDN/>
        <w:adjustRightInd/>
        <w:spacing w:before="60" w:after="60"/>
        <w:jc w:val="both"/>
        <w:textAlignment w:val="auto"/>
        <w:rPr>
          <w:rFonts w:ascii="Calibri" w:hAnsi="Calibri" w:cs="Arial"/>
          <w:szCs w:val="22"/>
        </w:rPr>
      </w:pPr>
      <w:r w:rsidRPr="00DE7B39">
        <w:rPr>
          <w:rFonts w:ascii="Calibri" w:hAnsi="Calibri" w:cs="Arial"/>
          <w:szCs w:val="22"/>
        </w:rPr>
        <w:t>Must disclose the full set of evaluation findings along with information on their limitations and have this accessible to all affected by the evaluation with expressed legal rights to receive results.</w:t>
      </w:r>
    </w:p>
    <w:p w14:paraId="6CEB235F" w14:textId="77777777" w:rsidR="00DE7B39" w:rsidRPr="00DE7B39" w:rsidRDefault="00DE7B39" w:rsidP="00991B6C">
      <w:pPr>
        <w:numPr>
          <w:ilvl w:val="0"/>
          <w:numId w:val="28"/>
        </w:numPr>
        <w:pBdr>
          <w:top w:val="single" w:sz="4" w:space="7" w:color="auto"/>
          <w:left w:val="single" w:sz="4" w:space="4" w:color="auto"/>
          <w:bottom w:val="single" w:sz="4" w:space="1" w:color="auto"/>
          <w:right w:val="single" w:sz="4" w:space="2" w:color="auto"/>
        </w:pBdr>
        <w:tabs>
          <w:tab w:val="left" w:pos="0"/>
        </w:tabs>
        <w:overflowPunct/>
        <w:autoSpaceDE/>
        <w:autoSpaceDN/>
        <w:adjustRightInd/>
        <w:spacing w:before="60" w:after="60"/>
        <w:jc w:val="both"/>
        <w:textAlignment w:val="auto"/>
        <w:rPr>
          <w:rFonts w:ascii="Calibri" w:hAnsi="Calibri" w:cs="Arial"/>
          <w:szCs w:val="22"/>
        </w:rPr>
      </w:pPr>
      <w:r w:rsidRPr="00DE7B39">
        <w:rPr>
          <w:rFonts w:ascii="Calibri" w:hAnsi="Calibri" w:cs="Arial"/>
          <w:szCs w:val="22"/>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13B8E050" w14:textId="77777777" w:rsidR="00DE7B39" w:rsidRPr="00DE7B39" w:rsidRDefault="00DE7B39" w:rsidP="00991B6C">
      <w:pPr>
        <w:numPr>
          <w:ilvl w:val="0"/>
          <w:numId w:val="28"/>
        </w:numPr>
        <w:pBdr>
          <w:top w:val="single" w:sz="4" w:space="7" w:color="auto"/>
          <w:left w:val="single" w:sz="4" w:space="4" w:color="auto"/>
          <w:bottom w:val="single" w:sz="4" w:space="1" w:color="auto"/>
          <w:right w:val="single" w:sz="4" w:space="2" w:color="auto"/>
        </w:pBdr>
        <w:tabs>
          <w:tab w:val="left" w:pos="0"/>
        </w:tabs>
        <w:overflowPunct/>
        <w:autoSpaceDE/>
        <w:autoSpaceDN/>
        <w:adjustRightInd/>
        <w:spacing w:before="60" w:after="60"/>
        <w:jc w:val="both"/>
        <w:textAlignment w:val="auto"/>
        <w:rPr>
          <w:rFonts w:ascii="Calibri" w:hAnsi="Calibri" w:cs="Arial"/>
          <w:szCs w:val="22"/>
        </w:rPr>
      </w:pPr>
      <w:r w:rsidRPr="00DE7B39">
        <w:rPr>
          <w:rFonts w:ascii="Calibri" w:hAnsi="Calibri" w:cs="Arial"/>
          <w:szCs w:val="22"/>
        </w:rPr>
        <w:t>Sometimes uncover evidence of wrongdoing while conducting evaluations. Such cases must be reported discreetly to the appropriate investigative body. Evaluators should consult with other relevant oversight entities when there is any doubt about if and how issues should be reported.</w:t>
      </w:r>
    </w:p>
    <w:p w14:paraId="368206A6" w14:textId="77777777" w:rsidR="00DE7B39" w:rsidRPr="00DE7B39" w:rsidRDefault="00DE7B39" w:rsidP="00991B6C">
      <w:pPr>
        <w:numPr>
          <w:ilvl w:val="0"/>
          <w:numId w:val="28"/>
        </w:numPr>
        <w:pBdr>
          <w:top w:val="single" w:sz="4" w:space="7" w:color="auto"/>
          <w:left w:val="single" w:sz="4" w:space="4" w:color="auto"/>
          <w:bottom w:val="single" w:sz="4" w:space="1" w:color="auto"/>
          <w:right w:val="single" w:sz="4" w:space="2" w:color="auto"/>
        </w:pBdr>
        <w:tabs>
          <w:tab w:val="left" w:pos="0"/>
        </w:tabs>
        <w:overflowPunct/>
        <w:autoSpaceDE/>
        <w:autoSpaceDN/>
        <w:adjustRightInd/>
        <w:spacing w:before="60" w:after="60"/>
        <w:jc w:val="both"/>
        <w:textAlignment w:val="auto"/>
        <w:rPr>
          <w:rFonts w:ascii="Calibri" w:hAnsi="Calibri" w:cs="Arial"/>
          <w:szCs w:val="22"/>
        </w:rPr>
      </w:pPr>
      <w:r w:rsidRPr="00DE7B39">
        <w:rPr>
          <w:rFonts w:ascii="Calibri" w:hAnsi="Calibri" w:cs="Arial"/>
          <w:szCs w:val="22"/>
        </w:rPr>
        <w:t>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w:t>
      </w:r>
    </w:p>
    <w:p w14:paraId="3545E0E0" w14:textId="77777777" w:rsidR="00DE7B39" w:rsidRPr="00DE7B39" w:rsidRDefault="00DE7B39" w:rsidP="00991B6C">
      <w:pPr>
        <w:numPr>
          <w:ilvl w:val="0"/>
          <w:numId w:val="28"/>
        </w:numPr>
        <w:pBdr>
          <w:top w:val="single" w:sz="4" w:space="7" w:color="auto"/>
          <w:left w:val="single" w:sz="4" w:space="4" w:color="auto"/>
          <w:bottom w:val="single" w:sz="4" w:space="1" w:color="auto"/>
          <w:right w:val="single" w:sz="4" w:space="2" w:color="auto"/>
        </w:pBdr>
        <w:overflowPunct/>
        <w:autoSpaceDE/>
        <w:autoSpaceDN/>
        <w:adjustRightInd/>
        <w:spacing w:before="60" w:after="60"/>
        <w:jc w:val="both"/>
        <w:textAlignment w:val="auto"/>
        <w:rPr>
          <w:rFonts w:ascii="Calibri" w:hAnsi="Calibri" w:cs="Arial"/>
          <w:szCs w:val="22"/>
        </w:rPr>
      </w:pPr>
      <w:r w:rsidRPr="00DE7B39">
        <w:rPr>
          <w:rFonts w:ascii="Calibri" w:hAnsi="Calibri" w:cs="Arial"/>
          <w:szCs w:val="22"/>
        </w:rPr>
        <w:t>Are responsible for their performance and their product(s). They are responsible for the clear, accurate and fair written and/or oral presentation of study limitations, findings and recommendations.</w:t>
      </w:r>
    </w:p>
    <w:p w14:paraId="54D0D1A8" w14:textId="77777777" w:rsidR="00DE7B39" w:rsidRPr="00DE7B39" w:rsidRDefault="00DE7B39" w:rsidP="00991B6C">
      <w:pPr>
        <w:numPr>
          <w:ilvl w:val="0"/>
          <w:numId w:val="28"/>
        </w:numPr>
        <w:pBdr>
          <w:top w:val="single" w:sz="4" w:space="7" w:color="auto"/>
          <w:left w:val="single" w:sz="4" w:space="4" w:color="auto"/>
          <w:bottom w:val="single" w:sz="4" w:space="1" w:color="auto"/>
          <w:right w:val="single" w:sz="4" w:space="2" w:color="auto"/>
        </w:pBdr>
        <w:overflowPunct/>
        <w:autoSpaceDE/>
        <w:autoSpaceDN/>
        <w:adjustRightInd/>
        <w:spacing w:before="60" w:after="60"/>
        <w:jc w:val="both"/>
        <w:textAlignment w:val="auto"/>
        <w:rPr>
          <w:rFonts w:ascii="Calibri" w:hAnsi="Calibri" w:cs="Arial"/>
          <w:iCs/>
          <w:szCs w:val="22"/>
        </w:rPr>
      </w:pPr>
      <w:r w:rsidRPr="00DE7B39">
        <w:rPr>
          <w:rFonts w:ascii="Calibri" w:hAnsi="Calibri" w:cs="Arial"/>
          <w:iCs/>
          <w:szCs w:val="22"/>
        </w:rPr>
        <w:t>Should reflect sound accounting procedures and be prudent in using the resources of the evaluation.</w:t>
      </w:r>
    </w:p>
    <w:p w14:paraId="002DE76C" w14:textId="77777777" w:rsidR="00DE7B39" w:rsidRDefault="00DE7B39" w:rsidP="00DE7B39">
      <w:pPr>
        <w:rPr>
          <w:rFonts w:ascii="Arial" w:hAnsi="Arial" w:cs="Arial"/>
          <w:sz w:val="8"/>
          <w:szCs w:val="8"/>
        </w:rPr>
      </w:pPr>
    </w:p>
    <w:tbl>
      <w:tblPr>
        <w:tblStyle w:val="TableGrid"/>
        <w:tblW w:w="0" w:type="auto"/>
        <w:jc w:val="center"/>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Look w:val="04A0" w:firstRow="1" w:lastRow="0" w:firstColumn="1" w:lastColumn="0" w:noHBand="0" w:noVBand="1"/>
      </w:tblPr>
      <w:tblGrid>
        <w:gridCol w:w="4615"/>
        <w:gridCol w:w="4627"/>
      </w:tblGrid>
      <w:tr w:rsidR="00DE7B39" w:rsidRPr="007B16D2" w14:paraId="6D89CA72" w14:textId="77777777" w:rsidTr="0067558E">
        <w:trPr>
          <w:jc w:val="center"/>
        </w:trPr>
        <w:tc>
          <w:tcPr>
            <w:tcW w:w="9242" w:type="dxa"/>
            <w:gridSpan w:val="2"/>
            <w:tcBorders>
              <w:bottom w:val="nil"/>
            </w:tcBorders>
          </w:tcPr>
          <w:p w14:paraId="75A67421" w14:textId="77777777" w:rsidR="00DE7B39" w:rsidRPr="00DE7B39" w:rsidRDefault="00DE7B39" w:rsidP="00DE7B39">
            <w:pPr>
              <w:spacing w:before="40" w:after="120"/>
              <w:jc w:val="center"/>
              <w:rPr>
                <w:rFonts w:asciiTheme="minorHAnsi" w:hAnsiTheme="minorHAnsi"/>
                <w:b/>
                <w:szCs w:val="22"/>
              </w:rPr>
            </w:pPr>
            <w:r w:rsidRPr="00DE7B39">
              <w:rPr>
                <w:rFonts w:asciiTheme="minorHAnsi" w:hAnsiTheme="minorHAnsi"/>
                <w:b/>
                <w:szCs w:val="22"/>
              </w:rPr>
              <w:t>Evaluation Consultant Agreement Form</w:t>
            </w:r>
          </w:p>
          <w:p w14:paraId="0DC21EE3" w14:textId="77777777" w:rsidR="00DE7B39" w:rsidRPr="00DE7B39" w:rsidRDefault="00DE7B39" w:rsidP="00DE7B39">
            <w:pPr>
              <w:spacing w:before="60" w:after="60"/>
              <w:rPr>
                <w:rFonts w:asciiTheme="minorHAnsi" w:hAnsiTheme="minorHAnsi"/>
                <w:b/>
                <w:szCs w:val="22"/>
              </w:rPr>
            </w:pPr>
            <w:r w:rsidRPr="00DE7B39">
              <w:rPr>
                <w:rFonts w:asciiTheme="minorHAnsi" w:eastAsia="ACaslon-Regular" w:hAnsiTheme="minorHAnsi" w:cs="ACaslon-Regular"/>
                <w:szCs w:val="22"/>
              </w:rPr>
              <w:t>Agreement to abide by the Code of Conduct for Evaluation in the UN System</w:t>
            </w:r>
          </w:p>
          <w:p w14:paraId="6B27988B" w14:textId="77777777" w:rsidR="00DE7B39" w:rsidRPr="00DE7B39" w:rsidRDefault="00DE7B39" w:rsidP="00DE7B39">
            <w:pPr>
              <w:spacing w:before="60" w:after="60"/>
              <w:rPr>
                <w:rFonts w:asciiTheme="minorHAnsi" w:hAnsiTheme="minorHAnsi" w:cs="Calibri"/>
                <w:szCs w:val="22"/>
              </w:rPr>
            </w:pPr>
            <w:r w:rsidRPr="00DE7B39">
              <w:rPr>
                <w:rFonts w:asciiTheme="minorHAnsi" w:hAnsiTheme="minorHAnsi" w:cs="Calibri"/>
                <w:szCs w:val="22"/>
              </w:rPr>
              <w:t>Name of Consultants:  Zhang Xuemei, Michael J.B. Green</w:t>
            </w:r>
          </w:p>
          <w:p w14:paraId="3F8BB41E" w14:textId="17F37D08" w:rsidR="00DE7B39" w:rsidRPr="00802FE6" w:rsidRDefault="00DE7B39" w:rsidP="00802FE6">
            <w:pPr>
              <w:overflowPunct/>
              <w:spacing w:before="60" w:after="60"/>
              <w:textAlignment w:val="auto"/>
              <w:rPr>
                <w:rFonts w:asciiTheme="minorHAnsi" w:hAnsiTheme="minorHAnsi" w:cs="Calibri"/>
                <w:b/>
                <w:szCs w:val="22"/>
              </w:rPr>
            </w:pPr>
            <w:r w:rsidRPr="00DE7B39">
              <w:rPr>
                <w:rFonts w:asciiTheme="minorHAnsi" w:eastAsia="ACaslon-Regular" w:hAnsiTheme="minorHAnsi" w:cs="ACaslon-Regular"/>
                <w:szCs w:val="22"/>
              </w:rPr>
              <w:t>We confirm that we have received and understood and will abide by the United Nations Code of Conduct for Evaluation.</w:t>
            </w:r>
          </w:p>
        </w:tc>
      </w:tr>
      <w:tr w:rsidR="00DE7B39" w:rsidRPr="007B16D2" w14:paraId="5CA8C844" w14:textId="77777777" w:rsidTr="0067558E">
        <w:trPr>
          <w:trHeight w:val="387"/>
          <w:jc w:val="center"/>
        </w:trPr>
        <w:tc>
          <w:tcPr>
            <w:tcW w:w="4615" w:type="dxa"/>
            <w:tcBorders>
              <w:top w:val="nil"/>
              <w:bottom w:val="nil"/>
              <w:right w:val="nil"/>
            </w:tcBorders>
            <w:vAlign w:val="bottom"/>
          </w:tcPr>
          <w:p w14:paraId="5A2878AA" w14:textId="17C1D6D1" w:rsidR="00DE7B39" w:rsidRPr="00DE7B39" w:rsidRDefault="00DE7B39" w:rsidP="0067558E">
            <w:pPr>
              <w:spacing w:before="60" w:after="60"/>
              <w:rPr>
                <w:rFonts w:asciiTheme="minorHAnsi" w:eastAsia="ACaslon-Regular" w:hAnsiTheme="minorHAnsi" w:cs="ACaslon-Regular"/>
                <w:szCs w:val="22"/>
              </w:rPr>
            </w:pPr>
            <w:r w:rsidRPr="00DE7B39">
              <w:rPr>
                <w:rFonts w:asciiTheme="minorHAnsi" w:eastAsia="ACaslon-Regular" w:hAnsiTheme="minorHAnsi" w:cs="ACaslon-Regular"/>
                <w:szCs w:val="22"/>
              </w:rPr>
              <w:t xml:space="preserve">Signed in </w:t>
            </w:r>
            <w:r w:rsidR="0067558E">
              <w:rPr>
                <w:rFonts w:asciiTheme="minorHAnsi" w:eastAsia="ACaslon-Regular" w:hAnsiTheme="minorHAnsi" w:cs="ACaslon-Regular"/>
                <w:szCs w:val="22"/>
              </w:rPr>
              <w:t>Tbilisi, Georgia</w:t>
            </w:r>
            <w:r w:rsidRPr="00DE7B39">
              <w:rPr>
                <w:rFonts w:asciiTheme="minorHAnsi" w:eastAsia="ACaslon-Regular" w:hAnsiTheme="minorHAnsi" w:cs="ACaslon-Regular"/>
                <w:szCs w:val="22"/>
              </w:rPr>
              <w:t xml:space="preserve"> on </w:t>
            </w:r>
            <w:r w:rsidR="0067558E">
              <w:rPr>
                <w:rFonts w:asciiTheme="minorHAnsi" w:eastAsia="ACaslon-Regular" w:hAnsiTheme="minorHAnsi" w:cs="ACaslon-Regular"/>
                <w:szCs w:val="22"/>
              </w:rPr>
              <w:t>19 October 2018</w:t>
            </w:r>
            <w:r w:rsidR="00802FE6">
              <w:rPr>
                <w:rFonts w:asciiTheme="minorHAnsi" w:eastAsia="ACaslon-Regular" w:hAnsiTheme="minorHAnsi" w:cs="ACaslon-Regular"/>
                <w:szCs w:val="22"/>
              </w:rPr>
              <w:t>:</w:t>
            </w:r>
          </w:p>
        </w:tc>
        <w:tc>
          <w:tcPr>
            <w:tcW w:w="4627" w:type="dxa"/>
            <w:tcBorders>
              <w:top w:val="nil"/>
              <w:left w:val="nil"/>
              <w:bottom w:val="nil"/>
            </w:tcBorders>
            <w:vAlign w:val="bottom"/>
          </w:tcPr>
          <w:p w14:paraId="5DA9F855" w14:textId="68CEFB11" w:rsidR="00DE7B39" w:rsidRPr="00DE7B39" w:rsidRDefault="00DE7B39" w:rsidP="0067558E">
            <w:pPr>
              <w:spacing w:before="60" w:after="60"/>
              <w:rPr>
                <w:rFonts w:asciiTheme="minorHAnsi" w:eastAsia="ACaslon-Regular" w:hAnsiTheme="minorHAnsi" w:cs="ACaslon-Regular"/>
                <w:szCs w:val="22"/>
              </w:rPr>
            </w:pPr>
            <w:r w:rsidRPr="00DE7B39">
              <w:rPr>
                <w:rFonts w:asciiTheme="minorHAnsi" w:eastAsia="ACaslon-Regular" w:hAnsiTheme="minorHAnsi" w:cs="ACaslon-Regular"/>
                <w:szCs w:val="22"/>
              </w:rPr>
              <w:t xml:space="preserve">Signed in Strumpshaw, UK on </w:t>
            </w:r>
            <w:r w:rsidR="0067558E">
              <w:rPr>
                <w:rFonts w:asciiTheme="minorHAnsi" w:eastAsia="ACaslon-Regular" w:hAnsiTheme="minorHAnsi" w:cs="ACaslon-Regular"/>
                <w:szCs w:val="22"/>
              </w:rPr>
              <w:t>3 October</w:t>
            </w:r>
            <w:r w:rsidRPr="00DE7B39">
              <w:rPr>
                <w:rFonts w:asciiTheme="minorHAnsi" w:eastAsia="ACaslon-Regular" w:hAnsiTheme="minorHAnsi" w:cs="ACaslon-Regular"/>
                <w:szCs w:val="22"/>
              </w:rPr>
              <w:t xml:space="preserve"> 201</w:t>
            </w:r>
            <w:r w:rsidR="0067558E">
              <w:rPr>
                <w:rFonts w:asciiTheme="minorHAnsi" w:eastAsia="ACaslon-Regular" w:hAnsiTheme="minorHAnsi" w:cs="ACaslon-Regular"/>
                <w:szCs w:val="22"/>
              </w:rPr>
              <w:t>8</w:t>
            </w:r>
            <w:r w:rsidR="00802FE6">
              <w:rPr>
                <w:rFonts w:asciiTheme="minorHAnsi" w:eastAsia="ACaslon-Regular" w:hAnsiTheme="minorHAnsi" w:cs="ACaslon-Regular"/>
                <w:szCs w:val="22"/>
              </w:rPr>
              <w:t>:</w:t>
            </w:r>
          </w:p>
        </w:tc>
      </w:tr>
      <w:tr w:rsidR="00DE7B39" w:rsidRPr="007B16D2" w14:paraId="1C821702" w14:textId="77777777" w:rsidTr="0067558E">
        <w:trPr>
          <w:trHeight w:val="1962"/>
          <w:jc w:val="center"/>
        </w:trPr>
        <w:tc>
          <w:tcPr>
            <w:tcW w:w="4615" w:type="dxa"/>
            <w:tcBorders>
              <w:top w:val="nil"/>
              <w:bottom w:val="single" w:sz="4" w:space="0" w:color="auto"/>
              <w:right w:val="nil"/>
            </w:tcBorders>
            <w:vAlign w:val="bottom"/>
          </w:tcPr>
          <w:p w14:paraId="754B6F81" w14:textId="77777777" w:rsidR="0067558E" w:rsidRDefault="0067558E" w:rsidP="00DE7B39">
            <w:pPr>
              <w:jc w:val="center"/>
              <w:rPr>
                <w:rFonts w:asciiTheme="minorHAnsi" w:hAnsiTheme="minorHAnsi"/>
                <w:b/>
                <w:sz w:val="24"/>
              </w:rPr>
            </w:pPr>
            <w:r>
              <w:rPr>
                <w:rFonts w:asciiTheme="minorHAnsi" w:hAnsiTheme="minorHAnsi"/>
                <w:b/>
                <w:noProof/>
                <w:sz w:val="24"/>
                <w:lang w:val="en-US"/>
              </w:rPr>
              <w:drawing>
                <wp:inline distT="0" distB="0" distL="0" distR="0" wp14:anchorId="1A59F14D" wp14:editId="078ADCF6">
                  <wp:extent cx="1118694" cy="537464"/>
                  <wp:effectExtent l="0" t="0" r="0" b="0"/>
                  <wp:docPr id="1" name="Picture 1" descr="Macintosh HD:Users:MJBG:Desktop:201210 01Toshiba:201809 Georgia-Achara TE:TE Report:Feedback on draft:Giorgi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JBG:Desktop:201210 01Toshiba:201809 Georgia-Achara TE:TE Report:Feedback on draft:Giorgi signatur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8694" cy="537464"/>
                          </a:xfrm>
                          <a:prstGeom prst="rect">
                            <a:avLst/>
                          </a:prstGeom>
                          <a:noFill/>
                          <a:ln>
                            <a:noFill/>
                          </a:ln>
                        </pic:spPr>
                      </pic:pic>
                    </a:graphicData>
                  </a:graphic>
                </wp:inline>
              </w:drawing>
            </w:r>
          </w:p>
          <w:p w14:paraId="597769EE" w14:textId="77777777" w:rsidR="0067558E" w:rsidRDefault="0067558E" w:rsidP="00DE7B39">
            <w:pPr>
              <w:jc w:val="center"/>
              <w:rPr>
                <w:rFonts w:asciiTheme="minorHAnsi" w:hAnsiTheme="minorHAnsi"/>
                <w:b/>
                <w:sz w:val="24"/>
              </w:rPr>
            </w:pPr>
          </w:p>
          <w:p w14:paraId="74473A56" w14:textId="6A019329" w:rsidR="00DE7B39" w:rsidRPr="007B16D2" w:rsidRDefault="00802FE6" w:rsidP="00DE7B39">
            <w:pPr>
              <w:jc w:val="center"/>
              <w:rPr>
                <w:rFonts w:asciiTheme="minorHAnsi" w:hAnsiTheme="minorHAnsi"/>
                <w:b/>
                <w:sz w:val="24"/>
              </w:rPr>
            </w:pPr>
            <w:r w:rsidRPr="00802FE6">
              <w:rPr>
                <w:rFonts w:asciiTheme="minorHAnsi" w:hAnsiTheme="minorHAnsi"/>
                <w:b/>
                <w:sz w:val="24"/>
              </w:rPr>
              <w:t>Giorgi Shubitidze</w:t>
            </w:r>
          </w:p>
          <w:p w14:paraId="6B95DBD1" w14:textId="64E5BCF6" w:rsidR="00DE7B39" w:rsidRPr="00DE7B39" w:rsidRDefault="00DE7B39" w:rsidP="00802FE6">
            <w:pPr>
              <w:jc w:val="center"/>
              <w:rPr>
                <w:rFonts w:asciiTheme="minorHAnsi" w:hAnsiTheme="minorHAnsi"/>
                <w:szCs w:val="22"/>
              </w:rPr>
            </w:pPr>
            <w:r w:rsidRPr="0067558E">
              <w:rPr>
                <w:rFonts w:asciiTheme="minorHAnsi" w:eastAsia="ACaslon-Regular" w:hAnsiTheme="minorHAnsi" w:cs="ACaslon-Regular"/>
                <w:szCs w:val="22"/>
              </w:rPr>
              <w:t>National Consultant</w:t>
            </w:r>
          </w:p>
        </w:tc>
        <w:tc>
          <w:tcPr>
            <w:tcW w:w="4627" w:type="dxa"/>
            <w:tcBorders>
              <w:top w:val="nil"/>
              <w:left w:val="nil"/>
              <w:bottom w:val="single" w:sz="4" w:space="0" w:color="auto"/>
            </w:tcBorders>
            <w:vAlign w:val="bottom"/>
          </w:tcPr>
          <w:p w14:paraId="6F1ED463" w14:textId="77777777" w:rsidR="00DE7B39" w:rsidRDefault="00DE7B39" w:rsidP="00DE7B39">
            <w:pPr>
              <w:jc w:val="center"/>
              <w:rPr>
                <w:rFonts w:asciiTheme="minorHAnsi" w:hAnsiTheme="minorHAnsi"/>
                <w:sz w:val="24"/>
              </w:rPr>
            </w:pPr>
            <w:r>
              <w:rPr>
                <w:rFonts w:ascii="Arial" w:hAnsi="Arial" w:cs="Arial"/>
                <w:noProof/>
                <w:sz w:val="20"/>
                <w:lang w:val="en-US"/>
              </w:rPr>
              <w:drawing>
                <wp:inline distT="0" distB="0" distL="0" distR="0" wp14:anchorId="3DA355E7" wp14:editId="3E235AEE">
                  <wp:extent cx="1444202" cy="523314"/>
                  <wp:effectExtent l="0" t="0" r="3810" b="10160"/>
                  <wp:docPr id="4" name="Picture 4" descr="Description: MG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G Signatu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4202" cy="523314"/>
                          </a:xfrm>
                          <a:prstGeom prst="rect">
                            <a:avLst/>
                          </a:prstGeom>
                          <a:noFill/>
                          <a:ln>
                            <a:noFill/>
                          </a:ln>
                        </pic:spPr>
                      </pic:pic>
                    </a:graphicData>
                  </a:graphic>
                </wp:inline>
              </w:drawing>
            </w:r>
          </w:p>
          <w:p w14:paraId="0CC6D6B9" w14:textId="77777777" w:rsidR="00DE7B39" w:rsidRPr="007B16D2" w:rsidRDefault="00DE7B39" w:rsidP="00DE7B39">
            <w:pPr>
              <w:jc w:val="center"/>
              <w:rPr>
                <w:rFonts w:asciiTheme="minorHAnsi" w:hAnsiTheme="minorHAnsi"/>
                <w:sz w:val="24"/>
              </w:rPr>
            </w:pPr>
          </w:p>
          <w:p w14:paraId="43283B51" w14:textId="77777777" w:rsidR="00DE7B39" w:rsidRPr="007B16D2" w:rsidRDefault="00DE7B39" w:rsidP="00DE7B39">
            <w:pPr>
              <w:jc w:val="center"/>
              <w:rPr>
                <w:rFonts w:asciiTheme="minorHAnsi" w:hAnsiTheme="minorHAnsi"/>
                <w:sz w:val="24"/>
              </w:rPr>
            </w:pPr>
            <w:r w:rsidRPr="007B16D2">
              <w:rPr>
                <w:rFonts w:asciiTheme="minorHAnsi" w:hAnsiTheme="minorHAnsi"/>
                <w:b/>
                <w:sz w:val="24"/>
              </w:rPr>
              <w:t>Michael J. B. Green</w:t>
            </w:r>
          </w:p>
          <w:p w14:paraId="79787088" w14:textId="7869182B" w:rsidR="00DE7B39" w:rsidRPr="00DE7B39" w:rsidRDefault="00802FE6" w:rsidP="00DE7B39">
            <w:pPr>
              <w:jc w:val="center"/>
              <w:rPr>
                <w:rFonts w:asciiTheme="minorHAnsi" w:hAnsiTheme="minorHAnsi"/>
                <w:szCs w:val="22"/>
              </w:rPr>
            </w:pPr>
            <w:r>
              <w:rPr>
                <w:rFonts w:asciiTheme="minorHAnsi" w:hAnsiTheme="minorHAnsi"/>
                <w:szCs w:val="22"/>
              </w:rPr>
              <w:t>International Consultant, Team</w:t>
            </w:r>
            <w:r w:rsidR="00DE7B39" w:rsidRPr="00DE7B39">
              <w:rPr>
                <w:rFonts w:asciiTheme="minorHAnsi" w:hAnsiTheme="minorHAnsi"/>
                <w:szCs w:val="22"/>
              </w:rPr>
              <w:t xml:space="preserve"> Leader</w:t>
            </w:r>
          </w:p>
        </w:tc>
      </w:tr>
    </w:tbl>
    <w:p w14:paraId="45B9561B" w14:textId="77777777" w:rsidR="00DE7B39" w:rsidRPr="007B16D2" w:rsidRDefault="00DE7B39" w:rsidP="00DE7B39">
      <w:pPr>
        <w:tabs>
          <w:tab w:val="left" w:pos="3011"/>
        </w:tabs>
        <w:rPr>
          <w:rFonts w:asciiTheme="minorHAnsi" w:hAnsiTheme="minorHAnsi" w:cs="Calibri"/>
          <w:sz w:val="24"/>
        </w:rPr>
      </w:pPr>
    </w:p>
    <w:p w14:paraId="25B3DB66" w14:textId="77777777" w:rsidR="00EA6574" w:rsidRDefault="00EA6574" w:rsidP="00997C17">
      <w:pPr>
        <w:pStyle w:val="BodyText"/>
        <w:spacing w:line="240" w:lineRule="auto"/>
        <w:ind w:left="2880" w:hanging="2790"/>
        <w:rPr>
          <w:rFonts w:asciiTheme="minorHAnsi" w:hAnsiTheme="minorHAnsi"/>
          <w:sz w:val="22"/>
        </w:rPr>
      </w:pPr>
    </w:p>
    <w:p w14:paraId="6DA38490" w14:textId="77777777" w:rsidR="008C0874" w:rsidRPr="00CF1373" w:rsidRDefault="008C0874" w:rsidP="00CF1373">
      <w:pPr>
        <w:pStyle w:val="BodyText"/>
        <w:ind w:left="2880" w:hanging="2790"/>
        <w:rPr>
          <w:rFonts w:asciiTheme="minorHAnsi" w:hAnsiTheme="minorHAnsi"/>
          <w:sz w:val="22"/>
        </w:rPr>
        <w:sectPr w:rsidR="008C0874" w:rsidRPr="00CF1373" w:rsidSect="001B651D">
          <w:footnotePr>
            <w:numRestart w:val="eachPage"/>
          </w:footnotePr>
          <w:pgSz w:w="11906" w:h="16838" w:code="1"/>
          <w:pgMar w:top="1440" w:right="1440" w:bottom="1440" w:left="1440" w:header="288" w:footer="288" w:gutter="0"/>
          <w:pgNumType w:start="1"/>
          <w:cols w:space="708"/>
          <w:docGrid w:linePitch="299"/>
        </w:sectPr>
      </w:pPr>
    </w:p>
    <w:p w14:paraId="448D9A07" w14:textId="1C48B369" w:rsidR="00EA6574" w:rsidRDefault="00E93B85" w:rsidP="00EA6574">
      <w:pPr>
        <w:pStyle w:val="Heading2"/>
        <w:tabs>
          <w:tab w:val="left" w:pos="1134"/>
        </w:tabs>
        <w:spacing w:after="240" w:line="240" w:lineRule="auto"/>
        <w:ind w:left="1134" w:hanging="1134"/>
        <w:rPr>
          <w:rFonts w:asciiTheme="minorHAnsi" w:hAnsiTheme="minorHAnsi"/>
          <w:b/>
          <w:caps w:val="0"/>
        </w:rPr>
      </w:pPr>
      <w:bookmarkStart w:id="247" w:name="_Toc414745349"/>
      <w:r w:rsidRPr="00E22EBA">
        <w:rPr>
          <w:rFonts w:asciiTheme="minorHAnsi" w:hAnsiTheme="minorHAnsi"/>
          <w:b/>
          <w:caps w:val="0"/>
        </w:rPr>
        <w:lastRenderedPageBreak/>
        <w:t xml:space="preserve">Annex </w:t>
      </w:r>
      <w:r w:rsidR="00FC2349" w:rsidRPr="00E22EBA">
        <w:rPr>
          <w:rFonts w:asciiTheme="minorHAnsi" w:hAnsiTheme="minorHAnsi"/>
          <w:b/>
          <w:caps w:val="0"/>
        </w:rPr>
        <w:t>3</w:t>
      </w:r>
      <w:r w:rsidR="00EA6574">
        <w:rPr>
          <w:rFonts w:asciiTheme="minorHAnsi" w:hAnsiTheme="minorHAnsi"/>
          <w:b/>
          <w:caps w:val="0"/>
        </w:rPr>
        <w:t>:</w:t>
      </w:r>
      <w:r w:rsidR="00EA6574">
        <w:rPr>
          <w:rFonts w:asciiTheme="minorHAnsi" w:hAnsiTheme="minorHAnsi"/>
          <w:b/>
          <w:caps w:val="0"/>
        </w:rPr>
        <w:tab/>
      </w:r>
      <w:r w:rsidR="00EA6574" w:rsidRPr="00E22EBA">
        <w:rPr>
          <w:rFonts w:asciiTheme="minorHAnsi" w:hAnsiTheme="minorHAnsi"/>
          <w:b/>
          <w:caps w:val="0"/>
        </w:rPr>
        <w:t>Evaluation Mission Itinerary</w:t>
      </w:r>
      <w:r w:rsidR="00B53C46">
        <w:rPr>
          <w:rFonts w:asciiTheme="minorHAnsi" w:hAnsiTheme="minorHAnsi"/>
          <w:b/>
          <w:caps w:val="0"/>
        </w:rPr>
        <w:t xml:space="preserve">, Schedule of Meetings, </w:t>
      </w:r>
      <w:r w:rsidR="00EA6574">
        <w:rPr>
          <w:rFonts w:asciiTheme="minorHAnsi" w:hAnsiTheme="minorHAnsi"/>
          <w:b/>
          <w:caps w:val="0"/>
        </w:rPr>
        <w:t xml:space="preserve">Persons Interviewed </w:t>
      </w:r>
      <w:r w:rsidR="00B53C46">
        <w:rPr>
          <w:rFonts w:asciiTheme="minorHAnsi" w:hAnsiTheme="minorHAnsi"/>
          <w:b/>
          <w:caps w:val="0"/>
        </w:rPr>
        <w:t xml:space="preserve">      </w:t>
      </w:r>
      <w:r w:rsidR="00EA6574" w:rsidRPr="00E22EBA">
        <w:rPr>
          <w:rFonts w:asciiTheme="minorHAnsi" w:hAnsiTheme="minorHAnsi"/>
          <w:b/>
          <w:caps w:val="0"/>
        </w:rPr>
        <w:t>(</w:t>
      </w:r>
      <w:r w:rsidR="00EA6574">
        <w:rPr>
          <w:rFonts w:asciiTheme="minorHAnsi" w:hAnsiTheme="minorHAnsi"/>
          <w:b/>
          <w:caps w:val="0"/>
        </w:rPr>
        <w:t>1</w:t>
      </w:r>
      <w:r w:rsidR="00B53C46">
        <w:rPr>
          <w:rFonts w:asciiTheme="minorHAnsi" w:hAnsiTheme="minorHAnsi"/>
          <w:b/>
          <w:caps w:val="0"/>
        </w:rPr>
        <w:t>8-30</w:t>
      </w:r>
      <w:r w:rsidR="00EA6574">
        <w:rPr>
          <w:rFonts w:asciiTheme="minorHAnsi" w:hAnsiTheme="minorHAnsi"/>
          <w:b/>
          <w:caps w:val="0"/>
        </w:rPr>
        <w:t xml:space="preserve"> October 2018</w:t>
      </w:r>
      <w:r w:rsidR="00EA6574" w:rsidRPr="00E22EBA">
        <w:rPr>
          <w:rFonts w:asciiTheme="minorHAnsi" w:hAnsiTheme="minorHAnsi"/>
          <w:b/>
          <w:caps w:val="0"/>
        </w:rPr>
        <w:t>)</w:t>
      </w:r>
      <w:bookmarkEnd w:id="247"/>
      <w:r w:rsidR="00EA6574" w:rsidRPr="00E22EBA">
        <w:rPr>
          <w:rFonts w:asciiTheme="minorHAnsi" w:hAnsiTheme="minorHAnsi"/>
          <w:b/>
          <w:caps w:val="0"/>
        </w:rPr>
        <w:t xml:space="preserve"> </w:t>
      </w:r>
    </w:p>
    <w:tbl>
      <w:tblPr>
        <w:tblStyle w:val="TableGrid"/>
        <w:tblW w:w="0" w:type="auto"/>
        <w:tblLook w:val="04A0" w:firstRow="1" w:lastRow="0" w:firstColumn="1" w:lastColumn="0" w:noHBand="0" w:noVBand="1"/>
      </w:tblPr>
      <w:tblGrid>
        <w:gridCol w:w="762"/>
        <w:gridCol w:w="3129"/>
        <w:gridCol w:w="5249"/>
      </w:tblGrid>
      <w:tr w:rsidR="00B53C46" w:rsidRPr="00893D2A" w14:paraId="19CB2A6B" w14:textId="77777777" w:rsidTr="00B53C46">
        <w:tc>
          <w:tcPr>
            <w:tcW w:w="0" w:type="auto"/>
            <w:shd w:val="clear" w:color="auto" w:fill="4F81BD" w:themeFill="accent1"/>
            <w:tcMar>
              <w:top w:w="28" w:type="dxa"/>
              <w:left w:w="57" w:type="dxa"/>
              <w:bottom w:w="28" w:type="dxa"/>
              <w:right w:w="57" w:type="dxa"/>
            </w:tcMar>
          </w:tcPr>
          <w:p w14:paraId="78839D38" w14:textId="77777777" w:rsidR="00B53C46" w:rsidRPr="00893D2A" w:rsidRDefault="00B53C46" w:rsidP="00B53C46">
            <w:pPr>
              <w:spacing w:before="120" w:after="120"/>
              <w:jc w:val="center"/>
              <w:rPr>
                <w:rFonts w:ascii="Calibri" w:hAnsi="Calibri"/>
                <w:b/>
              </w:rPr>
            </w:pPr>
            <w:r w:rsidRPr="00893D2A">
              <w:rPr>
                <w:rFonts w:ascii="Calibri" w:hAnsi="Calibri"/>
                <w:b/>
              </w:rPr>
              <w:t>Date</w:t>
            </w:r>
          </w:p>
        </w:tc>
        <w:tc>
          <w:tcPr>
            <w:tcW w:w="3129" w:type="dxa"/>
            <w:shd w:val="clear" w:color="auto" w:fill="4F81BD" w:themeFill="accent1"/>
            <w:tcMar>
              <w:top w:w="28" w:type="dxa"/>
              <w:left w:w="57" w:type="dxa"/>
              <w:bottom w:w="28" w:type="dxa"/>
              <w:right w:w="57" w:type="dxa"/>
            </w:tcMar>
          </w:tcPr>
          <w:p w14:paraId="6C3377F5" w14:textId="77777777" w:rsidR="00B53C46" w:rsidRPr="00893D2A" w:rsidRDefault="00B53C46" w:rsidP="00B53C46">
            <w:pPr>
              <w:spacing w:before="120" w:after="120"/>
              <w:jc w:val="center"/>
              <w:rPr>
                <w:rFonts w:ascii="Calibri" w:hAnsi="Calibri"/>
                <w:b/>
              </w:rPr>
            </w:pPr>
            <w:r>
              <w:rPr>
                <w:rFonts w:ascii="Calibri" w:hAnsi="Calibri"/>
                <w:b/>
              </w:rPr>
              <w:t>Activity</w:t>
            </w:r>
          </w:p>
        </w:tc>
        <w:tc>
          <w:tcPr>
            <w:tcW w:w="5249" w:type="dxa"/>
            <w:shd w:val="clear" w:color="auto" w:fill="4F81BD" w:themeFill="accent1"/>
            <w:tcMar>
              <w:top w:w="28" w:type="dxa"/>
              <w:left w:w="57" w:type="dxa"/>
              <w:bottom w:w="28" w:type="dxa"/>
              <w:right w:w="57" w:type="dxa"/>
            </w:tcMar>
          </w:tcPr>
          <w:p w14:paraId="0D8DF3B5" w14:textId="77777777" w:rsidR="00B53C46" w:rsidRPr="00893D2A" w:rsidRDefault="00B53C46" w:rsidP="00B53C46">
            <w:pPr>
              <w:spacing w:before="120" w:after="120"/>
              <w:jc w:val="center"/>
              <w:rPr>
                <w:rFonts w:ascii="Calibri" w:hAnsi="Calibri"/>
                <w:b/>
              </w:rPr>
            </w:pPr>
            <w:r w:rsidRPr="00893D2A">
              <w:rPr>
                <w:rFonts w:ascii="Calibri" w:hAnsi="Calibri"/>
                <w:b/>
              </w:rPr>
              <w:t>Persons met, position</w:t>
            </w:r>
          </w:p>
        </w:tc>
      </w:tr>
      <w:tr w:rsidR="00B53C46" w:rsidRPr="00893D2A" w14:paraId="2EA7828D" w14:textId="77777777" w:rsidTr="00B53C46">
        <w:tc>
          <w:tcPr>
            <w:tcW w:w="0" w:type="auto"/>
            <w:tcBorders>
              <w:bottom w:val="single" w:sz="4" w:space="0" w:color="auto"/>
            </w:tcBorders>
            <w:tcMar>
              <w:top w:w="28" w:type="dxa"/>
              <w:left w:w="57" w:type="dxa"/>
              <w:bottom w:w="28" w:type="dxa"/>
              <w:right w:w="57" w:type="dxa"/>
            </w:tcMar>
          </w:tcPr>
          <w:p w14:paraId="2226FF2C" w14:textId="77777777" w:rsidR="00B53C46" w:rsidRPr="00893D2A" w:rsidRDefault="00B53C46" w:rsidP="00B53C46">
            <w:pPr>
              <w:rPr>
                <w:rFonts w:ascii="Calibri" w:hAnsi="Calibri"/>
                <w:b/>
                <w:szCs w:val="22"/>
              </w:rPr>
            </w:pPr>
            <w:r w:rsidRPr="00893D2A">
              <w:rPr>
                <w:rFonts w:ascii="Calibri" w:hAnsi="Calibri"/>
                <w:b/>
                <w:szCs w:val="22"/>
              </w:rPr>
              <w:t>18 Oct</w:t>
            </w:r>
          </w:p>
        </w:tc>
        <w:tc>
          <w:tcPr>
            <w:tcW w:w="8378" w:type="dxa"/>
            <w:gridSpan w:val="2"/>
            <w:tcBorders>
              <w:bottom w:val="single" w:sz="4" w:space="0" w:color="auto"/>
            </w:tcBorders>
            <w:tcMar>
              <w:top w:w="28" w:type="dxa"/>
              <w:left w:w="57" w:type="dxa"/>
              <w:bottom w:w="28" w:type="dxa"/>
              <w:right w:w="57" w:type="dxa"/>
            </w:tcMar>
          </w:tcPr>
          <w:p w14:paraId="4D180C95" w14:textId="77777777" w:rsidR="00B53C46" w:rsidRPr="00893D2A" w:rsidRDefault="00B53C46" w:rsidP="00B53C46">
            <w:pPr>
              <w:rPr>
                <w:rFonts w:ascii="Calibri" w:hAnsi="Calibri"/>
                <w:szCs w:val="22"/>
              </w:rPr>
            </w:pPr>
            <w:r w:rsidRPr="00893D2A">
              <w:rPr>
                <w:rFonts w:ascii="Calibri" w:hAnsi="Calibri"/>
                <w:szCs w:val="22"/>
              </w:rPr>
              <w:t>International Consultant arriv</w:t>
            </w:r>
            <w:r>
              <w:rPr>
                <w:rFonts w:ascii="Calibri" w:hAnsi="Calibri"/>
                <w:szCs w:val="22"/>
              </w:rPr>
              <w:t>es</w:t>
            </w:r>
            <w:r w:rsidRPr="00893D2A">
              <w:rPr>
                <w:rFonts w:ascii="Calibri" w:hAnsi="Calibri"/>
                <w:szCs w:val="22"/>
              </w:rPr>
              <w:t xml:space="preserve"> </w:t>
            </w:r>
            <w:r>
              <w:rPr>
                <w:rFonts w:ascii="Calibri" w:hAnsi="Calibri"/>
                <w:szCs w:val="22"/>
              </w:rPr>
              <w:t>in</w:t>
            </w:r>
            <w:r w:rsidRPr="00893D2A">
              <w:rPr>
                <w:rFonts w:ascii="Calibri" w:hAnsi="Calibri"/>
                <w:szCs w:val="22"/>
              </w:rPr>
              <w:t xml:space="preserve"> Georgia</w:t>
            </w:r>
          </w:p>
        </w:tc>
      </w:tr>
      <w:tr w:rsidR="00B53C46" w:rsidRPr="00893D2A" w14:paraId="0A713062" w14:textId="77777777" w:rsidTr="00B53C46">
        <w:tc>
          <w:tcPr>
            <w:tcW w:w="0" w:type="auto"/>
            <w:tcBorders>
              <w:bottom w:val="single" w:sz="4" w:space="0" w:color="auto"/>
              <w:right w:val="nil"/>
            </w:tcBorders>
            <w:shd w:val="clear" w:color="auto" w:fill="99CCFF"/>
            <w:tcMar>
              <w:top w:w="28" w:type="dxa"/>
              <w:left w:w="57" w:type="dxa"/>
              <w:bottom w:w="28" w:type="dxa"/>
              <w:right w:w="57" w:type="dxa"/>
            </w:tcMar>
          </w:tcPr>
          <w:p w14:paraId="6B482D91" w14:textId="77777777" w:rsidR="00B53C46" w:rsidRPr="00893D2A" w:rsidRDefault="00B53C46" w:rsidP="00B53C46">
            <w:pPr>
              <w:rPr>
                <w:rFonts w:ascii="Calibri" w:hAnsi="Calibri"/>
                <w:b/>
                <w:szCs w:val="22"/>
              </w:rPr>
            </w:pPr>
          </w:p>
        </w:tc>
        <w:tc>
          <w:tcPr>
            <w:tcW w:w="3129" w:type="dxa"/>
            <w:tcBorders>
              <w:left w:val="nil"/>
              <w:right w:val="nil"/>
            </w:tcBorders>
            <w:shd w:val="clear" w:color="auto" w:fill="99CCFF"/>
            <w:tcMar>
              <w:top w:w="28" w:type="dxa"/>
              <w:left w:w="57" w:type="dxa"/>
              <w:bottom w:w="28" w:type="dxa"/>
              <w:right w:w="57" w:type="dxa"/>
            </w:tcMar>
          </w:tcPr>
          <w:p w14:paraId="4B09056B" w14:textId="77777777" w:rsidR="00B53C46" w:rsidRPr="00893D2A" w:rsidRDefault="00B53C46" w:rsidP="00B53C46">
            <w:pPr>
              <w:rPr>
                <w:rFonts w:ascii="Calibri" w:hAnsi="Calibri"/>
                <w:b/>
                <w:szCs w:val="22"/>
              </w:rPr>
            </w:pPr>
            <w:r w:rsidRPr="00893D2A">
              <w:rPr>
                <w:rFonts w:ascii="Calibri" w:hAnsi="Calibri"/>
                <w:b/>
                <w:szCs w:val="22"/>
              </w:rPr>
              <w:t>Meetings in Tbilisi</w:t>
            </w:r>
          </w:p>
        </w:tc>
        <w:tc>
          <w:tcPr>
            <w:tcW w:w="5249" w:type="dxa"/>
            <w:tcBorders>
              <w:left w:val="nil"/>
            </w:tcBorders>
            <w:shd w:val="clear" w:color="auto" w:fill="99CCFF"/>
            <w:tcMar>
              <w:top w:w="28" w:type="dxa"/>
              <w:left w:w="57" w:type="dxa"/>
              <w:bottom w:w="28" w:type="dxa"/>
              <w:right w:w="57" w:type="dxa"/>
            </w:tcMar>
          </w:tcPr>
          <w:p w14:paraId="3421A985" w14:textId="77777777" w:rsidR="00B53C46" w:rsidRPr="00893D2A" w:rsidRDefault="00B53C46" w:rsidP="00B53C46">
            <w:pPr>
              <w:rPr>
                <w:rFonts w:ascii="Calibri" w:hAnsi="Calibri"/>
                <w:b/>
                <w:szCs w:val="22"/>
              </w:rPr>
            </w:pPr>
          </w:p>
        </w:tc>
      </w:tr>
      <w:tr w:rsidR="00B53C46" w:rsidRPr="00893D2A" w14:paraId="1FD483E4" w14:textId="77777777" w:rsidTr="00B53C46">
        <w:tc>
          <w:tcPr>
            <w:tcW w:w="0" w:type="auto"/>
            <w:tcBorders>
              <w:bottom w:val="nil"/>
            </w:tcBorders>
            <w:tcMar>
              <w:top w:w="28" w:type="dxa"/>
              <w:left w:w="57" w:type="dxa"/>
              <w:bottom w:w="28" w:type="dxa"/>
              <w:right w:w="57" w:type="dxa"/>
            </w:tcMar>
          </w:tcPr>
          <w:p w14:paraId="3359C3A5" w14:textId="77777777" w:rsidR="00B53C46" w:rsidRPr="00893D2A" w:rsidRDefault="00B53C46" w:rsidP="00B53C46">
            <w:pPr>
              <w:rPr>
                <w:rFonts w:ascii="Calibri" w:hAnsi="Calibri"/>
                <w:b/>
                <w:szCs w:val="22"/>
              </w:rPr>
            </w:pPr>
            <w:r>
              <w:rPr>
                <w:rFonts w:ascii="Calibri" w:hAnsi="Calibri"/>
                <w:b/>
                <w:szCs w:val="22"/>
              </w:rPr>
              <w:t>19 Oct</w:t>
            </w:r>
          </w:p>
          <w:p w14:paraId="15B35295" w14:textId="77777777" w:rsidR="00B53C46" w:rsidRPr="00893D2A" w:rsidRDefault="00B53C46" w:rsidP="00B53C46">
            <w:pPr>
              <w:rPr>
                <w:rFonts w:ascii="Calibri" w:hAnsi="Calibri"/>
                <w:szCs w:val="22"/>
              </w:rPr>
            </w:pPr>
            <w:r w:rsidRPr="00893D2A">
              <w:rPr>
                <w:rFonts w:ascii="Calibri" w:hAnsi="Calibri"/>
                <w:szCs w:val="22"/>
              </w:rPr>
              <w:t>10:00</w:t>
            </w:r>
          </w:p>
        </w:tc>
        <w:tc>
          <w:tcPr>
            <w:tcW w:w="3129" w:type="dxa"/>
            <w:tcMar>
              <w:top w:w="28" w:type="dxa"/>
              <w:left w:w="57" w:type="dxa"/>
              <w:bottom w:w="28" w:type="dxa"/>
              <w:right w:w="57" w:type="dxa"/>
            </w:tcMar>
          </w:tcPr>
          <w:p w14:paraId="1B73D61A" w14:textId="77777777" w:rsidR="00B53C46" w:rsidRPr="00893D2A" w:rsidRDefault="00B53C46" w:rsidP="00B53C46">
            <w:pPr>
              <w:widowControl w:val="0"/>
              <w:rPr>
                <w:rFonts w:ascii="Calibri" w:hAnsi="Calibri" w:cs="Times"/>
                <w:szCs w:val="22"/>
              </w:rPr>
            </w:pPr>
            <w:r w:rsidRPr="00893D2A">
              <w:rPr>
                <w:rFonts w:ascii="Calibri" w:hAnsi="Calibri" w:cs="Times"/>
                <w:szCs w:val="22"/>
              </w:rPr>
              <w:t>Meeting</w:t>
            </w:r>
            <w:r>
              <w:rPr>
                <w:rFonts w:ascii="Calibri" w:hAnsi="Calibri" w:cs="Times"/>
                <w:szCs w:val="22"/>
              </w:rPr>
              <w:t>:</w:t>
            </w:r>
            <w:r w:rsidRPr="00893D2A">
              <w:rPr>
                <w:rFonts w:ascii="Calibri" w:hAnsi="Calibri" w:cs="Times"/>
                <w:szCs w:val="22"/>
              </w:rPr>
              <w:t xml:space="preserve"> NGO Energy Efficiency Centre (EEC)</w:t>
            </w:r>
          </w:p>
          <w:p w14:paraId="45E97139" w14:textId="77777777" w:rsidR="00B53C46" w:rsidRPr="00893D2A" w:rsidRDefault="00B53C46" w:rsidP="00B53C46">
            <w:pPr>
              <w:rPr>
                <w:rFonts w:ascii="Calibri" w:hAnsi="Calibri"/>
                <w:szCs w:val="22"/>
              </w:rPr>
            </w:pPr>
          </w:p>
        </w:tc>
        <w:tc>
          <w:tcPr>
            <w:tcW w:w="5249" w:type="dxa"/>
            <w:tcMar>
              <w:top w:w="28" w:type="dxa"/>
              <w:left w:w="57" w:type="dxa"/>
              <w:bottom w:w="28" w:type="dxa"/>
              <w:right w:w="57" w:type="dxa"/>
            </w:tcMar>
          </w:tcPr>
          <w:p w14:paraId="27A96004" w14:textId="77777777" w:rsidR="00B53C46" w:rsidRPr="00893D2A" w:rsidRDefault="00B53C46" w:rsidP="00B53C46">
            <w:pPr>
              <w:shd w:val="clear" w:color="auto" w:fill="FFFFFF"/>
              <w:rPr>
                <w:rFonts w:ascii="Calibri" w:hAnsi="Calibri"/>
                <w:szCs w:val="22"/>
              </w:rPr>
            </w:pPr>
            <w:r w:rsidRPr="00893D2A">
              <w:rPr>
                <w:rFonts w:ascii="Calibri" w:hAnsi="Calibri"/>
                <w:szCs w:val="22"/>
              </w:rPr>
              <w:t xml:space="preserve">Mr. Giorgi Abulashvili – Director of EEC  </w:t>
            </w:r>
            <w:r w:rsidRPr="00893D2A">
              <w:rPr>
                <w:rFonts w:ascii="Calibri" w:hAnsi="Calibri"/>
                <w:sz w:val="18"/>
                <w:szCs w:val="18"/>
              </w:rPr>
              <w:t>(599974003)</w:t>
            </w:r>
          </w:p>
          <w:p w14:paraId="27D537CC" w14:textId="77777777" w:rsidR="00B53C46" w:rsidRPr="00893D2A" w:rsidRDefault="00B53C46" w:rsidP="00B53C46">
            <w:pPr>
              <w:widowControl w:val="0"/>
              <w:rPr>
                <w:rFonts w:ascii="Calibri" w:hAnsi="Calibri"/>
                <w:szCs w:val="22"/>
              </w:rPr>
            </w:pPr>
            <w:r w:rsidRPr="00893D2A">
              <w:rPr>
                <w:rFonts w:ascii="Calibri" w:hAnsi="Calibri"/>
                <w:szCs w:val="22"/>
              </w:rPr>
              <w:t xml:space="preserve">Ms. Liana Gharibashvili - </w:t>
            </w:r>
            <w:r w:rsidRPr="00893D2A">
              <w:rPr>
                <w:rFonts w:ascii="Calibri" w:hAnsi="Calibri" w:cs="Times"/>
                <w:szCs w:val="22"/>
              </w:rPr>
              <w:t xml:space="preserve">Head of Informational-Analytical Department EEC </w:t>
            </w:r>
            <w:r w:rsidRPr="00893D2A">
              <w:rPr>
                <w:rFonts w:ascii="Calibri" w:hAnsi="Calibri"/>
                <w:sz w:val="18"/>
                <w:szCs w:val="18"/>
              </w:rPr>
              <w:t>(599548782)</w:t>
            </w:r>
          </w:p>
          <w:p w14:paraId="39CA4562" w14:textId="77777777" w:rsidR="00B53C46" w:rsidRPr="00893D2A" w:rsidRDefault="00B53C46" w:rsidP="00B53C46">
            <w:pPr>
              <w:rPr>
                <w:rFonts w:ascii="Calibri" w:hAnsi="Calibri"/>
                <w:sz w:val="18"/>
                <w:szCs w:val="18"/>
              </w:rPr>
            </w:pPr>
            <w:r w:rsidRPr="00893D2A">
              <w:rPr>
                <w:rFonts w:ascii="Calibri" w:hAnsi="Calibri"/>
                <w:sz w:val="18"/>
                <w:szCs w:val="18"/>
              </w:rPr>
              <w:t>Gamrekeli Street, 19, 6 floor (611Room)</w:t>
            </w:r>
          </w:p>
        </w:tc>
      </w:tr>
      <w:tr w:rsidR="00B53C46" w:rsidRPr="00893D2A" w14:paraId="1660FEDE" w14:textId="77777777" w:rsidTr="00B53C46">
        <w:tc>
          <w:tcPr>
            <w:tcW w:w="0" w:type="auto"/>
            <w:tcBorders>
              <w:top w:val="nil"/>
              <w:bottom w:val="nil"/>
            </w:tcBorders>
            <w:tcMar>
              <w:top w:w="28" w:type="dxa"/>
              <w:left w:w="57" w:type="dxa"/>
              <w:bottom w:w="28" w:type="dxa"/>
              <w:right w:w="57" w:type="dxa"/>
            </w:tcMar>
          </w:tcPr>
          <w:p w14:paraId="36D479A7" w14:textId="77777777" w:rsidR="00B53C46" w:rsidRPr="00893D2A" w:rsidRDefault="00B53C46" w:rsidP="00B53C46">
            <w:pPr>
              <w:rPr>
                <w:rFonts w:ascii="Calibri" w:hAnsi="Calibri"/>
                <w:szCs w:val="22"/>
              </w:rPr>
            </w:pPr>
            <w:r w:rsidRPr="00893D2A">
              <w:rPr>
                <w:rFonts w:ascii="Calibri" w:hAnsi="Calibri"/>
                <w:szCs w:val="22"/>
              </w:rPr>
              <w:t>14:00</w:t>
            </w:r>
          </w:p>
        </w:tc>
        <w:tc>
          <w:tcPr>
            <w:tcW w:w="3129" w:type="dxa"/>
            <w:tcMar>
              <w:top w:w="28" w:type="dxa"/>
              <w:left w:w="57" w:type="dxa"/>
              <w:bottom w:w="28" w:type="dxa"/>
              <w:right w:w="57" w:type="dxa"/>
            </w:tcMar>
          </w:tcPr>
          <w:p w14:paraId="104BBB83" w14:textId="77777777" w:rsidR="00B53C46" w:rsidRPr="00893D2A" w:rsidRDefault="00B53C46" w:rsidP="00B53C46">
            <w:pPr>
              <w:rPr>
                <w:rFonts w:ascii="Calibri" w:hAnsi="Calibri"/>
                <w:szCs w:val="22"/>
              </w:rPr>
            </w:pPr>
            <w:r w:rsidRPr="00893D2A">
              <w:rPr>
                <w:rFonts w:ascii="Calibri" w:hAnsi="Calibri"/>
                <w:szCs w:val="22"/>
              </w:rPr>
              <w:t>Meeting</w:t>
            </w:r>
            <w:r>
              <w:rPr>
                <w:rFonts w:ascii="Calibri" w:hAnsi="Calibri"/>
                <w:szCs w:val="22"/>
              </w:rPr>
              <w:t>: Protected A</w:t>
            </w:r>
            <w:r w:rsidRPr="00893D2A">
              <w:rPr>
                <w:rFonts w:ascii="Calibri" w:hAnsi="Calibri"/>
                <w:szCs w:val="22"/>
              </w:rPr>
              <w:t xml:space="preserve">reas Agency </w:t>
            </w:r>
          </w:p>
        </w:tc>
        <w:tc>
          <w:tcPr>
            <w:tcW w:w="5249" w:type="dxa"/>
            <w:tcMar>
              <w:top w:w="28" w:type="dxa"/>
              <w:left w:w="57" w:type="dxa"/>
              <w:bottom w:w="28" w:type="dxa"/>
              <w:right w:w="57" w:type="dxa"/>
            </w:tcMar>
          </w:tcPr>
          <w:p w14:paraId="44653AC6" w14:textId="77777777" w:rsidR="00B53C46" w:rsidRPr="00893D2A" w:rsidRDefault="00B53C46" w:rsidP="00B53C46">
            <w:pPr>
              <w:rPr>
                <w:rFonts w:ascii="Calibri" w:hAnsi="Calibri"/>
                <w:szCs w:val="22"/>
              </w:rPr>
            </w:pPr>
            <w:r w:rsidRPr="00893D2A">
              <w:rPr>
                <w:rFonts w:ascii="Calibri" w:hAnsi="Calibri"/>
                <w:szCs w:val="22"/>
              </w:rPr>
              <w:t>Mr. Toma Dekanoidze - Deputy Chairman of the Agency of Protected Areas</w:t>
            </w:r>
          </w:p>
          <w:p w14:paraId="7A8CA1E1" w14:textId="77777777" w:rsidR="00B53C46" w:rsidRPr="00893D2A" w:rsidRDefault="00B53C46" w:rsidP="00B53C46">
            <w:pPr>
              <w:rPr>
                <w:rFonts w:ascii="Calibri" w:hAnsi="Calibri"/>
                <w:sz w:val="18"/>
                <w:szCs w:val="18"/>
              </w:rPr>
            </w:pPr>
            <w:r w:rsidRPr="00893D2A">
              <w:rPr>
                <w:rFonts w:ascii="Calibri" w:hAnsi="Calibri"/>
                <w:szCs w:val="22"/>
              </w:rPr>
              <w:t>Ms. Tamar Khakhishvili –</w:t>
            </w:r>
            <w:r w:rsidRPr="00893D2A">
              <w:rPr>
                <w:rFonts w:ascii="Calibri" w:hAnsi="Calibri"/>
                <w:szCs w:val="22"/>
                <w:shd w:val="clear" w:color="auto" w:fill="FFFFFF"/>
              </w:rPr>
              <w:t xml:space="preserve"> </w:t>
            </w:r>
            <w:r w:rsidRPr="00893D2A">
              <w:rPr>
                <w:rFonts w:ascii="Calibri" w:hAnsi="Calibri"/>
                <w:szCs w:val="22"/>
              </w:rPr>
              <w:t>Head of International Relations and Project Management Unit</w:t>
            </w:r>
            <w:r w:rsidRPr="00893D2A">
              <w:rPr>
                <w:rFonts w:ascii="Calibri" w:hAnsi="Calibri"/>
                <w:szCs w:val="22"/>
                <w:shd w:val="clear" w:color="auto" w:fill="FFFFFF"/>
              </w:rPr>
              <w:t xml:space="preserve"> (</w:t>
            </w:r>
            <w:r w:rsidRPr="00893D2A">
              <w:rPr>
                <w:rFonts w:ascii="Calibri" w:hAnsi="Calibri"/>
                <w:sz w:val="18"/>
                <w:szCs w:val="18"/>
              </w:rPr>
              <w:t>577150083; </w:t>
            </w:r>
            <w:hyperlink r:id="rId26" w:tgtFrame="_blank" w:history="1">
              <w:r w:rsidRPr="00893D2A">
                <w:rPr>
                  <w:rFonts w:ascii="Calibri" w:hAnsi="Calibri"/>
                  <w:sz w:val="18"/>
                  <w:szCs w:val="18"/>
                </w:rPr>
                <w:t>takokhakhishvili@gmail.com</w:t>
              </w:r>
            </w:hyperlink>
            <w:r w:rsidRPr="00893D2A">
              <w:rPr>
                <w:rFonts w:ascii="Calibri" w:hAnsi="Calibri"/>
                <w:sz w:val="18"/>
                <w:szCs w:val="18"/>
              </w:rPr>
              <w:t>)</w:t>
            </w:r>
          </w:p>
          <w:p w14:paraId="002B40C9" w14:textId="77777777" w:rsidR="00B53C46" w:rsidRPr="00893D2A" w:rsidRDefault="00B53C46" w:rsidP="00B53C46">
            <w:pPr>
              <w:rPr>
                <w:rFonts w:ascii="Calibri" w:hAnsi="Calibri"/>
                <w:szCs w:val="22"/>
              </w:rPr>
            </w:pPr>
            <w:r w:rsidRPr="00893D2A">
              <w:rPr>
                <w:rFonts w:ascii="Calibri" w:hAnsi="Calibri"/>
                <w:sz w:val="18"/>
                <w:szCs w:val="18"/>
              </w:rPr>
              <w:t>Guluas Street N6.  Fifth Floor</w:t>
            </w:r>
          </w:p>
        </w:tc>
      </w:tr>
      <w:tr w:rsidR="00B53C46" w:rsidRPr="00893D2A" w14:paraId="0B766C65" w14:textId="77777777" w:rsidTr="00B53C46">
        <w:tc>
          <w:tcPr>
            <w:tcW w:w="0" w:type="auto"/>
            <w:tcBorders>
              <w:top w:val="nil"/>
              <w:bottom w:val="nil"/>
            </w:tcBorders>
            <w:tcMar>
              <w:top w:w="28" w:type="dxa"/>
              <w:left w:w="57" w:type="dxa"/>
              <w:bottom w:w="28" w:type="dxa"/>
              <w:right w:w="57" w:type="dxa"/>
            </w:tcMar>
          </w:tcPr>
          <w:p w14:paraId="221E45B2" w14:textId="77777777" w:rsidR="00B53C46" w:rsidRPr="00893D2A" w:rsidRDefault="00B53C46" w:rsidP="00B53C46">
            <w:pPr>
              <w:rPr>
                <w:rFonts w:ascii="Calibri" w:hAnsi="Calibri"/>
                <w:szCs w:val="22"/>
              </w:rPr>
            </w:pPr>
            <w:r w:rsidRPr="00893D2A">
              <w:rPr>
                <w:rFonts w:ascii="Calibri" w:hAnsi="Calibri"/>
                <w:szCs w:val="22"/>
              </w:rPr>
              <w:t>16:00</w:t>
            </w:r>
          </w:p>
        </w:tc>
        <w:tc>
          <w:tcPr>
            <w:tcW w:w="3129" w:type="dxa"/>
            <w:tcMar>
              <w:top w:w="28" w:type="dxa"/>
              <w:left w:w="57" w:type="dxa"/>
              <w:bottom w:w="28" w:type="dxa"/>
              <w:right w:w="57" w:type="dxa"/>
            </w:tcMar>
          </w:tcPr>
          <w:p w14:paraId="7E648499" w14:textId="77777777" w:rsidR="00B53C46" w:rsidRPr="00893D2A" w:rsidRDefault="00B53C46" w:rsidP="00B53C46">
            <w:pPr>
              <w:rPr>
                <w:rFonts w:ascii="Calibri" w:hAnsi="Calibri"/>
                <w:szCs w:val="22"/>
              </w:rPr>
            </w:pPr>
            <w:r w:rsidRPr="00893D2A">
              <w:rPr>
                <w:rFonts w:ascii="Calibri" w:hAnsi="Calibri"/>
                <w:szCs w:val="22"/>
              </w:rPr>
              <w:t>Meeting</w:t>
            </w:r>
            <w:r>
              <w:rPr>
                <w:rFonts w:ascii="Calibri" w:hAnsi="Calibri"/>
                <w:szCs w:val="22"/>
              </w:rPr>
              <w:t>:</w:t>
            </w:r>
            <w:r w:rsidRPr="00893D2A">
              <w:rPr>
                <w:rFonts w:ascii="Calibri" w:hAnsi="Calibri"/>
                <w:szCs w:val="22"/>
              </w:rPr>
              <w:t xml:space="preserve"> Transboundary Joint Secretariat</w:t>
            </w:r>
          </w:p>
        </w:tc>
        <w:tc>
          <w:tcPr>
            <w:tcW w:w="5249" w:type="dxa"/>
            <w:tcMar>
              <w:top w:w="28" w:type="dxa"/>
              <w:left w:w="57" w:type="dxa"/>
              <w:bottom w:w="28" w:type="dxa"/>
              <w:right w:w="57" w:type="dxa"/>
            </w:tcMar>
          </w:tcPr>
          <w:p w14:paraId="713FEA2C" w14:textId="77777777" w:rsidR="00B53C46" w:rsidRPr="00893D2A" w:rsidRDefault="00B53C46" w:rsidP="00B53C46">
            <w:pPr>
              <w:rPr>
                <w:rFonts w:ascii="Calibri" w:hAnsi="Calibri"/>
                <w:sz w:val="18"/>
                <w:szCs w:val="18"/>
              </w:rPr>
            </w:pPr>
            <w:r w:rsidRPr="00893D2A">
              <w:rPr>
                <w:rFonts w:ascii="Calibri" w:hAnsi="Calibri"/>
                <w:szCs w:val="22"/>
              </w:rPr>
              <w:t>Ms. Lali Tevzadze – National Coordinator in Georgia (</w:t>
            </w:r>
            <w:r w:rsidRPr="00893D2A">
              <w:rPr>
                <w:rFonts w:ascii="Calibri" w:hAnsi="Calibri"/>
                <w:sz w:val="18"/>
                <w:szCs w:val="18"/>
              </w:rPr>
              <w:t>591701092) 593448565, 557736919, 557736919</w:t>
            </w:r>
          </w:p>
          <w:p w14:paraId="3C079F48" w14:textId="77777777" w:rsidR="00B53C46" w:rsidRPr="00893D2A" w:rsidRDefault="00B53C46" w:rsidP="00B53C46">
            <w:pPr>
              <w:widowControl w:val="0"/>
              <w:rPr>
                <w:rFonts w:ascii="Calibri" w:hAnsi="Calibri" w:cs="Times"/>
                <w:szCs w:val="22"/>
              </w:rPr>
            </w:pPr>
            <w:r>
              <w:rPr>
                <w:rFonts w:ascii="Calibri" w:hAnsi="Calibri"/>
                <w:sz w:val="18"/>
                <w:szCs w:val="18"/>
              </w:rPr>
              <w:t>Aleksidze S</w:t>
            </w:r>
            <w:r w:rsidRPr="00893D2A">
              <w:rPr>
                <w:rFonts w:ascii="Calibri" w:hAnsi="Calibri"/>
                <w:sz w:val="18"/>
                <w:szCs w:val="18"/>
              </w:rPr>
              <w:t>treet 11</w:t>
            </w:r>
          </w:p>
        </w:tc>
      </w:tr>
      <w:tr w:rsidR="00B53C46" w:rsidRPr="00893D2A" w14:paraId="0AB16459" w14:textId="77777777" w:rsidTr="00B53C46">
        <w:tc>
          <w:tcPr>
            <w:tcW w:w="0" w:type="auto"/>
            <w:tcBorders>
              <w:top w:val="nil"/>
            </w:tcBorders>
            <w:tcMar>
              <w:top w:w="28" w:type="dxa"/>
              <w:left w:w="57" w:type="dxa"/>
              <w:bottom w:w="28" w:type="dxa"/>
              <w:right w:w="57" w:type="dxa"/>
            </w:tcMar>
          </w:tcPr>
          <w:p w14:paraId="59290CFF" w14:textId="77777777" w:rsidR="00B53C46" w:rsidRPr="00893D2A" w:rsidRDefault="00B53C46" w:rsidP="00B53C46">
            <w:pPr>
              <w:rPr>
                <w:rFonts w:ascii="Calibri" w:hAnsi="Calibri"/>
                <w:szCs w:val="22"/>
              </w:rPr>
            </w:pPr>
            <w:r w:rsidRPr="00893D2A">
              <w:rPr>
                <w:rFonts w:ascii="Calibri" w:hAnsi="Calibri"/>
                <w:szCs w:val="22"/>
              </w:rPr>
              <w:t xml:space="preserve">18:00 </w:t>
            </w:r>
          </w:p>
        </w:tc>
        <w:tc>
          <w:tcPr>
            <w:tcW w:w="3129" w:type="dxa"/>
            <w:tcMar>
              <w:top w:w="28" w:type="dxa"/>
              <w:left w:w="57" w:type="dxa"/>
              <w:bottom w:w="28" w:type="dxa"/>
              <w:right w:w="57" w:type="dxa"/>
            </w:tcMar>
          </w:tcPr>
          <w:p w14:paraId="16E47638" w14:textId="77777777" w:rsidR="00B53C46" w:rsidRPr="00893D2A" w:rsidRDefault="00B53C46" w:rsidP="00B53C46">
            <w:pPr>
              <w:widowControl w:val="0"/>
              <w:rPr>
                <w:rFonts w:ascii="Calibri" w:hAnsi="Calibri" w:cs="Times"/>
                <w:szCs w:val="22"/>
              </w:rPr>
            </w:pPr>
            <w:r w:rsidRPr="00893D2A">
              <w:rPr>
                <w:rFonts w:ascii="Calibri" w:hAnsi="Calibri" w:cs="Times"/>
                <w:szCs w:val="22"/>
              </w:rPr>
              <w:t>GFA Consulting Group GmbH (KfW Project: Support Program for Protected Areas)</w:t>
            </w:r>
          </w:p>
        </w:tc>
        <w:tc>
          <w:tcPr>
            <w:tcW w:w="5249" w:type="dxa"/>
            <w:tcMar>
              <w:top w:w="28" w:type="dxa"/>
              <w:left w:w="57" w:type="dxa"/>
              <w:bottom w:w="28" w:type="dxa"/>
              <w:right w:w="57" w:type="dxa"/>
            </w:tcMar>
          </w:tcPr>
          <w:p w14:paraId="5598052E" w14:textId="77777777" w:rsidR="00B53C46" w:rsidRPr="00893D2A" w:rsidRDefault="00B53C46" w:rsidP="00B53C46">
            <w:pPr>
              <w:rPr>
                <w:rFonts w:ascii="Calibri" w:hAnsi="Calibri"/>
                <w:sz w:val="18"/>
                <w:szCs w:val="18"/>
                <w:shd w:val="clear" w:color="auto" w:fill="FFFFFF"/>
              </w:rPr>
            </w:pPr>
            <w:r w:rsidRPr="00893D2A">
              <w:rPr>
                <w:rFonts w:ascii="Calibri" w:hAnsi="Calibri"/>
                <w:szCs w:val="22"/>
              </w:rPr>
              <w:t xml:space="preserve">Ms. Eka Kakabadze  - </w:t>
            </w:r>
            <w:r w:rsidRPr="00893D2A">
              <w:rPr>
                <w:rFonts w:ascii="Calibri" w:hAnsi="Calibri" w:cs="Times"/>
                <w:szCs w:val="22"/>
              </w:rPr>
              <w:t xml:space="preserve">National Coordinator </w:t>
            </w:r>
            <w:r w:rsidRPr="00893D2A">
              <w:rPr>
                <w:rFonts w:ascii="Calibri" w:hAnsi="Calibri" w:cs="Times"/>
                <w:sz w:val="18"/>
                <w:szCs w:val="18"/>
              </w:rPr>
              <w:t>(</w:t>
            </w:r>
            <w:r w:rsidRPr="00893D2A">
              <w:rPr>
                <w:rFonts w:ascii="Calibri" w:hAnsi="Calibri"/>
                <w:sz w:val="18"/>
                <w:szCs w:val="18"/>
                <w:shd w:val="clear" w:color="auto" w:fill="FFFFFF"/>
              </w:rPr>
              <w:t xml:space="preserve">577400325) </w:t>
            </w:r>
          </w:p>
          <w:p w14:paraId="440B9073" w14:textId="77777777" w:rsidR="00B53C46" w:rsidRPr="00893D2A" w:rsidRDefault="00B53C46" w:rsidP="00B53C46">
            <w:pPr>
              <w:rPr>
                <w:rFonts w:ascii="Calibri" w:hAnsi="Calibri"/>
                <w:sz w:val="18"/>
                <w:szCs w:val="18"/>
              </w:rPr>
            </w:pPr>
            <w:r>
              <w:rPr>
                <w:rFonts w:ascii="Calibri" w:hAnsi="Calibri"/>
                <w:sz w:val="18"/>
                <w:szCs w:val="18"/>
              </w:rPr>
              <w:t>Tavkhelidze S</w:t>
            </w:r>
            <w:r w:rsidRPr="00893D2A">
              <w:rPr>
                <w:rFonts w:ascii="Calibri" w:hAnsi="Calibri"/>
                <w:sz w:val="18"/>
                <w:szCs w:val="18"/>
              </w:rPr>
              <w:t>treet 1.  IV entrance (15B)</w:t>
            </w:r>
          </w:p>
        </w:tc>
      </w:tr>
      <w:tr w:rsidR="00B53C46" w:rsidRPr="00893D2A" w14:paraId="6AD09EDE" w14:textId="77777777" w:rsidTr="00B53C46">
        <w:tc>
          <w:tcPr>
            <w:tcW w:w="0" w:type="auto"/>
            <w:tcBorders>
              <w:bottom w:val="single" w:sz="4" w:space="0" w:color="auto"/>
            </w:tcBorders>
            <w:tcMar>
              <w:top w:w="28" w:type="dxa"/>
              <w:left w:w="57" w:type="dxa"/>
              <w:bottom w:w="28" w:type="dxa"/>
              <w:right w:w="57" w:type="dxa"/>
            </w:tcMar>
          </w:tcPr>
          <w:p w14:paraId="52635245" w14:textId="77777777" w:rsidR="00B53C46" w:rsidRPr="00022691" w:rsidRDefault="00B53C46" w:rsidP="00B53C46">
            <w:pPr>
              <w:rPr>
                <w:rFonts w:ascii="Calibri" w:hAnsi="Calibri"/>
                <w:b/>
                <w:szCs w:val="22"/>
              </w:rPr>
            </w:pPr>
            <w:r w:rsidRPr="00022691">
              <w:rPr>
                <w:rFonts w:ascii="Calibri" w:hAnsi="Calibri"/>
                <w:b/>
                <w:szCs w:val="22"/>
              </w:rPr>
              <w:t>20 Oct</w:t>
            </w:r>
          </w:p>
          <w:p w14:paraId="4757F3CA" w14:textId="77777777" w:rsidR="00B53C46" w:rsidRPr="00893D2A" w:rsidRDefault="00B53C46" w:rsidP="00B53C46">
            <w:pPr>
              <w:rPr>
                <w:rFonts w:ascii="Calibri" w:hAnsi="Calibri"/>
                <w:szCs w:val="22"/>
              </w:rPr>
            </w:pPr>
            <w:r w:rsidRPr="00893D2A">
              <w:rPr>
                <w:rFonts w:ascii="Calibri" w:hAnsi="Calibri"/>
                <w:szCs w:val="22"/>
              </w:rPr>
              <w:t>11:00</w:t>
            </w:r>
          </w:p>
        </w:tc>
        <w:tc>
          <w:tcPr>
            <w:tcW w:w="3129" w:type="dxa"/>
            <w:tcBorders>
              <w:bottom w:val="single" w:sz="4" w:space="0" w:color="auto"/>
            </w:tcBorders>
            <w:tcMar>
              <w:top w:w="28" w:type="dxa"/>
              <w:left w:w="57" w:type="dxa"/>
              <w:bottom w:w="28" w:type="dxa"/>
              <w:right w:w="57" w:type="dxa"/>
            </w:tcMar>
          </w:tcPr>
          <w:p w14:paraId="1430543E" w14:textId="77777777" w:rsidR="00B53C46" w:rsidRPr="00893D2A" w:rsidRDefault="00B53C46" w:rsidP="00B53C46">
            <w:pPr>
              <w:rPr>
                <w:rFonts w:ascii="Calibri" w:hAnsi="Calibri"/>
                <w:szCs w:val="22"/>
              </w:rPr>
            </w:pPr>
            <w:r w:rsidRPr="00893D2A">
              <w:rPr>
                <w:rFonts w:ascii="Calibri" w:hAnsi="Calibri" w:cs="Times"/>
                <w:szCs w:val="22"/>
              </w:rPr>
              <w:t>Meeting</w:t>
            </w:r>
            <w:r>
              <w:rPr>
                <w:rFonts w:ascii="Calibri" w:hAnsi="Calibri" w:cs="Times"/>
                <w:szCs w:val="22"/>
              </w:rPr>
              <w:t>:</w:t>
            </w:r>
            <w:r w:rsidRPr="00893D2A">
              <w:rPr>
                <w:rFonts w:ascii="Calibri" w:hAnsi="Calibri" w:cs="Times"/>
                <w:szCs w:val="22"/>
              </w:rPr>
              <w:t xml:space="preserve"> </w:t>
            </w:r>
            <w:r w:rsidRPr="00893D2A">
              <w:rPr>
                <w:rFonts w:ascii="Calibri" w:hAnsi="Calibri"/>
                <w:szCs w:val="22"/>
              </w:rPr>
              <w:t>Black Sea Academy and</w:t>
            </w:r>
            <w:r>
              <w:rPr>
                <w:rFonts w:ascii="Calibri" w:hAnsi="Calibri"/>
                <w:szCs w:val="22"/>
              </w:rPr>
              <w:t xml:space="preserve"> </w:t>
            </w:r>
            <w:r w:rsidRPr="00893D2A">
              <w:rPr>
                <w:rFonts w:ascii="Calibri" w:hAnsi="Calibri"/>
                <w:szCs w:val="22"/>
              </w:rPr>
              <w:t>PA Management Consultant</w:t>
            </w:r>
          </w:p>
        </w:tc>
        <w:tc>
          <w:tcPr>
            <w:tcW w:w="5249" w:type="dxa"/>
            <w:tcBorders>
              <w:bottom w:val="single" w:sz="4" w:space="0" w:color="auto"/>
            </w:tcBorders>
            <w:tcMar>
              <w:top w:w="28" w:type="dxa"/>
              <w:left w:w="57" w:type="dxa"/>
              <w:bottom w:w="28" w:type="dxa"/>
              <w:right w:w="57" w:type="dxa"/>
            </w:tcMar>
          </w:tcPr>
          <w:p w14:paraId="1D1C896B" w14:textId="77777777" w:rsidR="00B53C46" w:rsidRPr="00022691" w:rsidRDefault="00B53C46" w:rsidP="00B53C46">
            <w:pPr>
              <w:rPr>
                <w:rFonts w:ascii="Calibri" w:hAnsi="Calibri" w:cs="Archy EDT Bold"/>
                <w:color w:val="FF0000"/>
                <w:szCs w:val="22"/>
              </w:rPr>
            </w:pPr>
            <w:r w:rsidRPr="00893D2A">
              <w:rPr>
                <w:rFonts w:ascii="Calibri" w:hAnsi="Calibri"/>
                <w:szCs w:val="22"/>
              </w:rPr>
              <w:t>Mr. Kakha Bakhtadze –</w:t>
            </w:r>
            <w:r w:rsidRPr="00893D2A">
              <w:rPr>
                <w:rFonts w:ascii="Calibri" w:hAnsi="Calibri" w:cs="Times"/>
                <w:szCs w:val="22"/>
              </w:rPr>
              <w:t xml:space="preserve"> </w:t>
            </w:r>
            <w:r w:rsidRPr="00893D2A">
              <w:rPr>
                <w:rFonts w:ascii="Calibri" w:hAnsi="Calibri"/>
                <w:szCs w:val="22"/>
              </w:rPr>
              <w:t>Expert (</w:t>
            </w:r>
            <w:r w:rsidRPr="00893D2A">
              <w:rPr>
                <w:rFonts w:ascii="Calibri" w:hAnsi="Calibri"/>
                <w:color w:val="000000"/>
                <w:szCs w:val="22"/>
                <w:shd w:val="clear" w:color="auto" w:fill="FFFFFF"/>
              </w:rPr>
              <w:t xml:space="preserve">599926996) </w:t>
            </w:r>
          </w:p>
        </w:tc>
      </w:tr>
      <w:tr w:rsidR="00B53C46" w:rsidRPr="00893D2A" w14:paraId="2D1BBA3B" w14:textId="77777777" w:rsidTr="00B53C46">
        <w:tc>
          <w:tcPr>
            <w:tcW w:w="0" w:type="auto"/>
            <w:tcBorders>
              <w:bottom w:val="single" w:sz="4" w:space="0" w:color="auto"/>
              <w:right w:val="nil"/>
            </w:tcBorders>
            <w:shd w:val="clear" w:color="auto" w:fill="99CCFF"/>
            <w:tcMar>
              <w:top w:w="28" w:type="dxa"/>
              <w:left w:w="57" w:type="dxa"/>
              <w:bottom w:w="28" w:type="dxa"/>
              <w:right w:w="57" w:type="dxa"/>
            </w:tcMar>
          </w:tcPr>
          <w:p w14:paraId="606B920C" w14:textId="77777777" w:rsidR="00B53C46" w:rsidRPr="00022691" w:rsidRDefault="00B53C46" w:rsidP="00B53C46">
            <w:pPr>
              <w:rPr>
                <w:rFonts w:ascii="Calibri" w:hAnsi="Calibri"/>
                <w:szCs w:val="22"/>
              </w:rPr>
            </w:pPr>
            <w:r w:rsidRPr="00022691">
              <w:rPr>
                <w:rFonts w:ascii="Calibri" w:hAnsi="Calibri"/>
                <w:szCs w:val="22"/>
              </w:rPr>
              <w:t>13:00</w:t>
            </w:r>
          </w:p>
        </w:tc>
        <w:tc>
          <w:tcPr>
            <w:tcW w:w="0" w:type="auto"/>
            <w:gridSpan w:val="2"/>
            <w:tcBorders>
              <w:left w:val="nil"/>
            </w:tcBorders>
            <w:shd w:val="clear" w:color="auto" w:fill="99CCFF"/>
            <w:tcMar>
              <w:top w:w="28" w:type="dxa"/>
              <w:left w:w="57" w:type="dxa"/>
              <w:bottom w:w="28" w:type="dxa"/>
              <w:right w:w="57" w:type="dxa"/>
            </w:tcMar>
          </w:tcPr>
          <w:p w14:paraId="19CEC9AD" w14:textId="77777777" w:rsidR="00B53C46" w:rsidRPr="00893D2A" w:rsidRDefault="00B53C46" w:rsidP="00B53C46">
            <w:pPr>
              <w:rPr>
                <w:rFonts w:ascii="Calibri" w:hAnsi="Calibri"/>
                <w:b/>
                <w:szCs w:val="22"/>
              </w:rPr>
            </w:pPr>
            <w:r w:rsidRPr="00893D2A">
              <w:rPr>
                <w:rFonts w:ascii="Calibri" w:hAnsi="Calibri"/>
                <w:b/>
                <w:szCs w:val="22"/>
              </w:rPr>
              <w:t>Travel to Batumi</w:t>
            </w:r>
            <w:r>
              <w:rPr>
                <w:rFonts w:ascii="Calibri" w:hAnsi="Calibri"/>
                <w:b/>
                <w:szCs w:val="22"/>
              </w:rPr>
              <w:t>: field visits and meetings</w:t>
            </w:r>
          </w:p>
        </w:tc>
      </w:tr>
      <w:tr w:rsidR="00B53C46" w:rsidRPr="00893D2A" w14:paraId="4639E1BE" w14:textId="77777777" w:rsidTr="00B53C46">
        <w:tc>
          <w:tcPr>
            <w:tcW w:w="0" w:type="auto"/>
            <w:tcBorders>
              <w:bottom w:val="nil"/>
            </w:tcBorders>
            <w:tcMar>
              <w:top w:w="28" w:type="dxa"/>
              <w:left w:w="57" w:type="dxa"/>
              <w:bottom w:w="28" w:type="dxa"/>
              <w:right w:w="57" w:type="dxa"/>
            </w:tcMar>
          </w:tcPr>
          <w:p w14:paraId="1BC42EBF" w14:textId="77777777" w:rsidR="00B53C46" w:rsidRPr="00022691" w:rsidRDefault="00B53C46" w:rsidP="00B53C46">
            <w:pPr>
              <w:rPr>
                <w:rFonts w:ascii="Calibri" w:hAnsi="Calibri"/>
                <w:b/>
                <w:szCs w:val="22"/>
              </w:rPr>
            </w:pPr>
            <w:r w:rsidRPr="00022691">
              <w:rPr>
                <w:rFonts w:ascii="Calibri" w:hAnsi="Calibri"/>
                <w:b/>
                <w:szCs w:val="22"/>
              </w:rPr>
              <w:t>21 Oct</w:t>
            </w:r>
          </w:p>
          <w:p w14:paraId="50420989" w14:textId="77777777" w:rsidR="00B53C46" w:rsidRPr="00893D2A" w:rsidRDefault="00B53C46" w:rsidP="00B53C46">
            <w:pPr>
              <w:rPr>
                <w:rFonts w:ascii="Calibri" w:hAnsi="Calibri"/>
                <w:szCs w:val="22"/>
              </w:rPr>
            </w:pPr>
            <w:r w:rsidRPr="00893D2A">
              <w:rPr>
                <w:rFonts w:ascii="Calibri" w:hAnsi="Calibri"/>
                <w:szCs w:val="22"/>
              </w:rPr>
              <w:t>11:00</w:t>
            </w:r>
          </w:p>
        </w:tc>
        <w:tc>
          <w:tcPr>
            <w:tcW w:w="3129" w:type="dxa"/>
            <w:tcMar>
              <w:top w:w="28" w:type="dxa"/>
              <w:left w:w="57" w:type="dxa"/>
              <w:bottom w:w="28" w:type="dxa"/>
              <w:right w:w="57" w:type="dxa"/>
            </w:tcMar>
          </w:tcPr>
          <w:p w14:paraId="1074B6CC" w14:textId="77777777" w:rsidR="00B53C46" w:rsidRPr="00893D2A" w:rsidRDefault="00B53C46" w:rsidP="00B53C46">
            <w:pPr>
              <w:rPr>
                <w:rFonts w:ascii="Calibri" w:hAnsi="Calibri"/>
                <w:szCs w:val="22"/>
              </w:rPr>
            </w:pPr>
            <w:r w:rsidRPr="00893D2A">
              <w:rPr>
                <w:rFonts w:ascii="Calibri" w:hAnsi="Calibri" w:cs="Times"/>
                <w:szCs w:val="22"/>
              </w:rPr>
              <w:t>Meeting</w:t>
            </w:r>
            <w:r>
              <w:rPr>
                <w:rFonts w:ascii="Calibri" w:hAnsi="Calibri" w:cs="Times"/>
                <w:szCs w:val="22"/>
              </w:rPr>
              <w:t>:</w:t>
            </w:r>
            <w:r w:rsidRPr="00893D2A">
              <w:rPr>
                <w:rFonts w:ascii="Calibri" w:hAnsi="Calibri" w:cs="Times"/>
                <w:szCs w:val="22"/>
              </w:rPr>
              <w:t xml:space="preserve"> </w:t>
            </w:r>
            <w:r w:rsidRPr="00893D2A">
              <w:rPr>
                <w:rFonts w:ascii="Calibri" w:hAnsi="Calibri"/>
                <w:szCs w:val="22"/>
              </w:rPr>
              <w:t>Project Manager</w:t>
            </w:r>
          </w:p>
        </w:tc>
        <w:tc>
          <w:tcPr>
            <w:tcW w:w="5249" w:type="dxa"/>
            <w:tcMar>
              <w:top w:w="28" w:type="dxa"/>
              <w:left w:w="57" w:type="dxa"/>
              <w:bottom w:w="28" w:type="dxa"/>
              <w:right w:w="57" w:type="dxa"/>
            </w:tcMar>
          </w:tcPr>
          <w:p w14:paraId="68956468" w14:textId="77777777" w:rsidR="00B53C46" w:rsidRPr="00893D2A" w:rsidRDefault="00B53C46" w:rsidP="00B53C46">
            <w:pPr>
              <w:rPr>
                <w:rFonts w:ascii="Calibri" w:hAnsi="Calibri"/>
                <w:szCs w:val="22"/>
              </w:rPr>
            </w:pPr>
            <w:r w:rsidRPr="00893D2A">
              <w:rPr>
                <w:rFonts w:ascii="Calibri" w:hAnsi="Calibri"/>
                <w:szCs w:val="22"/>
              </w:rPr>
              <w:t>Mr. Irakli Goradze -Project Manager</w:t>
            </w:r>
          </w:p>
        </w:tc>
      </w:tr>
      <w:tr w:rsidR="00B53C46" w:rsidRPr="00893D2A" w14:paraId="059B27E0" w14:textId="77777777" w:rsidTr="00B53C46">
        <w:tc>
          <w:tcPr>
            <w:tcW w:w="0" w:type="auto"/>
            <w:tcBorders>
              <w:top w:val="nil"/>
              <w:bottom w:val="single" w:sz="4" w:space="0" w:color="auto"/>
            </w:tcBorders>
            <w:tcMar>
              <w:top w:w="28" w:type="dxa"/>
              <w:left w:w="57" w:type="dxa"/>
              <w:bottom w:w="28" w:type="dxa"/>
              <w:right w:w="57" w:type="dxa"/>
            </w:tcMar>
          </w:tcPr>
          <w:p w14:paraId="35960872" w14:textId="77777777" w:rsidR="00B53C46" w:rsidRPr="00893D2A" w:rsidRDefault="00B53C46" w:rsidP="00B53C46">
            <w:pPr>
              <w:rPr>
                <w:rFonts w:ascii="Calibri" w:hAnsi="Calibri"/>
                <w:szCs w:val="22"/>
              </w:rPr>
            </w:pPr>
            <w:r w:rsidRPr="00893D2A">
              <w:rPr>
                <w:rFonts w:ascii="Calibri" w:hAnsi="Calibri"/>
                <w:szCs w:val="22"/>
              </w:rPr>
              <w:t>15:00 -19:00</w:t>
            </w:r>
          </w:p>
        </w:tc>
        <w:tc>
          <w:tcPr>
            <w:tcW w:w="3129" w:type="dxa"/>
            <w:tcMar>
              <w:top w:w="28" w:type="dxa"/>
              <w:left w:w="57" w:type="dxa"/>
              <w:bottom w:w="28" w:type="dxa"/>
              <w:right w:w="57" w:type="dxa"/>
            </w:tcMar>
          </w:tcPr>
          <w:p w14:paraId="57CECFC2" w14:textId="77777777" w:rsidR="00B53C46" w:rsidRPr="00893D2A" w:rsidRDefault="00B53C46" w:rsidP="00B53C46">
            <w:pPr>
              <w:rPr>
                <w:rFonts w:ascii="Calibri" w:hAnsi="Calibri"/>
                <w:szCs w:val="22"/>
              </w:rPr>
            </w:pPr>
            <w:r>
              <w:rPr>
                <w:rFonts w:ascii="Calibri" w:hAnsi="Calibri"/>
                <w:szCs w:val="22"/>
              </w:rPr>
              <w:t>Field visit to meet c</w:t>
            </w:r>
            <w:r w:rsidRPr="00893D2A">
              <w:rPr>
                <w:rFonts w:ascii="Calibri" w:hAnsi="Calibri"/>
                <w:szCs w:val="22"/>
              </w:rPr>
              <w:t>ooperatives/</w:t>
            </w:r>
            <w:r>
              <w:rPr>
                <w:rFonts w:ascii="Calibri" w:hAnsi="Calibri"/>
                <w:szCs w:val="22"/>
              </w:rPr>
              <w:t xml:space="preserve"> </w:t>
            </w:r>
            <w:r w:rsidRPr="00893D2A">
              <w:rPr>
                <w:rFonts w:ascii="Calibri" w:hAnsi="Calibri"/>
                <w:szCs w:val="22"/>
              </w:rPr>
              <w:t xml:space="preserve">farmers in Machakhela </w:t>
            </w:r>
          </w:p>
          <w:p w14:paraId="34053738" w14:textId="77777777" w:rsidR="00B53C46" w:rsidRPr="00893D2A" w:rsidRDefault="00B53C46" w:rsidP="00991B6C">
            <w:pPr>
              <w:pStyle w:val="ListParagraph"/>
              <w:numPr>
                <w:ilvl w:val="0"/>
                <w:numId w:val="23"/>
              </w:numPr>
              <w:spacing w:after="0" w:line="240" w:lineRule="auto"/>
              <w:ind w:left="381" w:hanging="282"/>
            </w:pPr>
            <w:r w:rsidRPr="00893D2A">
              <w:t>Cooperative</w:t>
            </w:r>
            <w:r>
              <w:t xml:space="preserve"> - beekeeping</w:t>
            </w:r>
            <w:r w:rsidRPr="00893D2A">
              <w:t xml:space="preserve"> </w:t>
            </w:r>
          </w:p>
          <w:p w14:paraId="47242ED8" w14:textId="77777777" w:rsidR="00B53C46" w:rsidRPr="00893D2A" w:rsidRDefault="00B53C46" w:rsidP="00991B6C">
            <w:pPr>
              <w:pStyle w:val="ListParagraph"/>
              <w:numPr>
                <w:ilvl w:val="0"/>
                <w:numId w:val="23"/>
              </w:numPr>
              <w:spacing w:after="0" w:line="240" w:lineRule="auto"/>
              <w:ind w:left="381" w:hanging="282"/>
            </w:pPr>
            <w:r>
              <w:t>Cooperative - beekeeping</w:t>
            </w:r>
          </w:p>
          <w:p w14:paraId="5225E398" w14:textId="77777777" w:rsidR="00B53C46" w:rsidRPr="00022691" w:rsidRDefault="00B53C46" w:rsidP="00991B6C">
            <w:pPr>
              <w:pStyle w:val="ListParagraph"/>
              <w:numPr>
                <w:ilvl w:val="0"/>
                <w:numId w:val="23"/>
              </w:numPr>
              <w:spacing w:after="0" w:line="240" w:lineRule="auto"/>
              <w:ind w:left="381" w:hanging="282"/>
            </w:pPr>
            <w:r w:rsidRPr="00893D2A">
              <w:t xml:space="preserve">Wine producer </w:t>
            </w:r>
          </w:p>
        </w:tc>
        <w:tc>
          <w:tcPr>
            <w:tcW w:w="5249" w:type="dxa"/>
            <w:tcMar>
              <w:top w:w="28" w:type="dxa"/>
              <w:left w:w="57" w:type="dxa"/>
              <w:bottom w:w="28" w:type="dxa"/>
              <w:right w:w="57" w:type="dxa"/>
            </w:tcMar>
          </w:tcPr>
          <w:p w14:paraId="129910DE" w14:textId="77777777" w:rsidR="00B53C46" w:rsidRPr="00E877D2" w:rsidRDefault="00B53C46" w:rsidP="00B53C46">
            <w:pPr>
              <w:rPr>
                <w:rFonts w:ascii="Calibri" w:hAnsi="Calibri"/>
                <w:szCs w:val="22"/>
              </w:rPr>
            </w:pPr>
          </w:p>
          <w:p w14:paraId="1528D58A" w14:textId="77777777" w:rsidR="00B53C46" w:rsidRPr="00E877D2" w:rsidRDefault="00B53C46" w:rsidP="00B53C46">
            <w:pPr>
              <w:rPr>
                <w:rFonts w:ascii="Calibri" w:hAnsi="Calibri"/>
                <w:szCs w:val="22"/>
              </w:rPr>
            </w:pPr>
          </w:p>
          <w:p w14:paraId="5A94CE25" w14:textId="77777777" w:rsidR="00B53C46" w:rsidRPr="00893D2A" w:rsidRDefault="00B53C46" w:rsidP="00991B6C">
            <w:pPr>
              <w:pStyle w:val="ListParagraph"/>
              <w:numPr>
                <w:ilvl w:val="0"/>
                <w:numId w:val="22"/>
              </w:numPr>
              <w:spacing w:after="0" w:line="240" w:lineRule="auto"/>
              <w:ind w:left="368" w:hanging="284"/>
            </w:pPr>
            <w:r w:rsidRPr="00893D2A">
              <w:t>Giorgi Salvaridze</w:t>
            </w:r>
            <w:r>
              <w:t xml:space="preserve">  – </w:t>
            </w:r>
            <w:r w:rsidRPr="00893D2A">
              <w:t>“Phutkara”</w:t>
            </w:r>
          </w:p>
          <w:p w14:paraId="19B5586E" w14:textId="77777777" w:rsidR="00B53C46" w:rsidRPr="00893D2A" w:rsidRDefault="00B53C46" w:rsidP="00991B6C">
            <w:pPr>
              <w:pStyle w:val="ListParagraph"/>
              <w:numPr>
                <w:ilvl w:val="0"/>
                <w:numId w:val="22"/>
              </w:numPr>
              <w:spacing w:after="0" w:line="240" w:lineRule="auto"/>
              <w:ind w:left="368" w:hanging="284"/>
            </w:pPr>
            <w:r w:rsidRPr="00893D2A">
              <w:t>Temur</w:t>
            </w:r>
            <w:r>
              <w:t>i</w:t>
            </w:r>
            <w:r w:rsidRPr="00893D2A">
              <w:t xml:space="preserve"> Goradze</w:t>
            </w:r>
            <w:r>
              <w:t>,</w:t>
            </w:r>
            <w:r w:rsidRPr="00893D2A">
              <w:t xml:space="preserve"> Giorgi Basiladze</w:t>
            </w:r>
            <w:r>
              <w:t xml:space="preserve"> – Chikuneti Village</w:t>
            </w:r>
          </w:p>
          <w:p w14:paraId="5D0E3885" w14:textId="77777777" w:rsidR="00B53C46" w:rsidRPr="00893D2A" w:rsidRDefault="00B53C46" w:rsidP="00991B6C">
            <w:pPr>
              <w:pStyle w:val="ListParagraph"/>
              <w:numPr>
                <w:ilvl w:val="0"/>
                <w:numId w:val="22"/>
              </w:numPr>
              <w:spacing w:after="0" w:line="240" w:lineRule="auto"/>
              <w:ind w:left="368" w:hanging="284"/>
            </w:pPr>
            <w:r w:rsidRPr="00893D2A">
              <w:t>Amiran and Ilia Malakmadze</w:t>
            </w:r>
          </w:p>
        </w:tc>
      </w:tr>
      <w:tr w:rsidR="00B53C46" w:rsidRPr="00893D2A" w14:paraId="5C3AFC0F" w14:textId="77777777" w:rsidTr="00B53C46">
        <w:tc>
          <w:tcPr>
            <w:tcW w:w="0" w:type="auto"/>
            <w:tcBorders>
              <w:bottom w:val="nil"/>
            </w:tcBorders>
            <w:tcMar>
              <w:top w:w="28" w:type="dxa"/>
              <w:left w:w="57" w:type="dxa"/>
              <w:bottom w:w="28" w:type="dxa"/>
              <w:right w:w="57" w:type="dxa"/>
            </w:tcMar>
          </w:tcPr>
          <w:p w14:paraId="2C5582E2" w14:textId="77777777" w:rsidR="00B53C46" w:rsidRPr="00022691" w:rsidRDefault="00B53C46" w:rsidP="00B53C46">
            <w:pPr>
              <w:rPr>
                <w:rFonts w:ascii="Calibri" w:hAnsi="Calibri"/>
                <w:b/>
                <w:szCs w:val="22"/>
              </w:rPr>
            </w:pPr>
            <w:r w:rsidRPr="00022691">
              <w:rPr>
                <w:rFonts w:ascii="Calibri" w:hAnsi="Calibri"/>
                <w:b/>
                <w:szCs w:val="22"/>
              </w:rPr>
              <w:t>22 Oct</w:t>
            </w:r>
          </w:p>
          <w:p w14:paraId="678AEF04" w14:textId="77777777" w:rsidR="00B53C46" w:rsidRPr="00893D2A" w:rsidRDefault="00B53C46" w:rsidP="00B53C46">
            <w:pPr>
              <w:rPr>
                <w:rFonts w:ascii="Calibri" w:hAnsi="Calibri"/>
                <w:szCs w:val="22"/>
              </w:rPr>
            </w:pPr>
            <w:r w:rsidRPr="00893D2A">
              <w:rPr>
                <w:rFonts w:ascii="Calibri" w:hAnsi="Calibri"/>
                <w:szCs w:val="22"/>
              </w:rPr>
              <w:t>11:00</w:t>
            </w:r>
          </w:p>
        </w:tc>
        <w:tc>
          <w:tcPr>
            <w:tcW w:w="3129" w:type="dxa"/>
            <w:tcMar>
              <w:top w:w="28" w:type="dxa"/>
              <w:left w:w="57" w:type="dxa"/>
              <w:bottom w:w="28" w:type="dxa"/>
              <w:right w:w="57" w:type="dxa"/>
            </w:tcMar>
          </w:tcPr>
          <w:p w14:paraId="58006144" w14:textId="77777777" w:rsidR="00B53C46" w:rsidRPr="00893D2A" w:rsidRDefault="00B53C46" w:rsidP="00B53C46">
            <w:pPr>
              <w:rPr>
                <w:rFonts w:ascii="Calibri" w:hAnsi="Calibri"/>
                <w:szCs w:val="22"/>
              </w:rPr>
            </w:pPr>
            <w:r w:rsidRPr="00893D2A">
              <w:rPr>
                <w:rFonts w:ascii="Calibri" w:hAnsi="Calibri" w:cs="Times"/>
                <w:szCs w:val="22"/>
              </w:rPr>
              <w:t>Meet</w:t>
            </w:r>
            <w:r>
              <w:rPr>
                <w:rFonts w:ascii="Calibri" w:hAnsi="Calibri" w:cs="Times"/>
                <w:szCs w:val="22"/>
              </w:rPr>
              <w:t>:</w:t>
            </w:r>
            <w:r w:rsidRPr="00893D2A">
              <w:rPr>
                <w:rFonts w:ascii="Calibri" w:hAnsi="Calibri" w:cs="Times"/>
                <w:szCs w:val="22"/>
              </w:rPr>
              <w:t xml:space="preserve"> Ministry of Finance and Economy (A</w:t>
            </w:r>
            <w:r>
              <w:rPr>
                <w:rFonts w:ascii="Calibri" w:hAnsi="Calibri" w:cs="Times"/>
                <w:szCs w:val="22"/>
              </w:rPr>
              <w:t>d</w:t>
            </w:r>
            <w:r w:rsidRPr="00893D2A">
              <w:rPr>
                <w:rFonts w:ascii="Calibri" w:hAnsi="Calibri" w:cs="Times"/>
                <w:szCs w:val="22"/>
              </w:rPr>
              <w:t>jara Spatial Planning Team)</w:t>
            </w:r>
          </w:p>
        </w:tc>
        <w:tc>
          <w:tcPr>
            <w:tcW w:w="5249" w:type="dxa"/>
            <w:tcMar>
              <w:top w:w="28" w:type="dxa"/>
              <w:left w:w="57" w:type="dxa"/>
              <w:bottom w:w="28" w:type="dxa"/>
              <w:right w:w="57" w:type="dxa"/>
            </w:tcMar>
          </w:tcPr>
          <w:p w14:paraId="21A04E5D" w14:textId="77777777" w:rsidR="00B53C46" w:rsidRPr="00893D2A" w:rsidRDefault="00B53C46" w:rsidP="00B53C46">
            <w:pPr>
              <w:widowControl w:val="0"/>
              <w:rPr>
                <w:rFonts w:ascii="Calibri" w:hAnsi="Calibri" w:cs="Times"/>
                <w:szCs w:val="22"/>
              </w:rPr>
            </w:pPr>
            <w:r w:rsidRPr="00893D2A">
              <w:rPr>
                <w:rFonts w:ascii="Calibri" w:hAnsi="Calibri" w:cs="Times"/>
                <w:szCs w:val="22"/>
              </w:rPr>
              <w:t xml:space="preserve">Mr. Nugzar Dzneladze – Head of The Space </w:t>
            </w:r>
            <w:r>
              <w:rPr>
                <w:rFonts w:ascii="Calibri" w:hAnsi="Calibri" w:cs="Times"/>
                <w:szCs w:val="22"/>
              </w:rPr>
              <w:t>Planning and Technical Supervision D</w:t>
            </w:r>
            <w:r w:rsidRPr="00893D2A">
              <w:rPr>
                <w:rFonts w:ascii="Calibri" w:hAnsi="Calibri" w:cs="Times"/>
                <w:szCs w:val="22"/>
              </w:rPr>
              <w:t>epar</w:t>
            </w:r>
            <w:r>
              <w:rPr>
                <w:rFonts w:ascii="Calibri" w:hAnsi="Calibri" w:cs="Times"/>
                <w:szCs w:val="22"/>
              </w:rPr>
              <w:t>tment, Ministry of Economy and F</w:t>
            </w:r>
            <w:r w:rsidRPr="00893D2A">
              <w:rPr>
                <w:rFonts w:ascii="Calibri" w:hAnsi="Calibri" w:cs="Times"/>
                <w:szCs w:val="22"/>
              </w:rPr>
              <w:t>inances of Adjara A/R</w:t>
            </w:r>
          </w:p>
          <w:p w14:paraId="1DEB0567" w14:textId="77777777" w:rsidR="00B53C46" w:rsidRPr="00893D2A" w:rsidRDefault="00B53C46" w:rsidP="00B53C46">
            <w:pPr>
              <w:widowControl w:val="0"/>
              <w:rPr>
                <w:rFonts w:ascii="Calibri" w:hAnsi="Calibri" w:cs="Times"/>
                <w:szCs w:val="22"/>
              </w:rPr>
            </w:pPr>
            <w:r w:rsidRPr="00893D2A">
              <w:rPr>
                <w:rFonts w:ascii="Calibri" w:hAnsi="Calibri" w:cs="Times"/>
                <w:szCs w:val="22"/>
              </w:rPr>
              <w:t>Mr.Sulkhan Mamuchadze – Head of Urban Development Section</w:t>
            </w:r>
            <w:r>
              <w:rPr>
                <w:rFonts w:ascii="Calibri" w:hAnsi="Calibri" w:cs="Times"/>
                <w:szCs w:val="22"/>
              </w:rPr>
              <w:t>, Ministry of Economy and F</w:t>
            </w:r>
            <w:r w:rsidRPr="00893D2A">
              <w:rPr>
                <w:rFonts w:ascii="Calibri" w:hAnsi="Calibri" w:cs="Times"/>
                <w:szCs w:val="22"/>
              </w:rPr>
              <w:t>inances of Adjara A/R</w:t>
            </w:r>
          </w:p>
        </w:tc>
      </w:tr>
      <w:tr w:rsidR="00B53C46" w:rsidRPr="00893D2A" w14:paraId="493C68CF" w14:textId="77777777" w:rsidTr="00B53C46">
        <w:tc>
          <w:tcPr>
            <w:tcW w:w="0" w:type="auto"/>
            <w:tcBorders>
              <w:top w:val="nil"/>
              <w:bottom w:val="nil"/>
            </w:tcBorders>
            <w:tcMar>
              <w:top w:w="28" w:type="dxa"/>
              <w:left w:w="57" w:type="dxa"/>
              <w:bottom w:w="28" w:type="dxa"/>
              <w:right w:w="57" w:type="dxa"/>
            </w:tcMar>
          </w:tcPr>
          <w:p w14:paraId="5DE4BBC4" w14:textId="77777777" w:rsidR="00B53C46" w:rsidRPr="00893D2A" w:rsidRDefault="00B53C46" w:rsidP="00B53C46">
            <w:pPr>
              <w:rPr>
                <w:rFonts w:ascii="Calibri" w:hAnsi="Calibri"/>
                <w:szCs w:val="22"/>
              </w:rPr>
            </w:pPr>
            <w:r w:rsidRPr="00893D2A">
              <w:rPr>
                <w:rFonts w:ascii="Calibri" w:hAnsi="Calibri"/>
                <w:szCs w:val="22"/>
              </w:rPr>
              <w:t>13:00</w:t>
            </w:r>
          </w:p>
        </w:tc>
        <w:tc>
          <w:tcPr>
            <w:tcW w:w="3129" w:type="dxa"/>
            <w:tcMar>
              <w:top w:w="28" w:type="dxa"/>
              <w:left w:w="57" w:type="dxa"/>
              <w:bottom w:w="28" w:type="dxa"/>
              <w:right w:w="57" w:type="dxa"/>
            </w:tcMar>
          </w:tcPr>
          <w:p w14:paraId="2B0432C2" w14:textId="77777777" w:rsidR="00B53C46" w:rsidRPr="00893D2A" w:rsidRDefault="00B53C46" w:rsidP="00B53C46">
            <w:pPr>
              <w:widowControl w:val="0"/>
              <w:rPr>
                <w:rFonts w:ascii="Calibri" w:hAnsi="Calibri" w:cs="Times"/>
                <w:szCs w:val="22"/>
              </w:rPr>
            </w:pPr>
            <w:r w:rsidRPr="00893D2A">
              <w:rPr>
                <w:rFonts w:ascii="Calibri" w:hAnsi="Calibri" w:cs="Times"/>
                <w:szCs w:val="22"/>
              </w:rPr>
              <w:t>Meeting</w:t>
            </w:r>
            <w:r>
              <w:rPr>
                <w:rFonts w:ascii="Calibri" w:hAnsi="Calibri" w:cs="Times"/>
                <w:szCs w:val="22"/>
              </w:rPr>
              <w:t>:</w:t>
            </w:r>
            <w:r w:rsidRPr="00893D2A">
              <w:rPr>
                <w:rFonts w:ascii="Calibri" w:hAnsi="Calibri" w:cs="Times"/>
                <w:szCs w:val="22"/>
              </w:rPr>
              <w:t xml:space="preserve"> Fuelwood Needs Assessment </w:t>
            </w:r>
          </w:p>
        </w:tc>
        <w:tc>
          <w:tcPr>
            <w:tcW w:w="5249" w:type="dxa"/>
            <w:tcMar>
              <w:top w:w="28" w:type="dxa"/>
              <w:left w:w="57" w:type="dxa"/>
              <w:bottom w:w="28" w:type="dxa"/>
              <w:right w:w="57" w:type="dxa"/>
            </w:tcMar>
          </w:tcPr>
          <w:p w14:paraId="5B1C0D2C" w14:textId="77777777" w:rsidR="00B53C46" w:rsidRDefault="00B53C46" w:rsidP="00B53C46">
            <w:pPr>
              <w:widowControl w:val="0"/>
              <w:rPr>
                <w:rFonts w:ascii="Calibri" w:hAnsi="Calibri" w:cs="Times"/>
                <w:szCs w:val="22"/>
              </w:rPr>
            </w:pPr>
            <w:r w:rsidRPr="00893D2A">
              <w:rPr>
                <w:rFonts w:ascii="Calibri" w:hAnsi="Calibri" w:cs="Times"/>
                <w:szCs w:val="22"/>
              </w:rPr>
              <w:t>Mr. Zurab Manvelidze – Botanist/Forestry Expert</w:t>
            </w:r>
          </w:p>
          <w:p w14:paraId="5E3242E0" w14:textId="77777777" w:rsidR="00B53C46" w:rsidRPr="00E877D2" w:rsidRDefault="00B53C46" w:rsidP="00B53C46">
            <w:pPr>
              <w:widowControl w:val="0"/>
              <w:rPr>
                <w:rFonts w:ascii="Calibri" w:hAnsi="Calibri" w:cs="Times"/>
                <w:sz w:val="18"/>
                <w:szCs w:val="18"/>
              </w:rPr>
            </w:pPr>
            <w:r w:rsidRPr="00E877D2">
              <w:rPr>
                <w:rFonts w:ascii="Calibri" w:hAnsi="Calibri" w:cs="Times"/>
                <w:sz w:val="18"/>
                <w:szCs w:val="18"/>
              </w:rPr>
              <w:t>(involved as a contractor in forestry inventory in Machakhela)</w:t>
            </w:r>
          </w:p>
        </w:tc>
      </w:tr>
      <w:tr w:rsidR="00B53C46" w:rsidRPr="00893D2A" w14:paraId="5FE4734F" w14:textId="77777777" w:rsidTr="00B53C46">
        <w:tc>
          <w:tcPr>
            <w:tcW w:w="0" w:type="auto"/>
            <w:tcBorders>
              <w:top w:val="nil"/>
              <w:bottom w:val="nil"/>
            </w:tcBorders>
            <w:tcMar>
              <w:top w:w="28" w:type="dxa"/>
              <w:left w:w="57" w:type="dxa"/>
              <w:bottom w:w="28" w:type="dxa"/>
              <w:right w:w="57" w:type="dxa"/>
            </w:tcMar>
          </w:tcPr>
          <w:p w14:paraId="2D8DBA72" w14:textId="77777777" w:rsidR="00B53C46" w:rsidRPr="00893D2A" w:rsidRDefault="00B53C46" w:rsidP="00B53C46">
            <w:pPr>
              <w:rPr>
                <w:rFonts w:ascii="Calibri" w:hAnsi="Calibri"/>
                <w:szCs w:val="22"/>
              </w:rPr>
            </w:pPr>
            <w:r w:rsidRPr="00893D2A">
              <w:rPr>
                <w:rFonts w:ascii="Calibri" w:hAnsi="Calibri"/>
                <w:szCs w:val="22"/>
              </w:rPr>
              <w:t>15:00</w:t>
            </w:r>
          </w:p>
        </w:tc>
        <w:tc>
          <w:tcPr>
            <w:tcW w:w="3129" w:type="dxa"/>
            <w:tcMar>
              <w:top w:w="28" w:type="dxa"/>
              <w:left w:w="57" w:type="dxa"/>
              <w:bottom w:w="28" w:type="dxa"/>
              <w:right w:w="57" w:type="dxa"/>
            </w:tcMar>
          </w:tcPr>
          <w:p w14:paraId="31367ACF" w14:textId="77777777" w:rsidR="00B53C46" w:rsidRPr="00893D2A" w:rsidRDefault="00B53C46" w:rsidP="00B53C46">
            <w:pPr>
              <w:widowControl w:val="0"/>
              <w:rPr>
                <w:rFonts w:ascii="Calibri" w:hAnsi="Calibri" w:cs="Times"/>
                <w:szCs w:val="22"/>
              </w:rPr>
            </w:pPr>
            <w:r w:rsidRPr="00893D2A">
              <w:rPr>
                <w:rFonts w:ascii="Calibri" w:hAnsi="Calibri" w:cs="Times"/>
                <w:szCs w:val="22"/>
              </w:rPr>
              <w:t>Meeting</w:t>
            </w:r>
            <w:r>
              <w:rPr>
                <w:rFonts w:ascii="Calibri" w:hAnsi="Calibri" w:cs="Times"/>
                <w:szCs w:val="22"/>
              </w:rPr>
              <w:t>:</w:t>
            </w:r>
            <w:r w:rsidRPr="00893D2A">
              <w:rPr>
                <w:rFonts w:ascii="Calibri" w:hAnsi="Calibri" w:cs="Times"/>
                <w:szCs w:val="22"/>
              </w:rPr>
              <w:t xml:space="preserve"> Friends Association for Protected Areas of Mtirala and Machak</w:t>
            </w:r>
            <w:r>
              <w:rPr>
                <w:rFonts w:ascii="Calibri" w:hAnsi="Calibri" w:cs="Times"/>
                <w:szCs w:val="22"/>
              </w:rPr>
              <w:t>h</w:t>
            </w:r>
            <w:r w:rsidRPr="00893D2A">
              <w:rPr>
                <w:rFonts w:ascii="Calibri" w:hAnsi="Calibri" w:cs="Times"/>
                <w:szCs w:val="22"/>
              </w:rPr>
              <w:t>ela</w:t>
            </w:r>
          </w:p>
        </w:tc>
        <w:tc>
          <w:tcPr>
            <w:tcW w:w="5249" w:type="dxa"/>
            <w:tcMar>
              <w:top w:w="28" w:type="dxa"/>
              <w:left w:w="57" w:type="dxa"/>
              <w:bottom w:w="28" w:type="dxa"/>
              <w:right w:w="57" w:type="dxa"/>
            </w:tcMar>
          </w:tcPr>
          <w:p w14:paraId="12123769" w14:textId="77777777" w:rsidR="00B53C46" w:rsidRPr="00893D2A" w:rsidRDefault="00B53C46" w:rsidP="00B53C46">
            <w:pPr>
              <w:widowControl w:val="0"/>
              <w:rPr>
                <w:rFonts w:ascii="Calibri" w:hAnsi="Calibri" w:cs="Times"/>
                <w:szCs w:val="22"/>
              </w:rPr>
            </w:pPr>
            <w:r w:rsidRPr="00893D2A">
              <w:rPr>
                <w:rFonts w:ascii="Calibri" w:hAnsi="Calibri" w:cs="Times"/>
                <w:szCs w:val="22"/>
              </w:rPr>
              <w:t xml:space="preserve">Ms. Gulnaz Surmanidze – Mtirala and </w:t>
            </w:r>
            <w:r>
              <w:rPr>
                <w:rFonts w:ascii="Calibri" w:hAnsi="Calibri" w:cs="Times"/>
                <w:szCs w:val="22"/>
              </w:rPr>
              <w:t>Machakhela</w:t>
            </w:r>
            <w:r w:rsidRPr="00893D2A">
              <w:rPr>
                <w:rFonts w:ascii="Calibri" w:hAnsi="Calibri" w:cs="Times"/>
                <w:szCs w:val="22"/>
              </w:rPr>
              <w:t xml:space="preserve"> National Parks Friends Association Director</w:t>
            </w:r>
          </w:p>
        </w:tc>
      </w:tr>
      <w:tr w:rsidR="00B53C46" w:rsidRPr="00893D2A" w14:paraId="5CF6EA4F" w14:textId="77777777" w:rsidTr="00B53C46">
        <w:tc>
          <w:tcPr>
            <w:tcW w:w="0" w:type="auto"/>
            <w:tcBorders>
              <w:top w:val="nil"/>
            </w:tcBorders>
            <w:tcMar>
              <w:top w:w="28" w:type="dxa"/>
              <w:left w:w="57" w:type="dxa"/>
              <w:bottom w:w="28" w:type="dxa"/>
              <w:right w:w="57" w:type="dxa"/>
            </w:tcMar>
          </w:tcPr>
          <w:p w14:paraId="5A28986E" w14:textId="77777777" w:rsidR="00B53C46" w:rsidRPr="00893D2A" w:rsidRDefault="00B53C46" w:rsidP="00B53C46">
            <w:pPr>
              <w:rPr>
                <w:rFonts w:ascii="Calibri" w:hAnsi="Calibri"/>
                <w:szCs w:val="22"/>
              </w:rPr>
            </w:pPr>
            <w:r w:rsidRPr="00893D2A">
              <w:rPr>
                <w:rFonts w:ascii="Calibri" w:hAnsi="Calibri"/>
                <w:szCs w:val="22"/>
              </w:rPr>
              <w:t>17:00</w:t>
            </w:r>
          </w:p>
        </w:tc>
        <w:tc>
          <w:tcPr>
            <w:tcW w:w="3129" w:type="dxa"/>
            <w:tcMar>
              <w:top w:w="28" w:type="dxa"/>
              <w:left w:w="57" w:type="dxa"/>
              <w:bottom w:w="28" w:type="dxa"/>
              <w:right w:w="57" w:type="dxa"/>
            </w:tcMar>
          </w:tcPr>
          <w:p w14:paraId="626CA207" w14:textId="77777777" w:rsidR="00B53C46" w:rsidRPr="00893D2A" w:rsidRDefault="00B53C46" w:rsidP="00B53C46">
            <w:pPr>
              <w:widowControl w:val="0"/>
              <w:rPr>
                <w:rFonts w:ascii="Calibri" w:hAnsi="Calibri" w:cs="Times"/>
                <w:szCs w:val="22"/>
              </w:rPr>
            </w:pPr>
            <w:r w:rsidRPr="00893D2A">
              <w:rPr>
                <w:rFonts w:ascii="Calibri" w:hAnsi="Calibri" w:cs="Times"/>
                <w:szCs w:val="22"/>
              </w:rPr>
              <w:t>Meeting</w:t>
            </w:r>
            <w:r>
              <w:rPr>
                <w:rFonts w:ascii="Calibri" w:hAnsi="Calibri" w:cs="Times"/>
                <w:szCs w:val="22"/>
              </w:rPr>
              <w:t>:</w:t>
            </w:r>
            <w:r w:rsidRPr="00893D2A">
              <w:rPr>
                <w:rFonts w:ascii="Calibri" w:hAnsi="Calibri" w:cs="Times"/>
                <w:szCs w:val="22"/>
              </w:rPr>
              <w:t xml:space="preserve"> Adjara AR Tourism Department</w:t>
            </w:r>
          </w:p>
        </w:tc>
        <w:tc>
          <w:tcPr>
            <w:tcW w:w="5249" w:type="dxa"/>
            <w:tcMar>
              <w:top w:w="28" w:type="dxa"/>
              <w:left w:w="57" w:type="dxa"/>
              <w:bottom w:w="28" w:type="dxa"/>
              <w:right w:w="57" w:type="dxa"/>
            </w:tcMar>
          </w:tcPr>
          <w:p w14:paraId="7C90E039" w14:textId="77777777" w:rsidR="00B53C46" w:rsidRPr="00893D2A" w:rsidRDefault="00B53C46" w:rsidP="00B53C46">
            <w:pPr>
              <w:widowControl w:val="0"/>
              <w:rPr>
                <w:rFonts w:ascii="Calibri" w:hAnsi="Calibri" w:cs="Times"/>
                <w:szCs w:val="22"/>
              </w:rPr>
            </w:pPr>
            <w:r w:rsidRPr="00893D2A">
              <w:rPr>
                <w:rFonts w:ascii="Calibri" w:hAnsi="Calibri" w:cs="Times"/>
                <w:szCs w:val="22"/>
              </w:rPr>
              <w:t>Ms. Tinatin Zoidze – Chairman of Tourist Products Development Agency of Adja</w:t>
            </w:r>
            <w:r>
              <w:rPr>
                <w:rFonts w:ascii="Calibri" w:hAnsi="Calibri" w:cs="Times"/>
                <w:szCs w:val="22"/>
              </w:rPr>
              <w:t>r</w:t>
            </w:r>
            <w:r w:rsidRPr="00893D2A">
              <w:rPr>
                <w:rFonts w:ascii="Calibri" w:hAnsi="Calibri" w:cs="Times"/>
                <w:szCs w:val="22"/>
              </w:rPr>
              <w:t>a A/R</w:t>
            </w:r>
          </w:p>
        </w:tc>
      </w:tr>
      <w:tr w:rsidR="00B53C46" w:rsidRPr="00893D2A" w14:paraId="1C0E4BF5" w14:textId="77777777" w:rsidTr="00B53C46">
        <w:tc>
          <w:tcPr>
            <w:tcW w:w="0" w:type="auto"/>
            <w:vMerge w:val="restart"/>
            <w:tcMar>
              <w:top w:w="28" w:type="dxa"/>
              <w:left w:w="57" w:type="dxa"/>
              <w:bottom w:w="28" w:type="dxa"/>
              <w:right w:w="57" w:type="dxa"/>
            </w:tcMar>
          </w:tcPr>
          <w:p w14:paraId="0787BF6E" w14:textId="77777777" w:rsidR="00B53C46" w:rsidRPr="00022691" w:rsidRDefault="00B53C46" w:rsidP="00B53C46">
            <w:pPr>
              <w:rPr>
                <w:rFonts w:ascii="Calibri" w:hAnsi="Calibri"/>
                <w:b/>
                <w:szCs w:val="22"/>
              </w:rPr>
            </w:pPr>
            <w:r w:rsidRPr="00022691">
              <w:rPr>
                <w:rFonts w:ascii="Calibri" w:hAnsi="Calibri"/>
                <w:b/>
                <w:szCs w:val="22"/>
              </w:rPr>
              <w:t>23</w:t>
            </w:r>
            <w:r>
              <w:rPr>
                <w:rFonts w:ascii="Calibri" w:hAnsi="Calibri"/>
                <w:b/>
                <w:szCs w:val="22"/>
              </w:rPr>
              <w:t xml:space="preserve"> </w:t>
            </w:r>
            <w:r w:rsidRPr="00022691">
              <w:rPr>
                <w:rFonts w:ascii="Calibri" w:hAnsi="Calibri"/>
                <w:b/>
                <w:szCs w:val="22"/>
              </w:rPr>
              <w:t>Oct</w:t>
            </w:r>
          </w:p>
          <w:p w14:paraId="7DC7938F" w14:textId="77777777" w:rsidR="00B53C46" w:rsidRPr="00893D2A" w:rsidRDefault="00B53C46" w:rsidP="00B53C46">
            <w:pPr>
              <w:rPr>
                <w:rFonts w:ascii="Calibri" w:hAnsi="Calibri"/>
                <w:szCs w:val="22"/>
              </w:rPr>
            </w:pPr>
            <w:r w:rsidRPr="00893D2A">
              <w:rPr>
                <w:rFonts w:ascii="Calibri" w:hAnsi="Calibri"/>
                <w:szCs w:val="22"/>
              </w:rPr>
              <w:t>11:00</w:t>
            </w:r>
          </w:p>
          <w:p w14:paraId="6C74C26B" w14:textId="77777777" w:rsidR="00B53C46" w:rsidRPr="00893D2A" w:rsidRDefault="00B53C46" w:rsidP="00B53C46">
            <w:pPr>
              <w:rPr>
                <w:rFonts w:ascii="Calibri" w:hAnsi="Calibri"/>
                <w:szCs w:val="22"/>
              </w:rPr>
            </w:pPr>
          </w:p>
          <w:p w14:paraId="56536B3F" w14:textId="77777777" w:rsidR="00B53C46" w:rsidRPr="00893D2A" w:rsidRDefault="00B53C46" w:rsidP="00B53C46">
            <w:pPr>
              <w:rPr>
                <w:rFonts w:ascii="Calibri" w:hAnsi="Calibri"/>
                <w:szCs w:val="22"/>
              </w:rPr>
            </w:pPr>
            <w:r w:rsidRPr="00893D2A">
              <w:rPr>
                <w:rFonts w:ascii="Calibri" w:hAnsi="Calibri"/>
                <w:szCs w:val="22"/>
              </w:rPr>
              <w:lastRenderedPageBreak/>
              <w:t>13:00</w:t>
            </w:r>
          </w:p>
          <w:p w14:paraId="59462AC6" w14:textId="77777777" w:rsidR="00B53C46" w:rsidRPr="00893D2A" w:rsidRDefault="00B53C46" w:rsidP="00B53C46">
            <w:pPr>
              <w:rPr>
                <w:rFonts w:ascii="Calibri" w:hAnsi="Calibri"/>
                <w:szCs w:val="22"/>
              </w:rPr>
            </w:pPr>
          </w:p>
          <w:p w14:paraId="73E3D46E" w14:textId="77777777" w:rsidR="00B53C46" w:rsidRPr="00893D2A" w:rsidRDefault="00B53C46" w:rsidP="00B53C46">
            <w:pPr>
              <w:rPr>
                <w:rFonts w:ascii="Calibri" w:hAnsi="Calibri"/>
                <w:szCs w:val="22"/>
              </w:rPr>
            </w:pPr>
          </w:p>
          <w:p w14:paraId="06596C63" w14:textId="77777777" w:rsidR="00B53C46" w:rsidRPr="00893D2A" w:rsidRDefault="00B53C46" w:rsidP="00B53C46">
            <w:pPr>
              <w:rPr>
                <w:rFonts w:ascii="Calibri" w:hAnsi="Calibri"/>
                <w:szCs w:val="22"/>
              </w:rPr>
            </w:pPr>
            <w:r w:rsidRPr="00893D2A">
              <w:rPr>
                <w:rFonts w:ascii="Calibri" w:hAnsi="Calibri"/>
                <w:szCs w:val="22"/>
              </w:rPr>
              <w:t>16:00</w:t>
            </w:r>
          </w:p>
          <w:p w14:paraId="2F9FBF26" w14:textId="77777777" w:rsidR="00B53C46" w:rsidRPr="00893D2A" w:rsidRDefault="00B53C46" w:rsidP="00B53C46">
            <w:pPr>
              <w:rPr>
                <w:rFonts w:ascii="Calibri" w:hAnsi="Calibri"/>
                <w:szCs w:val="22"/>
              </w:rPr>
            </w:pPr>
          </w:p>
          <w:p w14:paraId="1E74DC97" w14:textId="77777777" w:rsidR="00B53C46" w:rsidRPr="00893D2A" w:rsidRDefault="00B53C46" w:rsidP="00B53C46">
            <w:pPr>
              <w:rPr>
                <w:rFonts w:ascii="Calibri" w:hAnsi="Calibri"/>
                <w:szCs w:val="22"/>
              </w:rPr>
            </w:pPr>
            <w:r w:rsidRPr="00893D2A">
              <w:rPr>
                <w:rFonts w:ascii="Calibri" w:hAnsi="Calibri"/>
                <w:szCs w:val="22"/>
              </w:rPr>
              <w:t>18:00</w:t>
            </w:r>
          </w:p>
        </w:tc>
        <w:tc>
          <w:tcPr>
            <w:tcW w:w="3129" w:type="dxa"/>
            <w:tcMar>
              <w:top w:w="28" w:type="dxa"/>
              <w:left w:w="57" w:type="dxa"/>
              <w:bottom w:w="28" w:type="dxa"/>
              <w:right w:w="57" w:type="dxa"/>
            </w:tcMar>
          </w:tcPr>
          <w:p w14:paraId="043F40C9" w14:textId="77777777" w:rsidR="00B53C46" w:rsidRPr="00893D2A" w:rsidRDefault="00B53C46" w:rsidP="00B53C46">
            <w:pPr>
              <w:widowControl w:val="0"/>
              <w:rPr>
                <w:rFonts w:ascii="Calibri" w:hAnsi="Calibri" w:cs="Times"/>
                <w:szCs w:val="22"/>
              </w:rPr>
            </w:pPr>
            <w:r w:rsidRPr="00893D2A">
              <w:rPr>
                <w:rFonts w:ascii="Calibri" w:hAnsi="Calibri" w:cs="Times"/>
                <w:szCs w:val="22"/>
              </w:rPr>
              <w:lastRenderedPageBreak/>
              <w:t>Meeting</w:t>
            </w:r>
            <w:r>
              <w:rPr>
                <w:rFonts w:ascii="Calibri" w:hAnsi="Calibri" w:cs="Times"/>
                <w:szCs w:val="22"/>
              </w:rPr>
              <w:t>:</w:t>
            </w:r>
            <w:r w:rsidRPr="00893D2A">
              <w:rPr>
                <w:rFonts w:ascii="Calibri" w:hAnsi="Calibri" w:cs="Times"/>
                <w:szCs w:val="22"/>
              </w:rPr>
              <w:t xml:space="preserve"> Environment and Natural Resources Directorate of Ajara AR</w:t>
            </w:r>
          </w:p>
        </w:tc>
        <w:tc>
          <w:tcPr>
            <w:tcW w:w="5249" w:type="dxa"/>
            <w:tcMar>
              <w:top w:w="28" w:type="dxa"/>
              <w:left w:w="57" w:type="dxa"/>
              <w:bottom w:w="28" w:type="dxa"/>
              <w:right w:w="57" w:type="dxa"/>
            </w:tcMar>
          </w:tcPr>
          <w:p w14:paraId="09A50DC7" w14:textId="77777777" w:rsidR="00B53C46" w:rsidRPr="00893D2A" w:rsidRDefault="00B53C46" w:rsidP="00B53C46">
            <w:pPr>
              <w:widowControl w:val="0"/>
              <w:rPr>
                <w:rFonts w:ascii="Calibri" w:hAnsi="Calibri" w:cs="Times"/>
                <w:szCs w:val="22"/>
              </w:rPr>
            </w:pPr>
            <w:r w:rsidRPr="00893D2A">
              <w:rPr>
                <w:rFonts w:ascii="Calibri" w:hAnsi="Calibri" w:cs="Times"/>
                <w:szCs w:val="22"/>
              </w:rPr>
              <w:t>Mr. Jemal Nakashidze – Head of Environmental Directorate of Adjara A/R</w:t>
            </w:r>
          </w:p>
        </w:tc>
      </w:tr>
      <w:tr w:rsidR="00B53C46" w:rsidRPr="00893D2A" w14:paraId="04EDC159" w14:textId="77777777" w:rsidTr="00B53C46">
        <w:tc>
          <w:tcPr>
            <w:tcW w:w="0" w:type="auto"/>
            <w:vMerge/>
            <w:tcMar>
              <w:top w:w="28" w:type="dxa"/>
              <w:left w:w="57" w:type="dxa"/>
              <w:bottom w:w="28" w:type="dxa"/>
              <w:right w:w="57" w:type="dxa"/>
            </w:tcMar>
          </w:tcPr>
          <w:p w14:paraId="6B84C679" w14:textId="77777777" w:rsidR="00B53C46" w:rsidRPr="00893D2A" w:rsidRDefault="00B53C46" w:rsidP="00B53C46">
            <w:pPr>
              <w:rPr>
                <w:rFonts w:ascii="Calibri" w:hAnsi="Calibri"/>
                <w:szCs w:val="22"/>
              </w:rPr>
            </w:pPr>
          </w:p>
        </w:tc>
        <w:tc>
          <w:tcPr>
            <w:tcW w:w="3129" w:type="dxa"/>
            <w:tcMar>
              <w:top w:w="28" w:type="dxa"/>
              <w:left w:w="57" w:type="dxa"/>
              <w:bottom w:w="28" w:type="dxa"/>
              <w:right w:w="57" w:type="dxa"/>
            </w:tcMar>
          </w:tcPr>
          <w:p w14:paraId="5FBF134E" w14:textId="77777777" w:rsidR="00B53C46" w:rsidRPr="00893D2A" w:rsidRDefault="00B53C46" w:rsidP="00B53C46">
            <w:pPr>
              <w:widowControl w:val="0"/>
              <w:rPr>
                <w:rFonts w:ascii="Calibri" w:hAnsi="Calibri" w:cs="Times"/>
                <w:szCs w:val="22"/>
              </w:rPr>
            </w:pPr>
            <w:r w:rsidRPr="00893D2A">
              <w:rPr>
                <w:rFonts w:ascii="Calibri" w:hAnsi="Calibri" w:cs="Times"/>
                <w:szCs w:val="22"/>
              </w:rPr>
              <w:t>Meeting</w:t>
            </w:r>
            <w:r>
              <w:rPr>
                <w:rFonts w:ascii="Calibri" w:hAnsi="Calibri" w:cs="Times"/>
                <w:szCs w:val="22"/>
              </w:rPr>
              <w:t>:</w:t>
            </w:r>
            <w:r w:rsidRPr="00893D2A">
              <w:rPr>
                <w:rFonts w:ascii="Calibri" w:hAnsi="Calibri" w:cs="Times"/>
                <w:szCs w:val="22"/>
              </w:rPr>
              <w:t xml:space="preserve"> </w:t>
            </w:r>
            <w:r>
              <w:rPr>
                <w:rFonts w:ascii="Calibri" w:hAnsi="Calibri"/>
                <w:szCs w:val="22"/>
              </w:rPr>
              <w:t>Agrarian and Environmental I</w:t>
            </w:r>
            <w:r w:rsidRPr="00893D2A">
              <w:rPr>
                <w:rFonts w:ascii="Calibri" w:hAnsi="Calibri"/>
                <w:szCs w:val="22"/>
              </w:rPr>
              <w:t>ssues Commission</w:t>
            </w:r>
          </w:p>
        </w:tc>
        <w:tc>
          <w:tcPr>
            <w:tcW w:w="5249" w:type="dxa"/>
            <w:tcMar>
              <w:top w:w="28" w:type="dxa"/>
              <w:left w:w="57" w:type="dxa"/>
              <w:bottom w:w="28" w:type="dxa"/>
              <w:right w:w="57" w:type="dxa"/>
            </w:tcMar>
          </w:tcPr>
          <w:p w14:paraId="40548136" w14:textId="77777777" w:rsidR="00B53C46" w:rsidRPr="00893D2A" w:rsidRDefault="00B53C46" w:rsidP="00B53C46">
            <w:pPr>
              <w:widowControl w:val="0"/>
              <w:rPr>
                <w:rFonts w:ascii="Calibri" w:hAnsi="Calibri"/>
                <w:szCs w:val="22"/>
              </w:rPr>
            </w:pPr>
            <w:r w:rsidRPr="00893D2A">
              <w:rPr>
                <w:rFonts w:ascii="Calibri" w:hAnsi="Calibri"/>
                <w:szCs w:val="22"/>
              </w:rPr>
              <w:t>Mr. Vakhtang Tsuladze, Head of  Agrarian and Environmental issues Commission</w:t>
            </w:r>
            <w:r>
              <w:rPr>
                <w:rFonts w:ascii="Calibri" w:hAnsi="Calibri"/>
                <w:szCs w:val="22"/>
              </w:rPr>
              <w:t>,</w:t>
            </w:r>
            <w:r w:rsidRPr="00893D2A">
              <w:rPr>
                <w:rFonts w:ascii="Calibri" w:hAnsi="Calibri"/>
                <w:szCs w:val="22"/>
              </w:rPr>
              <w:t xml:space="preserve"> Supreme Council of The Autonomous Republic of Adjara</w:t>
            </w:r>
          </w:p>
        </w:tc>
      </w:tr>
      <w:tr w:rsidR="00B53C46" w:rsidRPr="00893D2A" w14:paraId="4DB7B5A5" w14:textId="77777777" w:rsidTr="00B53C46">
        <w:tc>
          <w:tcPr>
            <w:tcW w:w="0" w:type="auto"/>
            <w:vMerge/>
            <w:tcMar>
              <w:top w:w="28" w:type="dxa"/>
              <w:left w:w="57" w:type="dxa"/>
              <w:bottom w:w="28" w:type="dxa"/>
              <w:right w:w="57" w:type="dxa"/>
            </w:tcMar>
          </w:tcPr>
          <w:p w14:paraId="301F26CF" w14:textId="77777777" w:rsidR="00B53C46" w:rsidRPr="00893D2A" w:rsidRDefault="00B53C46" w:rsidP="00B53C46">
            <w:pPr>
              <w:rPr>
                <w:rFonts w:ascii="Calibri" w:hAnsi="Calibri"/>
                <w:szCs w:val="22"/>
              </w:rPr>
            </w:pPr>
          </w:p>
        </w:tc>
        <w:tc>
          <w:tcPr>
            <w:tcW w:w="3129" w:type="dxa"/>
            <w:tcMar>
              <w:top w:w="28" w:type="dxa"/>
              <w:left w:w="57" w:type="dxa"/>
              <w:bottom w:w="28" w:type="dxa"/>
              <w:right w:w="57" w:type="dxa"/>
            </w:tcMar>
          </w:tcPr>
          <w:p w14:paraId="3620A4DF" w14:textId="77777777" w:rsidR="00B53C46" w:rsidRPr="00893D2A" w:rsidRDefault="00B53C46" w:rsidP="00B53C46">
            <w:pPr>
              <w:widowControl w:val="0"/>
              <w:rPr>
                <w:rFonts w:ascii="Calibri" w:hAnsi="Calibri" w:cs="Times"/>
                <w:szCs w:val="22"/>
              </w:rPr>
            </w:pPr>
            <w:r w:rsidRPr="00893D2A">
              <w:rPr>
                <w:rFonts w:ascii="Calibri" w:hAnsi="Calibri" w:cs="Times"/>
                <w:szCs w:val="22"/>
              </w:rPr>
              <w:t>Meeting</w:t>
            </w:r>
            <w:r>
              <w:rPr>
                <w:rFonts w:ascii="Calibri" w:hAnsi="Calibri" w:cs="Times"/>
                <w:szCs w:val="22"/>
              </w:rPr>
              <w:t>:</w:t>
            </w:r>
            <w:r w:rsidRPr="00893D2A">
              <w:rPr>
                <w:rFonts w:ascii="Calibri" w:hAnsi="Calibri" w:cs="Times"/>
                <w:szCs w:val="22"/>
              </w:rPr>
              <w:t xml:space="preserve"> Ministry of Agriculture of Adjara A/R</w:t>
            </w:r>
          </w:p>
        </w:tc>
        <w:tc>
          <w:tcPr>
            <w:tcW w:w="5249" w:type="dxa"/>
            <w:tcMar>
              <w:top w:w="28" w:type="dxa"/>
              <w:left w:w="57" w:type="dxa"/>
              <w:bottom w:w="28" w:type="dxa"/>
              <w:right w:w="57" w:type="dxa"/>
            </w:tcMar>
          </w:tcPr>
          <w:p w14:paraId="1D61D867" w14:textId="77777777" w:rsidR="00B53C46" w:rsidRPr="00893D2A" w:rsidRDefault="00B53C46" w:rsidP="00B53C46">
            <w:pPr>
              <w:widowControl w:val="0"/>
              <w:rPr>
                <w:rFonts w:ascii="Calibri" w:hAnsi="Calibri" w:cs="Times"/>
                <w:szCs w:val="22"/>
              </w:rPr>
            </w:pPr>
            <w:r w:rsidRPr="00893D2A">
              <w:rPr>
                <w:rFonts w:ascii="Calibri" w:hAnsi="Calibri" w:cs="Times"/>
                <w:szCs w:val="22"/>
              </w:rPr>
              <w:t>Mr. Tite Aroshidze  - Minister of Agriculture of Adjara A/R</w:t>
            </w:r>
          </w:p>
        </w:tc>
      </w:tr>
      <w:tr w:rsidR="00B53C46" w:rsidRPr="00893D2A" w14:paraId="0957D49D" w14:textId="77777777" w:rsidTr="00B53C46">
        <w:tc>
          <w:tcPr>
            <w:tcW w:w="0" w:type="auto"/>
            <w:vMerge/>
            <w:tcBorders>
              <w:bottom w:val="single" w:sz="4" w:space="0" w:color="auto"/>
            </w:tcBorders>
            <w:tcMar>
              <w:top w:w="28" w:type="dxa"/>
              <w:left w:w="57" w:type="dxa"/>
              <w:bottom w:w="28" w:type="dxa"/>
              <w:right w:w="57" w:type="dxa"/>
            </w:tcMar>
          </w:tcPr>
          <w:p w14:paraId="1BC046B2" w14:textId="77777777" w:rsidR="00B53C46" w:rsidRPr="00893D2A" w:rsidRDefault="00B53C46" w:rsidP="00B53C46">
            <w:pPr>
              <w:rPr>
                <w:rFonts w:ascii="Calibri" w:hAnsi="Calibri"/>
                <w:szCs w:val="22"/>
              </w:rPr>
            </w:pPr>
          </w:p>
        </w:tc>
        <w:tc>
          <w:tcPr>
            <w:tcW w:w="3129" w:type="dxa"/>
            <w:tcMar>
              <w:top w:w="28" w:type="dxa"/>
              <w:left w:w="57" w:type="dxa"/>
              <w:bottom w:w="28" w:type="dxa"/>
              <w:right w:w="57" w:type="dxa"/>
            </w:tcMar>
          </w:tcPr>
          <w:p w14:paraId="3A64E6A4" w14:textId="77777777" w:rsidR="00B53C46" w:rsidRPr="00893D2A" w:rsidRDefault="00B53C46" w:rsidP="00B53C46">
            <w:pPr>
              <w:widowControl w:val="0"/>
              <w:rPr>
                <w:rFonts w:ascii="Calibri" w:hAnsi="Calibri" w:cs="Times"/>
                <w:szCs w:val="22"/>
              </w:rPr>
            </w:pPr>
            <w:r w:rsidRPr="00893D2A">
              <w:rPr>
                <w:rFonts w:ascii="Calibri" w:hAnsi="Calibri" w:cs="Times"/>
                <w:szCs w:val="22"/>
              </w:rPr>
              <w:t>Meeting</w:t>
            </w:r>
            <w:r>
              <w:rPr>
                <w:rFonts w:ascii="Calibri" w:hAnsi="Calibri" w:cs="Times"/>
                <w:szCs w:val="22"/>
              </w:rPr>
              <w:t>:</w:t>
            </w:r>
            <w:r w:rsidRPr="00893D2A">
              <w:rPr>
                <w:rFonts w:ascii="Calibri" w:hAnsi="Calibri" w:cs="Times"/>
                <w:szCs w:val="22"/>
              </w:rPr>
              <w:t xml:space="preserve"> Mtirala NP Administration</w:t>
            </w:r>
          </w:p>
        </w:tc>
        <w:tc>
          <w:tcPr>
            <w:tcW w:w="5249" w:type="dxa"/>
            <w:tcMar>
              <w:top w:w="28" w:type="dxa"/>
              <w:left w:w="57" w:type="dxa"/>
              <w:bottom w:w="28" w:type="dxa"/>
              <w:right w:w="57" w:type="dxa"/>
            </w:tcMar>
          </w:tcPr>
          <w:p w14:paraId="4BF10276" w14:textId="77777777" w:rsidR="00B53C46" w:rsidRPr="00893D2A" w:rsidRDefault="00B53C46" w:rsidP="00B53C46">
            <w:pPr>
              <w:widowControl w:val="0"/>
              <w:rPr>
                <w:rFonts w:ascii="Calibri" w:hAnsi="Calibri" w:cs="Times"/>
                <w:szCs w:val="22"/>
              </w:rPr>
            </w:pPr>
            <w:r w:rsidRPr="00893D2A">
              <w:rPr>
                <w:rFonts w:ascii="Calibri" w:hAnsi="Calibri" w:cs="Times"/>
                <w:szCs w:val="22"/>
              </w:rPr>
              <w:t>Mr. David Khomeriki – Mtirala NP Director</w:t>
            </w:r>
          </w:p>
          <w:p w14:paraId="77F83D62" w14:textId="77777777" w:rsidR="00B53C46" w:rsidRPr="00893D2A" w:rsidRDefault="00B53C46" w:rsidP="00B53C46">
            <w:pPr>
              <w:widowControl w:val="0"/>
              <w:rPr>
                <w:rFonts w:ascii="Calibri" w:hAnsi="Calibri" w:cs="Times"/>
                <w:szCs w:val="22"/>
              </w:rPr>
            </w:pPr>
            <w:r w:rsidRPr="00893D2A">
              <w:rPr>
                <w:rFonts w:ascii="Calibri" w:hAnsi="Calibri" w:cs="Times"/>
                <w:szCs w:val="22"/>
              </w:rPr>
              <w:t xml:space="preserve"> </w:t>
            </w:r>
          </w:p>
        </w:tc>
      </w:tr>
      <w:tr w:rsidR="00B53C46" w:rsidRPr="00893D2A" w14:paraId="612D2852" w14:textId="77777777" w:rsidTr="00B53C46">
        <w:tc>
          <w:tcPr>
            <w:tcW w:w="0" w:type="auto"/>
            <w:tcBorders>
              <w:bottom w:val="nil"/>
            </w:tcBorders>
            <w:tcMar>
              <w:top w:w="28" w:type="dxa"/>
              <w:left w:w="57" w:type="dxa"/>
              <w:bottom w:w="28" w:type="dxa"/>
              <w:right w:w="57" w:type="dxa"/>
            </w:tcMar>
          </w:tcPr>
          <w:p w14:paraId="09842FD4" w14:textId="77777777" w:rsidR="00B53C46" w:rsidRPr="00022691" w:rsidRDefault="00B53C46" w:rsidP="00B53C46">
            <w:pPr>
              <w:rPr>
                <w:rFonts w:ascii="Calibri" w:hAnsi="Calibri"/>
                <w:b/>
                <w:szCs w:val="22"/>
              </w:rPr>
            </w:pPr>
            <w:r w:rsidRPr="00022691">
              <w:rPr>
                <w:rFonts w:ascii="Calibri" w:hAnsi="Calibri"/>
                <w:b/>
                <w:szCs w:val="22"/>
              </w:rPr>
              <w:t>24 Oct</w:t>
            </w:r>
          </w:p>
          <w:p w14:paraId="2F2B929C" w14:textId="77777777" w:rsidR="00B53C46" w:rsidRPr="00893D2A" w:rsidRDefault="00B53C46" w:rsidP="00B53C46">
            <w:pPr>
              <w:rPr>
                <w:rFonts w:ascii="Calibri" w:hAnsi="Calibri"/>
                <w:szCs w:val="22"/>
              </w:rPr>
            </w:pPr>
            <w:r>
              <w:rPr>
                <w:rFonts w:ascii="Calibri" w:hAnsi="Calibri"/>
                <w:szCs w:val="22"/>
              </w:rPr>
              <w:t>0</w:t>
            </w:r>
            <w:r w:rsidRPr="00893D2A">
              <w:rPr>
                <w:rFonts w:ascii="Calibri" w:hAnsi="Calibri"/>
                <w:szCs w:val="22"/>
              </w:rPr>
              <w:t>9:00</w:t>
            </w:r>
          </w:p>
        </w:tc>
        <w:tc>
          <w:tcPr>
            <w:tcW w:w="3129" w:type="dxa"/>
            <w:tcMar>
              <w:top w:w="28" w:type="dxa"/>
              <w:left w:w="57" w:type="dxa"/>
              <w:bottom w:w="28" w:type="dxa"/>
              <w:right w:w="57" w:type="dxa"/>
            </w:tcMar>
          </w:tcPr>
          <w:p w14:paraId="35A44629" w14:textId="77777777" w:rsidR="00B53C46" w:rsidRPr="0085425C" w:rsidRDefault="00B53C46" w:rsidP="00B53C46">
            <w:pPr>
              <w:widowControl w:val="0"/>
              <w:rPr>
                <w:rFonts w:ascii="Calibri" w:hAnsi="Calibri" w:cs="Times"/>
                <w:b/>
                <w:szCs w:val="22"/>
              </w:rPr>
            </w:pPr>
            <w:r w:rsidRPr="0085425C">
              <w:rPr>
                <w:rFonts w:ascii="Calibri" w:hAnsi="Calibri" w:cs="Times"/>
                <w:b/>
                <w:szCs w:val="22"/>
              </w:rPr>
              <w:t>Visit: Mtirala NP</w:t>
            </w:r>
          </w:p>
        </w:tc>
        <w:tc>
          <w:tcPr>
            <w:tcW w:w="5249" w:type="dxa"/>
            <w:tcMar>
              <w:top w:w="28" w:type="dxa"/>
              <w:left w:w="57" w:type="dxa"/>
              <w:bottom w:w="28" w:type="dxa"/>
              <w:right w:w="57" w:type="dxa"/>
            </w:tcMar>
          </w:tcPr>
          <w:p w14:paraId="7A24646A" w14:textId="77777777" w:rsidR="00B53C46" w:rsidRPr="00893D2A" w:rsidRDefault="00B53C46" w:rsidP="00B53C46">
            <w:pPr>
              <w:widowControl w:val="0"/>
              <w:rPr>
                <w:rFonts w:ascii="Calibri" w:hAnsi="Calibri" w:cs="Times"/>
                <w:szCs w:val="22"/>
              </w:rPr>
            </w:pPr>
          </w:p>
        </w:tc>
      </w:tr>
      <w:tr w:rsidR="00B53C46" w:rsidRPr="00893D2A" w14:paraId="2807ECD5" w14:textId="77777777" w:rsidTr="00B53C46">
        <w:tc>
          <w:tcPr>
            <w:tcW w:w="0" w:type="auto"/>
            <w:tcBorders>
              <w:top w:val="nil"/>
              <w:bottom w:val="nil"/>
            </w:tcBorders>
            <w:tcMar>
              <w:top w:w="28" w:type="dxa"/>
              <w:left w:w="57" w:type="dxa"/>
              <w:bottom w:w="28" w:type="dxa"/>
              <w:right w:w="57" w:type="dxa"/>
            </w:tcMar>
          </w:tcPr>
          <w:p w14:paraId="1C70CEB2" w14:textId="77777777" w:rsidR="00B53C46" w:rsidRPr="00893D2A" w:rsidRDefault="00B53C46" w:rsidP="00B53C46">
            <w:pPr>
              <w:rPr>
                <w:rFonts w:ascii="Calibri" w:hAnsi="Calibri"/>
                <w:szCs w:val="22"/>
              </w:rPr>
            </w:pPr>
            <w:r w:rsidRPr="00893D2A">
              <w:rPr>
                <w:rFonts w:ascii="Calibri" w:hAnsi="Calibri"/>
                <w:szCs w:val="22"/>
              </w:rPr>
              <w:t>14:00</w:t>
            </w:r>
          </w:p>
        </w:tc>
        <w:tc>
          <w:tcPr>
            <w:tcW w:w="3129" w:type="dxa"/>
            <w:tcMar>
              <w:top w:w="28" w:type="dxa"/>
              <w:left w:w="57" w:type="dxa"/>
              <w:bottom w:w="28" w:type="dxa"/>
              <w:right w:w="57" w:type="dxa"/>
            </w:tcMar>
          </w:tcPr>
          <w:p w14:paraId="2EB654A3" w14:textId="77777777" w:rsidR="00B53C46" w:rsidRPr="00893D2A" w:rsidRDefault="00B53C46" w:rsidP="00B53C46">
            <w:pPr>
              <w:widowControl w:val="0"/>
              <w:rPr>
                <w:rFonts w:ascii="Calibri" w:hAnsi="Calibri" w:cs="Times"/>
                <w:szCs w:val="22"/>
              </w:rPr>
            </w:pPr>
            <w:r w:rsidRPr="00893D2A">
              <w:rPr>
                <w:rFonts w:ascii="Calibri" w:hAnsi="Calibri" w:cs="Times"/>
                <w:szCs w:val="22"/>
              </w:rPr>
              <w:t>Meeting</w:t>
            </w:r>
            <w:r>
              <w:rPr>
                <w:rFonts w:ascii="Calibri" w:hAnsi="Calibri" w:cs="Times"/>
                <w:szCs w:val="22"/>
              </w:rPr>
              <w:t>:</w:t>
            </w:r>
            <w:r w:rsidRPr="00893D2A">
              <w:rPr>
                <w:rFonts w:ascii="Calibri" w:hAnsi="Calibri" w:cs="Times"/>
                <w:szCs w:val="22"/>
              </w:rPr>
              <w:t xml:space="preserve"> Kobuleti Municipality</w:t>
            </w:r>
          </w:p>
        </w:tc>
        <w:tc>
          <w:tcPr>
            <w:tcW w:w="5249" w:type="dxa"/>
            <w:tcMar>
              <w:top w:w="28" w:type="dxa"/>
              <w:left w:w="57" w:type="dxa"/>
              <w:bottom w:w="28" w:type="dxa"/>
              <w:right w:w="57" w:type="dxa"/>
            </w:tcMar>
          </w:tcPr>
          <w:p w14:paraId="23D9C01E" w14:textId="77777777" w:rsidR="00B53C46" w:rsidRPr="00893D2A" w:rsidRDefault="00B53C46" w:rsidP="00B53C46">
            <w:pPr>
              <w:widowControl w:val="0"/>
              <w:rPr>
                <w:rFonts w:ascii="Calibri" w:hAnsi="Calibri" w:cs="Times"/>
                <w:szCs w:val="22"/>
              </w:rPr>
            </w:pPr>
            <w:r w:rsidRPr="00893D2A">
              <w:rPr>
                <w:rFonts w:ascii="Calibri" w:hAnsi="Calibri" w:cs="Times"/>
                <w:szCs w:val="22"/>
              </w:rPr>
              <w:t>Mr. Zurab Amaglobeli – Head of Economic, Tou</w:t>
            </w:r>
            <w:r>
              <w:rPr>
                <w:rFonts w:ascii="Calibri" w:hAnsi="Calibri" w:cs="Times"/>
                <w:szCs w:val="22"/>
              </w:rPr>
              <w:t>rism and Investment Department,</w:t>
            </w:r>
            <w:r w:rsidRPr="00893D2A">
              <w:rPr>
                <w:rFonts w:ascii="Calibri" w:hAnsi="Calibri" w:cs="Times"/>
                <w:szCs w:val="22"/>
              </w:rPr>
              <w:t xml:space="preserve"> Kobuleti Municipality</w:t>
            </w:r>
          </w:p>
          <w:p w14:paraId="73ABFCA3" w14:textId="77777777" w:rsidR="00B53C46" w:rsidRPr="00893D2A" w:rsidRDefault="00B53C46" w:rsidP="00B53C46">
            <w:pPr>
              <w:widowControl w:val="0"/>
              <w:rPr>
                <w:rFonts w:ascii="Calibri" w:hAnsi="Calibri" w:cs="Times"/>
                <w:szCs w:val="22"/>
              </w:rPr>
            </w:pPr>
            <w:r>
              <w:rPr>
                <w:rFonts w:ascii="Calibri" w:hAnsi="Calibri" w:cs="Times"/>
                <w:szCs w:val="22"/>
              </w:rPr>
              <w:t>Mr.Tamaz Japaridze–Senior S</w:t>
            </w:r>
            <w:r w:rsidRPr="00893D2A">
              <w:rPr>
                <w:rFonts w:ascii="Calibri" w:hAnsi="Calibri" w:cs="Times"/>
                <w:szCs w:val="22"/>
              </w:rPr>
              <w:t>pecialist</w:t>
            </w:r>
            <w:r>
              <w:rPr>
                <w:rFonts w:ascii="Calibri" w:hAnsi="Calibri" w:cs="Times"/>
                <w:szCs w:val="22"/>
              </w:rPr>
              <w:t>,</w:t>
            </w:r>
            <w:r w:rsidRPr="00893D2A">
              <w:rPr>
                <w:rFonts w:ascii="Calibri" w:hAnsi="Calibri" w:cs="Times"/>
                <w:szCs w:val="22"/>
              </w:rPr>
              <w:t xml:space="preserve"> Economic, Tourism and Investment Department</w:t>
            </w:r>
            <w:r>
              <w:rPr>
                <w:rFonts w:ascii="Calibri" w:hAnsi="Calibri" w:cs="Times"/>
                <w:szCs w:val="22"/>
              </w:rPr>
              <w:t>,</w:t>
            </w:r>
            <w:r w:rsidRPr="00893D2A">
              <w:rPr>
                <w:rFonts w:ascii="Calibri" w:hAnsi="Calibri" w:cs="Times"/>
                <w:szCs w:val="22"/>
              </w:rPr>
              <w:t xml:space="preserve"> Kobuleti Municipality</w:t>
            </w:r>
          </w:p>
        </w:tc>
      </w:tr>
      <w:tr w:rsidR="00B53C46" w:rsidRPr="00893D2A" w14:paraId="58E6E68B" w14:textId="77777777" w:rsidTr="00B53C46">
        <w:tc>
          <w:tcPr>
            <w:tcW w:w="0" w:type="auto"/>
            <w:tcBorders>
              <w:top w:val="nil"/>
              <w:bottom w:val="nil"/>
            </w:tcBorders>
            <w:tcMar>
              <w:top w:w="28" w:type="dxa"/>
              <w:left w:w="57" w:type="dxa"/>
              <w:bottom w:w="28" w:type="dxa"/>
              <w:right w:w="57" w:type="dxa"/>
            </w:tcMar>
          </w:tcPr>
          <w:p w14:paraId="53156558" w14:textId="77777777" w:rsidR="00B53C46" w:rsidRPr="00893D2A" w:rsidRDefault="00B53C46" w:rsidP="00B53C46">
            <w:pPr>
              <w:rPr>
                <w:rFonts w:ascii="Calibri" w:hAnsi="Calibri"/>
                <w:szCs w:val="22"/>
              </w:rPr>
            </w:pPr>
            <w:r w:rsidRPr="00893D2A">
              <w:rPr>
                <w:rFonts w:ascii="Calibri" w:hAnsi="Calibri"/>
                <w:szCs w:val="22"/>
              </w:rPr>
              <w:t>15:30</w:t>
            </w:r>
          </w:p>
        </w:tc>
        <w:tc>
          <w:tcPr>
            <w:tcW w:w="3129" w:type="dxa"/>
            <w:tcMar>
              <w:top w:w="28" w:type="dxa"/>
              <w:left w:w="57" w:type="dxa"/>
              <w:bottom w:w="28" w:type="dxa"/>
              <w:right w:w="57" w:type="dxa"/>
            </w:tcMar>
          </w:tcPr>
          <w:p w14:paraId="76DDC31F" w14:textId="77777777" w:rsidR="00B53C46" w:rsidRPr="00893D2A" w:rsidRDefault="00B53C46" w:rsidP="00B53C46">
            <w:pPr>
              <w:widowControl w:val="0"/>
              <w:rPr>
                <w:rFonts w:ascii="Calibri" w:hAnsi="Calibri" w:cs="Times"/>
                <w:szCs w:val="22"/>
              </w:rPr>
            </w:pPr>
            <w:r w:rsidRPr="00893D2A">
              <w:rPr>
                <w:rFonts w:ascii="Calibri" w:hAnsi="Calibri" w:cs="Times"/>
                <w:szCs w:val="22"/>
              </w:rPr>
              <w:t>Meeting</w:t>
            </w:r>
            <w:r>
              <w:rPr>
                <w:rFonts w:ascii="Calibri" w:hAnsi="Calibri" w:cs="Times"/>
                <w:szCs w:val="22"/>
              </w:rPr>
              <w:t>:</w:t>
            </w:r>
            <w:r w:rsidRPr="00893D2A">
              <w:rPr>
                <w:rFonts w:ascii="Calibri" w:hAnsi="Calibri" w:cs="Times"/>
                <w:szCs w:val="22"/>
              </w:rPr>
              <w:t xml:space="preserve"> Kintrishi PA Administration</w:t>
            </w:r>
          </w:p>
        </w:tc>
        <w:tc>
          <w:tcPr>
            <w:tcW w:w="5249" w:type="dxa"/>
            <w:tcMar>
              <w:top w:w="28" w:type="dxa"/>
              <w:left w:w="57" w:type="dxa"/>
              <w:bottom w:w="28" w:type="dxa"/>
              <w:right w:w="57" w:type="dxa"/>
            </w:tcMar>
          </w:tcPr>
          <w:p w14:paraId="34937A84" w14:textId="77777777" w:rsidR="00B53C46" w:rsidRPr="00893D2A" w:rsidRDefault="00B53C46" w:rsidP="00B53C46">
            <w:pPr>
              <w:widowControl w:val="0"/>
              <w:rPr>
                <w:rFonts w:ascii="Calibri" w:hAnsi="Calibri" w:cs="Times"/>
                <w:szCs w:val="22"/>
              </w:rPr>
            </w:pPr>
            <w:r w:rsidRPr="00893D2A">
              <w:rPr>
                <w:rFonts w:ascii="Calibri" w:hAnsi="Calibri" w:cs="Times"/>
                <w:szCs w:val="22"/>
              </w:rPr>
              <w:t>Mr. Amiran Khinikadze – Director</w:t>
            </w:r>
          </w:p>
          <w:p w14:paraId="18CFF658" w14:textId="77777777" w:rsidR="00B53C46" w:rsidRPr="00893D2A" w:rsidRDefault="00B53C46" w:rsidP="00B53C46">
            <w:pPr>
              <w:widowControl w:val="0"/>
              <w:rPr>
                <w:rFonts w:ascii="Calibri" w:hAnsi="Calibri" w:cs="Times"/>
                <w:szCs w:val="22"/>
              </w:rPr>
            </w:pPr>
            <w:r w:rsidRPr="00893D2A">
              <w:rPr>
                <w:rFonts w:ascii="Calibri" w:hAnsi="Calibri" w:cs="Times"/>
                <w:szCs w:val="22"/>
              </w:rPr>
              <w:t>Nana Noghaideli – Visitor Service Specialist</w:t>
            </w:r>
          </w:p>
          <w:p w14:paraId="7D2A4004" w14:textId="77777777" w:rsidR="00B53C46" w:rsidRPr="00893D2A" w:rsidRDefault="00B53C46" w:rsidP="00B53C46">
            <w:pPr>
              <w:widowControl w:val="0"/>
              <w:rPr>
                <w:rFonts w:ascii="Calibri" w:hAnsi="Calibri" w:cs="Times"/>
                <w:szCs w:val="22"/>
              </w:rPr>
            </w:pPr>
            <w:r w:rsidRPr="00893D2A">
              <w:rPr>
                <w:rFonts w:ascii="Calibri" w:hAnsi="Calibri" w:cs="Times"/>
                <w:szCs w:val="22"/>
              </w:rPr>
              <w:t>Mr. Giorgi Nemsadze – Natural Resources Specialist</w:t>
            </w:r>
          </w:p>
        </w:tc>
      </w:tr>
      <w:tr w:rsidR="00B53C46" w:rsidRPr="00893D2A" w14:paraId="56BB9C86" w14:textId="77777777" w:rsidTr="00B53C46">
        <w:tc>
          <w:tcPr>
            <w:tcW w:w="0" w:type="auto"/>
            <w:tcBorders>
              <w:top w:val="nil"/>
              <w:bottom w:val="nil"/>
            </w:tcBorders>
            <w:tcMar>
              <w:top w:w="28" w:type="dxa"/>
              <w:left w:w="57" w:type="dxa"/>
              <w:bottom w:w="28" w:type="dxa"/>
              <w:right w:w="57" w:type="dxa"/>
            </w:tcMar>
          </w:tcPr>
          <w:p w14:paraId="2D273D89" w14:textId="77777777" w:rsidR="00B53C46" w:rsidRPr="00893D2A" w:rsidRDefault="00B53C46" w:rsidP="00B53C46">
            <w:pPr>
              <w:rPr>
                <w:rFonts w:ascii="Calibri" w:hAnsi="Calibri"/>
                <w:szCs w:val="22"/>
              </w:rPr>
            </w:pPr>
            <w:r w:rsidRPr="00893D2A">
              <w:rPr>
                <w:rFonts w:ascii="Calibri" w:hAnsi="Calibri"/>
                <w:szCs w:val="22"/>
              </w:rPr>
              <w:t>17:30</w:t>
            </w:r>
          </w:p>
        </w:tc>
        <w:tc>
          <w:tcPr>
            <w:tcW w:w="3129" w:type="dxa"/>
            <w:tcMar>
              <w:top w:w="28" w:type="dxa"/>
              <w:left w:w="57" w:type="dxa"/>
              <w:bottom w:w="28" w:type="dxa"/>
              <w:right w:w="57" w:type="dxa"/>
            </w:tcMar>
          </w:tcPr>
          <w:p w14:paraId="55707ED8" w14:textId="77777777" w:rsidR="00B53C46" w:rsidRPr="0085425C" w:rsidRDefault="00B53C46" w:rsidP="00B53C46">
            <w:pPr>
              <w:widowControl w:val="0"/>
              <w:rPr>
                <w:rFonts w:ascii="Calibri" w:hAnsi="Calibri" w:cs="Times"/>
                <w:b/>
                <w:szCs w:val="22"/>
              </w:rPr>
            </w:pPr>
            <w:r w:rsidRPr="0085425C">
              <w:rPr>
                <w:rFonts w:ascii="Calibri" w:hAnsi="Calibri" w:cs="Times"/>
                <w:b/>
                <w:szCs w:val="22"/>
              </w:rPr>
              <w:t>Visit: Kintrishi National Park</w:t>
            </w:r>
          </w:p>
        </w:tc>
        <w:tc>
          <w:tcPr>
            <w:tcW w:w="5249" w:type="dxa"/>
            <w:tcMar>
              <w:top w:w="28" w:type="dxa"/>
              <w:left w:w="57" w:type="dxa"/>
              <w:bottom w:w="28" w:type="dxa"/>
              <w:right w:w="57" w:type="dxa"/>
            </w:tcMar>
          </w:tcPr>
          <w:p w14:paraId="57BF08A6" w14:textId="77777777" w:rsidR="00B53C46" w:rsidRPr="00893D2A" w:rsidRDefault="00B53C46" w:rsidP="00B53C46">
            <w:pPr>
              <w:widowControl w:val="0"/>
              <w:rPr>
                <w:rFonts w:ascii="Calibri" w:hAnsi="Calibri" w:cs="Times"/>
                <w:szCs w:val="22"/>
              </w:rPr>
            </w:pPr>
          </w:p>
        </w:tc>
      </w:tr>
      <w:tr w:rsidR="00B53C46" w:rsidRPr="00893D2A" w14:paraId="4BC738F9" w14:textId="77777777" w:rsidTr="00B53C46">
        <w:trPr>
          <w:trHeight w:val="68"/>
        </w:trPr>
        <w:tc>
          <w:tcPr>
            <w:tcW w:w="0" w:type="auto"/>
            <w:tcBorders>
              <w:top w:val="nil"/>
            </w:tcBorders>
            <w:tcMar>
              <w:top w:w="28" w:type="dxa"/>
              <w:left w:w="57" w:type="dxa"/>
              <w:bottom w:w="28" w:type="dxa"/>
              <w:right w:w="57" w:type="dxa"/>
            </w:tcMar>
          </w:tcPr>
          <w:p w14:paraId="7670A0CF" w14:textId="77777777" w:rsidR="00B53C46" w:rsidRPr="00893D2A" w:rsidRDefault="00B53C46" w:rsidP="00B53C46">
            <w:pPr>
              <w:rPr>
                <w:rFonts w:ascii="Calibri" w:hAnsi="Calibri"/>
                <w:szCs w:val="22"/>
              </w:rPr>
            </w:pPr>
            <w:r w:rsidRPr="00893D2A">
              <w:rPr>
                <w:rFonts w:ascii="Calibri" w:hAnsi="Calibri"/>
                <w:szCs w:val="22"/>
              </w:rPr>
              <w:t>19:00</w:t>
            </w:r>
          </w:p>
        </w:tc>
        <w:tc>
          <w:tcPr>
            <w:tcW w:w="3129" w:type="dxa"/>
            <w:tcMar>
              <w:top w:w="28" w:type="dxa"/>
              <w:left w:w="57" w:type="dxa"/>
              <w:bottom w:w="28" w:type="dxa"/>
              <w:right w:w="57" w:type="dxa"/>
            </w:tcMar>
          </w:tcPr>
          <w:p w14:paraId="59D62720" w14:textId="77777777" w:rsidR="00B53C46" w:rsidRPr="00893D2A" w:rsidRDefault="00B53C46" w:rsidP="00B53C46">
            <w:pPr>
              <w:widowControl w:val="0"/>
              <w:rPr>
                <w:rFonts w:ascii="Calibri" w:hAnsi="Calibri" w:cs="Times"/>
                <w:szCs w:val="22"/>
              </w:rPr>
            </w:pPr>
            <w:r w:rsidRPr="00893D2A">
              <w:rPr>
                <w:rFonts w:ascii="Calibri" w:hAnsi="Calibri" w:cs="Times"/>
                <w:szCs w:val="22"/>
              </w:rPr>
              <w:t>Meeting</w:t>
            </w:r>
            <w:r>
              <w:rPr>
                <w:rFonts w:ascii="Calibri" w:hAnsi="Calibri" w:cs="Times"/>
                <w:szCs w:val="22"/>
              </w:rPr>
              <w:t>:</w:t>
            </w:r>
            <w:r w:rsidRPr="00893D2A">
              <w:rPr>
                <w:rFonts w:ascii="Calibri" w:hAnsi="Calibri" w:cs="Times"/>
                <w:szCs w:val="22"/>
              </w:rPr>
              <w:t xml:space="preserve"> </w:t>
            </w:r>
            <w:r>
              <w:rPr>
                <w:rFonts w:ascii="Calibri" w:hAnsi="Calibri" w:cs="Times"/>
                <w:szCs w:val="22"/>
              </w:rPr>
              <w:t>Cooperative “Chakhati</w:t>
            </w:r>
            <w:r w:rsidRPr="00893D2A">
              <w:rPr>
                <w:rFonts w:ascii="Calibri" w:hAnsi="Calibri" w:cs="Times"/>
                <w:szCs w:val="22"/>
              </w:rPr>
              <w:t>“</w:t>
            </w:r>
          </w:p>
        </w:tc>
        <w:tc>
          <w:tcPr>
            <w:tcW w:w="5249" w:type="dxa"/>
            <w:tcMar>
              <w:top w:w="28" w:type="dxa"/>
              <w:left w:w="57" w:type="dxa"/>
              <w:bottom w:w="28" w:type="dxa"/>
              <w:right w:w="57" w:type="dxa"/>
            </w:tcMar>
          </w:tcPr>
          <w:p w14:paraId="07A7CF45" w14:textId="77777777" w:rsidR="00B53C46" w:rsidRPr="00893D2A" w:rsidRDefault="00B53C46" w:rsidP="00B53C46">
            <w:pPr>
              <w:widowControl w:val="0"/>
              <w:rPr>
                <w:rFonts w:ascii="Calibri" w:hAnsi="Calibri" w:cs="Times"/>
                <w:szCs w:val="22"/>
              </w:rPr>
            </w:pPr>
            <w:r w:rsidRPr="00893D2A">
              <w:rPr>
                <w:rFonts w:ascii="Calibri" w:hAnsi="Calibri" w:cs="Times"/>
                <w:szCs w:val="22"/>
              </w:rPr>
              <w:t>Mr. Nugzar Davitadze - Cooperative Member</w:t>
            </w:r>
          </w:p>
        </w:tc>
      </w:tr>
      <w:tr w:rsidR="00B53C46" w:rsidRPr="00893D2A" w14:paraId="351E118C" w14:textId="77777777" w:rsidTr="00B53C46">
        <w:tc>
          <w:tcPr>
            <w:tcW w:w="0" w:type="auto"/>
            <w:vMerge w:val="restart"/>
            <w:tcMar>
              <w:top w:w="28" w:type="dxa"/>
              <w:left w:w="57" w:type="dxa"/>
              <w:bottom w:w="28" w:type="dxa"/>
              <w:right w:w="57" w:type="dxa"/>
            </w:tcMar>
          </w:tcPr>
          <w:p w14:paraId="34E1770F" w14:textId="77777777" w:rsidR="00B53C46" w:rsidRPr="00022691" w:rsidRDefault="00B53C46" w:rsidP="00B53C46">
            <w:pPr>
              <w:rPr>
                <w:rFonts w:ascii="Calibri" w:hAnsi="Calibri"/>
                <w:b/>
                <w:szCs w:val="22"/>
              </w:rPr>
            </w:pPr>
            <w:r w:rsidRPr="00022691">
              <w:rPr>
                <w:rFonts w:ascii="Calibri" w:hAnsi="Calibri"/>
                <w:b/>
                <w:szCs w:val="22"/>
              </w:rPr>
              <w:t>25 Oct</w:t>
            </w:r>
          </w:p>
          <w:p w14:paraId="48A142AE" w14:textId="77777777" w:rsidR="00B53C46" w:rsidRPr="00893D2A" w:rsidRDefault="00B53C46" w:rsidP="00B53C46">
            <w:pPr>
              <w:rPr>
                <w:rFonts w:ascii="Calibri" w:hAnsi="Calibri"/>
                <w:szCs w:val="22"/>
              </w:rPr>
            </w:pPr>
            <w:r>
              <w:rPr>
                <w:rFonts w:ascii="Calibri" w:hAnsi="Calibri"/>
                <w:szCs w:val="22"/>
              </w:rPr>
              <w:t>10:00</w:t>
            </w:r>
          </w:p>
          <w:p w14:paraId="6D87EAF2" w14:textId="77777777" w:rsidR="00B53C46" w:rsidRPr="00893D2A" w:rsidRDefault="00B53C46" w:rsidP="00B53C46">
            <w:pPr>
              <w:rPr>
                <w:rFonts w:ascii="Calibri" w:hAnsi="Calibri"/>
                <w:szCs w:val="22"/>
              </w:rPr>
            </w:pPr>
            <w:r w:rsidRPr="00893D2A">
              <w:rPr>
                <w:rFonts w:ascii="Calibri" w:hAnsi="Calibri"/>
                <w:szCs w:val="22"/>
              </w:rPr>
              <w:t>15:00</w:t>
            </w:r>
          </w:p>
        </w:tc>
        <w:tc>
          <w:tcPr>
            <w:tcW w:w="8378" w:type="dxa"/>
            <w:gridSpan w:val="2"/>
            <w:tcMar>
              <w:top w:w="28" w:type="dxa"/>
              <w:left w:w="57" w:type="dxa"/>
              <w:bottom w:w="28" w:type="dxa"/>
              <w:right w:w="57" w:type="dxa"/>
            </w:tcMar>
          </w:tcPr>
          <w:p w14:paraId="124D28AC" w14:textId="77777777" w:rsidR="00B53C46" w:rsidRPr="00893D2A" w:rsidRDefault="00B53C46" w:rsidP="00B53C46">
            <w:pPr>
              <w:widowControl w:val="0"/>
              <w:rPr>
                <w:rFonts w:ascii="Calibri" w:hAnsi="Calibri" w:cs="Times"/>
                <w:szCs w:val="22"/>
              </w:rPr>
            </w:pPr>
            <w:r>
              <w:rPr>
                <w:rFonts w:ascii="Calibri" w:hAnsi="Calibri" w:cs="Times"/>
                <w:szCs w:val="22"/>
              </w:rPr>
              <w:t>Participate in World Natural H</w:t>
            </w:r>
            <w:r w:rsidRPr="00893D2A">
              <w:rPr>
                <w:rFonts w:ascii="Calibri" w:hAnsi="Calibri" w:cs="Times"/>
                <w:szCs w:val="22"/>
              </w:rPr>
              <w:t xml:space="preserve">eritage nomination workshop </w:t>
            </w:r>
            <w:r>
              <w:rPr>
                <w:rFonts w:ascii="Calibri" w:hAnsi="Calibri" w:cs="Times"/>
                <w:szCs w:val="22"/>
              </w:rPr>
              <w:t>for</w:t>
            </w:r>
            <w:r w:rsidRPr="00893D2A">
              <w:rPr>
                <w:rFonts w:ascii="Calibri" w:hAnsi="Calibri" w:cs="Times"/>
                <w:szCs w:val="22"/>
              </w:rPr>
              <w:t xml:space="preserve"> Mtirala, Kintrishi, Machakhela NPs</w:t>
            </w:r>
          </w:p>
        </w:tc>
      </w:tr>
      <w:tr w:rsidR="00B53C46" w:rsidRPr="00893D2A" w14:paraId="250E9F95" w14:textId="77777777" w:rsidTr="00B53C46">
        <w:tc>
          <w:tcPr>
            <w:tcW w:w="0" w:type="auto"/>
            <w:vMerge/>
            <w:tcBorders>
              <w:bottom w:val="single" w:sz="4" w:space="0" w:color="auto"/>
            </w:tcBorders>
            <w:tcMar>
              <w:top w:w="28" w:type="dxa"/>
              <w:left w:w="57" w:type="dxa"/>
              <w:bottom w:w="28" w:type="dxa"/>
              <w:right w:w="57" w:type="dxa"/>
            </w:tcMar>
          </w:tcPr>
          <w:p w14:paraId="5D93F123" w14:textId="77777777" w:rsidR="00B53C46" w:rsidRPr="00893D2A" w:rsidRDefault="00B53C46" w:rsidP="00B53C46">
            <w:pPr>
              <w:rPr>
                <w:rFonts w:ascii="Calibri" w:hAnsi="Calibri"/>
                <w:szCs w:val="22"/>
              </w:rPr>
            </w:pPr>
          </w:p>
        </w:tc>
        <w:tc>
          <w:tcPr>
            <w:tcW w:w="8378" w:type="dxa"/>
            <w:gridSpan w:val="2"/>
            <w:tcMar>
              <w:top w:w="28" w:type="dxa"/>
              <w:left w:w="57" w:type="dxa"/>
              <w:bottom w:w="28" w:type="dxa"/>
              <w:right w:w="57" w:type="dxa"/>
            </w:tcMar>
          </w:tcPr>
          <w:p w14:paraId="0F96BE49" w14:textId="77777777" w:rsidR="00B53C46" w:rsidRPr="00893D2A" w:rsidRDefault="00B53C46" w:rsidP="00B53C46">
            <w:pPr>
              <w:widowControl w:val="0"/>
              <w:rPr>
                <w:rFonts w:ascii="Calibri" w:hAnsi="Calibri" w:cs="Times"/>
                <w:szCs w:val="22"/>
              </w:rPr>
            </w:pPr>
            <w:r w:rsidRPr="00893D2A">
              <w:rPr>
                <w:rFonts w:ascii="Calibri" w:hAnsi="Calibri" w:cs="Times"/>
                <w:szCs w:val="22"/>
              </w:rPr>
              <w:t>Prepar</w:t>
            </w:r>
            <w:r>
              <w:rPr>
                <w:rFonts w:ascii="Calibri" w:hAnsi="Calibri" w:cs="Times"/>
                <w:szCs w:val="22"/>
              </w:rPr>
              <w:t>e</w:t>
            </w:r>
            <w:r w:rsidRPr="00893D2A">
              <w:rPr>
                <w:rFonts w:ascii="Calibri" w:hAnsi="Calibri" w:cs="Times"/>
                <w:szCs w:val="22"/>
              </w:rPr>
              <w:t xml:space="preserve"> main findings for debriefing</w:t>
            </w:r>
          </w:p>
        </w:tc>
      </w:tr>
      <w:tr w:rsidR="00B53C46" w:rsidRPr="00893D2A" w14:paraId="55BDC097" w14:textId="77777777" w:rsidTr="00B53C46">
        <w:trPr>
          <w:trHeight w:val="227"/>
        </w:trPr>
        <w:tc>
          <w:tcPr>
            <w:tcW w:w="0" w:type="auto"/>
            <w:tcBorders>
              <w:bottom w:val="nil"/>
            </w:tcBorders>
            <w:tcMar>
              <w:top w:w="28" w:type="dxa"/>
              <w:left w:w="57" w:type="dxa"/>
              <w:bottom w:w="28" w:type="dxa"/>
              <w:right w:w="57" w:type="dxa"/>
            </w:tcMar>
          </w:tcPr>
          <w:p w14:paraId="3D0CDF49" w14:textId="77777777" w:rsidR="00B53C46" w:rsidRPr="00022691" w:rsidRDefault="00B53C46" w:rsidP="00B53C46">
            <w:pPr>
              <w:rPr>
                <w:rFonts w:ascii="Calibri" w:hAnsi="Calibri"/>
                <w:b/>
                <w:szCs w:val="22"/>
              </w:rPr>
            </w:pPr>
            <w:r w:rsidRPr="00022691">
              <w:rPr>
                <w:rFonts w:ascii="Calibri" w:hAnsi="Calibri"/>
                <w:b/>
                <w:szCs w:val="22"/>
              </w:rPr>
              <w:t>26 Oct</w:t>
            </w:r>
          </w:p>
          <w:p w14:paraId="31DECA4A" w14:textId="77777777" w:rsidR="00B53C46" w:rsidRPr="00893D2A" w:rsidRDefault="00B53C46" w:rsidP="00B53C46">
            <w:pPr>
              <w:rPr>
                <w:rFonts w:ascii="Calibri" w:hAnsi="Calibri"/>
                <w:szCs w:val="22"/>
              </w:rPr>
            </w:pPr>
            <w:r>
              <w:rPr>
                <w:rFonts w:ascii="Calibri" w:hAnsi="Calibri"/>
                <w:szCs w:val="22"/>
              </w:rPr>
              <w:t>a.m.</w:t>
            </w:r>
          </w:p>
        </w:tc>
        <w:tc>
          <w:tcPr>
            <w:tcW w:w="8378" w:type="dxa"/>
            <w:gridSpan w:val="2"/>
            <w:tcMar>
              <w:top w:w="28" w:type="dxa"/>
              <w:left w:w="57" w:type="dxa"/>
              <w:bottom w:w="28" w:type="dxa"/>
              <w:right w:w="57" w:type="dxa"/>
            </w:tcMar>
          </w:tcPr>
          <w:p w14:paraId="4B033965" w14:textId="77777777" w:rsidR="00B53C46" w:rsidRPr="00893D2A" w:rsidRDefault="00B53C46" w:rsidP="00B53C46">
            <w:pPr>
              <w:widowControl w:val="0"/>
              <w:rPr>
                <w:rFonts w:ascii="Calibri" w:hAnsi="Calibri" w:cs="Times"/>
                <w:szCs w:val="22"/>
              </w:rPr>
            </w:pPr>
            <w:r w:rsidRPr="00893D2A">
              <w:rPr>
                <w:rFonts w:ascii="Calibri" w:hAnsi="Calibri" w:cs="Times"/>
                <w:szCs w:val="22"/>
              </w:rPr>
              <w:t>Prepar</w:t>
            </w:r>
            <w:r>
              <w:rPr>
                <w:rFonts w:ascii="Calibri" w:hAnsi="Calibri" w:cs="Times"/>
                <w:szCs w:val="22"/>
              </w:rPr>
              <w:t>e</w:t>
            </w:r>
            <w:r w:rsidRPr="00893D2A">
              <w:rPr>
                <w:rFonts w:ascii="Calibri" w:hAnsi="Calibri" w:cs="Times"/>
                <w:szCs w:val="22"/>
              </w:rPr>
              <w:t xml:space="preserve"> presentation for debriefing</w:t>
            </w:r>
          </w:p>
        </w:tc>
      </w:tr>
      <w:tr w:rsidR="00B53C46" w:rsidRPr="00893D2A" w14:paraId="5BEECFA3" w14:textId="77777777" w:rsidTr="00B53C46">
        <w:tc>
          <w:tcPr>
            <w:tcW w:w="0" w:type="auto"/>
            <w:tcBorders>
              <w:top w:val="nil"/>
              <w:bottom w:val="single" w:sz="4" w:space="0" w:color="auto"/>
            </w:tcBorders>
            <w:tcMar>
              <w:top w:w="28" w:type="dxa"/>
              <w:left w:w="57" w:type="dxa"/>
              <w:bottom w:w="28" w:type="dxa"/>
              <w:right w:w="57" w:type="dxa"/>
            </w:tcMar>
          </w:tcPr>
          <w:p w14:paraId="6B924615" w14:textId="77777777" w:rsidR="00B53C46" w:rsidRPr="00893D2A" w:rsidRDefault="00B53C46" w:rsidP="00B53C46">
            <w:pPr>
              <w:rPr>
                <w:rFonts w:ascii="Calibri" w:hAnsi="Calibri"/>
                <w:szCs w:val="22"/>
              </w:rPr>
            </w:pPr>
            <w:r w:rsidRPr="00893D2A">
              <w:rPr>
                <w:rFonts w:ascii="Calibri" w:hAnsi="Calibri"/>
                <w:szCs w:val="22"/>
              </w:rPr>
              <w:t>16:00-18:00</w:t>
            </w:r>
          </w:p>
        </w:tc>
        <w:tc>
          <w:tcPr>
            <w:tcW w:w="3129" w:type="dxa"/>
            <w:tcMar>
              <w:top w:w="28" w:type="dxa"/>
              <w:left w:w="57" w:type="dxa"/>
              <w:bottom w:w="28" w:type="dxa"/>
              <w:right w:w="57" w:type="dxa"/>
            </w:tcMar>
          </w:tcPr>
          <w:p w14:paraId="65977CAD" w14:textId="77777777" w:rsidR="00B53C46" w:rsidRPr="00893D2A" w:rsidRDefault="00B53C46" w:rsidP="00B53C46">
            <w:pPr>
              <w:widowControl w:val="0"/>
              <w:rPr>
                <w:rFonts w:ascii="Calibri" w:hAnsi="Calibri" w:cs="Times"/>
                <w:szCs w:val="22"/>
              </w:rPr>
            </w:pPr>
            <w:r w:rsidRPr="00893D2A">
              <w:rPr>
                <w:rFonts w:ascii="Calibri" w:hAnsi="Calibri" w:cs="Times"/>
                <w:szCs w:val="22"/>
              </w:rPr>
              <w:t xml:space="preserve">Debriefing with </w:t>
            </w:r>
            <w:r>
              <w:rPr>
                <w:rFonts w:ascii="Calibri" w:hAnsi="Calibri" w:cs="Times"/>
                <w:szCs w:val="22"/>
              </w:rPr>
              <w:t xml:space="preserve">main </w:t>
            </w:r>
            <w:r w:rsidRPr="00893D2A">
              <w:rPr>
                <w:rFonts w:ascii="Calibri" w:hAnsi="Calibri" w:cs="Times"/>
                <w:szCs w:val="22"/>
              </w:rPr>
              <w:t>stakeholders in Adjara</w:t>
            </w:r>
            <w:r>
              <w:rPr>
                <w:rFonts w:ascii="Calibri" w:hAnsi="Calibri" w:cs="Times"/>
                <w:szCs w:val="22"/>
              </w:rPr>
              <w:t xml:space="preserve"> AR</w:t>
            </w:r>
          </w:p>
        </w:tc>
        <w:tc>
          <w:tcPr>
            <w:tcW w:w="5249" w:type="dxa"/>
            <w:tcMar>
              <w:top w:w="28" w:type="dxa"/>
              <w:left w:w="57" w:type="dxa"/>
              <w:bottom w:w="28" w:type="dxa"/>
              <w:right w:w="57" w:type="dxa"/>
            </w:tcMar>
          </w:tcPr>
          <w:p w14:paraId="7F96EC29" w14:textId="77777777" w:rsidR="00B53C46" w:rsidRPr="00893D2A" w:rsidRDefault="00B53C46" w:rsidP="00B53C46">
            <w:pPr>
              <w:widowControl w:val="0"/>
              <w:rPr>
                <w:rFonts w:ascii="Calibri" w:hAnsi="Calibri" w:cs="Times"/>
                <w:szCs w:val="22"/>
              </w:rPr>
            </w:pPr>
            <w:r>
              <w:rPr>
                <w:rFonts w:ascii="Calibri" w:hAnsi="Calibri" w:cs="Times"/>
                <w:szCs w:val="22"/>
              </w:rPr>
              <w:t>Including</w:t>
            </w:r>
            <w:r w:rsidRPr="00893D2A">
              <w:rPr>
                <w:rFonts w:ascii="Calibri" w:hAnsi="Calibri" w:cs="Times"/>
                <w:szCs w:val="22"/>
              </w:rPr>
              <w:t xml:space="preserve"> Adjara Enviro</w:t>
            </w:r>
            <w:r>
              <w:rPr>
                <w:rFonts w:ascii="Calibri" w:hAnsi="Calibri" w:cs="Times"/>
                <w:szCs w:val="22"/>
              </w:rPr>
              <w:t>n</w:t>
            </w:r>
            <w:r w:rsidRPr="00893D2A">
              <w:rPr>
                <w:rFonts w:ascii="Calibri" w:hAnsi="Calibri" w:cs="Times"/>
                <w:szCs w:val="22"/>
              </w:rPr>
              <w:t>mental Dire</w:t>
            </w:r>
            <w:r>
              <w:rPr>
                <w:rFonts w:ascii="Calibri" w:hAnsi="Calibri" w:cs="Times"/>
                <w:szCs w:val="22"/>
              </w:rPr>
              <w:t>c</w:t>
            </w:r>
            <w:r w:rsidRPr="00893D2A">
              <w:rPr>
                <w:rFonts w:ascii="Calibri" w:hAnsi="Calibri" w:cs="Times"/>
                <w:szCs w:val="22"/>
              </w:rPr>
              <w:t>t</w:t>
            </w:r>
            <w:r>
              <w:rPr>
                <w:rFonts w:ascii="Calibri" w:hAnsi="Calibri" w:cs="Times"/>
                <w:szCs w:val="22"/>
              </w:rPr>
              <w:t xml:space="preserve">orate, </w:t>
            </w:r>
            <w:r w:rsidRPr="00893D2A">
              <w:rPr>
                <w:rFonts w:ascii="Calibri" w:hAnsi="Calibri" w:cs="Times"/>
                <w:szCs w:val="22"/>
              </w:rPr>
              <w:t xml:space="preserve">Ministry of Agriculture, Tourist Product Development Agency, Mtirala NP </w:t>
            </w:r>
            <w:r>
              <w:rPr>
                <w:rFonts w:ascii="Calibri" w:hAnsi="Calibri" w:cs="Times"/>
                <w:szCs w:val="22"/>
              </w:rPr>
              <w:t>etc. (c.</w:t>
            </w:r>
            <w:r w:rsidRPr="00893D2A">
              <w:rPr>
                <w:rFonts w:ascii="Calibri" w:hAnsi="Calibri" w:cs="Times"/>
                <w:szCs w:val="22"/>
              </w:rPr>
              <w:t xml:space="preserve"> 20 participants</w:t>
            </w:r>
            <w:r>
              <w:rPr>
                <w:rFonts w:ascii="Calibri" w:hAnsi="Calibri" w:cs="Times"/>
                <w:szCs w:val="22"/>
              </w:rPr>
              <w:t xml:space="preserve"> – see MTR report)</w:t>
            </w:r>
            <w:r w:rsidRPr="00893D2A">
              <w:rPr>
                <w:rFonts w:ascii="Calibri" w:hAnsi="Calibri" w:cs="Times"/>
                <w:szCs w:val="22"/>
              </w:rPr>
              <w:t xml:space="preserve"> </w:t>
            </w:r>
          </w:p>
        </w:tc>
      </w:tr>
      <w:tr w:rsidR="00B53C46" w:rsidRPr="00893D2A" w14:paraId="438D3257" w14:textId="77777777" w:rsidTr="00B53C46">
        <w:tc>
          <w:tcPr>
            <w:tcW w:w="0" w:type="auto"/>
            <w:tcBorders>
              <w:bottom w:val="nil"/>
            </w:tcBorders>
            <w:tcMar>
              <w:top w:w="28" w:type="dxa"/>
              <w:left w:w="57" w:type="dxa"/>
              <w:bottom w:w="28" w:type="dxa"/>
              <w:right w:w="57" w:type="dxa"/>
            </w:tcMar>
          </w:tcPr>
          <w:p w14:paraId="73A08C09" w14:textId="77777777" w:rsidR="00B53C46" w:rsidRPr="008F13B4" w:rsidRDefault="00B53C46" w:rsidP="00B53C46">
            <w:pPr>
              <w:rPr>
                <w:rFonts w:ascii="Calibri" w:hAnsi="Calibri"/>
                <w:b/>
                <w:szCs w:val="22"/>
              </w:rPr>
            </w:pPr>
            <w:r w:rsidRPr="008F13B4">
              <w:rPr>
                <w:rFonts w:ascii="Calibri" w:hAnsi="Calibri"/>
                <w:b/>
                <w:szCs w:val="22"/>
              </w:rPr>
              <w:t>27 Oct</w:t>
            </w:r>
          </w:p>
          <w:p w14:paraId="71291DB8" w14:textId="77777777" w:rsidR="00B53C46" w:rsidRPr="00893D2A" w:rsidRDefault="00B53C46" w:rsidP="00B53C46">
            <w:pPr>
              <w:rPr>
                <w:rFonts w:ascii="Calibri" w:hAnsi="Calibri"/>
                <w:szCs w:val="22"/>
              </w:rPr>
            </w:pPr>
            <w:r w:rsidRPr="00893D2A">
              <w:rPr>
                <w:rFonts w:ascii="Calibri" w:hAnsi="Calibri"/>
                <w:szCs w:val="22"/>
              </w:rPr>
              <w:t>11:00</w:t>
            </w:r>
          </w:p>
        </w:tc>
        <w:tc>
          <w:tcPr>
            <w:tcW w:w="3129" w:type="dxa"/>
            <w:tcMar>
              <w:top w:w="28" w:type="dxa"/>
              <w:left w:w="57" w:type="dxa"/>
              <w:bottom w:w="28" w:type="dxa"/>
              <w:right w:w="57" w:type="dxa"/>
            </w:tcMar>
          </w:tcPr>
          <w:p w14:paraId="5165FDC6" w14:textId="77777777" w:rsidR="00B53C46" w:rsidRPr="00893D2A" w:rsidRDefault="00B53C46" w:rsidP="00B53C46">
            <w:pPr>
              <w:widowControl w:val="0"/>
              <w:rPr>
                <w:rFonts w:ascii="Calibri" w:hAnsi="Calibri" w:cs="Times"/>
                <w:szCs w:val="22"/>
              </w:rPr>
            </w:pPr>
            <w:r w:rsidRPr="00893D2A">
              <w:rPr>
                <w:rFonts w:ascii="Calibri" w:hAnsi="Calibri" w:cs="Times"/>
                <w:szCs w:val="22"/>
              </w:rPr>
              <w:t>Meeting</w:t>
            </w:r>
            <w:r>
              <w:rPr>
                <w:rFonts w:ascii="Calibri" w:hAnsi="Calibri" w:cs="Times"/>
                <w:szCs w:val="22"/>
              </w:rPr>
              <w:t>:</w:t>
            </w:r>
            <w:r w:rsidRPr="00893D2A">
              <w:rPr>
                <w:rFonts w:ascii="Calibri" w:hAnsi="Calibri" w:cs="Times"/>
                <w:szCs w:val="22"/>
              </w:rPr>
              <w:t xml:space="preserve"> Machakhela NP Administration</w:t>
            </w:r>
          </w:p>
        </w:tc>
        <w:tc>
          <w:tcPr>
            <w:tcW w:w="5249" w:type="dxa"/>
            <w:tcMar>
              <w:top w:w="28" w:type="dxa"/>
              <w:left w:w="57" w:type="dxa"/>
              <w:bottom w:w="28" w:type="dxa"/>
              <w:right w:w="57" w:type="dxa"/>
            </w:tcMar>
          </w:tcPr>
          <w:p w14:paraId="50C57E5A" w14:textId="77777777" w:rsidR="00B53C46" w:rsidRPr="00893D2A" w:rsidRDefault="00B53C46" w:rsidP="00B53C46">
            <w:pPr>
              <w:widowControl w:val="0"/>
              <w:rPr>
                <w:rFonts w:ascii="Calibri" w:hAnsi="Calibri" w:cs="Times"/>
                <w:szCs w:val="22"/>
              </w:rPr>
            </w:pPr>
            <w:r w:rsidRPr="00893D2A">
              <w:rPr>
                <w:rFonts w:ascii="Calibri" w:hAnsi="Calibri" w:cs="Times"/>
                <w:szCs w:val="22"/>
              </w:rPr>
              <w:t>Mr. Giorgi Kuridze – Director of Machakhela NP</w:t>
            </w:r>
          </w:p>
        </w:tc>
      </w:tr>
      <w:tr w:rsidR="00B53C46" w:rsidRPr="00893D2A" w14:paraId="437889EC" w14:textId="77777777" w:rsidTr="00B53C46">
        <w:tc>
          <w:tcPr>
            <w:tcW w:w="0" w:type="auto"/>
            <w:tcBorders>
              <w:top w:val="nil"/>
              <w:bottom w:val="nil"/>
            </w:tcBorders>
            <w:tcMar>
              <w:top w:w="28" w:type="dxa"/>
              <w:left w:w="57" w:type="dxa"/>
              <w:bottom w:w="28" w:type="dxa"/>
              <w:right w:w="57" w:type="dxa"/>
            </w:tcMar>
          </w:tcPr>
          <w:p w14:paraId="1AD0FFCF" w14:textId="77777777" w:rsidR="00B53C46" w:rsidRPr="00893D2A" w:rsidRDefault="00B53C46" w:rsidP="00B53C46">
            <w:pPr>
              <w:rPr>
                <w:rFonts w:ascii="Calibri" w:hAnsi="Calibri"/>
                <w:szCs w:val="22"/>
              </w:rPr>
            </w:pPr>
            <w:r w:rsidRPr="00893D2A">
              <w:rPr>
                <w:rFonts w:ascii="Calibri" w:hAnsi="Calibri"/>
                <w:szCs w:val="22"/>
              </w:rPr>
              <w:t>13:00</w:t>
            </w:r>
          </w:p>
        </w:tc>
        <w:tc>
          <w:tcPr>
            <w:tcW w:w="3129" w:type="dxa"/>
            <w:tcMar>
              <w:top w:w="28" w:type="dxa"/>
              <w:left w:w="57" w:type="dxa"/>
              <w:bottom w:w="28" w:type="dxa"/>
              <w:right w:w="57" w:type="dxa"/>
            </w:tcMar>
          </w:tcPr>
          <w:p w14:paraId="5EF2779F" w14:textId="77777777" w:rsidR="00B53C46" w:rsidRPr="00893D2A" w:rsidRDefault="00B53C46" w:rsidP="00B53C46">
            <w:pPr>
              <w:widowControl w:val="0"/>
              <w:rPr>
                <w:rFonts w:ascii="Calibri" w:hAnsi="Calibri" w:cs="Times"/>
                <w:szCs w:val="22"/>
              </w:rPr>
            </w:pPr>
            <w:r w:rsidRPr="00893D2A">
              <w:rPr>
                <w:rFonts w:ascii="Calibri" w:hAnsi="Calibri" w:cs="Times"/>
                <w:szCs w:val="22"/>
              </w:rPr>
              <w:t>Meeting</w:t>
            </w:r>
            <w:r>
              <w:rPr>
                <w:rFonts w:ascii="Calibri" w:hAnsi="Calibri" w:cs="Times"/>
                <w:szCs w:val="22"/>
              </w:rPr>
              <w:t>:</w:t>
            </w:r>
            <w:r w:rsidRPr="00893D2A">
              <w:rPr>
                <w:rFonts w:ascii="Calibri" w:hAnsi="Calibri" w:cs="Times"/>
                <w:szCs w:val="22"/>
              </w:rPr>
              <w:t xml:space="preserve"> Khelvachauri Municipality</w:t>
            </w:r>
          </w:p>
        </w:tc>
        <w:tc>
          <w:tcPr>
            <w:tcW w:w="5249" w:type="dxa"/>
            <w:tcMar>
              <w:top w:w="28" w:type="dxa"/>
              <w:left w:w="57" w:type="dxa"/>
              <w:bottom w:w="28" w:type="dxa"/>
              <w:right w:w="57" w:type="dxa"/>
            </w:tcMar>
          </w:tcPr>
          <w:p w14:paraId="16E3FD49" w14:textId="77777777" w:rsidR="00B53C46" w:rsidRPr="00893D2A" w:rsidRDefault="00B53C46" w:rsidP="00B53C46">
            <w:pPr>
              <w:widowControl w:val="0"/>
              <w:rPr>
                <w:rFonts w:ascii="Calibri" w:hAnsi="Calibri" w:cs="Times"/>
                <w:szCs w:val="22"/>
              </w:rPr>
            </w:pPr>
            <w:r w:rsidRPr="00893D2A">
              <w:rPr>
                <w:rFonts w:ascii="Calibri" w:hAnsi="Calibri" w:cs="Times"/>
                <w:szCs w:val="22"/>
              </w:rPr>
              <w:t>Mr. Jumber Vardanidze – Mayor of Khelvachauri Municipality</w:t>
            </w:r>
          </w:p>
        </w:tc>
      </w:tr>
      <w:tr w:rsidR="00B53C46" w:rsidRPr="00893D2A" w14:paraId="5AE58249" w14:textId="77777777" w:rsidTr="00B53C46">
        <w:tc>
          <w:tcPr>
            <w:tcW w:w="0" w:type="auto"/>
            <w:tcBorders>
              <w:top w:val="nil"/>
              <w:bottom w:val="single" w:sz="4" w:space="0" w:color="auto"/>
            </w:tcBorders>
            <w:tcMar>
              <w:top w:w="28" w:type="dxa"/>
              <w:left w:w="57" w:type="dxa"/>
              <w:bottom w:w="28" w:type="dxa"/>
              <w:right w:w="57" w:type="dxa"/>
            </w:tcMar>
          </w:tcPr>
          <w:p w14:paraId="0250099D" w14:textId="77777777" w:rsidR="00B53C46" w:rsidRPr="00893D2A" w:rsidRDefault="00B53C46" w:rsidP="00B53C46">
            <w:pPr>
              <w:rPr>
                <w:rFonts w:ascii="Calibri" w:hAnsi="Calibri"/>
                <w:szCs w:val="22"/>
              </w:rPr>
            </w:pPr>
            <w:r w:rsidRPr="00893D2A">
              <w:rPr>
                <w:rFonts w:ascii="Calibri" w:hAnsi="Calibri"/>
                <w:szCs w:val="22"/>
              </w:rPr>
              <w:t>14:00</w:t>
            </w:r>
          </w:p>
        </w:tc>
        <w:tc>
          <w:tcPr>
            <w:tcW w:w="3129" w:type="dxa"/>
            <w:tcBorders>
              <w:bottom w:val="single" w:sz="4" w:space="0" w:color="auto"/>
            </w:tcBorders>
            <w:tcMar>
              <w:top w:w="28" w:type="dxa"/>
              <w:left w:w="57" w:type="dxa"/>
              <w:bottom w:w="28" w:type="dxa"/>
              <w:right w:w="57" w:type="dxa"/>
            </w:tcMar>
          </w:tcPr>
          <w:p w14:paraId="538D8E92" w14:textId="77777777" w:rsidR="00B53C46" w:rsidRPr="00893D2A" w:rsidRDefault="00B53C46" w:rsidP="00B53C46">
            <w:pPr>
              <w:widowControl w:val="0"/>
              <w:rPr>
                <w:rFonts w:ascii="Calibri" w:hAnsi="Calibri" w:cs="Times"/>
                <w:szCs w:val="22"/>
              </w:rPr>
            </w:pPr>
            <w:r>
              <w:rPr>
                <w:rFonts w:ascii="Calibri" w:hAnsi="Calibri" w:cs="Times"/>
                <w:szCs w:val="22"/>
              </w:rPr>
              <w:t>Field visit:</w:t>
            </w:r>
            <w:r w:rsidRPr="00893D2A">
              <w:rPr>
                <w:rFonts w:ascii="Calibri" w:hAnsi="Calibri" w:cs="Times"/>
                <w:szCs w:val="22"/>
              </w:rPr>
              <w:t xml:space="preserve"> farmers </w:t>
            </w:r>
          </w:p>
        </w:tc>
        <w:tc>
          <w:tcPr>
            <w:tcW w:w="5249" w:type="dxa"/>
            <w:tcBorders>
              <w:bottom w:val="single" w:sz="4" w:space="0" w:color="auto"/>
            </w:tcBorders>
            <w:tcMar>
              <w:top w:w="28" w:type="dxa"/>
              <w:left w:w="57" w:type="dxa"/>
              <w:bottom w:w="28" w:type="dxa"/>
              <w:right w:w="57" w:type="dxa"/>
            </w:tcMar>
          </w:tcPr>
          <w:p w14:paraId="78A35C44" w14:textId="77777777" w:rsidR="00B53C46" w:rsidRPr="00893D2A" w:rsidRDefault="00B53C46" w:rsidP="00B53C46">
            <w:pPr>
              <w:widowControl w:val="0"/>
              <w:rPr>
                <w:rFonts w:ascii="Calibri" w:hAnsi="Calibri" w:cs="Times"/>
                <w:szCs w:val="22"/>
              </w:rPr>
            </w:pPr>
            <w:r w:rsidRPr="00893D2A">
              <w:rPr>
                <w:rFonts w:ascii="Calibri" w:hAnsi="Calibri" w:cs="Times"/>
                <w:szCs w:val="22"/>
              </w:rPr>
              <w:t xml:space="preserve">Ms. Natia Nargevadze – </w:t>
            </w:r>
            <w:r w:rsidRPr="008F13B4">
              <w:rPr>
                <w:rFonts w:ascii="Calibri" w:hAnsi="Calibri" w:cs="Times"/>
                <w:szCs w:val="22"/>
              </w:rPr>
              <w:t>Handicraft producer</w:t>
            </w:r>
            <w:r w:rsidRPr="00893D2A">
              <w:rPr>
                <w:rFonts w:ascii="Calibri" w:hAnsi="Calibri" w:cs="Times"/>
                <w:szCs w:val="22"/>
              </w:rPr>
              <w:t xml:space="preserve"> </w:t>
            </w:r>
          </w:p>
          <w:p w14:paraId="2E179CC2" w14:textId="77777777" w:rsidR="00B53C46" w:rsidRPr="00893D2A" w:rsidRDefault="00B53C46" w:rsidP="00B53C46">
            <w:pPr>
              <w:widowControl w:val="0"/>
              <w:rPr>
                <w:rFonts w:ascii="Calibri" w:hAnsi="Calibri" w:cs="Times"/>
                <w:szCs w:val="22"/>
              </w:rPr>
            </w:pPr>
            <w:r w:rsidRPr="00893D2A">
              <w:rPr>
                <w:rFonts w:ascii="Calibri" w:hAnsi="Calibri" w:cs="Times"/>
                <w:szCs w:val="22"/>
              </w:rPr>
              <w:t xml:space="preserve">Mr. Jemal Kakhidze </w:t>
            </w:r>
          </w:p>
        </w:tc>
      </w:tr>
      <w:tr w:rsidR="00B53C46" w:rsidRPr="00022691" w14:paraId="63F6E957" w14:textId="77777777" w:rsidTr="00B53C46">
        <w:tc>
          <w:tcPr>
            <w:tcW w:w="0" w:type="auto"/>
            <w:tcBorders>
              <w:bottom w:val="single" w:sz="4" w:space="0" w:color="auto"/>
            </w:tcBorders>
            <w:shd w:val="clear" w:color="auto" w:fill="99CCFF"/>
            <w:tcMar>
              <w:top w:w="28" w:type="dxa"/>
              <w:left w:w="57" w:type="dxa"/>
              <w:bottom w:w="28" w:type="dxa"/>
              <w:right w:w="57" w:type="dxa"/>
            </w:tcMar>
          </w:tcPr>
          <w:p w14:paraId="31C4131F" w14:textId="77777777" w:rsidR="00B53C46" w:rsidRPr="00022691" w:rsidRDefault="00B53C46" w:rsidP="00B53C46">
            <w:pPr>
              <w:rPr>
                <w:rFonts w:ascii="Calibri" w:hAnsi="Calibri"/>
                <w:b/>
                <w:szCs w:val="22"/>
              </w:rPr>
            </w:pPr>
            <w:r w:rsidRPr="00022691">
              <w:rPr>
                <w:rFonts w:ascii="Calibri" w:hAnsi="Calibri"/>
                <w:b/>
                <w:szCs w:val="22"/>
              </w:rPr>
              <w:t>28 Oct</w:t>
            </w:r>
          </w:p>
        </w:tc>
        <w:tc>
          <w:tcPr>
            <w:tcW w:w="3129" w:type="dxa"/>
            <w:shd w:val="clear" w:color="auto" w:fill="99CCFF"/>
            <w:tcMar>
              <w:top w:w="28" w:type="dxa"/>
              <w:left w:w="57" w:type="dxa"/>
              <w:bottom w:w="28" w:type="dxa"/>
              <w:right w:w="57" w:type="dxa"/>
            </w:tcMar>
          </w:tcPr>
          <w:p w14:paraId="4A1E559E" w14:textId="77777777" w:rsidR="00B53C46" w:rsidRPr="00022691" w:rsidRDefault="00B53C46" w:rsidP="00B53C46">
            <w:pPr>
              <w:widowControl w:val="0"/>
              <w:rPr>
                <w:rFonts w:ascii="Calibri" w:hAnsi="Calibri"/>
                <w:b/>
                <w:szCs w:val="22"/>
              </w:rPr>
            </w:pPr>
            <w:r w:rsidRPr="00022691">
              <w:rPr>
                <w:rFonts w:ascii="Calibri" w:hAnsi="Calibri"/>
                <w:b/>
                <w:szCs w:val="22"/>
              </w:rPr>
              <w:t>Travel to Tbilisi</w:t>
            </w:r>
            <w:r>
              <w:rPr>
                <w:rFonts w:ascii="Calibri" w:hAnsi="Calibri"/>
                <w:b/>
                <w:szCs w:val="22"/>
              </w:rPr>
              <w:t>: meetings</w:t>
            </w:r>
          </w:p>
        </w:tc>
        <w:tc>
          <w:tcPr>
            <w:tcW w:w="5249" w:type="dxa"/>
            <w:shd w:val="clear" w:color="auto" w:fill="99CCFF"/>
            <w:tcMar>
              <w:top w:w="28" w:type="dxa"/>
              <w:left w:w="57" w:type="dxa"/>
              <w:bottom w:w="28" w:type="dxa"/>
              <w:right w:w="57" w:type="dxa"/>
            </w:tcMar>
          </w:tcPr>
          <w:p w14:paraId="08C76193" w14:textId="77777777" w:rsidR="00B53C46" w:rsidRPr="00022691" w:rsidRDefault="00B53C46" w:rsidP="00B53C46">
            <w:pPr>
              <w:widowControl w:val="0"/>
              <w:rPr>
                <w:rFonts w:ascii="Calibri" w:hAnsi="Calibri" w:cs="Times"/>
                <w:b/>
                <w:szCs w:val="22"/>
              </w:rPr>
            </w:pPr>
          </w:p>
        </w:tc>
      </w:tr>
      <w:tr w:rsidR="00B53C46" w:rsidRPr="00893D2A" w14:paraId="057DB833" w14:textId="77777777" w:rsidTr="00B53C46">
        <w:tc>
          <w:tcPr>
            <w:tcW w:w="0" w:type="auto"/>
            <w:tcBorders>
              <w:bottom w:val="nil"/>
            </w:tcBorders>
            <w:tcMar>
              <w:top w:w="28" w:type="dxa"/>
              <w:left w:w="57" w:type="dxa"/>
              <w:bottom w:w="28" w:type="dxa"/>
              <w:right w:w="57" w:type="dxa"/>
            </w:tcMar>
          </w:tcPr>
          <w:p w14:paraId="12629D81" w14:textId="77777777" w:rsidR="00B53C46" w:rsidRPr="00022691" w:rsidRDefault="00B53C46" w:rsidP="00B53C46">
            <w:pPr>
              <w:rPr>
                <w:rFonts w:ascii="Calibri" w:hAnsi="Calibri"/>
                <w:b/>
                <w:szCs w:val="22"/>
              </w:rPr>
            </w:pPr>
            <w:r w:rsidRPr="00022691">
              <w:rPr>
                <w:rFonts w:ascii="Calibri" w:hAnsi="Calibri"/>
                <w:b/>
                <w:szCs w:val="22"/>
              </w:rPr>
              <w:t>29 Oct</w:t>
            </w:r>
          </w:p>
          <w:p w14:paraId="6C410ABE" w14:textId="77777777" w:rsidR="00B53C46" w:rsidRPr="00893D2A" w:rsidRDefault="00B53C46" w:rsidP="00B53C46">
            <w:pPr>
              <w:rPr>
                <w:rFonts w:ascii="Calibri" w:hAnsi="Calibri"/>
                <w:szCs w:val="22"/>
              </w:rPr>
            </w:pPr>
            <w:r w:rsidRPr="00893D2A">
              <w:rPr>
                <w:rFonts w:ascii="Calibri" w:hAnsi="Calibri"/>
                <w:szCs w:val="22"/>
              </w:rPr>
              <w:t>9:30</w:t>
            </w:r>
          </w:p>
        </w:tc>
        <w:tc>
          <w:tcPr>
            <w:tcW w:w="3129" w:type="dxa"/>
            <w:tcMar>
              <w:top w:w="28" w:type="dxa"/>
              <w:left w:w="57" w:type="dxa"/>
              <w:bottom w:w="28" w:type="dxa"/>
              <w:right w:w="57" w:type="dxa"/>
            </w:tcMar>
          </w:tcPr>
          <w:p w14:paraId="164613A9" w14:textId="77777777" w:rsidR="00B53C46" w:rsidRPr="00893D2A" w:rsidRDefault="00B53C46" w:rsidP="00B53C46">
            <w:pPr>
              <w:widowControl w:val="0"/>
              <w:rPr>
                <w:rFonts w:ascii="Calibri" w:hAnsi="Calibri"/>
                <w:szCs w:val="22"/>
              </w:rPr>
            </w:pPr>
            <w:r w:rsidRPr="00893D2A">
              <w:rPr>
                <w:rFonts w:ascii="Calibri" w:hAnsi="Calibri" w:cs="Times"/>
                <w:szCs w:val="22"/>
              </w:rPr>
              <w:t>Meeting</w:t>
            </w:r>
            <w:r>
              <w:rPr>
                <w:rFonts w:ascii="Calibri" w:hAnsi="Calibri" w:cs="Times"/>
                <w:szCs w:val="22"/>
              </w:rPr>
              <w:t>:</w:t>
            </w:r>
            <w:r w:rsidRPr="00893D2A">
              <w:rPr>
                <w:rFonts w:ascii="Calibri" w:hAnsi="Calibri" w:cs="Times"/>
                <w:szCs w:val="22"/>
              </w:rPr>
              <w:t xml:space="preserve"> </w:t>
            </w:r>
            <w:r w:rsidRPr="00893D2A">
              <w:rPr>
                <w:rFonts w:ascii="Calibri" w:hAnsi="Calibri"/>
                <w:szCs w:val="22"/>
              </w:rPr>
              <w:t xml:space="preserve">UNDP </w:t>
            </w:r>
            <w:r>
              <w:rPr>
                <w:rFonts w:ascii="Calibri" w:hAnsi="Calibri"/>
                <w:szCs w:val="22"/>
              </w:rPr>
              <w:t xml:space="preserve">Country Office </w:t>
            </w:r>
          </w:p>
        </w:tc>
        <w:tc>
          <w:tcPr>
            <w:tcW w:w="5249" w:type="dxa"/>
            <w:tcMar>
              <w:top w:w="28" w:type="dxa"/>
              <w:left w:w="57" w:type="dxa"/>
              <w:bottom w:w="28" w:type="dxa"/>
              <w:right w:w="57" w:type="dxa"/>
            </w:tcMar>
          </w:tcPr>
          <w:p w14:paraId="196CFEF5" w14:textId="77777777" w:rsidR="00B53C46" w:rsidRPr="00893D2A" w:rsidRDefault="00B53C46" w:rsidP="00B53C46">
            <w:pPr>
              <w:widowControl w:val="0"/>
              <w:rPr>
                <w:rFonts w:ascii="Calibri" w:hAnsi="Calibri" w:cs="Times"/>
                <w:szCs w:val="22"/>
              </w:rPr>
            </w:pPr>
            <w:r w:rsidRPr="00893D2A">
              <w:rPr>
                <w:rFonts w:ascii="Calibri" w:hAnsi="Calibri"/>
                <w:szCs w:val="22"/>
              </w:rPr>
              <w:t>Ms. Nino Antadze – Energy and Environment Team Leader</w:t>
            </w:r>
          </w:p>
        </w:tc>
      </w:tr>
      <w:tr w:rsidR="00B53C46" w:rsidRPr="00893D2A" w14:paraId="2D898720" w14:textId="77777777" w:rsidTr="00B53C46">
        <w:tc>
          <w:tcPr>
            <w:tcW w:w="0" w:type="auto"/>
            <w:tcBorders>
              <w:top w:val="nil"/>
              <w:bottom w:val="nil"/>
            </w:tcBorders>
            <w:tcMar>
              <w:top w:w="28" w:type="dxa"/>
              <w:left w:w="57" w:type="dxa"/>
              <w:bottom w:w="28" w:type="dxa"/>
              <w:right w:w="57" w:type="dxa"/>
            </w:tcMar>
          </w:tcPr>
          <w:p w14:paraId="43104309" w14:textId="77777777" w:rsidR="00B53C46" w:rsidRPr="00893D2A" w:rsidRDefault="00B53C46" w:rsidP="00B53C46">
            <w:pPr>
              <w:rPr>
                <w:rFonts w:ascii="Calibri" w:hAnsi="Calibri"/>
                <w:szCs w:val="22"/>
              </w:rPr>
            </w:pPr>
            <w:r w:rsidRPr="00893D2A">
              <w:rPr>
                <w:rFonts w:ascii="Calibri" w:hAnsi="Calibri"/>
                <w:szCs w:val="22"/>
              </w:rPr>
              <w:t>11:00</w:t>
            </w:r>
          </w:p>
        </w:tc>
        <w:tc>
          <w:tcPr>
            <w:tcW w:w="3129" w:type="dxa"/>
            <w:tcMar>
              <w:top w:w="28" w:type="dxa"/>
              <w:left w:w="57" w:type="dxa"/>
              <w:bottom w:w="28" w:type="dxa"/>
              <w:right w:w="57" w:type="dxa"/>
            </w:tcMar>
          </w:tcPr>
          <w:p w14:paraId="61E8872F" w14:textId="77777777" w:rsidR="00B53C46" w:rsidRPr="00893D2A" w:rsidRDefault="00B53C46" w:rsidP="00B53C46">
            <w:pPr>
              <w:widowControl w:val="0"/>
              <w:rPr>
                <w:rFonts w:ascii="Calibri" w:hAnsi="Calibri"/>
                <w:szCs w:val="22"/>
              </w:rPr>
            </w:pPr>
            <w:r w:rsidRPr="00893D2A">
              <w:rPr>
                <w:rFonts w:ascii="Calibri" w:hAnsi="Calibri"/>
                <w:szCs w:val="22"/>
              </w:rPr>
              <w:t>Skype</w:t>
            </w:r>
            <w:r>
              <w:rPr>
                <w:rFonts w:ascii="Calibri" w:hAnsi="Calibri"/>
                <w:szCs w:val="22"/>
              </w:rPr>
              <w:t>: p</w:t>
            </w:r>
            <w:r w:rsidRPr="00893D2A">
              <w:rPr>
                <w:rFonts w:ascii="Calibri" w:hAnsi="Calibri"/>
                <w:szCs w:val="22"/>
              </w:rPr>
              <w:t>rotected landscape consultant</w:t>
            </w:r>
          </w:p>
        </w:tc>
        <w:tc>
          <w:tcPr>
            <w:tcW w:w="5249" w:type="dxa"/>
            <w:tcMar>
              <w:top w:w="28" w:type="dxa"/>
              <w:left w:w="57" w:type="dxa"/>
              <w:bottom w:w="28" w:type="dxa"/>
              <w:right w:w="57" w:type="dxa"/>
            </w:tcMar>
          </w:tcPr>
          <w:p w14:paraId="30970AE4" w14:textId="77777777" w:rsidR="00B53C46" w:rsidRPr="00893D2A" w:rsidRDefault="00B53C46" w:rsidP="00B53C46">
            <w:pPr>
              <w:widowControl w:val="0"/>
              <w:rPr>
                <w:rFonts w:ascii="Calibri" w:hAnsi="Calibri"/>
                <w:szCs w:val="22"/>
              </w:rPr>
            </w:pPr>
            <w:r w:rsidRPr="00893D2A">
              <w:rPr>
                <w:rFonts w:ascii="Calibri" w:hAnsi="Calibri"/>
                <w:szCs w:val="22"/>
              </w:rPr>
              <w:t>Ms. Marika Kavtarishvili</w:t>
            </w:r>
            <w:r>
              <w:rPr>
                <w:rFonts w:ascii="Calibri" w:hAnsi="Calibri"/>
                <w:szCs w:val="22"/>
              </w:rPr>
              <w:t xml:space="preserve"> - </w:t>
            </w:r>
            <w:r w:rsidRPr="00893D2A">
              <w:rPr>
                <w:rFonts w:ascii="Calibri" w:hAnsi="Calibri"/>
                <w:szCs w:val="22"/>
              </w:rPr>
              <w:t>protected landscape expert</w:t>
            </w:r>
          </w:p>
        </w:tc>
      </w:tr>
      <w:tr w:rsidR="00B53C46" w:rsidRPr="00893D2A" w14:paraId="7C21FEF4" w14:textId="77777777" w:rsidTr="00B53C46">
        <w:tc>
          <w:tcPr>
            <w:tcW w:w="0" w:type="auto"/>
            <w:tcBorders>
              <w:top w:val="nil"/>
              <w:bottom w:val="nil"/>
            </w:tcBorders>
            <w:tcMar>
              <w:top w:w="28" w:type="dxa"/>
              <w:left w:w="57" w:type="dxa"/>
              <w:bottom w:w="28" w:type="dxa"/>
              <w:right w:w="57" w:type="dxa"/>
            </w:tcMar>
          </w:tcPr>
          <w:p w14:paraId="1011963E" w14:textId="77777777" w:rsidR="00B53C46" w:rsidRPr="00893D2A" w:rsidRDefault="00B53C46" w:rsidP="00B53C46">
            <w:pPr>
              <w:rPr>
                <w:rFonts w:ascii="Calibri" w:hAnsi="Calibri"/>
                <w:szCs w:val="22"/>
              </w:rPr>
            </w:pPr>
            <w:r w:rsidRPr="00893D2A">
              <w:rPr>
                <w:rFonts w:ascii="Calibri" w:hAnsi="Calibri"/>
                <w:szCs w:val="22"/>
              </w:rPr>
              <w:t>12:00</w:t>
            </w:r>
          </w:p>
        </w:tc>
        <w:tc>
          <w:tcPr>
            <w:tcW w:w="3129" w:type="dxa"/>
            <w:tcMar>
              <w:top w:w="28" w:type="dxa"/>
              <w:left w:w="57" w:type="dxa"/>
              <w:bottom w:w="28" w:type="dxa"/>
              <w:right w:w="57" w:type="dxa"/>
            </w:tcMar>
          </w:tcPr>
          <w:p w14:paraId="0DBD842B" w14:textId="77777777" w:rsidR="00B53C46" w:rsidRPr="00893D2A" w:rsidRDefault="00B53C46" w:rsidP="00B53C46">
            <w:pPr>
              <w:widowControl w:val="0"/>
              <w:rPr>
                <w:rFonts w:ascii="Calibri" w:hAnsi="Calibri"/>
                <w:szCs w:val="22"/>
              </w:rPr>
            </w:pPr>
            <w:r w:rsidRPr="00893D2A">
              <w:rPr>
                <w:rFonts w:ascii="Calibri" w:hAnsi="Calibri" w:cs="Times"/>
                <w:szCs w:val="22"/>
              </w:rPr>
              <w:t>Meeting</w:t>
            </w:r>
            <w:r>
              <w:rPr>
                <w:rFonts w:ascii="Calibri" w:hAnsi="Calibri" w:cs="Times"/>
                <w:szCs w:val="22"/>
              </w:rPr>
              <w:t>:</w:t>
            </w:r>
            <w:r w:rsidRPr="00893D2A">
              <w:rPr>
                <w:rFonts w:ascii="Calibri" w:hAnsi="Calibri" w:cs="Times"/>
                <w:szCs w:val="22"/>
              </w:rPr>
              <w:t xml:space="preserve"> </w:t>
            </w:r>
            <w:r w:rsidRPr="00893D2A">
              <w:rPr>
                <w:rFonts w:ascii="Calibri" w:hAnsi="Calibri"/>
                <w:szCs w:val="22"/>
              </w:rPr>
              <w:t>Caucasus Nature Fund</w:t>
            </w:r>
          </w:p>
        </w:tc>
        <w:tc>
          <w:tcPr>
            <w:tcW w:w="5249" w:type="dxa"/>
            <w:tcMar>
              <w:top w:w="28" w:type="dxa"/>
              <w:left w:w="57" w:type="dxa"/>
              <w:bottom w:w="28" w:type="dxa"/>
              <w:right w:w="57" w:type="dxa"/>
            </w:tcMar>
          </w:tcPr>
          <w:p w14:paraId="3A842F93" w14:textId="77777777" w:rsidR="00B53C46" w:rsidRPr="00893D2A" w:rsidRDefault="00B53C46" w:rsidP="00B53C46">
            <w:pPr>
              <w:widowControl w:val="0"/>
              <w:rPr>
                <w:rFonts w:ascii="Calibri" w:hAnsi="Calibri"/>
                <w:szCs w:val="22"/>
              </w:rPr>
            </w:pPr>
            <w:r w:rsidRPr="00893D2A">
              <w:rPr>
                <w:rFonts w:ascii="Calibri" w:hAnsi="Calibri"/>
                <w:szCs w:val="22"/>
              </w:rPr>
              <w:t>Ms. Tea Barbakadze</w:t>
            </w:r>
          </w:p>
        </w:tc>
      </w:tr>
      <w:tr w:rsidR="00B53C46" w:rsidRPr="00893D2A" w14:paraId="75046FC1" w14:textId="77777777" w:rsidTr="00B53C46">
        <w:tc>
          <w:tcPr>
            <w:tcW w:w="0" w:type="auto"/>
            <w:tcBorders>
              <w:top w:val="nil"/>
            </w:tcBorders>
            <w:tcMar>
              <w:top w:w="28" w:type="dxa"/>
              <w:left w:w="57" w:type="dxa"/>
              <w:bottom w:w="28" w:type="dxa"/>
              <w:right w:w="57" w:type="dxa"/>
            </w:tcMar>
          </w:tcPr>
          <w:p w14:paraId="3F3ECDB4" w14:textId="77777777" w:rsidR="00B53C46" w:rsidRPr="00893D2A" w:rsidRDefault="00B53C46" w:rsidP="00B53C46">
            <w:pPr>
              <w:rPr>
                <w:rFonts w:ascii="Calibri" w:hAnsi="Calibri"/>
                <w:szCs w:val="22"/>
              </w:rPr>
            </w:pPr>
            <w:r w:rsidRPr="00893D2A">
              <w:rPr>
                <w:rFonts w:ascii="Calibri" w:hAnsi="Calibri"/>
                <w:szCs w:val="22"/>
              </w:rPr>
              <w:t>14:30</w:t>
            </w:r>
          </w:p>
        </w:tc>
        <w:tc>
          <w:tcPr>
            <w:tcW w:w="3129" w:type="dxa"/>
            <w:tcMar>
              <w:top w:w="28" w:type="dxa"/>
              <w:left w:w="57" w:type="dxa"/>
              <w:bottom w:w="28" w:type="dxa"/>
              <w:right w:w="57" w:type="dxa"/>
            </w:tcMar>
          </w:tcPr>
          <w:p w14:paraId="67663DFE" w14:textId="77777777" w:rsidR="00B53C46" w:rsidRPr="00893D2A" w:rsidRDefault="00B53C46" w:rsidP="00B53C46">
            <w:pPr>
              <w:widowControl w:val="0"/>
              <w:rPr>
                <w:rFonts w:ascii="Calibri" w:hAnsi="Calibri"/>
                <w:szCs w:val="22"/>
              </w:rPr>
            </w:pPr>
            <w:r>
              <w:rPr>
                <w:rFonts w:ascii="Calibri" w:hAnsi="Calibri"/>
                <w:szCs w:val="22"/>
              </w:rPr>
              <w:t>Debriefing with UNDP Country O</w:t>
            </w:r>
            <w:r w:rsidRPr="00893D2A">
              <w:rPr>
                <w:rFonts w:ascii="Calibri" w:hAnsi="Calibri"/>
                <w:szCs w:val="22"/>
              </w:rPr>
              <w:t xml:space="preserve">ffice </w:t>
            </w:r>
            <w:r>
              <w:rPr>
                <w:rFonts w:ascii="Calibri" w:hAnsi="Calibri"/>
                <w:szCs w:val="22"/>
              </w:rPr>
              <w:t>and Implementing Partner (</w:t>
            </w:r>
            <w:r w:rsidRPr="00893D2A">
              <w:rPr>
                <w:rFonts w:ascii="Calibri" w:hAnsi="Calibri"/>
                <w:szCs w:val="22"/>
              </w:rPr>
              <w:t>APA</w:t>
            </w:r>
            <w:r>
              <w:rPr>
                <w:rFonts w:ascii="Calibri" w:hAnsi="Calibri"/>
                <w:szCs w:val="22"/>
              </w:rPr>
              <w:t>)</w:t>
            </w:r>
          </w:p>
        </w:tc>
        <w:tc>
          <w:tcPr>
            <w:tcW w:w="5249" w:type="dxa"/>
            <w:tcMar>
              <w:top w:w="28" w:type="dxa"/>
              <w:left w:w="57" w:type="dxa"/>
              <w:bottom w:w="28" w:type="dxa"/>
              <w:right w:w="57" w:type="dxa"/>
            </w:tcMar>
          </w:tcPr>
          <w:p w14:paraId="58651DAD" w14:textId="77777777" w:rsidR="00B53C46" w:rsidRPr="00893D2A" w:rsidRDefault="00B53C46" w:rsidP="00B53C46">
            <w:pPr>
              <w:widowControl w:val="0"/>
              <w:rPr>
                <w:rFonts w:ascii="Calibri" w:hAnsi="Calibri"/>
                <w:szCs w:val="22"/>
              </w:rPr>
            </w:pPr>
            <w:r w:rsidRPr="00893D2A">
              <w:rPr>
                <w:rFonts w:ascii="Calibri" w:hAnsi="Calibri"/>
                <w:szCs w:val="22"/>
              </w:rPr>
              <w:t>Ms. Nino Antadze – Energy and Environment Team Leader</w:t>
            </w:r>
          </w:p>
          <w:p w14:paraId="3A305EF9" w14:textId="77777777" w:rsidR="00B53C46" w:rsidRPr="00893D2A" w:rsidRDefault="00B53C46" w:rsidP="00B53C46">
            <w:pPr>
              <w:widowControl w:val="0"/>
              <w:rPr>
                <w:rFonts w:ascii="Calibri" w:hAnsi="Calibri"/>
                <w:szCs w:val="22"/>
              </w:rPr>
            </w:pPr>
            <w:r w:rsidRPr="00893D2A">
              <w:rPr>
                <w:rFonts w:ascii="Calibri" w:hAnsi="Calibri"/>
                <w:szCs w:val="22"/>
              </w:rPr>
              <w:t>Ms. Tamar Khakhishvili –</w:t>
            </w:r>
            <w:r w:rsidRPr="00893D2A">
              <w:rPr>
                <w:rFonts w:ascii="Calibri" w:hAnsi="Calibri"/>
                <w:szCs w:val="22"/>
                <w:shd w:val="clear" w:color="auto" w:fill="FFFFFF"/>
              </w:rPr>
              <w:t xml:space="preserve"> </w:t>
            </w:r>
            <w:r w:rsidRPr="00893D2A">
              <w:rPr>
                <w:rFonts w:ascii="Calibri" w:hAnsi="Calibri"/>
                <w:szCs w:val="22"/>
              </w:rPr>
              <w:t>Head of International Relations and Project Management Unit</w:t>
            </w:r>
          </w:p>
          <w:p w14:paraId="6CB84A39" w14:textId="77777777" w:rsidR="00B53C46" w:rsidRPr="00893D2A" w:rsidRDefault="00B53C46" w:rsidP="00B53C46">
            <w:pPr>
              <w:widowControl w:val="0"/>
              <w:rPr>
                <w:rFonts w:ascii="Calibri" w:hAnsi="Calibri"/>
                <w:szCs w:val="22"/>
              </w:rPr>
            </w:pPr>
            <w:r w:rsidRPr="00893D2A">
              <w:rPr>
                <w:rFonts w:ascii="Calibri" w:hAnsi="Calibri"/>
                <w:szCs w:val="22"/>
              </w:rPr>
              <w:t>Ms. Ana Akhalaia - International Relations and Project Management Unit</w:t>
            </w:r>
          </w:p>
        </w:tc>
      </w:tr>
      <w:tr w:rsidR="00B53C46" w:rsidRPr="00893D2A" w14:paraId="3001959E" w14:textId="77777777" w:rsidTr="00B53C46">
        <w:tc>
          <w:tcPr>
            <w:tcW w:w="0" w:type="auto"/>
            <w:tcMar>
              <w:top w:w="28" w:type="dxa"/>
              <w:left w:w="57" w:type="dxa"/>
              <w:bottom w:w="28" w:type="dxa"/>
              <w:right w:w="57" w:type="dxa"/>
            </w:tcMar>
          </w:tcPr>
          <w:p w14:paraId="4640337A" w14:textId="77777777" w:rsidR="00B53C46" w:rsidRPr="00022691" w:rsidRDefault="00B53C46" w:rsidP="00B53C46">
            <w:pPr>
              <w:rPr>
                <w:rFonts w:ascii="Calibri" w:hAnsi="Calibri"/>
                <w:b/>
                <w:szCs w:val="22"/>
              </w:rPr>
            </w:pPr>
            <w:r w:rsidRPr="00022691">
              <w:rPr>
                <w:rFonts w:ascii="Calibri" w:hAnsi="Calibri"/>
                <w:b/>
                <w:szCs w:val="22"/>
              </w:rPr>
              <w:t>30 Oct</w:t>
            </w:r>
          </w:p>
        </w:tc>
        <w:tc>
          <w:tcPr>
            <w:tcW w:w="8378" w:type="dxa"/>
            <w:gridSpan w:val="2"/>
            <w:tcMar>
              <w:top w:w="28" w:type="dxa"/>
              <w:left w:w="57" w:type="dxa"/>
              <w:bottom w:w="28" w:type="dxa"/>
              <w:right w:w="57" w:type="dxa"/>
            </w:tcMar>
          </w:tcPr>
          <w:p w14:paraId="2803AC9C" w14:textId="77777777" w:rsidR="00B53C46" w:rsidRPr="00893D2A" w:rsidRDefault="00B53C46" w:rsidP="00B53C46">
            <w:pPr>
              <w:widowControl w:val="0"/>
              <w:rPr>
                <w:rFonts w:ascii="Calibri" w:hAnsi="Calibri" w:cs="Times"/>
                <w:szCs w:val="22"/>
              </w:rPr>
            </w:pPr>
            <w:r w:rsidRPr="00893D2A">
              <w:rPr>
                <w:rFonts w:ascii="Calibri" w:hAnsi="Calibri"/>
                <w:szCs w:val="22"/>
              </w:rPr>
              <w:t>Departure of International Consultant from Tbilisi</w:t>
            </w:r>
          </w:p>
        </w:tc>
      </w:tr>
    </w:tbl>
    <w:p w14:paraId="27C351ED" w14:textId="77777777" w:rsidR="009F33ED" w:rsidRDefault="009F33ED" w:rsidP="009F33ED">
      <w:pPr>
        <w:pStyle w:val="BodyText"/>
        <w:sectPr w:rsidR="009F33ED" w:rsidSect="001B651D">
          <w:footnotePr>
            <w:numRestart w:val="eachPage"/>
          </w:footnotePr>
          <w:pgSz w:w="11906" w:h="16838" w:code="1"/>
          <w:pgMar w:top="1440" w:right="1440" w:bottom="1440" w:left="1440" w:header="288" w:footer="288" w:gutter="0"/>
          <w:pgNumType w:start="1"/>
          <w:cols w:space="708"/>
          <w:docGrid w:linePitch="299"/>
        </w:sectPr>
      </w:pPr>
    </w:p>
    <w:p w14:paraId="3D29A734" w14:textId="15871535" w:rsidR="00E93B85" w:rsidRDefault="009F33ED" w:rsidP="009F33ED">
      <w:pPr>
        <w:pStyle w:val="Heading2"/>
        <w:tabs>
          <w:tab w:val="left" w:pos="1134"/>
        </w:tabs>
        <w:spacing w:after="120" w:line="240" w:lineRule="auto"/>
        <w:rPr>
          <w:rFonts w:asciiTheme="minorHAnsi" w:hAnsiTheme="minorHAnsi"/>
          <w:b/>
          <w:caps w:val="0"/>
        </w:rPr>
      </w:pPr>
      <w:bookmarkStart w:id="248" w:name="_Toc414745350"/>
      <w:r w:rsidRPr="00E22EBA">
        <w:rPr>
          <w:rFonts w:asciiTheme="minorHAnsi" w:hAnsiTheme="minorHAnsi"/>
          <w:b/>
          <w:caps w:val="0"/>
        </w:rPr>
        <w:lastRenderedPageBreak/>
        <w:t xml:space="preserve">Annex </w:t>
      </w:r>
      <w:r>
        <w:rPr>
          <w:rFonts w:asciiTheme="minorHAnsi" w:hAnsiTheme="minorHAnsi"/>
          <w:b/>
          <w:caps w:val="0"/>
        </w:rPr>
        <w:t>4:</w:t>
      </w:r>
      <w:r>
        <w:rPr>
          <w:rFonts w:asciiTheme="minorHAnsi" w:hAnsiTheme="minorHAnsi"/>
          <w:b/>
          <w:caps w:val="0"/>
        </w:rPr>
        <w:tab/>
      </w:r>
      <w:r w:rsidR="005222D6" w:rsidRPr="00E22EBA">
        <w:rPr>
          <w:rFonts w:asciiTheme="minorHAnsi" w:hAnsiTheme="minorHAnsi"/>
          <w:b/>
          <w:caps w:val="0"/>
        </w:rPr>
        <w:t>Summary of Field Visits</w:t>
      </w:r>
      <w:bookmarkEnd w:id="248"/>
    </w:p>
    <w:p w14:paraId="0488A528" w14:textId="77777777" w:rsidR="009F33ED" w:rsidRPr="009F33ED" w:rsidRDefault="009F33ED" w:rsidP="009F33ED">
      <w:pPr>
        <w:jc w:val="both"/>
        <w:rPr>
          <w:rFonts w:asciiTheme="minorHAnsi" w:hAnsiTheme="minorHAnsi" w:cs="Menlo Bold Italic"/>
        </w:rPr>
      </w:pPr>
      <w:r w:rsidRPr="009F33ED">
        <w:rPr>
          <w:rFonts w:asciiTheme="minorHAnsi" w:hAnsiTheme="minorHAnsi" w:cs="Menlo Bold Italic"/>
        </w:rPr>
        <w:t xml:space="preserve">During the fieldwork, visits in various sites was conducted. With support of project manger meetings in Machakhela, Mtirala and Kintrishi national parks was organized. Interviews with directors and employees of NPs were conducted. The NP representatives mentioned that capacity building trainings conducted in a frame of the project supported to increase knowledge and capabilities to improve the management of the NPs. Although, very centralized structure of the APA hinders to implement some knowledge’s and ideas elaborated based on the trainings on the local level. </w:t>
      </w:r>
    </w:p>
    <w:p w14:paraId="0934A2CA" w14:textId="77777777" w:rsidR="009F33ED" w:rsidRPr="009F33ED" w:rsidRDefault="009F33ED" w:rsidP="009F33ED">
      <w:pPr>
        <w:jc w:val="both"/>
        <w:rPr>
          <w:rFonts w:asciiTheme="minorHAnsi" w:hAnsiTheme="minorHAnsi" w:cs="Menlo Bold Italic"/>
        </w:rPr>
      </w:pPr>
    </w:p>
    <w:p w14:paraId="4355CCC8" w14:textId="77777777" w:rsidR="009F33ED" w:rsidRPr="009F33ED" w:rsidRDefault="009F33ED" w:rsidP="009F33ED">
      <w:pPr>
        <w:jc w:val="both"/>
        <w:rPr>
          <w:rFonts w:asciiTheme="minorHAnsi" w:hAnsiTheme="minorHAnsi" w:cs="Menlo Bold Italic"/>
        </w:rPr>
      </w:pPr>
      <w:r w:rsidRPr="009F33ED">
        <w:rPr>
          <w:rFonts w:asciiTheme="minorHAnsi" w:hAnsiTheme="minorHAnsi" w:cs="Menlo Bold Italic"/>
        </w:rPr>
        <w:t xml:space="preserve">As the project mostly was focused on Machakhela NP, more  activities and financial  resources was contributed in the area. The Machakhela NPs office was renovated with financial support of the project. As the director mentioned based on this support the working conditions of the NP staff was significantly changed. Moreover, in the office in upcoming months the visitor center will be open, which will give more possibility to increase visitors and offer better service. In overall the employees of the supported NPs were satisfied with the activities of the project. </w:t>
      </w:r>
    </w:p>
    <w:p w14:paraId="4D9DE216" w14:textId="77777777" w:rsidR="009F33ED" w:rsidRPr="009F33ED" w:rsidRDefault="009F33ED" w:rsidP="009F33ED">
      <w:pPr>
        <w:jc w:val="both"/>
        <w:rPr>
          <w:rFonts w:asciiTheme="minorHAnsi" w:hAnsiTheme="minorHAnsi" w:cs="Menlo Bold Italic"/>
        </w:rPr>
      </w:pPr>
    </w:p>
    <w:p w14:paraId="3CF7393D" w14:textId="77777777" w:rsidR="009F33ED" w:rsidRPr="009F33ED" w:rsidRDefault="009F33ED" w:rsidP="009F33ED">
      <w:pPr>
        <w:jc w:val="both"/>
        <w:rPr>
          <w:rFonts w:asciiTheme="minorHAnsi" w:hAnsiTheme="minorHAnsi" w:cs="Menlo Bold Italic"/>
        </w:rPr>
      </w:pPr>
      <w:r w:rsidRPr="009F33ED">
        <w:rPr>
          <w:rFonts w:asciiTheme="minorHAnsi" w:hAnsiTheme="minorHAnsi" w:cs="Menlo Bold Italic"/>
        </w:rPr>
        <w:t xml:space="preserve">Second area of the project focus was to support rural development in the local population in Machakhela and Kintrishi valley. That also serves the improvement the cooperation between NP administration and the local population. One area of focus was development of the local cooperatives. Evalvuation team visited  three cooperatives “Akhali Era” in Village Chikuneti (Machakhela valley), cooperative “Futkara” in village Tskhemlara (Machakhela valley),  cooperative “Chakhati” around the Kintrishi NP. All cooperatives received small grants for agricultural development. For example, hazelnut shelling machine was supplied for the cooperative “Chakhalti”, which significantly decreased human work and improved efficiency of hazelnut producing.  Beehives were supplied with other cooperatives and special car to carry beehives was given to the cooperative “Akhali Era”. As the members of cooperative informed the car is very useful not only for caring beehives it is also important for the whole community. For example, while the evaluators visited the cooperative member, the neighbor had borrowed the car to carry some language from city Batumi. </w:t>
      </w:r>
    </w:p>
    <w:p w14:paraId="735BAB6E" w14:textId="77777777" w:rsidR="009F33ED" w:rsidRPr="009F33ED" w:rsidRDefault="009F33ED" w:rsidP="009F33ED">
      <w:pPr>
        <w:jc w:val="both"/>
        <w:rPr>
          <w:rFonts w:asciiTheme="minorHAnsi" w:hAnsiTheme="minorHAnsi" w:cs="Menlo Bold Italic"/>
        </w:rPr>
      </w:pPr>
    </w:p>
    <w:p w14:paraId="1ECC85BC" w14:textId="77777777" w:rsidR="009F33ED" w:rsidRPr="009F33ED" w:rsidRDefault="009F33ED" w:rsidP="009F33ED">
      <w:pPr>
        <w:jc w:val="both"/>
        <w:rPr>
          <w:rFonts w:asciiTheme="minorHAnsi" w:hAnsiTheme="minorHAnsi" w:cs="Menlo Bold Italic"/>
        </w:rPr>
      </w:pPr>
      <w:r w:rsidRPr="009F33ED">
        <w:rPr>
          <w:rFonts w:asciiTheme="minorHAnsi" w:hAnsiTheme="minorHAnsi" w:cs="Menlo Bold Italic"/>
        </w:rPr>
        <w:t xml:space="preserve">Moreover, project supported the communities to elaborate small project for the community development. Each village decided what was necessary for the community.  As a result improving of water pipelines, establishing small trade center, installing of public water tap and other small projects was implemented. Despite the small infrastructural improvements the initiative supported to improve cooperation skills and decision making on within the community level. </w:t>
      </w:r>
    </w:p>
    <w:p w14:paraId="273350FE" w14:textId="77777777" w:rsidR="009F33ED" w:rsidRPr="009F33ED" w:rsidRDefault="009F33ED" w:rsidP="009F33ED">
      <w:pPr>
        <w:jc w:val="both"/>
        <w:rPr>
          <w:rFonts w:asciiTheme="minorHAnsi" w:hAnsiTheme="minorHAnsi" w:cs="Menlo Bold Italic"/>
        </w:rPr>
      </w:pPr>
    </w:p>
    <w:p w14:paraId="76B6F5FD" w14:textId="77777777" w:rsidR="009F33ED" w:rsidRPr="009F33ED" w:rsidRDefault="009F33ED" w:rsidP="009F33ED">
      <w:pPr>
        <w:jc w:val="both"/>
        <w:rPr>
          <w:rFonts w:asciiTheme="minorHAnsi" w:hAnsiTheme="minorHAnsi" w:cs="Menlo Bold Italic"/>
        </w:rPr>
      </w:pPr>
      <w:r w:rsidRPr="009F33ED">
        <w:rPr>
          <w:rFonts w:asciiTheme="minorHAnsi" w:hAnsiTheme="minorHAnsi" w:cs="Menlo Bold Italic"/>
        </w:rPr>
        <w:t xml:space="preserve">One of the activities of the project was support tourism development in Machekhela NP and Machakhela valley. As a result training to tourism service development and small grant for the tourism development was developed. For example, project supported farmer Amiran Malakmadze who has wine caller dated 10-12 century. Farmer started to produce wine and visitors in his wine caller is significantly increasing. The case indicates how cultural heritage and sustainable tourism development could be merged. The project supported Natela Nagervadze woman producing handcraft, as a result the beneficiary is participating in different exhibitions, her product is stated in different websites. </w:t>
      </w:r>
    </w:p>
    <w:p w14:paraId="6407E351" w14:textId="77777777" w:rsidR="009F33ED" w:rsidRPr="009F33ED" w:rsidRDefault="009F33ED" w:rsidP="009F33ED">
      <w:pPr>
        <w:jc w:val="both"/>
        <w:rPr>
          <w:rFonts w:asciiTheme="minorHAnsi" w:hAnsiTheme="minorHAnsi" w:cs="Menlo Bold Italic"/>
        </w:rPr>
      </w:pPr>
    </w:p>
    <w:p w14:paraId="1DA896BC" w14:textId="77777777" w:rsidR="009F33ED" w:rsidRPr="009F33ED" w:rsidRDefault="009F33ED" w:rsidP="009F33ED">
      <w:pPr>
        <w:jc w:val="both"/>
        <w:rPr>
          <w:rFonts w:asciiTheme="minorHAnsi" w:hAnsiTheme="minorHAnsi" w:cs="Menlo Bold Italic"/>
        </w:rPr>
      </w:pPr>
      <w:r w:rsidRPr="009F33ED">
        <w:rPr>
          <w:rFonts w:asciiTheme="minorHAnsi" w:hAnsiTheme="minorHAnsi" w:cs="Menlo Bold Italic"/>
        </w:rPr>
        <w:t>Human-wildlife conflict was one of the areas where the project was intervened. In Machakhela valley wild animals  (Pig, Bear etc.) are entering and destroying some agricultural lands in the villages. With support of the project eleven farmers got electric fences to fence their land.</w:t>
      </w:r>
      <w:r w:rsidRPr="009F33ED">
        <w:rPr>
          <w:rFonts w:asciiTheme="minorHAnsi" w:hAnsiTheme="minorHAnsi" w:cs="Archy EDT Bold"/>
        </w:rPr>
        <w:t xml:space="preserve"> </w:t>
      </w:r>
      <w:r w:rsidRPr="009F33ED">
        <w:rPr>
          <w:rFonts w:asciiTheme="minorHAnsi" w:hAnsiTheme="minorHAnsi" w:cs="Menlo Bold Italic"/>
        </w:rPr>
        <w:t xml:space="preserve">The intervention insured the security of the agricultural land and give possibility for replication to other farmers. </w:t>
      </w:r>
    </w:p>
    <w:p w14:paraId="67AB6AE2" w14:textId="77777777" w:rsidR="009F33ED" w:rsidRPr="009F33ED" w:rsidRDefault="009F33ED" w:rsidP="009F33ED">
      <w:pPr>
        <w:jc w:val="both"/>
        <w:rPr>
          <w:rFonts w:asciiTheme="minorHAnsi" w:hAnsiTheme="minorHAnsi" w:cs="Menlo Bold Italic"/>
        </w:rPr>
      </w:pPr>
    </w:p>
    <w:p w14:paraId="36304FF8" w14:textId="77777777" w:rsidR="009F33ED" w:rsidRPr="009F33ED" w:rsidRDefault="009F33ED" w:rsidP="009F33ED">
      <w:pPr>
        <w:jc w:val="both"/>
        <w:rPr>
          <w:rFonts w:asciiTheme="minorHAnsi" w:hAnsiTheme="minorHAnsi" w:cs="Menlo Bold Italic"/>
        </w:rPr>
      </w:pPr>
      <w:r w:rsidRPr="009F33ED">
        <w:rPr>
          <w:rFonts w:asciiTheme="minorHAnsi" w:hAnsiTheme="minorHAnsi" w:cs="Menlo Bold Italic"/>
        </w:rPr>
        <w:lastRenderedPageBreak/>
        <w:t xml:space="preserve">The implemented projects for rural development successfully supported innovative approaches on the local level. It gave possibility for the local population to be aware on the issues of tourism sustainable development, rural and agricultural development, how the community based projects could be implemented etc. Additionally, improvement of the cooperation between Machakhela NP administration and local population was one of the main achievement of the project. As a result of project various activities, the locals are aware the advantages of the NP, how it can support to the sustainable tourism development, protect cultural and natural heritage of the valley and positively impact of the social-economic conditions of the local population. Almost all beneficiaries indicated that relation with project staff was excellent. The decisions what kind of projects should be implemented was participatory and all implemented projects were according to the needs of the local population. </w:t>
      </w:r>
    </w:p>
    <w:p w14:paraId="1A574CC6" w14:textId="77777777" w:rsidR="00EA6574" w:rsidRPr="009F33ED" w:rsidRDefault="00EA6574" w:rsidP="00EA6574">
      <w:pPr>
        <w:pStyle w:val="BodyText"/>
        <w:rPr>
          <w:rFonts w:asciiTheme="minorHAnsi" w:hAnsiTheme="minorHAnsi"/>
        </w:rPr>
      </w:pPr>
    </w:p>
    <w:p w14:paraId="0B2AA999" w14:textId="77777777" w:rsidR="009F33ED" w:rsidRDefault="009F33ED" w:rsidP="00DC4C74">
      <w:pPr>
        <w:pStyle w:val="BodyText"/>
        <w:spacing w:before="120"/>
        <w:rPr>
          <w:rFonts w:asciiTheme="minorHAnsi" w:hAnsiTheme="minorHAnsi"/>
        </w:rPr>
      </w:pPr>
    </w:p>
    <w:p w14:paraId="7E3D90E3" w14:textId="77777777" w:rsidR="00DC4C74" w:rsidRPr="00E22EBA" w:rsidRDefault="00DC4C74" w:rsidP="00DC4C74">
      <w:pPr>
        <w:pStyle w:val="BodyText"/>
        <w:spacing w:before="120"/>
        <w:rPr>
          <w:rFonts w:asciiTheme="minorHAnsi" w:hAnsiTheme="minorHAnsi"/>
        </w:rPr>
        <w:sectPr w:rsidR="00DC4C74" w:rsidRPr="00E22EBA" w:rsidSect="001B651D">
          <w:footnotePr>
            <w:numRestart w:val="eachPage"/>
          </w:footnotePr>
          <w:pgSz w:w="11906" w:h="16838" w:code="1"/>
          <w:pgMar w:top="1440" w:right="1440" w:bottom="1440" w:left="1440" w:header="288" w:footer="288" w:gutter="0"/>
          <w:pgNumType w:start="1"/>
          <w:cols w:space="708"/>
          <w:docGrid w:linePitch="299"/>
        </w:sectPr>
      </w:pPr>
    </w:p>
    <w:p w14:paraId="37A7055A" w14:textId="6FAF65E1" w:rsidR="00E93B85" w:rsidRPr="00E22EBA" w:rsidRDefault="00E93B85" w:rsidP="00CD0232">
      <w:pPr>
        <w:pStyle w:val="Heading2"/>
        <w:tabs>
          <w:tab w:val="left" w:pos="1134"/>
        </w:tabs>
        <w:spacing w:after="240" w:line="240" w:lineRule="auto"/>
        <w:rPr>
          <w:rFonts w:asciiTheme="minorHAnsi" w:hAnsiTheme="minorHAnsi"/>
          <w:b/>
          <w:caps w:val="0"/>
        </w:rPr>
      </w:pPr>
      <w:bookmarkStart w:id="249" w:name="_Toc414745351"/>
      <w:r w:rsidRPr="00E22EBA">
        <w:rPr>
          <w:rFonts w:asciiTheme="minorHAnsi" w:hAnsiTheme="minorHAnsi"/>
          <w:b/>
          <w:caps w:val="0"/>
        </w:rPr>
        <w:lastRenderedPageBreak/>
        <w:t xml:space="preserve">Annex </w:t>
      </w:r>
      <w:r w:rsidR="00CD0232">
        <w:rPr>
          <w:rFonts w:asciiTheme="minorHAnsi" w:hAnsiTheme="minorHAnsi"/>
          <w:b/>
          <w:caps w:val="0"/>
        </w:rPr>
        <w:t>5:</w:t>
      </w:r>
      <w:r w:rsidR="00CD0232">
        <w:rPr>
          <w:rFonts w:asciiTheme="minorHAnsi" w:hAnsiTheme="minorHAnsi"/>
          <w:b/>
          <w:caps w:val="0"/>
        </w:rPr>
        <w:tab/>
      </w:r>
      <w:r w:rsidRPr="00E22EBA">
        <w:rPr>
          <w:rFonts w:asciiTheme="minorHAnsi" w:hAnsiTheme="minorHAnsi"/>
          <w:b/>
          <w:caps w:val="0"/>
        </w:rPr>
        <w:t xml:space="preserve">List of </w:t>
      </w:r>
      <w:r w:rsidR="002F754C" w:rsidRPr="00E22EBA">
        <w:rPr>
          <w:rFonts w:asciiTheme="minorHAnsi" w:hAnsiTheme="minorHAnsi"/>
          <w:b/>
          <w:caps w:val="0"/>
        </w:rPr>
        <w:t>Information</w:t>
      </w:r>
      <w:r w:rsidRPr="00E22EBA">
        <w:rPr>
          <w:rFonts w:asciiTheme="minorHAnsi" w:hAnsiTheme="minorHAnsi"/>
          <w:b/>
          <w:caps w:val="0"/>
        </w:rPr>
        <w:t xml:space="preserve"> Reviewed</w:t>
      </w:r>
      <w:bookmarkEnd w:id="249"/>
    </w:p>
    <w:p w14:paraId="11DDD58C" w14:textId="77777777" w:rsidR="00A41FA0" w:rsidRPr="00CA6ADF" w:rsidRDefault="00A41FA0" w:rsidP="00991B6C">
      <w:pPr>
        <w:pStyle w:val="BodyText"/>
        <w:numPr>
          <w:ilvl w:val="0"/>
          <w:numId w:val="33"/>
        </w:numPr>
        <w:tabs>
          <w:tab w:val="clear" w:pos="360"/>
        </w:tabs>
        <w:overflowPunct/>
        <w:autoSpaceDE/>
        <w:autoSpaceDN/>
        <w:adjustRightInd/>
        <w:spacing w:after="60" w:line="240" w:lineRule="auto"/>
        <w:ind w:left="446" w:hanging="446"/>
        <w:textAlignment w:val="auto"/>
        <w:rPr>
          <w:rFonts w:ascii="Arial" w:hAnsi="Arial" w:cs="Arial"/>
          <w:b/>
          <w:sz w:val="21"/>
          <w:szCs w:val="21"/>
        </w:rPr>
      </w:pPr>
      <w:r w:rsidRPr="00CA6ADF">
        <w:rPr>
          <w:rFonts w:ascii="Arial" w:hAnsi="Arial" w:cs="Arial"/>
          <w:sz w:val="21"/>
          <w:szCs w:val="21"/>
        </w:rPr>
        <w:t>Project Identification Form (PIF)</w:t>
      </w:r>
    </w:p>
    <w:p w14:paraId="06560AEB" w14:textId="77777777" w:rsidR="00A41FA0" w:rsidRPr="00CA6ADF" w:rsidRDefault="00A41FA0" w:rsidP="00991B6C">
      <w:pPr>
        <w:pStyle w:val="BodyText"/>
        <w:numPr>
          <w:ilvl w:val="0"/>
          <w:numId w:val="33"/>
        </w:numPr>
        <w:tabs>
          <w:tab w:val="clear" w:pos="360"/>
        </w:tabs>
        <w:overflowPunct/>
        <w:autoSpaceDE/>
        <w:autoSpaceDN/>
        <w:adjustRightInd/>
        <w:spacing w:after="60" w:line="240" w:lineRule="auto"/>
        <w:ind w:left="446" w:hanging="446"/>
        <w:textAlignment w:val="auto"/>
        <w:rPr>
          <w:rFonts w:ascii="Arial" w:hAnsi="Arial" w:cs="Arial"/>
          <w:b/>
          <w:sz w:val="21"/>
          <w:szCs w:val="21"/>
        </w:rPr>
      </w:pPr>
      <w:r w:rsidRPr="00CA6ADF">
        <w:rPr>
          <w:rFonts w:ascii="Arial" w:hAnsi="Arial" w:cs="Arial"/>
          <w:sz w:val="21"/>
          <w:szCs w:val="21"/>
        </w:rPr>
        <w:t xml:space="preserve">UNDP Project Document </w:t>
      </w:r>
    </w:p>
    <w:p w14:paraId="2DED8F8C" w14:textId="77777777" w:rsidR="00A41FA0" w:rsidRPr="00CA6ADF" w:rsidRDefault="00A41FA0" w:rsidP="00991B6C">
      <w:pPr>
        <w:pStyle w:val="BodyText"/>
        <w:numPr>
          <w:ilvl w:val="0"/>
          <w:numId w:val="33"/>
        </w:numPr>
        <w:tabs>
          <w:tab w:val="clear" w:pos="360"/>
        </w:tabs>
        <w:overflowPunct/>
        <w:autoSpaceDE/>
        <w:autoSpaceDN/>
        <w:adjustRightInd/>
        <w:spacing w:after="60" w:line="240" w:lineRule="auto"/>
        <w:ind w:left="446" w:hanging="446"/>
        <w:textAlignment w:val="auto"/>
        <w:rPr>
          <w:rFonts w:ascii="Arial" w:hAnsi="Arial" w:cs="Arial"/>
          <w:b/>
          <w:sz w:val="21"/>
          <w:szCs w:val="21"/>
        </w:rPr>
      </w:pPr>
      <w:r w:rsidRPr="00CA6ADF">
        <w:rPr>
          <w:rFonts w:ascii="Arial" w:hAnsi="Arial" w:cs="Arial"/>
          <w:sz w:val="21"/>
          <w:szCs w:val="21"/>
        </w:rPr>
        <w:t>UNDP Environmental and Social Screening results</w:t>
      </w:r>
    </w:p>
    <w:p w14:paraId="0DA8ADDA" w14:textId="77777777" w:rsidR="00A41FA0" w:rsidRPr="00CA6ADF" w:rsidRDefault="00A41FA0" w:rsidP="00991B6C">
      <w:pPr>
        <w:pStyle w:val="BodyText"/>
        <w:numPr>
          <w:ilvl w:val="0"/>
          <w:numId w:val="33"/>
        </w:numPr>
        <w:tabs>
          <w:tab w:val="clear" w:pos="360"/>
        </w:tabs>
        <w:overflowPunct/>
        <w:autoSpaceDE/>
        <w:autoSpaceDN/>
        <w:adjustRightInd/>
        <w:spacing w:after="60" w:line="240" w:lineRule="auto"/>
        <w:ind w:left="446" w:hanging="446"/>
        <w:textAlignment w:val="auto"/>
        <w:rPr>
          <w:rFonts w:ascii="Arial" w:hAnsi="Arial" w:cs="Arial"/>
          <w:b/>
          <w:sz w:val="21"/>
          <w:szCs w:val="21"/>
        </w:rPr>
      </w:pPr>
      <w:r w:rsidRPr="00CA6ADF">
        <w:rPr>
          <w:rFonts w:ascii="Arial" w:hAnsi="Arial" w:cs="Arial"/>
          <w:sz w:val="21"/>
          <w:szCs w:val="21"/>
        </w:rPr>
        <w:t xml:space="preserve">Project Inception Report </w:t>
      </w:r>
    </w:p>
    <w:p w14:paraId="1B223C52" w14:textId="77777777" w:rsidR="00A41FA0" w:rsidRPr="00CA6ADF" w:rsidRDefault="00A41FA0" w:rsidP="00991B6C">
      <w:pPr>
        <w:pStyle w:val="BodyText"/>
        <w:numPr>
          <w:ilvl w:val="0"/>
          <w:numId w:val="33"/>
        </w:numPr>
        <w:tabs>
          <w:tab w:val="clear" w:pos="360"/>
        </w:tabs>
        <w:overflowPunct/>
        <w:autoSpaceDE/>
        <w:autoSpaceDN/>
        <w:adjustRightInd/>
        <w:spacing w:after="60" w:line="240" w:lineRule="auto"/>
        <w:ind w:left="446" w:hanging="446"/>
        <w:textAlignment w:val="auto"/>
        <w:rPr>
          <w:rFonts w:ascii="Arial" w:hAnsi="Arial" w:cs="Arial"/>
          <w:b/>
          <w:sz w:val="21"/>
          <w:szCs w:val="21"/>
        </w:rPr>
      </w:pPr>
      <w:r w:rsidRPr="00CA6ADF">
        <w:rPr>
          <w:rFonts w:ascii="Arial" w:hAnsi="Arial" w:cs="Arial"/>
          <w:sz w:val="21"/>
          <w:szCs w:val="21"/>
        </w:rPr>
        <w:t>Project Implementation Reports (PIRs)</w:t>
      </w:r>
    </w:p>
    <w:p w14:paraId="0B70CB24" w14:textId="77777777" w:rsidR="00A41FA0" w:rsidRPr="00CA6ADF" w:rsidRDefault="00A41FA0" w:rsidP="00991B6C">
      <w:pPr>
        <w:pStyle w:val="BodyText"/>
        <w:numPr>
          <w:ilvl w:val="0"/>
          <w:numId w:val="33"/>
        </w:numPr>
        <w:tabs>
          <w:tab w:val="clear" w:pos="360"/>
        </w:tabs>
        <w:overflowPunct/>
        <w:autoSpaceDE/>
        <w:autoSpaceDN/>
        <w:adjustRightInd/>
        <w:spacing w:after="60" w:line="240" w:lineRule="auto"/>
        <w:ind w:left="446" w:hanging="446"/>
        <w:textAlignment w:val="auto"/>
        <w:rPr>
          <w:rFonts w:ascii="Arial" w:hAnsi="Arial" w:cs="Arial"/>
          <w:b/>
          <w:sz w:val="21"/>
          <w:szCs w:val="21"/>
        </w:rPr>
      </w:pPr>
      <w:r w:rsidRPr="00CA6ADF">
        <w:rPr>
          <w:rFonts w:ascii="Arial" w:hAnsi="Arial" w:cs="Arial"/>
          <w:sz w:val="21"/>
          <w:szCs w:val="21"/>
        </w:rPr>
        <w:t>Quarterly progress reports and work plans of the various implementation task teams</w:t>
      </w:r>
    </w:p>
    <w:p w14:paraId="012DE425" w14:textId="77777777" w:rsidR="00A41FA0" w:rsidRPr="00CA6ADF" w:rsidRDefault="00A41FA0" w:rsidP="00991B6C">
      <w:pPr>
        <w:pStyle w:val="BodyText"/>
        <w:numPr>
          <w:ilvl w:val="0"/>
          <w:numId w:val="33"/>
        </w:numPr>
        <w:tabs>
          <w:tab w:val="clear" w:pos="360"/>
        </w:tabs>
        <w:overflowPunct/>
        <w:autoSpaceDE/>
        <w:autoSpaceDN/>
        <w:adjustRightInd/>
        <w:spacing w:after="60" w:line="240" w:lineRule="auto"/>
        <w:ind w:left="446" w:hanging="446"/>
        <w:textAlignment w:val="auto"/>
        <w:rPr>
          <w:rFonts w:ascii="Arial" w:hAnsi="Arial" w:cs="Arial"/>
          <w:b/>
          <w:sz w:val="21"/>
          <w:szCs w:val="21"/>
        </w:rPr>
      </w:pPr>
      <w:r w:rsidRPr="00CA6ADF">
        <w:rPr>
          <w:rFonts w:ascii="Arial" w:hAnsi="Arial" w:cs="Arial"/>
          <w:sz w:val="21"/>
          <w:szCs w:val="21"/>
        </w:rPr>
        <w:t>Annual Work Plans</w:t>
      </w:r>
    </w:p>
    <w:p w14:paraId="58961E88" w14:textId="77777777" w:rsidR="00A41FA0" w:rsidRPr="00CA6ADF" w:rsidRDefault="00A41FA0" w:rsidP="00991B6C">
      <w:pPr>
        <w:pStyle w:val="BodyText"/>
        <w:numPr>
          <w:ilvl w:val="0"/>
          <w:numId w:val="33"/>
        </w:numPr>
        <w:tabs>
          <w:tab w:val="clear" w:pos="360"/>
        </w:tabs>
        <w:overflowPunct/>
        <w:autoSpaceDE/>
        <w:autoSpaceDN/>
        <w:adjustRightInd/>
        <w:spacing w:after="60" w:line="240" w:lineRule="auto"/>
        <w:ind w:left="446" w:hanging="446"/>
        <w:textAlignment w:val="auto"/>
        <w:rPr>
          <w:rFonts w:ascii="Arial" w:hAnsi="Arial" w:cs="Arial"/>
          <w:b/>
          <w:sz w:val="21"/>
          <w:szCs w:val="21"/>
        </w:rPr>
      </w:pPr>
      <w:r w:rsidRPr="00CA6ADF">
        <w:rPr>
          <w:rFonts w:ascii="Arial" w:hAnsi="Arial" w:cs="Arial"/>
          <w:sz w:val="21"/>
          <w:szCs w:val="21"/>
        </w:rPr>
        <w:t>Audit reports</w:t>
      </w:r>
    </w:p>
    <w:p w14:paraId="121E1F00" w14:textId="7403D43B" w:rsidR="00A41FA0" w:rsidRPr="00CA6ADF" w:rsidRDefault="00A41FA0" w:rsidP="00991B6C">
      <w:pPr>
        <w:pStyle w:val="BodyText"/>
        <w:numPr>
          <w:ilvl w:val="0"/>
          <w:numId w:val="33"/>
        </w:numPr>
        <w:tabs>
          <w:tab w:val="clear" w:pos="360"/>
        </w:tabs>
        <w:overflowPunct/>
        <w:autoSpaceDE/>
        <w:autoSpaceDN/>
        <w:adjustRightInd/>
        <w:spacing w:after="60" w:line="240" w:lineRule="auto"/>
        <w:ind w:left="446" w:hanging="446"/>
        <w:textAlignment w:val="auto"/>
        <w:rPr>
          <w:rFonts w:ascii="Arial" w:hAnsi="Arial" w:cs="Arial"/>
          <w:b/>
          <w:sz w:val="21"/>
          <w:szCs w:val="21"/>
        </w:rPr>
      </w:pPr>
      <w:r w:rsidRPr="00CA6ADF">
        <w:rPr>
          <w:rFonts w:ascii="Arial" w:hAnsi="Arial" w:cs="Arial"/>
          <w:sz w:val="21"/>
          <w:szCs w:val="21"/>
        </w:rPr>
        <w:t>Finalized GEF focal area Tracking Tools at CEO endorsement, midterm</w:t>
      </w:r>
      <w:r>
        <w:rPr>
          <w:rFonts w:ascii="Arial" w:hAnsi="Arial" w:cs="Arial"/>
          <w:sz w:val="21"/>
          <w:szCs w:val="21"/>
        </w:rPr>
        <w:t xml:space="preserve"> and end of project (i.e. METT)</w:t>
      </w:r>
    </w:p>
    <w:p w14:paraId="28980EE7" w14:textId="77777777" w:rsidR="00A41FA0" w:rsidRPr="00CA6ADF" w:rsidRDefault="00A41FA0" w:rsidP="00991B6C">
      <w:pPr>
        <w:numPr>
          <w:ilvl w:val="0"/>
          <w:numId w:val="33"/>
        </w:numPr>
        <w:tabs>
          <w:tab w:val="clear" w:pos="360"/>
        </w:tabs>
        <w:overflowPunct/>
        <w:autoSpaceDE/>
        <w:autoSpaceDN/>
        <w:adjustRightInd/>
        <w:spacing w:after="60"/>
        <w:ind w:left="446" w:hanging="446"/>
        <w:jc w:val="both"/>
        <w:textAlignment w:val="auto"/>
        <w:rPr>
          <w:rFonts w:ascii="Arial" w:hAnsi="Arial" w:cs="Arial"/>
          <w:sz w:val="21"/>
          <w:szCs w:val="21"/>
        </w:rPr>
      </w:pPr>
      <w:r w:rsidRPr="00CA6ADF">
        <w:rPr>
          <w:rFonts w:ascii="Arial" w:hAnsi="Arial" w:cs="Arial"/>
          <w:sz w:val="21"/>
          <w:szCs w:val="21"/>
        </w:rPr>
        <w:t>Oversight mission reports by CTA, RTA and others</w:t>
      </w:r>
    </w:p>
    <w:p w14:paraId="6C808DD4" w14:textId="77777777" w:rsidR="00A41FA0" w:rsidRPr="00CA6ADF" w:rsidRDefault="00A41FA0" w:rsidP="00991B6C">
      <w:pPr>
        <w:pStyle w:val="BodyText"/>
        <w:numPr>
          <w:ilvl w:val="0"/>
          <w:numId w:val="33"/>
        </w:numPr>
        <w:tabs>
          <w:tab w:val="clear" w:pos="360"/>
        </w:tabs>
        <w:overflowPunct/>
        <w:autoSpaceDE/>
        <w:autoSpaceDN/>
        <w:adjustRightInd/>
        <w:spacing w:after="60" w:line="240" w:lineRule="auto"/>
        <w:ind w:left="446" w:hanging="446"/>
        <w:textAlignment w:val="auto"/>
        <w:rPr>
          <w:rFonts w:ascii="Arial" w:hAnsi="Arial" w:cs="Arial"/>
          <w:b/>
          <w:sz w:val="21"/>
          <w:szCs w:val="21"/>
        </w:rPr>
      </w:pPr>
      <w:r w:rsidRPr="00CA6ADF">
        <w:rPr>
          <w:rFonts w:ascii="Arial" w:hAnsi="Arial" w:cs="Arial"/>
          <w:sz w:val="21"/>
          <w:szCs w:val="21"/>
        </w:rPr>
        <w:t>Monitoring reports prepared by the project</w:t>
      </w:r>
    </w:p>
    <w:p w14:paraId="1ACDFD06" w14:textId="77777777" w:rsidR="00A41FA0" w:rsidRPr="00CA6ADF" w:rsidRDefault="00A41FA0" w:rsidP="00991B6C">
      <w:pPr>
        <w:pStyle w:val="BodyText"/>
        <w:numPr>
          <w:ilvl w:val="0"/>
          <w:numId w:val="33"/>
        </w:numPr>
        <w:tabs>
          <w:tab w:val="clear" w:pos="360"/>
        </w:tabs>
        <w:overflowPunct/>
        <w:autoSpaceDE/>
        <w:autoSpaceDN/>
        <w:adjustRightInd/>
        <w:spacing w:after="60" w:line="240" w:lineRule="auto"/>
        <w:ind w:left="446" w:hanging="446"/>
        <w:textAlignment w:val="auto"/>
        <w:rPr>
          <w:rFonts w:ascii="Arial" w:hAnsi="Arial" w:cs="Arial"/>
          <w:b/>
          <w:sz w:val="21"/>
          <w:szCs w:val="21"/>
        </w:rPr>
      </w:pPr>
      <w:r w:rsidRPr="00CA6ADF">
        <w:rPr>
          <w:rFonts w:ascii="Arial" w:hAnsi="Arial" w:cs="Arial"/>
          <w:sz w:val="21"/>
          <w:szCs w:val="21"/>
        </w:rPr>
        <w:t>Mid-Term Review report</w:t>
      </w:r>
    </w:p>
    <w:p w14:paraId="6B707E28" w14:textId="51F1CA7A" w:rsidR="00A41FA0" w:rsidRPr="00CA6ADF" w:rsidRDefault="00A41FA0" w:rsidP="00991B6C">
      <w:pPr>
        <w:pStyle w:val="BodyText"/>
        <w:numPr>
          <w:ilvl w:val="0"/>
          <w:numId w:val="33"/>
        </w:numPr>
        <w:tabs>
          <w:tab w:val="clear" w:pos="360"/>
        </w:tabs>
        <w:overflowPunct/>
        <w:autoSpaceDE/>
        <w:autoSpaceDN/>
        <w:adjustRightInd/>
        <w:spacing w:after="60" w:line="240" w:lineRule="auto"/>
        <w:ind w:left="446" w:hanging="446"/>
        <w:textAlignment w:val="auto"/>
        <w:rPr>
          <w:rFonts w:ascii="Arial" w:hAnsi="Arial" w:cs="Arial"/>
          <w:b/>
          <w:sz w:val="21"/>
          <w:szCs w:val="21"/>
        </w:rPr>
      </w:pPr>
      <w:r w:rsidRPr="00CA6ADF">
        <w:rPr>
          <w:rFonts w:ascii="Arial" w:hAnsi="Arial" w:cs="Arial"/>
          <w:sz w:val="21"/>
          <w:szCs w:val="21"/>
        </w:rPr>
        <w:t xml:space="preserve">Minutes of the Project Board Meetings and other meetings </w:t>
      </w:r>
    </w:p>
    <w:p w14:paraId="55A4C076" w14:textId="77777777" w:rsidR="00A41FA0" w:rsidRPr="00CA6ADF" w:rsidRDefault="00A41FA0" w:rsidP="00991B6C">
      <w:pPr>
        <w:pStyle w:val="BodyText"/>
        <w:numPr>
          <w:ilvl w:val="0"/>
          <w:numId w:val="33"/>
        </w:numPr>
        <w:tabs>
          <w:tab w:val="clear" w:pos="360"/>
        </w:tabs>
        <w:overflowPunct/>
        <w:autoSpaceDE/>
        <w:autoSpaceDN/>
        <w:adjustRightInd/>
        <w:spacing w:after="60" w:line="240" w:lineRule="auto"/>
        <w:ind w:left="446" w:hanging="446"/>
        <w:textAlignment w:val="auto"/>
        <w:rPr>
          <w:rFonts w:ascii="Arial" w:hAnsi="Arial" w:cs="Arial"/>
          <w:b/>
          <w:sz w:val="21"/>
          <w:szCs w:val="21"/>
        </w:rPr>
      </w:pPr>
      <w:r w:rsidRPr="00CA6ADF">
        <w:rPr>
          <w:rFonts w:ascii="Arial" w:hAnsi="Arial" w:cs="Arial"/>
          <w:sz w:val="21"/>
          <w:szCs w:val="21"/>
        </w:rPr>
        <w:t xml:space="preserve">Technical consultancy reports </w:t>
      </w:r>
    </w:p>
    <w:p w14:paraId="2C78597E" w14:textId="77777777" w:rsidR="00A41FA0" w:rsidRPr="00CA6ADF" w:rsidRDefault="00A41FA0" w:rsidP="00991B6C">
      <w:pPr>
        <w:pStyle w:val="BodyText"/>
        <w:numPr>
          <w:ilvl w:val="0"/>
          <w:numId w:val="33"/>
        </w:numPr>
        <w:tabs>
          <w:tab w:val="clear" w:pos="360"/>
        </w:tabs>
        <w:overflowPunct/>
        <w:autoSpaceDE/>
        <w:autoSpaceDN/>
        <w:adjustRightInd/>
        <w:spacing w:after="60" w:line="240" w:lineRule="auto"/>
        <w:ind w:left="446" w:hanging="446"/>
        <w:textAlignment w:val="auto"/>
        <w:rPr>
          <w:rFonts w:ascii="Arial" w:hAnsi="Arial" w:cs="Arial"/>
          <w:b/>
          <w:sz w:val="21"/>
          <w:szCs w:val="21"/>
        </w:rPr>
      </w:pPr>
      <w:r w:rsidRPr="00CA6ADF">
        <w:rPr>
          <w:rFonts w:ascii="Arial" w:hAnsi="Arial" w:cs="Arial"/>
          <w:sz w:val="21"/>
          <w:szCs w:val="21"/>
        </w:rPr>
        <w:t>All published materials</w:t>
      </w:r>
    </w:p>
    <w:p w14:paraId="200DFC76" w14:textId="77777777" w:rsidR="00A41FA0" w:rsidRPr="00CA6ADF" w:rsidRDefault="00A41FA0" w:rsidP="00A41FA0">
      <w:pPr>
        <w:spacing w:after="60"/>
        <w:jc w:val="both"/>
        <w:rPr>
          <w:rFonts w:ascii="Arial" w:hAnsi="Arial" w:cs="Arial"/>
          <w:sz w:val="21"/>
          <w:szCs w:val="21"/>
        </w:rPr>
      </w:pPr>
    </w:p>
    <w:p w14:paraId="539AEB7F" w14:textId="24875DA3" w:rsidR="00A41FA0" w:rsidRPr="00CA6ADF" w:rsidRDefault="00A41FA0" w:rsidP="00A41FA0">
      <w:pPr>
        <w:spacing w:after="60"/>
        <w:jc w:val="both"/>
        <w:rPr>
          <w:rFonts w:ascii="Arial" w:hAnsi="Arial" w:cs="Arial"/>
          <w:b/>
          <w:sz w:val="21"/>
          <w:szCs w:val="21"/>
        </w:rPr>
      </w:pPr>
      <w:r w:rsidRPr="00CA6ADF">
        <w:rPr>
          <w:rFonts w:ascii="Arial" w:hAnsi="Arial" w:cs="Arial"/>
          <w:b/>
          <w:sz w:val="21"/>
          <w:szCs w:val="21"/>
        </w:rPr>
        <w:t xml:space="preserve">Documents </w:t>
      </w:r>
      <w:r>
        <w:rPr>
          <w:rFonts w:ascii="Arial" w:hAnsi="Arial" w:cs="Arial"/>
          <w:b/>
          <w:sz w:val="21"/>
          <w:szCs w:val="21"/>
        </w:rPr>
        <w:t>made</w:t>
      </w:r>
      <w:r w:rsidRPr="00CA6ADF">
        <w:rPr>
          <w:rFonts w:ascii="Arial" w:hAnsi="Arial" w:cs="Arial"/>
          <w:b/>
          <w:sz w:val="21"/>
          <w:szCs w:val="21"/>
        </w:rPr>
        <w:t xml:space="preserve"> available on request:</w:t>
      </w:r>
    </w:p>
    <w:p w14:paraId="79493C8D" w14:textId="77777777" w:rsidR="00A41FA0" w:rsidRPr="00CA6ADF" w:rsidRDefault="00A41FA0" w:rsidP="00991B6C">
      <w:pPr>
        <w:pStyle w:val="BodyText"/>
        <w:numPr>
          <w:ilvl w:val="0"/>
          <w:numId w:val="33"/>
        </w:numPr>
        <w:tabs>
          <w:tab w:val="clear" w:pos="360"/>
        </w:tabs>
        <w:overflowPunct/>
        <w:autoSpaceDE/>
        <w:autoSpaceDN/>
        <w:adjustRightInd/>
        <w:spacing w:after="60" w:line="240" w:lineRule="auto"/>
        <w:ind w:left="446" w:hanging="446"/>
        <w:textAlignment w:val="auto"/>
        <w:rPr>
          <w:rFonts w:ascii="Arial" w:hAnsi="Arial" w:cs="Arial"/>
          <w:b/>
          <w:sz w:val="21"/>
          <w:szCs w:val="21"/>
        </w:rPr>
      </w:pPr>
      <w:r w:rsidRPr="00CA6ADF">
        <w:rPr>
          <w:rFonts w:ascii="Arial" w:hAnsi="Arial" w:cs="Arial"/>
          <w:sz w:val="21"/>
          <w:szCs w:val="21"/>
        </w:rPr>
        <w:t>Financial and Administration guidelines used by Project Team</w:t>
      </w:r>
    </w:p>
    <w:p w14:paraId="09A4F020" w14:textId="77777777" w:rsidR="00A41FA0" w:rsidRPr="00CA6ADF" w:rsidRDefault="00A41FA0" w:rsidP="00991B6C">
      <w:pPr>
        <w:pStyle w:val="BodyText"/>
        <w:numPr>
          <w:ilvl w:val="0"/>
          <w:numId w:val="33"/>
        </w:numPr>
        <w:tabs>
          <w:tab w:val="clear" w:pos="360"/>
        </w:tabs>
        <w:overflowPunct/>
        <w:autoSpaceDE/>
        <w:autoSpaceDN/>
        <w:adjustRightInd/>
        <w:spacing w:after="60" w:line="240" w:lineRule="auto"/>
        <w:ind w:left="446" w:hanging="446"/>
        <w:textAlignment w:val="auto"/>
        <w:rPr>
          <w:rFonts w:ascii="Arial" w:hAnsi="Arial" w:cs="Arial"/>
          <w:b/>
          <w:sz w:val="21"/>
          <w:szCs w:val="21"/>
        </w:rPr>
      </w:pPr>
      <w:r w:rsidRPr="00CA6ADF">
        <w:rPr>
          <w:rFonts w:ascii="Arial" w:hAnsi="Arial" w:cs="Arial"/>
          <w:sz w:val="21"/>
          <w:szCs w:val="21"/>
        </w:rPr>
        <w:t>Project operational guidelines, manuals and systems</w:t>
      </w:r>
    </w:p>
    <w:p w14:paraId="179CBBB1" w14:textId="77777777" w:rsidR="00A41FA0" w:rsidRPr="00CA6ADF" w:rsidRDefault="00A41FA0" w:rsidP="00991B6C">
      <w:pPr>
        <w:pStyle w:val="BodyText"/>
        <w:numPr>
          <w:ilvl w:val="0"/>
          <w:numId w:val="33"/>
        </w:numPr>
        <w:tabs>
          <w:tab w:val="clear" w:pos="360"/>
        </w:tabs>
        <w:overflowPunct/>
        <w:autoSpaceDE/>
        <w:autoSpaceDN/>
        <w:adjustRightInd/>
        <w:spacing w:after="60" w:line="240" w:lineRule="auto"/>
        <w:ind w:left="446" w:hanging="446"/>
        <w:textAlignment w:val="auto"/>
        <w:rPr>
          <w:rFonts w:ascii="Arial" w:hAnsi="Arial" w:cs="Arial"/>
          <w:b/>
          <w:sz w:val="21"/>
          <w:szCs w:val="21"/>
        </w:rPr>
      </w:pPr>
      <w:r w:rsidRPr="00CA6ADF">
        <w:rPr>
          <w:rFonts w:ascii="Arial" w:hAnsi="Arial" w:cs="Arial"/>
          <w:sz w:val="21"/>
          <w:szCs w:val="21"/>
        </w:rPr>
        <w:t>UNDP country/countries programme document(s)</w:t>
      </w:r>
    </w:p>
    <w:p w14:paraId="72D93463" w14:textId="3E5EECF5" w:rsidR="00A41FA0" w:rsidRPr="00CA6ADF" w:rsidRDefault="00A41FA0" w:rsidP="00991B6C">
      <w:pPr>
        <w:pStyle w:val="BodyText"/>
        <w:numPr>
          <w:ilvl w:val="0"/>
          <w:numId w:val="33"/>
        </w:numPr>
        <w:tabs>
          <w:tab w:val="clear" w:pos="360"/>
        </w:tabs>
        <w:overflowPunct/>
        <w:autoSpaceDE/>
        <w:autoSpaceDN/>
        <w:adjustRightInd/>
        <w:spacing w:after="60" w:line="240" w:lineRule="auto"/>
        <w:ind w:left="446" w:hanging="446"/>
        <w:textAlignment w:val="auto"/>
        <w:rPr>
          <w:rFonts w:ascii="Arial" w:hAnsi="Arial" w:cs="Arial"/>
          <w:b/>
          <w:sz w:val="21"/>
          <w:szCs w:val="21"/>
        </w:rPr>
      </w:pPr>
      <w:r w:rsidRPr="00CA6ADF">
        <w:rPr>
          <w:rFonts w:ascii="Arial" w:hAnsi="Arial" w:cs="Arial"/>
          <w:sz w:val="21"/>
          <w:szCs w:val="21"/>
        </w:rPr>
        <w:t>Project site location maps</w:t>
      </w:r>
      <w:r>
        <w:rPr>
          <w:rFonts w:ascii="Arial" w:hAnsi="Arial" w:cs="Arial"/>
          <w:sz w:val="21"/>
          <w:szCs w:val="21"/>
        </w:rPr>
        <w:t xml:space="preserve"> </w:t>
      </w:r>
      <w:r w:rsidRPr="00422412">
        <w:rPr>
          <w:rFonts w:ascii="Zapf Dingbats" w:hAnsi="Zapf Dingbats"/>
          <w:color w:val="000000"/>
        </w:rPr>
        <w:t>✔</w:t>
      </w:r>
    </w:p>
    <w:p w14:paraId="11BBB7EC" w14:textId="519B7A80" w:rsidR="00A41FA0" w:rsidRPr="00CA6ADF" w:rsidRDefault="00A41FA0" w:rsidP="00991B6C">
      <w:pPr>
        <w:pStyle w:val="BodyText"/>
        <w:numPr>
          <w:ilvl w:val="0"/>
          <w:numId w:val="33"/>
        </w:numPr>
        <w:tabs>
          <w:tab w:val="clear" w:pos="360"/>
        </w:tabs>
        <w:overflowPunct/>
        <w:autoSpaceDE/>
        <w:autoSpaceDN/>
        <w:adjustRightInd/>
        <w:spacing w:after="60" w:line="240" w:lineRule="auto"/>
        <w:ind w:left="446" w:hanging="446"/>
        <w:textAlignment w:val="auto"/>
        <w:rPr>
          <w:rFonts w:ascii="Arial" w:hAnsi="Arial" w:cs="Arial"/>
          <w:b/>
          <w:sz w:val="21"/>
          <w:szCs w:val="21"/>
        </w:rPr>
      </w:pPr>
      <w:r w:rsidRPr="00CA6ADF">
        <w:rPr>
          <w:rFonts w:ascii="Arial" w:hAnsi="Arial" w:cs="Arial"/>
          <w:sz w:val="21"/>
          <w:szCs w:val="21"/>
        </w:rPr>
        <w:t>Training materials</w:t>
      </w:r>
      <w:r>
        <w:rPr>
          <w:rFonts w:ascii="Arial" w:hAnsi="Arial" w:cs="Arial"/>
          <w:sz w:val="21"/>
          <w:szCs w:val="21"/>
        </w:rPr>
        <w:t xml:space="preserve"> </w:t>
      </w:r>
      <w:r w:rsidRPr="00473786">
        <w:rPr>
          <w:rFonts w:ascii="Zapf Dingbats" w:hAnsi="Zapf Dingbats"/>
          <w:color w:val="000000"/>
        </w:rPr>
        <w:t>✔</w:t>
      </w:r>
    </w:p>
    <w:p w14:paraId="698B993F" w14:textId="73352F90" w:rsidR="00A41FA0" w:rsidRPr="00CA6ADF" w:rsidRDefault="00A41FA0" w:rsidP="00991B6C">
      <w:pPr>
        <w:pStyle w:val="BodyText"/>
        <w:numPr>
          <w:ilvl w:val="0"/>
          <w:numId w:val="33"/>
        </w:numPr>
        <w:tabs>
          <w:tab w:val="clear" w:pos="360"/>
        </w:tabs>
        <w:overflowPunct/>
        <w:autoSpaceDE/>
        <w:autoSpaceDN/>
        <w:adjustRightInd/>
        <w:spacing w:after="60" w:line="240" w:lineRule="auto"/>
        <w:ind w:left="446" w:hanging="446"/>
        <w:textAlignment w:val="auto"/>
        <w:rPr>
          <w:rFonts w:ascii="Arial" w:hAnsi="Arial" w:cs="Arial"/>
          <w:b/>
          <w:sz w:val="21"/>
          <w:szCs w:val="21"/>
        </w:rPr>
      </w:pPr>
      <w:r w:rsidRPr="00CA6ADF">
        <w:rPr>
          <w:rFonts w:ascii="Arial" w:hAnsi="Arial" w:cs="Arial"/>
          <w:sz w:val="21"/>
          <w:szCs w:val="21"/>
        </w:rPr>
        <w:t>News and Awareness materials</w:t>
      </w:r>
      <w:r>
        <w:rPr>
          <w:rFonts w:ascii="Arial" w:hAnsi="Arial" w:cs="Arial"/>
          <w:sz w:val="21"/>
          <w:szCs w:val="21"/>
        </w:rPr>
        <w:t xml:space="preserve"> </w:t>
      </w:r>
      <w:r w:rsidRPr="00BE4D21">
        <w:rPr>
          <w:rFonts w:ascii="Zapf Dingbats" w:hAnsi="Zapf Dingbats"/>
          <w:color w:val="000000"/>
        </w:rPr>
        <w:t>✔</w:t>
      </w:r>
    </w:p>
    <w:p w14:paraId="2B82EECA" w14:textId="77777777" w:rsidR="00A41FA0" w:rsidRPr="00CA6ADF" w:rsidRDefault="00A41FA0" w:rsidP="00A41FA0">
      <w:pPr>
        <w:rPr>
          <w:rFonts w:ascii="Arial" w:hAnsi="Arial" w:cs="Arial"/>
          <w:sz w:val="21"/>
          <w:szCs w:val="21"/>
        </w:rPr>
      </w:pPr>
    </w:p>
    <w:p w14:paraId="4A21B875" w14:textId="2D391A36" w:rsidR="009F33ED" w:rsidRPr="00A41FA0" w:rsidRDefault="00A41FA0" w:rsidP="009F33ED">
      <w:pPr>
        <w:widowControl w:val="0"/>
        <w:spacing w:after="60" w:line="345" w:lineRule="atLeast"/>
        <w:rPr>
          <w:rFonts w:asciiTheme="minorHAnsi" w:hAnsiTheme="minorHAnsi"/>
          <w:b/>
          <w:color w:val="000000"/>
          <w:sz w:val="20"/>
          <w:szCs w:val="24"/>
        </w:rPr>
      </w:pPr>
      <w:r w:rsidRPr="00A41FA0">
        <w:rPr>
          <w:rFonts w:asciiTheme="minorHAnsi" w:hAnsiTheme="minorHAnsi"/>
          <w:b/>
          <w:color w:val="000000"/>
          <w:sz w:val="20"/>
          <w:szCs w:val="24"/>
        </w:rPr>
        <w:t>Note:</w:t>
      </w:r>
      <w:r>
        <w:rPr>
          <w:rFonts w:asciiTheme="minorHAnsi" w:hAnsiTheme="minorHAnsi"/>
          <w:b/>
          <w:color w:val="000000"/>
          <w:sz w:val="20"/>
          <w:szCs w:val="24"/>
        </w:rPr>
        <w:t xml:space="preserve"> Some other information sources cited in text or footnotes.</w:t>
      </w:r>
    </w:p>
    <w:p w14:paraId="259D2E05" w14:textId="77777777" w:rsidR="001D6F51" w:rsidRDefault="001D6F51" w:rsidP="001D6F51">
      <w:pPr>
        <w:spacing w:after="60" w:line="345" w:lineRule="atLeast"/>
        <w:rPr>
          <w:rFonts w:asciiTheme="minorHAnsi" w:hAnsiTheme="minorHAnsi"/>
          <w:color w:val="000000"/>
          <w:sz w:val="20"/>
          <w:szCs w:val="24"/>
        </w:rPr>
      </w:pPr>
    </w:p>
    <w:p w14:paraId="43E1E020" w14:textId="77777777" w:rsidR="00CD0232" w:rsidRDefault="00CD0232" w:rsidP="004508FC">
      <w:pPr>
        <w:pStyle w:val="Default"/>
        <w:sectPr w:rsidR="00CD0232" w:rsidSect="001B651D">
          <w:footnotePr>
            <w:numRestart w:val="eachPage"/>
          </w:footnotePr>
          <w:pgSz w:w="11906" w:h="16838" w:code="1"/>
          <w:pgMar w:top="1440" w:right="1440" w:bottom="1440" w:left="1440" w:header="288" w:footer="288" w:gutter="0"/>
          <w:pgNumType w:start="1"/>
          <w:cols w:space="708"/>
          <w:docGrid w:linePitch="299"/>
        </w:sectPr>
      </w:pPr>
    </w:p>
    <w:p w14:paraId="48AC9CB6" w14:textId="1450F93E" w:rsidR="00CD0232" w:rsidRPr="00E22EBA" w:rsidRDefault="00CD0232" w:rsidP="00CD0232">
      <w:pPr>
        <w:pStyle w:val="Heading2"/>
        <w:tabs>
          <w:tab w:val="left" w:pos="1134"/>
        </w:tabs>
        <w:spacing w:after="120" w:line="240" w:lineRule="auto"/>
        <w:rPr>
          <w:rFonts w:asciiTheme="minorHAnsi" w:hAnsiTheme="minorHAnsi"/>
          <w:b/>
          <w:caps w:val="0"/>
        </w:rPr>
      </w:pPr>
      <w:bookmarkStart w:id="250" w:name="_Toc414745352"/>
      <w:r w:rsidRPr="00E22EBA">
        <w:rPr>
          <w:rFonts w:asciiTheme="minorHAnsi" w:hAnsiTheme="minorHAnsi"/>
          <w:b/>
          <w:caps w:val="0"/>
        </w:rPr>
        <w:lastRenderedPageBreak/>
        <w:t xml:space="preserve">Annex </w:t>
      </w:r>
      <w:r>
        <w:rPr>
          <w:rFonts w:asciiTheme="minorHAnsi" w:hAnsiTheme="minorHAnsi"/>
          <w:b/>
          <w:caps w:val="0"/>
        </w:rPr>
        <w:t>6</w:t>
      </w:r>
      <w:r>
        <w:rPr>
          <w:rFonts w:asciiTheme="minorHAnsi" w:hAnsiTheme="minorHAnsi"/>
          <w:b/>
          <w:caps w:val="0"/>
        </w:rPr>
        <w:tab/>
      </w:r>
      <w:r w:rsidR="004A76C6">
        <w:rPr>
          <w:rFonts w:asciiTheme="minorHAnsi" w:hAnsiTheme="minorHAnsi"/>
          <w:b/>
          <w:caps w:val="0"/>
        </w:rPr>
        <w:t>Template for Reporting Achievement of Results by End of Project</w:t>
      </w:r>
      <w:r w:rsidR="00B53C46">
        <w:rPr>
          <w:rFonts w:asciiTheme="minorHAnsi" w:hAnsiTheme="minorHAnsi"/>
          <w:b/>
          <w:caps w:val="0"/>
        </w:rPr>
        <w:t xml:space="preserve"> </w:t>
      </w:r>
      <w:r w:rsidR="006C333E">
        <w:rPr>
          <w:rFonts w:asciiTheme="minorHAnsi" w:hAnsiTheme="minorHAnsi"/>
          <w:b/>
          <w:caps w:val="0"/>
        </w:rPr>
        <w:t>– October 2018</w:t>
      </w:r>
      <w:bookmarkEnd w:id="250"/>
    </w:p>
    <w:p w14:paraId="19FB2E64" w14:textId="7B749E17" w:rsidR="004508FC" w:rsidRDefault="004508FC" w:rsidP="004508FC">
      <w:pPr>
        <w:pStyle w:val="Default"/>
      </w:pPr>
    </w:p>
    <w:p w14:paraId="7FA3A076" w14:textId="77777777" w:rsidR="004A76C6" w:rsidRPr="0055467A" w:rsidRDefault="004A76C6" w:rsidP="004A76C6">
      <w:pPr>
        <w:spacing w:after="60"/>
        <w:rPr>
          <w:rFonts w:ascii="Calibri" w:hAnsi="Calibri"/>
          <w:b/>
          <w:sz w:val="20"/>
          <w:u w:val="single"/>
        </w:rPr>
      </w:pPr>
      <w:r w:rsidRPr="0055467A">
        <w:rPr>
          <w:rFonts w:ascii="Calibri" w:hAnsi="Calibri"/>
          <w:b/>
          <w:sz w:val="20"/>
          <w:u w:val="single"/>
        </w:rPr>
        <w:t>Assessment Key:</w:t>
      </w:r>
    </w:p>
    <w:tbl>
      <w:tblPr>
        <w:tblStyle w:val="TableGrid"/>
        <w:tblW w:w="0" w:type="auto"/>
        <w:tblInd w:w="198" w:type="dxa"/>
        <w:tblLook w:val="04A0" w:firstRow="1" w:lastRow="0" w:firstColumn="1" w:lastColumn="0" w:noHBand="0" w:noVBand="1"/>
      </w:tblPr>
      <w:tblGrid>
        <w:gridCol w:w="3090"/>
        <w:gridCol w:w="3090"/>
        <w:gridCol w:w="3090"/>
      </w:tblGrid>
      <w:tr w:rsidR="004A76C6" w:rsidRPr="0055467A" w14:paraId="4885B40F" w14:textId="77777777" w:rsidTr="004071E2">
        <w:tc>
          <w:tcPr>
            <w:tcW w:w="3090" w:type="dxa"/>
            <w:shd w:val="clear" w:color="auto" w:fill="00FF00"/>
          </w:tcPr>
          <w:p w14:paraId="434FBC43" w14:textId="77777777" w:rsidR="004A76C6" w:rsidRPr="0055467A" w:rsidRDefault="004A76C6" w:rsidP="004A76C6">
            <w:pPr>
              <w:spacing w:before="40" w:after="40"/>
              <w:rPr>
                <w:rFonts w:ascii="Calibri" w:hAnsi="Calibri"/>
                <w:b/>
                <w:sz w:val="20"/>
              </w:rPr>
            </w:pPr>
            <w:r w:rsidRPr="0055467A">
              <w:rPr>
                <w:rFonts w:ascii="Calibri" w:hAnsi="Calibri"/>
                <w:b/>
                <w:sz w:val="20"/>
              </w:rPr>
              <w:t xml:space="preserve">Green: </w:t>
            </w:r>
            <w:r w:rsidRPr="0055467A">
              <w:rPr>
                <w:rFonts w:ascii="Calibri" w:hAnsi="Calibri"/>
                <w:sz w:val="20"/>
              </w:rPr>
              <w:t>Achieved</w:t>
            </w:r>
          </w:p>
        </w:tc>
        <w:tc>
          <w:tcPr>
            <w:tcW w:w="3090" w:type="dxa"/>
            <w:shd w:val="clear" w:color="auto" w:fill="FFFF00"/>
          </w:tcPr>
          <w:p w14:paraId="64F637AB" w14:textId="77777777" w:rsidR="004A76C6" w:rsidRPr="0055467A" w:rsidRDefault="004A76C6" w:rsidP="004A76C6">
            <w:pPr>
              <w:spacing w:before="40" w:after="40"/>
              <w:rPr>
                <w:rFonts w:ascii="Calibri" w:hAnsi="Calibri"/>
                <w:b/>
                <w:sz w:val="20"/>
              </w:rPr>
            </w:pPr>
            <w:r w:rsidRPr="0055467A">
              <w:rPr>
                <w:rFonts w:ascii="Calibri" w:hAnsi="Calibri"/>
                <w:b/>
                <w:sz w:val="20"/>
              </w:rPr>
              <w:t xml:space="preserve">Yellow: </w:t>
            </w:r>
            <w:r w:rsidRPr="0055467A">
              <w:rPr>
                <w:rFonts w:ascii="Calibri" w:hAnsi="Calibri"/>
                <w:sz w:val="20"/>
              </w:rPr>
              <w:t>On target to be achieved</w:t>
            </w:r>
          </w:p>
        </w:tc>
        <w:tc>
          <w:tcPr>
            <w:tcW w:w="3090" w:type="dxa"/>
            <w:shd w:val="clear" w:color="auto" w:fill="FF0000"/>
          </w:tcPr>
          <w:p w14:paraId="54C29973" w14:textId="77777777" w:rsidR="004A76C6" w:rsidRPr="0055467A" w:rsidRDefault="004A76C6" w:rsidP="004A76C6">
            <w:pPr>
              <w:spacing w:before="40" w:after="40"/>
              <w:rPr>
                <w:rFonts w:ascii="Calibri" w:hAnsi="Calibri"/>
                <w:b/>
                <w:sz w:val="20"/>
              </w:rPr>
            </w:pPr>
            <w:r w:rsidRPr="0055467A">
              <w:rPr>
                <w:rFonts w:ascii="Calibri" w:hAnsi="Calibri"/>
                <w:b/>
                <w:sz w:val="20"/>
              </w:rPr>
              <w:t xml:space="preserve">Red: </w:t>
            </w:r>
            <w:r w:rsidRPr="0055467A">
              <w:rPr>
                <w:rFonts w:ascii="Calibri" w:hAnsi="Calibri"/>
                <w:sz w:val="20"/>
              </w:rPr>
              <w:t>Not on target to be achieved</w:t>
            </w:r>
          </w:p>
        </w:tc>
      </w:tr>
    </w:tbl>
    <w:p w14:paraId="4C5970C6" w14:textId="77777777" w:rsidR="004A76C6" w:rsidRPr="00123F07" w:rsidRDefault="004A76C6" w:rsidP="00945044">
      <w:pPr>
        <w:spacing w:before="120" w:after="120"/>
        <w:ind w:right="208"/>
        <w:rPr>
          <w:rFonts w:ascii="Calibri" w:hAnsi="Calibri" w:cs="Arial"/>
          <w:sz w:val="20"/>
        </w:rPr>
      </w:pPr>
      <w:r w:rsidRPr="00123F07">
        <w:rPr>
          <w:rFonts w:ascii="Calibri" w:hAnsi="Calibri" w:cs="Arial"/>
          <w:b/>
          <w:sz w:val="20"/>
          <w:highlight w:val="yellow"/>
        </w:rPr>
        <w:t>Notes:</w:t>
      </w:r>
      <w:r w:rsidRPr="00123F07">
        <w:rPr>
          <w:rFonts w:ascii="Calibri" w:hAnsi="Calibri" w:cs="Arial"/>
          <w:sz w:val="20"/>
          <w:highlight w:val="yellow"/>
        </w:rPr>
        <w:tab/>
        <w:t>(1) The table is extracted from the MTR (see Annex 1) and the additional Columns 6-7 should be filled in by PMU based on its assessment of target status in October 2018 (and whether or not it is likely to be achieved by end of project in December 2018). (2) When updating SRF, please provide relevant data/statistics/information, and indicate in square brackets the source of that information.</w:t>
      </w:r>
    </w:p>
    <w:tbl>
      <w:tblPr>
        <w:tblpPr w:leftFromText="180" w:rightFromText="180" w:vertAnchor="text" w:tblpX="-308"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1"/>
        <w:gridCol w:w="1359"/>
        <w:gridCol w:w="1295"/>
        <w:gridCol w:w="1940"/>
        <w:gridCol w:w="1292"/>
        <w:gridCol w:w="1295"/>
        <w:gridCol w:w="3232"/>
        <w:gridCol w:w="1940"/>
      </w:tblGrid>
      <w:tr w:rsidR="004A76C6" w:rsidRPr="00BB0AB8" w14:paraId="640CE232" w14:textId="77777777" w:rsidTr="00945044">
        <w:tc>
          <w:tcPr>
            <w:tcW w:w="593" w:type="pct"/>
            <w:tcBorders>
              <w:top w:val="single" w:sz="18" w:space="0" w:color="auto"/>
              <w:left w:val="single" w:sz="18" w:space="0" w:color="auto"/>
              <w:bottom w:val="single" w:sz="6" w:space="0" w:color="auto"/>
              <w:right w:val="single" w:sz="6" w:space="0" w:color="auto"/>
            </w:tcBorders>
            <w:shd w:val="clear" w:color="auto" w:fill="D6E3BC" w:themeFill="accent3" w:themeFillTint="66"/>
            <w:tcMar>
              <w:left w:w="28" w:type="dxa"/>
              <w:right w:w="28" w:type="dxa"/>
            </w:tcMar>
          </w:tcPr>
          <w:p w14:paraId="1E484728" w14:textId="77777777" w:rsidR="004A76C6" w:rsidRPr="00BB0AB8" w:rsidRDefault="004A76C6" w:rsidP="004A76C6">
            <w:pPr>
              <w:rPr>
                <w:rFonts w:ascii="Arial Narrow" w:hAnsi="Arial Narrow"/>
                <w:b/>
                <w:bCs/>
                <w:sz w:val="18"/>
                <w:szCs w:val="18"/>
              </w:rPr>
            </w:pPr>
            <w:r w:rsidRPr="00BB0AB8">
              <w:rPr>
                <w:rFonts w:ascii="Arial Narrow" w:hAnsi="Arial Narrow"/>
                <w:b/>
                <w:sz w:val="18"/>
                <w:szCs w:val="18"/>
              </w:rPr>
              <w:t>Indicator</w:t>
            </w:r>
          </w:p>
        </w:tc>
        <w:tc>
          <w:tcPr>
            <w:tcW w:w="485" w:type="pct"/>
            <w:tcBorders>
              <w:top w:val="single" w:sz="18" w:space="0" w:color="auto"/>
              <w:left w:val="single" w:sz="6" w:space="0" w:color="auto"/>
              <w:bottom w:val="single" w:sz="6" w:space="0" w:color="auto"/>
              <w:right w:val="single" w:sz="18" w:space="0" w:color="auto"/>
            </w:tcBorders>
            <w:shd w:val="clear" w:color="auto" w:fill="D6E3BC" w:themeFill="accent3" w:themeFillTint="66"/>
            <w:tcMar>
              <w:left w:w="28" w:type="dxa"/>
              <w:right w:w="28" w:type="dxa"/>
            </w:tcMar>
          </w:tcPr>
          <w:p w14:paraId="55DE7A3C" w14:textId="77777777" w:rsidR="004A76C6" w:rsidRPr="00BB0AB8" w:rsidRDefault="004A76C6" w:rsidP="004A76C6">
            <w:pPr>
              <w:rPr>
                <w:rFonts w:ascii="Arial Narrow" w:hAnsi="Arial Narrow"/>
                <w:b/>
                <w:bCs/>
                <w:sz w:val="18"/>
                <w:szCs w:val="18"/>
              </w:rPr>
            </w:pPr>
            <w:r w:rsidRPr="00BB0AB8">
              <w:rPr>
                <w:rFonts w:ascii="Arial Narrow" w:hAnsi="Arial Narrow"/>
                <w:b/>
                <w:sz w:val="18"/>
                <w:szCs w:val="18"/>
              </w:rPr>
              <w:t>Baseline Value</w:t>
            </w:r>
          </w:p>
        </w:tc>
        <w:tc>
          <w:tcPr>
            <w:tcW w:w="462" w:type="pct"/>
            <w:tcBorders>
              <w:top w:val="single" w:sz="18" w:space="0" w:color="auto"/>
              <w:left w:val="single" w:sz="18" w:space="0" w:color="auto"/>
              <w:bottom w:val="single" w:sz="6" w:space="0" w:color="auto"/>
              <w:right w:val="single" w:sz="6" w:space="0" w:color="auto"/>
            </w:tcBorders>
            <w:shd w:val="clear" w:color="auto" w:fill="D6E3BC" w:themeFill="accent3" w:themeFillTint="66"/>
            <w:tcMar>
              <w:left w:w="28" w:type="dxa"/>
              <w:right w:w="28" w:type="dxa"/>
            </w:tcMar>
          </w:tcPr>
          <w:p w14:paraId="53042C2F" w14:textId="77777777" w:rsidR="004A76C6" w:rsidRPr="00BB0AB8" w:rsidRDefault="004A76C6" w:rsidP="004A76C6">
            <w:pPr>
              <w:rPr>
                <w:rFonts w:ascii="Arial Narrow" w:hAnsi="Arial Narrow"/>
                <w:b/>
                <w:sz w:val="18"/>
                <w:szCs w:val="18"/>
              </w:rPr>
            </w:pPr>
            <w:r w:rsidRPr="00BB0AB8">
              <w:rPr>
                <w:rFonts w:ascii="Arial Narrow" w:hAnsi="Arial Narrow"/>
                <w:b/>
                <w:sz w:val="18"/>
                <w:szCs w:val="18"/>
              </w:rPr>
              <w:t>Mid-Term Status</w:t>
            </w:r>
          </w:p>
        </w:tc>
        <w:tc>
          <w:tcPr>
            <w:tcW w:w="692" w:type="pct"/>
            <w:tcBorders>
              <w:top w:val="single" w:sz="18" w:space="0" w:color="auto"/>
              <w:left w:val="single" w:sz="6" w:space="0" w:color="auto"/>
              <w:bottom w:val="single" w:sz="6" w:space="0" w:color="auto"/>
              <w:right w:val="single" w:sz="18" w:space="0" w:color="auto"/>
            </w:tcBorders>
            <w:shd w:val="clear" w:color="auto" w:fill="D6E3BC" w:themeFill="accent3" w:themeFillTint="66"/>
            <w:tcMar>
              <w:left w:w="28" w:type="dxa"/>
              <w:right w:w="28" w:type="dxa"/>
            </w:tcMar>
          </w:tcPr>
          <w:p w14:paraId="621FDF7D" w14:textId="77777777" w:rsidR="004A76C6" w:rsidRPr="00BB0AB8" w:rsidRDefault="004A76C6" w:rsidP="004A76C6">
            <w:pPr>
              <w:rPr>
                <w:rFonts w:ascii="Arial Narrow" w:hAnsi="Arial Narrow"/>
                <w:b/>
                <w:sz w:val="18"/>
                <w:szCs w:val="18"/>
              </w:rPr>
            </w:pPr>
            <w:r w:rsidRPr="00BB0AB8">
              <w:rPr>
                <w:rFonts w:ascii="Arial Narrow" w:hAnsi="Arial Narrow"/>
                <w:b/>
                <w:sz w:val="18"/>
                <w:szCs w:val="18"/>
              </w:rPr>
              <w:t>MTR Comments</w:t>
            </w:r>
          </w:p>
        </w:tc>
        <w:tc>
          <w:tcPr>
            <w:tcW w:w="461" w:type="pct"/>
            <w:tcBorders>
              <w:top w:val="single" w:sz="18" w:space="0" w:color="auto"/>
              <w:left w:val="single" w:sz="18" w:space="0" w:color="auto"/>
              <w:bottom w:val="single" w:sz="6" w:space="0" w:color="auto"/>
              <w:right w:val="single" w:sz="6" w:space="0" w:color="auto"/>
            </w:tcBorders>
            <w:shd w:val="clear" w:color="auto" w:fill="D6E3BC" w:themeFill="accent3" w:themeFillTint="66"/>
            <w:tcMar>
              <w:left w:w="28" w:type="dxa"/>
              <w:right w:w="28" w:type="dxa"/>
            </w:tcMar>
          </w:tcPr>
          <w:p w14:paraId="7BCDA522" w14:textId="77777777" w:rsidR="004A76C6" w:rsidRPr="00BB0AB8" w:rsidRDefault="004A76C6" w:rsidP="004A76C6">
            <w:pPr>
              <w:rPr>
                <w:rFonts w:ascii="Arial Narrow" w:hAnsi="Arial Narrow"/>
                <w:b/>
                <w:bCs/>
                <w:sz w:val="18"/>
                <w:szCs w:val="18"/>
              </w:rPr>
            </w:pPr>
            <w:r w:rsidRPr="00BB0AB8">
              <w:rPr>
                <w:rFonts w:ascii="Arial Narrow" w:hAnsi="Arial Narrow"/>
                <w:b/>
                <w:sz w:val="18"/>
                <w:szCs w:val="18"/>
              </w:rPr>
              <w:t>End of Project Target</w:t>
            </w:r>
          </w:p>
        </w:tc>
        <w:tc>
          <w:tcPr>
            <w:tcW w:w="462" w:type="pct"/>
            <w:tcBorders>
              <w:top w:val="single" w:sz="18" w:space="0" w:color="auto"/>
              <w:left w:val="single" w:sz="6" w:space="0" w:color="auto"/>
              <w:bottom w:val="single" w:sz="6" w:space="0" w:color="auto"/>
              <w:right w:val="single" w:sz="6" w:space="0" w:color="auto"/>
            </w:tcBorders>
            <w:shd w:val="clear" w:color="auto" w:fill="D6E3BC" w:themeFill="accent3" w:themeFillTint="66"/>
            <w:tcMar>
              <w:left w:w="28" w:type="dxa"/>
              <w:right w:w="28" w:type="dxa"/>
            </w:tcMar>
          </w:tcPr>
          <w:p w14:paraId="1B450AAE" w14:textId="77777777" w:rsidR="004A76C6" w:rsidRPr="00BB0AB8" w:rsidRDefault="004A76C6" w:rsidP="004A76C6">
            <w:pPr>
              <w:rPr>
                <w:rFonts w:ascii="Arial Narrow" w:hAnsi="Arial Narrow"/>
                <w:b/>
                <w:bCs/>
                <w:sz w:val="18"/>
                <w:szCs w:val="18"/>
              </w:rPr>
            </w:pPr>
            <w:r w:rsidRPr="00BB0AB8">
              <w:rPr>
                <w:rFonts w:ascii="Arial Narrow" w:hAnsi="Arial Narrow"/>
                <w:b/>
                <w:sz w:val="18"/>
                <w:szCs w:val="18"/>
              </w:rPr>
              <w:t>End of Project Status - PMU</w:t>
            </w:r>
          </w:p>
        </w:tc>
        <w:tc>
          <w:tcPr>
            <w:tcW w:w="1153" w:type="pct"/>
            <w:tcBorders>
              <w:top w:val="single" w:sz="18" w:space="0" w:color="auto"/>
              <w:left w:val="single" w:sz="6" w:space="0" w:color="auto"/>
              <w:bottom w:val="single" w:sz="6" w:space="0" w:color="auto"/>
              <w:right w:val="single" w:sz="6" w:space="0" w:color="auto"/>
            </w:tcBorders>
            <w:shd w:val="clear" w:color="auto" w:fill="D6E3BC" w:themeFill="accent3" w:themeFillTint="66"/>
            <w:tcMar>
              <w:left w:w="28" w:type="dxa"/>
              <w:right w:w="28" w:type="dxa"/>
            </w:tcMar>
          </w:tcPr>
          <w:p w14:paraId="42B77C78" w14:textId="77777777" w:rsidR="004A76C6" w:rsidRPr="00BB0AB8" w:rsidRDefault="004A76C6" w:rsidP="004A76C6">
            <w:pPr>
              <w:rPr>
                <w:rFonts w:ascii="Arial Narrow" w:hAnsi="Arial Narrow"/>
                <w:b/>
                <w:sz w:val="18"/>
                <w:szCs w:val="18"/>
              </w:rPr>
            </w:pPr>
            <w:r w:rsidRPr="00BB0AB8">
              <w:rPr>
                <w:rFonts w:ascii="Arial Narrow" w:hAnsi="Arial Narrow"/>
                <w:b/>
                <w:sz w:val="18"/>
                <w:szCs w:val="18"/>
              </w:rPr>
              <w:t>EOP Assessment by PMU</w:t>
            </w:r>
          </w:p>
        </w:tc>
        <w:tc>
          <w:tcPr>
            <w:tcW w:w="692" w:type="pct"/>
            <w:tcBorders>
              <w:top w:val="single" w:sz="18" w:space="0" w:color="auto"/>
              <w:left w:val="single" w:sz="6" w:space="0" w:color="auto"/>
              <w:bottom w:val="single" w:sz="6" w:space="0" w:color="auto"/>
              <w:right w:val="single" w:sz="18" w:space="0" w:color="auto"/>
            </w:tcBorders>
            <w:shd w:val="clear" w:color="auto" w:fill="D6E3BC" w:themeFill="accent3" w:themeFillTint="66"/>
            <w:tcMar>
              <w:left w:w="28" w:type="dxa"/>
              <w:right w:w="28" w:type="dxa"/>
            </w:tcMar>
          </w:tcPr>
          <w:p w14:paraId="142ED778" w14:textId="77777777" w:rsidR="004A76C6" w:rsidRPr="00BB0AB8" w:rsidRDefault="004A76C6" w:rsidP="004A76C6">
            <w:pPr>
              <w:rPr>
                <w:rFonts w:ascii="Arial Narrow" w:hAnsi="Arial Narrow"/>
                <w:b/>
                <w:bCs/>
                <w:sz w:val="18"/>
                <w:szCs w:val="18"/>
              </w:rPr>
            </w:pPr>
            <w:r w:rsidRPr="00BB0AB8">
              <w:rPr>
                <w:rFonts w:ascii="Arial Narrow" w:hAnsi="Arial Narrow"/>
                <w:b/>
                <w:sz w:val="18"/>
                <w:szCs w:val="18"/>
              </w:rPr>
              <w:t>EOP Assessment by Evaluators</w:t>
            </w:r>
          </w:p>
        </w:tc>
      </w:tr>
      <w:tr w:rsidR="004A76C6" w:rsidRPr="00BB0AB8" w14:paraId="270DAFCD" w14:textId="77777777" w:rsidTr="00945044">
        <w:tc>
          <w:tcPr>
            <w:tcW w:w="5000" w:type="pct"/>
            <w:gridSpan w:val="8"/>
            <w:tcBorders>
              <w:left w:val="single" w:sz="18" w:space="0" w:color="auto"/>
              <w:right w:val="single" w:sz="18" w:space="0" w:color="auto"/>
            </w:tcBorders>
            <w:shd w:val="clear" w:color="auto" w:fill="BFBFBF" w:themeFill="background1" w:themeFillShade="BF"/>
            <w:vAlign w:val="center"/>
          </w:tcPr>
          <w:p w14:paraId="5D4E7C91" w14:textId="77777777" w:rsidR="004A76C6" w:rsidRPr="00BB0AB8" w:rsidRDefault="004A76C6" w:rsidP="004A76C6">
            <w:pPr>
              <w:rPr>
                <w:rFonts w:ascii="Arial Narrow" w:hAnsi="Arial Narrow"/>
                <w:sz w:val="18"/>
                <w:szCs w:val="18"/>
                <w:u w:val="single"/>
              </w:rPr>
            </w:pPr>
            <w:r w:rsidRPr="00BB0AB8">
              <w:rPr>
                <w:rFonts w:ascii="Arial Narrow" w:hAnsi="Arial Narrow"/>
                <w:b/>
                <w:sz w:val="18"/>
                <w:szCs w:val="18"/>
              </w:rPr>
              <w:t>Objective:</w:t>
            </w:r>
            <w:r w:rsidRPr="00BB0AB8">
              <w:rPr>
                <w:rFonts w:ascii="Arial Narrow" w:hAnsi="Arial Narrow"/>
                <w:sz w:val="18"/>
                <w:szCs w:val="18"/>
              </w:rPr>
              <w:t xml:space="preserve"> </w:t>
            </w:r>
            <w:r w:rsidRPr="00BB0AB8">
              <w:rPr>
                <w:rFonts w:ascii="Arial Narrow" w:hAnsi="Arial Narrow"/>
                <w:iCs/>
                <w:sz w:val="18"/>
                <w:szCs w:val="18"/>
              </w:rPr>
              <w:t>To enhance the management effectiveness, biogeographically coverage and connectivity of Protected Areas to conserve forest ecosystems in the Achara Region</w:t>
            </w:r>
          </w:p>
        </w:tc>
      </w:tr>
      <w:tr w:rsidR="004A76C6" w:rsidRPr="00BB0AB8" w14:paraId="46529E11" w14:textId="77777777" w:rsidTr="004071E2">
        <w:tc>
          <w:tcPr>
            <w:tcW w:w="593" w:type="pct"/>
            <w:tcBorders>
              <w:top w:val="single" w:sz="6" w:space="0" w:color="auto"/>
              <w:left w:val="single" w:sz="18" w:space="0" w:color="auto"/>
              <w:bottom w:val="single" w:sz="6" w:space="0" w:color="auto"/>
              <w:right w:val="single" w:sz="6" w:space="0" w:color="auto"/>
            </w:tcBorders>
            <w:tcMar>
              <w:left w:w="28" w:type="dxa"/>
              <w:right w:w="28" w:type="dxa"/>
            </w:tcMar>
          </w:tcPr>
          <w:p w14:paraId="531E1F3E" w14:textId="77777777" w:rsidR="004A76C6" w:rsidRPr="00BB0AB8" w:rsidRDefault="004A76C6" w:rsidP="004A76C6">
            <w:pPr>
              <w:rPr>
                <w:rFonts w:ascii="Arial Narrow" w:hAnsi="Arial Narrow"/>
                <w:b/>
                <w:bCs/>
                <w:sz w:val="18"/>
                <w:szCs w:val="18"/>
              </w:rPr>
            </w:pPr>
            <w:r w:rsidRPr="00BB0AB8">
              <w:rPr>
                <w:rFonts w:ascii="Arial Narrow" w:hAnsi="Arial Narrow"/>
                <w:sz w:val="18"/>
                <w:szCs w:val="18"/>
              </w:rPr>
              <w:t>Protected Area Coverage within the Achara Region increased</w:t>
            </w:r>
          </w:p>
          <w:p w14:paraId="45A16A36" w14:textId="77777777" w:rsidR="004A76C6" w:rsidRPr="00BB0AB8" w:rsidRDefault="004A76C6" w:rsidP="004A76C6">
            <w:pPr>
              <w:rPr>
                <w:rFonts w:ascii="Arial Narrow" w:hAnsi="Arial Narrow"/>
                <w:b/>
                <w:bCs/>
                <w:sz w:val="18"/>
                <w:szCs w:val="18"/>
              </w:rPr>
            </w:pPr>
          </w:p>
        </w:tc>
        <w:tc>
          <w:tcPr>
            <w:tcW w:w="485" w:type="pct"/>
            <w:tcBorders>
              <w:top w:val="single" w:sz="6" w:space="0" w:color="auto"/>
              <w:left w:val="single" w:sz="6" w:space="0" w:color="auto"/>
              <w:bottom w:val="single" w:sz="6" w:space="0" w:color="auto"/>
              <w:right w:val="single" w:sz="18" w:space="0" w:color="auto"/>
            </w:tcBorders>
            <w:tcMar>
              <w:left w:w="28" w:type="dxa"/>
              <w:right w:w="28" w:type="dxa"/>
            </w:tcMar>
          </w:tcPr>
          <w:p w14:paraId="5C74678B" w14:textId="77777777" w:rsidR="004A76C6" w:rsidRPr="00BB0AB8" w:rsidRDefault="004A76C6" w:rsidP="004A76C6">
            <w:pPr>
              <w:rPr>
                <w:rFonts w:ascii="Arial Narrow" w:hAnsi="Arial Narrow"/>
                <w:b/>
                <w:bCs/>
                <w:sz w:val="18"/>
                <w:szCs w:val="18"/>
              </w:rPr>
            </w:pPr>
            <w:r w:rsidRPr="00BB0AB8">
              <w:rPr>
                <w:rFonts w:ascii="Arial Narrow" w:hAnsi="Arial Narrow"/>
                <w:sz w:val="18"/>
                <w:szCs w:val="18"/>
              </w:rPr>
              <w:t>30,469 ha</w:t>
            </w:r>
          </w:p>
        </w:tc>
        <w:tc>
          <w:tcPr>
            <w:tcW w:w="462" w:type="pct"/>
            <w:tcBorders>
              <w:top w:val="single" w:sz="6" w:space="0" w:color="auto"/>
              <w:left w:val="single" w:sz="18" w:space="0" w:color="auto"/>
              <w:bottom w:val="single" w:sz="6" w:space="0" w:color="auto"/>
              <w:right w:val="single" w:sz="6" w:space="0" w:color="auto"/>
            </w:tcBorders>
            <w:tcMar>
              <w:left w:w="28" w:type="dxa"/>
              <w:right w:w="28" w:type="dxa"/>
            </w:tcMar>
          </w:tcPr>
          <w:p w14:paraId="78B515BC" w14:textId="77777777" w:rsidR="004A76C6" w:rsidRPr="00BB0AB8" w:rsidRDefault="004A76C6" w:rsidP="004A76C6">
            <w:pPr>
              <w:widowControl w:val="0"/>
              <w:rPr>
                <w:rFonts w:ascii="Arial Narrow" w:hAnsi="Arial Narrow" w:cs="Times Roman"/>
                <w:color w:val="000000"/>
                <w:sz w:val="18"/>
                <w:szCs w:val="18"/>
                <w:lang w:val="en-US"/>
              </w:rPr>
            </w:pPr>
            <w:r w:rsidRPr="00BB0AB8">
              <w:rPr>
                <w:rFonts w:ascii="Arial Narrow" w:hAnsi="Arial Narrow" w:cs="Times Roman"/>
                <w:color w:val="000000"/>
                <w:sz w:val="18"/>
                <w:szCs w:val="18"/>
                <w:lang w:val="en-US"/>
              </w:rPr>
              <w:t xml:space="preserve">37,774 ha </w:t>
            </w:r>
          </w:p>
          <w:p w14:paraId="560FD01F" w14:textId="77777777" w:rsidR="004A76C6" w:rsidRPr="00BB0AB8" w:rsidRDefault="004A76C6" w:rsidP="004A76C6">
            <w:pPr>
              <w:widowControl w:val="0"/>
              <w:rPr>
                <w:rFonts w:ascii="Arial Narrow" w:hAnsi="Arial Narrow" w:cs="Times Roman"/>
                <w:color w:val="000000"/>
                <w:sz w:val="18"/>
                <w:szCs w:val="18"/>
                <w:lang w:val="en-US"/>
              </w:rPr>
            </w:pPr>
            <w:r w:rsidRPr="00BB0AB8">
              <w:rPr>
                <w:rFonts w:ascii="Arial Narrow" w:hAnsi="Arial Narrow" w:cs="Times Roman"/>
                <w:color w:val="000000"/>
                <w:sz w:val="18"/>
                <w:szCs w:val="18"/>
                <w:lang w:val="en-US"/>
              </w:rPr>
              <w:t>(indicator reduced by 1,428 ha from 1</w:t>
            </w:r>
            <w:r w:rsidRPr="00BB0AB8">
              <w:rPr>
                <w:rFonts w:ascii="Arial Narrow" w:hAnsi="Arial Narrow" w:cs="Times Roman"/>
                <w:color w:val="000000"/>
                <w:position w:val="8"/>
                <w:sz w:val="18"/>
                <w:szCs w:val="18"/>
                <w:lang w:val="en-US"/>
              </w:rPr>
              <w:t xml:space="preserve">st </w:t>
            </w:r>
            <w:r w:rsidRPr="00BB0AB8">
              <w:rPr>
                <w:rFonts w:ascii="Arial Narrow" w:hAnsi="Arial Narrow" w:cs="Times Roman"/>
                <w:color w:val="000000"/>
                <w:sz w:val="18"/>
                <w:szCs w:val="18"/>
                <w:lang w:val="en-US"/>
              </w:rPr>
              <w:t xml:space="preserve">PIR level and awaiting final enactment of new boundaries for Machakhela NP) </w:t>
            </w:r>
          </w:p>
        </w:tc>
        <w:tc>
          <w:tcPr>
            <w:tcW w:w="692" w:type="pct"/>
            <w:tcBorders>
              <w:top w:val="single" w:sz="6" w:space="0" w:color="auto"/>
              <w:left w:val="single" w:sz="6" w:space="0" w:color="auto"/>
              <w:bottom w:val="single" w:sz="6" w:space="0" w:color="auto"/>
              <w:right w:val="single" w:sz="18" w:space="0" w:color="auto"/>
            </w:tcBorders>
            <w:tcMar>
              <w:left w:w="28" w:type="dxa"/>
              <w:right w:w="28" w:type="dxa"/>
            </w:tcMar>
          </w:tcPr>
          <w:p w14:paraId="37B014CC" w14:textId="77777777" w:rsidR="004A76C6" w:rsidRPr="00BB0AB8" w:rsidRDefault="004A76C6" w:rsidP="004A76C6">
            <w:pPr>
              <w:widowControl w:val="0"/>
              <w:rPr>
                <w:rFonts w:ascii="Arial Narrow" w:hAnsi="Arial Narrow" w:cs="Times Roman"/>
                <w:color w:val="000000"/>
                <w:sz w:val="18"/>
                <w:szCs w:val="18"/>
                <w:lang w:val="en-US"/>
              </w:rPr>
            </w:pPr>
            <w:r w:rsidRPr="00BB0AB8">
              <w:rPr>
                <w:rFonts w:ascii="Arial Narrow" w:hAnsi="Arial Narrow" w:cs="Times Roman"/>
                <w:color w:val="000000"/>
                <w:sz w:val="18"/>
                <w:szCs w:val="18"/>
                <w:lang w:val="en-US"/>
              </w:rPr>
              <w:t xml:space="preserve">Progress is satisfactory – even though APA accepted the realigned boundaries with no further negotiation (see para 41 (point 6) for a full discussion) </w:t>
            </w:r>
          </w:p>
        </w:tc>
        <w:tc>
          <w:tcPr>
            <w:tcW w:w="461" w:type="pct"/>
            <w:tcBorders>
              <w:top w:val="single" w:sz="6" w:space="0" w:color="auto"/>
              <w:left w:val="single" w:sz="18" w:space="0" w:color="auto"/>
              <w:bottom w:val="single" w:sz="6" w:space="0" w:color="auto"/>
              <w:right w:val="single" w:sz="6" w:space="0" w:color="auto"/>
            </w:tcBorders>
            <w:tcMar>
              <w:left w:w="28" w:type="dxa"/>
              <w:right w:w="28" w:type="dxa"/>
            </w:tcMar>
          </w:tcPr>
          <w:p w14:paraId="791AA049" w14:textId="77777777" w:rsidR="004A76C6" w:rsidRPr="00BB0AB8" w:rsidRDefault="004A76C6" w:rsidP="004A76C6">
            <w:pPr>
              <w:rPr>
                <w:rFonts w:ascii="Arial Narrow" w:hAnsi="Arial Narrow"/>
                <w:b/>
                <w:bCs/>
                <w:sz w:val="18"/>
                <w:szCs w:val="18"/>
              </w:rPr>
            </w:pPr>
            <w:r w:rsidRPr="00BB0AB8">
              <w:rPr>
                <w:rFonts w:ascii="Arial Narrow" w:hAnsi="Arial Narrow"/>
                <w:sz w:val="18"/>
                <w:szCs w:val="18"/>
              </w:rPr>
              <w:t>39,202 ha</w:t>
            </w:r>
          </w:p>
        </w:tc>
        <w:tc>
          <w:tcPr>
            <w:tcW w:w="462" w:type="pct"/>
            <w:tcBorders>
              <w:top w:val="single" w:sz="6" w:space="0" w:color="auto"/>
              <w:left w:val="single" w:sz="6" w:space="0" w:color="auto"/>
              <w:bottom w:val="single" w:sz="6" w:space="0" w:color="auto"/>
              <w:right w:val="single" w:sz="6" w:space="0" w:color="auto"/>
            </w:tcBorders>
            <w:shd w:val="clear" w:color="auto" w:fill="00FF00"/>
            <w:tcMar>
              <w:left w:w="28" w:type="dxa"/>
              <w:right w:w="28" w:type="dxa"/>
            </w:tcMar>
          </w:tcPr>
          <w:p w14:paraId="0D8409FB" w14:textId="77777777" w:rsidR="004A76C6" w:rsidRPr="00BB0AB8" w:rsidRDefault="004A76C6" w:rsidP="004A76C6">
            <w:pPr>
              <w:rPr>
                <w:rFonts w:ascii="Arial Narrow" w:hAnsi="Arial Narrow"/>
                <w:b/>
                <w:bCs/>
                <w:sz w:val="18"/>
                <w:szCs w:val="18"/>
                <w:highlight w:val="green"/>
              </w:rPr>
            </w:pPr>
            <w:r w:rsidRPr="00BB0AB8">
              <w:rPr>
                <w:rFonts w:ascii="Arial Narrow" w:hAnsi="Arial Narrow"/>
                <w:sz w:val="18"/>
                <w:szCs w:val="18"/>
                <w:highlight w:val="green"/>
              </w:rPr>
              <w:t>37,802.18 ha</w:t>
            </w:r>
          </w:p>
        </w:tc>
        <w:tc>
          <w:tcPr>
            <w:tcW w:w="1153" w:type="pct"/>
            <w:tcBorders>
              <w:top w:val="single" w:sz="6" w:space="0" w:color="auto"/>
              <w:left w:val="single" w:sz="6" w:space="0" w:color="auto"/>
              <w:bottom w:val="single" w:sz="6" w:space="0" w:color="auto"/>
              <w:right w:val="single" w:sz="6" w:space="0" w:color="auto"/>
            </w:tcBorders>
            <w:tcMar>
              <w:left w:w="28" w:type="dxa"/>
              <w:right w:w="28" w:type="dxa"/>
            </w:tcMar>
          </w:tcPr>
          <w:p w14:paraId="1D7FA698" w14:textId="77777777" w:rsidR="004A76C6" w:rsidRPr="00BB0AB8" w:rsidRDefault="004A76C6" w:rsidP="004A76C6">
            <w:pPr>
              <w:rPr>
                <w:rFonts w:ascii="Arial Narrow" w:hAnsi="Arial Narrow"/>
                <w:sz w:val="18"/>
                <w:szCs w:val="18"/>
                <w:u w:val="single"/>
              </w:rPr>
            </w:pPr>
            <w:r w:rsidRPr="00BB0AB8">
              <w:rPr>
                <w:rFonts w:ascii="Arial Narrow" w:hAnsi="Arial Narrow"/>
                <w:sz w:val="18"/>
                <w:szCs w:val="18"/>
              </w:rPr>
              <w:t>Total area of the Machakhela NP territory was reduced in 2015 from original designated 8,733 ha to 7,305 ha as a result of boundary demarcation process organized by the project. This change was in response to the needs of local communities who were consulted during the process of delineation of boundaries (areas included in the original designated NP decree were identified as being actively used by local population for seasonal agriculture). As the areas removed are mainly those already used for agriculture their biodiversity value is not significant. The project is currently supporting an initiative for establishing a new protected area in the Machakhela valley, on territories outside of Machakhela National Park.  The area of planned PL is 4295 ha. If established the end of the project target level will be exceeded by around 2900 ha.</w:t>
            </w:r>
          </w:p>
        </w:tc>
        <w:tc>
          <w:tcPr>
            <w:tcW w:w="692" w:type="pct"/>
            <w:tcBorders>
              <w:top w:val="single" w:sz="6" w:space="0" w:color="auto"/>
              <w:left w:val="single" w:sz="6" w:space="0" w:color="auto"/>
              <w:right w:val="single" w:sz="18" w:space="0" w:color="auto"/>
            </w:tcBorders>
            <w:tcMar>
              <w:left w:w="28" w:type="dxa"/>
              <w:right w:w="28" w:type="dxa"/>
            </w:tcMar>
          </w:tcPr>
          <w:p w14:paraId="4526E8D7" w14:textId="77777777" w:rsidR="004A76C6" w:rsidRPr="00BB0AB8" w:rsidRDefault="004A76C6" w:rsidP="004A76C6">
            <w:pPr>
              <w:rPr>
                <w:rFonts w:ascii="Arial Narrow" w:hAnsi="Arial Narrow"/>
                <w:bCs/>
                <w:sz w:val="18"/>
                <w:szCs w:val="18"/>
                <w:highlight w:val="green"/>
              </w:rPr>
            </w:pPr>
            <w:r w:rsidRPr="00BB0AB8">
              <w:rPr>
                <w:rFonts w:ascii="Arial Narrow" w:hAnsi="Arial Narrow"/>
                <w:bCs/>
                <w:sz w:val="18"/>
                <w:szCs w:val="18"/>
                <w:highlight w:val="green"/>
              </w:rPr>
              <w:t>This is a very satisfactory result in two respects:</w:t>
            </w:r>
          </w:p>
          <w:p w14:paraId="00BF4EDC" w14:textId="77777777" w:rsidR="004A76C6" w:rsidRPr="00BB0AB8" w:rsidRDefault="004A76C6" w:rsidP="00991B6C">
            <w:pPr>
              <w:pStyle w:val="ListParagraph"/>
              <w:numPr>
                <w:ilvl w:val="0"/>
                <w:numId w:val="24"/>
              </w:numPr>
              <w:tabs>
                <w:tab w:val="left" w:pos="256"/>
              </w:tabs>
              <w:spacing w:after="0" w:line="240" w:lineRule="auto"/>
              <w:ind w:left="256" w:hanging="256"/>
              <w:rPr>
                <w:rFonts w:ascii="Arial Narrow" w:hAnsi="Arial Narrow"/>
                <w:bCs/>
                <w:sz w:val="18"/>
                <w:szCs w:val="18"/>
                <w:highlight w:val="green"/>
              </w:rPr>
            </w:pPr>
            <w:r w:rsidRPr="00BB0AB8">
              <w:rPr>
                <w:rFonts w:ascii="Arial Narrow" w:hAnsi="Arial Narrow"/>
                <w:bCs/>
                <w:sz w:val="18"/>
                <w:szCs w:val="18"/>
                <w:highlight w:val="green"/>
              </w:rPr>
              <w:t>The total extent of Achara’s protected areas has increased by 7,333 ha (24%), while also accommodating the needs of the local communities through the boundary demarcation process. The latter</w:t>
            </w:r>
            <w:r>
              <w:rPr>
                <w:rFonts w:ascii="Arial Narrow" w:hAnsi="Arial Narrow"/>
                <w:bCs/>
                <w:sz w:val="18"/>
                <w:szCs w:val="18"/>
                <w:highlight w:val="green"/>
              </w:rPr>
              <w:t>, totalling</w:t>
            </w:r>
            <w:r w:rsidRPr="00BB0AB8">
              <w:rPr>
                <w:rFonts w:ascii="Arial Narrow" w:hAnsi="Arial Narrow"/>
                <w:bCs/>
                <w:sz w:val="18"/>
                <w:szCs w:val="18"/>
                <w:highlight w:val="green"/>
              </w:rPr>
              <w:t xml:space="preserve"> 1,400 ha</w:t>
            </w:r>
            <w:r>
              <w:rPr>
                <w:rFonts w:ascii="Arial Narrow" w:hAnsi="Arial Narrow"/>
                <w:bCs/>
                <w:sz w:val="18"/>
                <w:szCs w:val="18"/>
                <w:highlight w:val="green"/>
              </w:rPr>
              <w:t>,</w:t>
            </w:r>
            <w:r w:rsidRPr="00BB0AB8">
              <w:rPr>
                <w:rFonts w:ascii="Arial Narrow" w:hAnsi="Arial Narrow"/>
                <w:bCs/>
                <w:sz w:val="18"/>
                <w:szCs w:val="18"/>
                <w:highlight w:val="green"/>
              </w:rPr>
              <w:t xml:space="preserve"> was allocated for use by local people</w:t>
            </w:r>
            <w:r>
              <w:rPr>
                <w:rFonts w:ascii="Arial Narrow" w:hAnsi="Arial Narrow"/>
                <w:bCs/>
                <w:sz w:val="18"/>
                <w:szCs w:val="18"/>
                <w:highlight w:val="green"/>
              </w:rPr>
              <w:t xml:space="preserve"> </w:t>
            </w:r>
            <w:r w:rsidRPr="00BB0AB8">
              <w:rPr>
                <w:rFonts w:ascii="Arial Narrow" w:hAnsi="Arial Narrow"/>
                <w:bCs/>
                <w:sz w:val="18"/>
                <w:szCs w:val="18"/>
                <w:highlight w:val="green"/>
              </w:rPr>
              <w:t xml:space="preserve">rather than </w:t>
            </w:r>
            <w:r>
              <w:rPr>
                <w:rFonts w:ascii="Arial Narrow" w:hAnsi="Arial Narrow"/>
                <w:bCs/>
                <w:sz w:val="18"/>
                <w:szCs w:val="18"/>
                <w:highlight w:val="green"/>
              </w:rPr>
              <w:t xml:space="preserve">protection in order to meet </w:t>
            </w:r>
            <w:r w:rsidRPr="00BB0AB8">
              <w:rPr>
                <w:rFonts w:ascii="Arial Narrow" w:hAnsi="Arial Narrow"/>
                <w:bCs/>
                <w:sz w:val="18"/>
                <w:szCs w:val="18"/>
                <w:highlight w:val="green"/>
              </w:rPr>
              <w:t>original target of 39,202 ha.</w:t>
            </w:r>
          </w:p>
          <w:p w14:paraId="4640FDBA" w14:textId="77777777" w:rsidR="004A76C6" w:rsidRPr="00BB0AB8" w:rsidRDefault="004A76C6" w:rsidP="00991B6C">
            <w:pPr>
              <w:pStyle w:val="ListParagraph"/>
              <w:numPr>
                <w:ilvl w:val="0"/>
                <w:numId w:val="24"/>
              </w:numPr>
              <w:tabs>
                <w:tab w:val="left" w:pos="256"/>
              </w:tabs>
              <w:spacing w:after="0" w:line="240" w:lineRule="auto"/>
              <w:ind w:left="256" w:hanging="256"/>
              <w:rPr>
                <w:rFonts w:ascii="Arial Narrow" w:hAnsi="Arial Narrow"/>
                <w:bCs/>
                <w:sz w:val="18"/>
                <w:szCs w:val="18"/>
              </w:rPr>
            </w:pPr>
            <w:r w:rsidRPr="00BB0AB8">
              <w:rPr>
                <w:rFonts w:ascii="Arial Narrow" w:hAnsi="Arial Narrow"/>
                <w:bCs/>
                <w:sz w:val="18"/>
                <w:szCs w:val="18"/>
                <w:highlight w:val="green"/>
              </w:rPr>
              <w:t xml:space="preserve">The proposal to establish the lower valley sides and floor, </w:t>
            </w:r>
            <w:r>
              <w:rPr>
                <w:rFonts w:ascii="Arial Narrow" w:hAnsi="Arial Narrow"/>
                <w:bCs/>
                <w:sz w:val="18"/>
                <w:szCs w:val="18"/>
                <w:highlight w:val="green"/>
              </w:rPr>
              <w:t xml:space="preserve">where most land </w:t>
            </w:r>
            <w:r w:rsidRPr="00BB0AB8">
              <w:rPr>
                <w:rFonts w:ascii="Arial Narrow" w:hAnsi="Arial Narrow"/>
                <w:bCs/>
                <w:sz w:val="18"/>
                <w:szCs w:val="18"/>
                <w:highlight w:val="green"/>
              </w:rPr>
              <w:t>use activities take place, as a Protected Landscape is a very positi</w:t>
            </w:r>
            <w:r>
              <w:rPr>
                <w:rFonts w:ascii="Arial Narrow" w:hAnsi="Arial Narrow"/>
                <w:bCs/>
                <w:sz w:val="18"/>
                <w:szCs w:val="18"/>
                <w:highlight w:val="green"/>
              </w:rPr>
              <w:t>ve</w:t>
            </w:r>
            <w:r w:rsidRPr="00BB0AB8">
              <w:rPr>
                <w:rFonts w:ascii="Arial Narrow" w:hAnsi="Arial Narrow"/>
                <w:bCs/>
                <w:sz w:val="18"/>
                <w:szCs w:val="18"/>
                <w:highlight w:val="green"/>
              </w:rPr>
              <w:t xml:space="preserve"> initiative that will promote sustainable land management. The net result will be </w:t>
            </w:r>
            <w:r>
              <w:rPr>
                <w:rFonts w:ascii="Arial Narrow" w:hAnsi="Arial Narrow"/>
                <w:bCs/>
                <w:sz w:val="18"/>
                <w:szCs w:val="18"/>
                <w:highlight w:val="green"/>
              </w:rPr>
              <w:t xml:space="preserve">a </w:t>
            </w:r>
            <w:r w:rsidRPr="00BB0AB8">
              <w:rPr>
                <w:rFonts w:ascii="Arial Narrow" w:hAnsi="Arial Narrow"/>
                <w:bCs/>
                <w:sz w:val="18"/>
                <w:szCs w:val="18"/>
                <w:highlight w:val="green"/>
              </w:rPr>
              <w:t xml:space="preserve">more extensive </w:t>
            </w:r>
            <w:r>
              <w:rPr>
                <w:rFonts w:ascii="Arial Narrow" w:hAnsi="Arial Narrow"/>
                <w:bCs/>
                <w:sz w:val="18"/>
                <w:szCs w:val="18"/>
                <w:highlight w:val="green"/>
              </w:rPr>
              <w:t>PAs</w:t>
            </w:r>
            <w:r w:rsidRPr="00BB0AB8">
              <w:rPr>
                <w:rFonts w:ascii="Arial Narrow" w:hAnsi="Arial Narrow"/>
                <w:bCs/>
                <w:sz w:val="18"/>
                <w:szCs w:val="18"/>
                <w:highlight w:val="green"/>
              </w:rPr>
              <w:t xml:space="preserve"> network</w:t>
            </w:r>
            <w:r>
              <w:rPr>
                <w:rFonts w:ascii="Arial Narrow" w:hAnsi="Arial Narrow"/>
                <w:bCs/>
                <w:sz w:val="18"/>
                <w:szCs w:val="18"/>
                <w:highlight w:val="green"/>
              </w:rPr>
              <w:t xml:space="preserve"> </w:t>
            </w:r>
            <w:r>
              <w:rPr>
                <w:rFonts w:ascii="Arial Narrow" w:hAnsi="Arial Narrow"/>
                <w:bCs/>
                <w:sz w:val="18"/>
                <w:szCs w:val="18"/>
                <w:highlight w:val="green"/>
              </w:rPr>
              <w:lastRenderedPageBreak/>
              <w:t>of</w:t>
            </w:r>
            <w:r w:rsidRPr="00BB0AB8">
              <w:rPr>
                <w:rFonts w:ascii="Arial Narrow" w:hAnsi="Arial Narrow"/>
                <w:bCs/>
                <w:sz w:val="18"/>
                <w:szCs w:val="18"/>
                <w:highlight w:val="green"/>
              </w:rPr>
              <w:t xml:space="preserve"> 42,097 ha than</w:t>
            </w:r>
            <w:r>
              <w:rPr>
                <w:rFonts w:ascii="Arial Narrow" w:hAnsi="Arial Narrow"/>
                <w:bCs/>
                <w:sz w:val="18"/>
                <w:szCs w:val="18"/>
                <w:highlight w:val="green"/>
              </w:rPr>
              <w:t xml:space="preserve"> </w:t>
            </w:r>
            <w:r w:rsidRPr="00BB0AB8">
              <w:rPr>
                <w:rFonts w:ascii="Arial Narrow" w:hAnsi="Arial Narrow"/>
                <w:bCs/>
                <w:sz w:val="18"/>
                <w:szCs w:val="18"/>
                <w:highlight w:val="green"/>
              </w:rPr>
              <w:t>planned, exceeding the target by 2,895 ha.</w:t>
            </w:r>
            <w:r w:rsidRPr="00BB0AB8">
              <w:rPr>
                <w:rFonts w:ascii="Arial Narrow" w:hAnsi="Arial Narrow"/>
                <w:bCs/>
                <w:sz w:val="18"/>
                <w:szCs w:val="18"/>
              </w:rPr>
              <w:t xml:space="preserve"> </w:t>
            </w:r>
          </w:p>
        </w:tc>
      </w:tr>
      <w:tr w:rsidR="004A76C6" w:rsidRPr="00BB0AB8" w14:paraId="6001A6ED" w14:textId="77777777" w:rsidTr="004071E2">
        <w:tc>
          <w:tcPr>
            <w:tcW w:w="593" w:type="pct"/>
            <w:tcBorders>
              <w:top w:val="single" w:sz="6" w:space="0" w:color="auto"/>
              <w:left w:val="single" w:sz="18" w:space="0" w:color="auto"/>
              <w:bottom w:val="single" w:sz="6" w:space="0" w:color="auto"/>
              <w:right w:val="single" w:sz="6" w:space="0" w:color="auto"/>
            </w:tcBorders>
            <w:tcMar>
              <w:left w:w="28" w:type="dxa"/>
              <w:right w:w="28" w:type="dxa"/>
            </w:tcMar>
          </w:tcPr>
          <w:p w14:paraId="6A86BAC7" w14:textId="77777777" w:rsidR="004A76C6" w:rsidRPr="00BB0AB8" w:rsidRDefault="004A76C6" w:rsidP="004A76C6">
            <w:pPr>
              <w:rPr>
                <w:rFonts w:ascii="Arial Narrow" w:hAnsi="Arial Narrow"/>
                <w:b/>
                <w:bCs/>
                <w:sz w:val="18"/>
                <w:szCs w:val="18"/>
              </w:rPr>
            </w:pPr>
            <w:r w:rsidRPr="00BB0AB8">
              <w:rPr>
                <w:rFonts w:ascii="Arial Narrow" w:hAnsi="Arial Narrow"/>
                <w:sz w:val="18"/>
                <w:szCs w:val="18"/>
              </w:rPr>
              <w:lastRenderedPageBreak/>
              <w:t>Increased national and Achara PA Coverage of the Colchic Temperate Rain Forest by at least 1% and 5% respectively</w:t>
            </w:r>
          </w:p>
        </w:tc>
        <w:tc>
          <w:tcPr>
            <w:tcW w:w="485" w:type="pct"/>
            <w:tcBorders>
              <w:top w:val="single" w:sz="6" w:space="0" w:color="auto"/>
              <w:left w:val="single" w:sz="6" w:space="0" w:color="auto"/>
              <w:bottom w:val="single" w:sz="6" w:space="0" w:color="auto"/>
              <w:right w:val="single" w:sz="18" w:space="0" w:color="auto"/>
            </w:tcBorders>
            <w:tcMar>
              <w:left w:w="28" w:type="dxa"/>
              <w:right w:w="28" w:type="dxa"/>
            </w:tcMar>
          </w:tcPr>
          <w:p w14:paraId="4DB864DF" w14:textId="77777777" w:rsidR="004A76C6" w:rsidRPr="00BB0AB8" w:rsidRDefault="004A76C6" w:rsidP="004A76C6">
            <w:pPr>
              <w:rPr>
                <w:rFonts w:ascii="Arial Narrow" w:hAnsi="Arial Narrow"/>
                <w:b/>
                <w:bCs/>
                <w:sz w:val="18"/>
                <w:szCs w:val="18"/>
              </w:rPr>
            </w:pPr>
            <w:r w:rsidRPr="00BB0AB8">
              <w:rPr>
                <w:rFonts w:ascii="Arial Narrow" w:hAnsi="Arial Narrow"/>
                <w:sz w:val="18"/>
                <w:szCs w:val="18"/>
              </w:rPr>
              <w:t>Nationally: 10.7%</w:t>
            </w:r>
          </w:p>
          <w:p w14:paraId="36028D2A" w14:textId="77777777" w:rsidR="004A76C6" w:rsidRPr="00BB0AB8" w:rsidRDefault="004A76C6" w:rsidP="004A76C6">
            <w:pPr>
              <w:rPr>
                <w:rFonts w:ascii="Arial Narrow" w:hAnsi="Arial Narrow"/>
                <w:b/>
                <w:bCs/>
                <w:sz w:val="18"/>
                <w:szCs w:val="18"/>
              </w:rPr>
            </w:pPr>
            <w:r w:rsidRPr="00BB0AB8">
              <w:rPr>
                <w:rFonts w:ascii="Arial Narrow" w:hAnsi="Arial Narrow"/>
                <w:sz w:val="18"/>
                <w:szCs w:val="18"/>
              </w:rPr>
              <w:t>Achara: 15%</w:t>
            </w:r>
          </w:p>
        </w:tc>
        <w:tc>
          <w:tcPr>
            <w:tcW w:w="462" w:type="pct"/>
            <w:tcBorders>
              <w:top w:val="single" w:sz="6" w:space="0" w:color="auto"/>
              <w:left w:val="single" w:sz="18" w:space="0" w:color="auto"/>
              <w:bottom w:val="single" w:sz="6" w:space="0" w:color="auto"/>
              <w:right w:val="single" w:sz="6" w:space="0" w:color="auto"/>
            </w:tcBorders>
            <w:tcMar>
              <w:left w:w="28" w:type="dxa"/>
              <w:right w:w="28" w:type="dxa"/>
            </w:tcMar>
          </w:tcPr>
          <w:p w14:paraId="1AEE490B" w14:textId="77777777" w:rsidR="004A76C6" w:rsidRPr="00BB0AB8" w:rsidRDefault="004A76C6" w:rsidP="004A76C6">
            <w:pPr>
              <w:widowControl w:val="0"/>
              <w:rPr>
                <w:rFonts w:ascii="Arial Narrow" w:hAnsi="Arial Narrow" w:cs="Times Roman"/>
                <w:color w:val="000000"/>
                <w:sz w:val="18"/>
                <w:szCs w:val="18"/>
                <w:lang w:val="en-US"/>
              </w:rPr>
            </w:pPr>
            <w:r w:rsidRPr="00BB0AB8">
              <w:rPr>
                <w:rFonts w:ascii="Arial Narrow" w:hAnsi="Arial Narrow" w:cs="Times Roman"/>
                <w:color w:val="000000"/>
                <w:sz w:val="18"/>
                <w:szCs w:val="18"/>
                <w:lang w:val="en-US"/>
              </w:rPr>
              <w:t xml:space="preserve">National – 11.3%, </w:t>
            </w:r>
          </w:p>
          <w:p w14:paraId="4274FB18" w14:textId="77777777" w:rsidR="004A76C6" w:rsidRPr="00BB0AB8" w:rsidRDefault="004A76C6" w:rsidP="004A76C6">
            <w:pPr>
              <w:widowControl w:val="0"/>
              <w:rPr>
                <w:rFonts w:ascii="Arial Narrow" w:hAnsi="Arial Narrow" w:cs="Times Roman"/>
                <w:color w:val="000000"/>
                <w:sz w:val="18"/>
                <w:szCs w:val="18"/>
                <w:lang w:val="en-US"/>
              </w:rPr>
            </w:pPr>
            <w:r w:rsidRPr="00BB0AB8">
              <w:rPr>
                <w:rFonts w:ascii="Arial Narrow" w:hAnsi="Arial Narrow" w:cs="Times Roman"/>
                <w:color w:val="000000"/>
                <w:sz w:val="18"/>
                <w:szCs w:val="18"/>
                <w:lang w:val="en-US"/>
              </w:rPr>
              <w:t>Achara 19.3%</w:t>
            </w:r>
          </w:p>
          <w:p w14:paraId="1CD1A83B" w14:textId="77777777" w:rsidR="004A76C6" w:rsidRPr="00BB0AB8" w:rsidRDefault="004A76C6" w:rsidP="004A76C6">
            <w:pPr>
              <w:widowControl w:val="0"/>
              <w:rPr>
                <w:rFonts w:ascii="Arial Narrow" w:hAnsi="Arial Narrow"/>
                <w:color w:val="000000" w:themeColor="text1"/>
                <w:sz w:val="18"/>
                <w:szCs w:val="18"/>
              </w:rPr>
            </w:pPr>
            <w:r w:rsidRPr="00BB0AB8">
              <w:rPr>
                <w:rFonts w:ascii="Arial Narrow" w:hAnsi="Arial Narrow" w:cs="Times Roman"/>
                <w:color w:val="000000"/>
                <w:sz w:val="18"/>
                <w:szCs w:val="18"/>
                <w:lang w:val="en-US"/>
              </w:rPr>
              <w:t>(indicator reduced from first PIR level)</w:t>
            </w:r>
          </w:p>
        </w:tc>
        <w:tc>
          <w:tcPr>
            <w:tcW w:w="692" w:type="pct"/>
            <w:tcBorders>
              <w:top w:val="single" w:sz="6" w:space="0" w:color="auto"/>
              <w:left w:val="single" w:sz="6" w:space="0" w:color="auto"/>
              <w:bottom w:val="single" w:sz="6" w:space="0" w:color="auto"/>
              <w:right w:val="single" w:sz="18" w:space="0" w:color="auto"/>
            </w:tcBorders>
            <w:tcMar>
              <w:left w:w="28" w:type="dxa"/>
              <w:right w:w="28" w:type="dxa"/>
            </w:tcMar>
          </w:tcPr>
          <w:p w14:paraId="322F911D" w14:textId="77777777" w:rsidR="004A76C6" w:rsidRPr="00BB0AB8" w:rsidRDefault="004A76C6" w:rsidP="004A76C6">
            <w:pPr>
              <w:widowControl w:val="0"/>
              <w:rPr>
                <w:rFonts w:ascii="Arial Narrow" w:hAnsi="Arial Narrow" w:cs="Times Roman"/>
                <w:color w:val="000000"/>
                <w:sz w:val="18"/>
                <w:szCs w:val="18"/>
                <w:lang w:val="en-US"/>
              </w:rPr>
            </w:pPr>
            <w:r w:rsidRPr="00BB0AB8">
              <w:rPr>
                <w:rFonts w:ascii="Arial Narrow" w:hAnsi="Arial Narrow" w:cs="Times Roman"/>
                <w:color w:val="000000"/>
                <w:sz w:val="18"/>
                <w:szCs w:val="18"/>
                <w:lang w:val="en-US"/>
              </w:rPr>
              <w:t xml:space="preserve">As above. </w:t>
            </w:r>
          </w:p>
          <w:p w14:paraId="65DEC96B" w14:textId="77777777" w:rsidR="004A76C6" w:rsidRPr="00BB0AB8" w:rsidRDefault="004A76C6" w:rsidP="004A76C6">
            <w:pPr>
              <w:widowControl w:val="0"/>
              <w:rPr>
                <w:rFonts w:ascii="Arial Narrow" w:hAnsi="Arial Narrow" w:cs="Times Roman"/>
                <w:color w:val="000000"/>
                <w:sz w:val="18"/>
                <w:szCs w:val="18"/>
                <w:lang w:val="en-US"/>
              </w:rPr>
            </w:pPr>
            <w:r w:rsidRPr="00BB0AB8">
              <w:rPr>
                <w:rFonts w:ascii="Arial Narrow" w:hAnsi="Arial Narrow" w:cs="Times Roman"/>
                <w:color w:val="000000"/>
                <w:sz w:val="18"/>
                <w:szCs w:val="18"/>
                <w:lang w:val="en-US"/>
              </w:rPr>
              <w:t>The indicator is partially redundant because it is implicit in the above indicator.</w:t>
            </w:r>
          </w:p>
        </w:tc>
        <w:tc>
          <w:tcPr>
            <w:tcW w:w="461" w:type="pct"/>
            <w:tcBorders>
              <w:top w:val="single" w:sz="6" w:space="0" w:color="auto"/>
              <w:left w:val="single" w:sz="18" w:space="0" w:color="auto"/>
              <w:bottom w:val="single" w:sz="6" w:space="0" w:color="auto"/>
              <w:right w:val="single" w:sz="6" w:space="0" w:color="auto"/>
            </w:tcBorders>
            <w:tcMar>
              <w:left w:w="28" w:type="dxa"/>
              <w:right w:w="28" w:type="dxa"/>
            </w:tcMar>
          </w:tcPr>
          <w:p w14:paraId="2EE1FD71" w14:textId="77777777" w:rsidR="004A76C6" w:rsidRPr="00BB0AB8" w:rsidRDefault="004A76C6" w:rsidP="004A76C6">
            <w:pPr>
              <w:rPr>
                <w:rFonts w:ascii="Arial Narrow" w:hAnsi="Arial Narrow"/>
                <w:b/>
                <w:bCs/>
                <w:color w:val="000000" w:themeColor="text1"/>
                <w:sz w:val="18"/>
                <w:szCs w:val="18"/>
              </w:rPr>
            </w:pPr>
            <w:r w:rsidRPr="00BB0AB8">
              <w:rPr>
                <w:rFonts w:ascii="Arial Narrow" w:hAnsi="Arial Narrow"/>
                <w:color w:val="000000" w:themeColor="text1"/>
                <w:sz w:val="18"/>
                <w:szCs w:val="18"/>
              </w:rPr>
              <w:t>National: 11.7%</w:t>
            </w:r>
          </w:p>
          <w:p w14:paraId="2EC49D49" w14:textId="77777777" w:rsidR="004A76C6" w:rsidRPr="00BB0AB8" w:rsidRDefault="004A76C6" w:rsidP="004A76C6">
            <w:pPr>
              <w:rPr>
                <w:rFonts w:ascii="Arial Narrow" w:hAnsi="Arial Narrow"/>
                <w:b/>
                <w:bCs/>
                <w:sz w:val="18"/>
                <w:szCs w:val="18"/>
                <w:lang w:val="sv-SE"/>
              </w:rPr>
            </w:pPr>
            <w:r w:rsidRPr="00BB0AB8">
              <w:rPr>
                <w:rFonts w:ascii="Arial Narrow" w:hAnsi="Arial Narrow"/>
                <w:color w:val="000000" w:themeColor="text1"/>
                <w:sz w:val="18"/>
                <w:szCs w:val="18"/>
              </w:rPr>
              <w:t>Achara: 20%</w:t>
            </w:r>
          </w:p>
        </w:tc>
        <w:tc>
          <w:tcPr>
            <w:tcW w:w="462" w:type="pct"/>
            <w:tcBorders>
              <w:top w:val="single" w:sz="6" w:space="0" w:color="auto"/>
              <w:left w:val="single" w:sz="6" w:space="0" w:color="auto"/>
              <w:bottom w:val="single" w:sz="6" w:space="0" w:color="auto"/>
              <w:right w:val="single" w:sz="6" w:space="0" w:color="auto"/>
            </w:tcBorders>
            <w:shd w:val="clear" w:color="auto" w:fill="00FF00"/>
            <w:tcMar>
              <w:left w:w="28" w:type="dxa"/>
              <w:right w:w="28" w:type="dxa"/>
            </w:tcMar>
          </w:tcPr>
          <w:p w14:paraId="47D2CD10" w14:textId="77777777" w:rsidR="004A76C6" w:rsidRPr="00BB0AB8" w:rsidRDefault="004A76C6" w:rsidP="004A76C6">
            <w:pPr>
              <w:rPr>
                <w:rFonts w:ascii="Arial Narrow" w:hAnsi="Arial Narrow"/>
                <w:sz w:val="18"/>
                <w:szCs w:val="18"/>
                <w:highlight w:val="green"/>
              </w:rPr>
            </w:pPr>
            <w:r w:rsidRPr="00BB0AB8">
              <w:rPr>
                <w:rFonts w:ascii="Arial Narrow" w:hAnsi="Arial Narrow"/>
                <w:sz w:val="18"/>
                <w:szCs w:val="18"/>
                <w:highlight w:val="green"/>
              </w:rPr>
              <w:t xml:space="preserve">National: 11.3% </w:t>
            </w:r>
          </w:p>
          <w:p w14:paraId="7D11CCF4" w14:textId="77777777" w:rsidR="004A76C6" w:rsidRPr="00BB0AB8" w:rsidRDefault="004A76C6" w:rsidP="004A76C6">
            <w:pPr>
              <w:rPr>
                <w:rFonts w:ascii="Arial Narrow" w:hAnsi="Arial Narrow"/>
                <w:sz w:val="18"/>
                <w:szCs w:val="18"/>
                <w:highlight w:val="green"/>
              </w:rPr>
            </w:pPr>
            <w:r w:rsidRPr="00BB0AB8">
              <w:rPr>
                <w:rFonts w:ascii="Arial Narrow" w:hAnsi="Arial Narrow"/>
                <w:sz w:val="18"/>
                <w:szCs w:val="18"/>
                <w:highlight w:val="green"/>
              </w:rPr>
              <w:t xml:space="preserve">Achara: 19.3%  </w:t>
            </w:r>
          </w:p>
        </w:tc>
        <w:tc>
          <w:tcPr>
            <w:tcW w:w="1153" w:type="pct"/>
            <w:tcBorders>
              <w:top w:val="single" w:sz="6" w:space="0" w:color="auto"/>
              <w:left w:val="single" w:sz="6" w:space="0" w:color="auto"/>
              <w:bottom w:val="single" w:sz="6" w:space="0" w:color="auto"/>
              <w:right w:val="single" w:sz="6" w:space="0" w:color="auto"/>
            </w:tcBorders>
            <w:tcMar>
              <w:left w:w="28" w:type="dxa"/>
              <w:right w:w="28" w:type="dxa"/>
            </w:tcMar>
          </w:tcPr>
          <w:p w14:paraId="2EF0AD4B" w14:textId="77777777" w:rsidR="004A76C6" w:rsidRPr="00BB0AB8" w:rsidRDefault="004A76C6" w:rsidP="004A76C6">
            <w:pPr>
              <w:rPr>
                <w:rFonts w:ascii="Arial Narrow" w:hAnsi="Arial Narrow"/>
                <w:b/>
                <w:bCs/>
                <w:sz w:val="18"/>
                <w:szCs w:val="18"/>
              </w:rPr>
            </w:pPr>
            <w:r w:rsidRPr="00BB0AB8">
              <w:rPr>
                <w:rFonts w:ascii="Arial Narrow" w:hAnsi="Arial Narrow"/>
                <w:sz w:val="18"/>
                <w:szCs w:val="18"/>
              </w:rPr>
              <w:t xml:space="preserve">The two coverage targets may not be entirely met by project end. Due to the reduction of Machakhela NP area as a result of boundary demarcation, the national target is off by 0.4% while the Achara PA coverage is off by 0.7% . However, as explained above, if the new PL gets established the % increase of National and Achara PA temperate rainforest will exceed the planned targets.  </w:t>
            </w:r>
          </w:p>
        </w:tc>
        <w:tc>
          <w:tcPr>
            <w:tcW w:w="692" w:type="pct"/>
            <w:tcBorders>
              <w:left w:val="single" w:sz="6" w:space="0" w:color="auto"/>
              <w:right w:val="single" w:sz="18" w:space="0" w:color="auto"/>
            </w:tcBorders>
            <w:tcMar>
              <w:left w:w="28" w:type="dxa"/>
              <w:right w:w="28" w:type="dxa"/>
            </w:tcMar>
          </w:tcPr>
          <w:p w14:paraId="6234EB70" w14:textId="77777777" w:rsidR="004A76C6" w:rsidRPr="00BB0AB8" w:rsidRDefault="004A76C6" w:rsidP="004A76C6">
            <w:pPr>
              <w:rPr>
                <w:rFonts w:ascii="Arial Narrow" w:hAnsi="Arial Narrow"/>
                <w:bCs/>
                <w:sz w:val="18"/>
                <w:szCs w:val="18"/>
                <w:highlight w:val="green"/>
              </w:rPr>
            </w:pPr>
            <w:r w:rsidRPr="00BB0AB8">
              <w:rPr>
                <w:rFonts w:ascii="Arial Narrow" w:hAnsi="Arial Narrow"/>
                <w:bCs/>
                <w:sz w:val="18"/>
                <w:szCs w:val="18"/>
                <w:highlight w:val="green"/>
              </w:rPr>
              <w:t>This result is perfectly satisfactory for the reasons explained above; and in the event of the proposed Protected Landscape being established it is more than ‘perfectly satisfactory’.</w:t>
            </w:r>
          </w:p>
          <w:p w14:paraId="233915AF" w14:textId="77777777" w:rsidR="004A76C6" w:rsidRPr="00BB0AB8" w:rsidRDefault="004A76C6" w:rsidP="004A76C6">
            <w:pPr>
              <w:spacing w:before="60"/>
              <w:rPr>
                <w:rFonts w:ascii="Arial Narrow" w:hAnsi="Arial Narrow"/>
                <w:b/>
                <w:bCs/>
                <w:sz w:val="18"/>
                <w:szCs w:val="18"/>
                <w:highlight w:val="green"/>
              </w:rPr>
            </w:pPr>
            <w:r w:rsidRPr="00BB0AB8">
              <w:rPr>
                <w:rFonts w:ascii="Arial Narrow" w:hAnsi="Arial Narrow"/>
                <w:bCs/>
                <w:sz w:val="18"/>
                <w:szCs w:val="18"/>
                <w:highlight w:val="green"/>
              </w:rPr>
              <w:t>Noting MTR evaluator’s comment, these indicators are not only redundant but may not be accurate as degraded areas of former Colchic Temperate Rain-forest in Machakhela NP are not taken into account.</w:t>
            </w:r>
            <w:r w:rsidRPr="00BB0AB8">
              <w:rPr>
                <w:rFonts w:ascii="Arial Narrow" w:hAnsi="Arial Narrow"/>
                <w:b/>
                <w:bCs/>
                <w:sz w:val="18"/>
                <w:szCs w:val="18"/>
                <w:highlight w:val="green"/>
              </w:rPr>
              <w:t xml:space="preserve"> </w:t>
            </w:r>
          </w:p>
        </w:tc>
      </w:tr>
      <w:tr w:rsidR="004A76C6" w:rsidRPr="00BB0AB8" w14:paraId="687DA3D8" w14:textId="77777777" w:rsidTr="004071E2">
        <w:tc>
          <w:tcPr>
            <w:tcW w:w="593" w:type="pct"/>
            <w:tcBorders>
              <w:top w:val="single" w:sz="6" w:space="0" w:color="auto"/>
              <w:left w:val="single" w:sz="18" w:space="0" w:color="auto"/>
              <w:bottom w:val="single" w:sz="6" w:space="0" w:color="auto"/>
              <w:right w:val="single" w:sz="6" w:space="0" w:color="auto"/>
            </w:tcBorders>
            <w:tcMar>
              <w:left w:w="28" w:type="dxa"/>
              <w:right w:w="28" w:type="dxa"/>
            </w:tcMar>
          </w:tcPr>
          <w:p w14:paraId="3A6DAF75" w14:textId="77777777" w:rsidR="004A76C6" w:rsidRPr="00BB0AB8" w:rsidRDefault="004A76C6" w:rsidP="004A76C6">
            <w:pPr>
              <w:rPr>
                <w:rFonts w:ascii="Arial Narrow" w:hAnsi="Arial Narrow"/>
                <w:b/>
                <w:bCs/>
                <w:sz w:val="18"/>
                <w:szCs w:val="18"/>
              </w:rPr>
            </w:pPr>
            <w:r w:rsidRPr="00BB0AB8">
              <w:rPr>
                <w:rFonts w:ascii="Arial Narrow" w:hAnsi="Arial Narrow"/>
                <w:sz w:val="18"/>
                <w:szCs w:val="18"/>
              </w:rPr>
              <w:t>Capacity development indicator score for protected area system</w:t>
            </w:r>
          </w:p>
        </w:tc>
        <w:tc>
          <w:tcPr>
            <w:tcW w:w="485" w:type="pct"/>
            <w:tcBorders>
              <w:top w:val="single" w:sz="6" w:space="0" w:color="auto"/>
              <w:left w:val="single" w:sz="6" w:space="0" w:color="auto"/>
              <w:bottom w:val="single" w:sz="6" w:space="0" w:color="auto"/>
              <w:right w:val="single" w:sz="18" w:space="0" w:color="auto"/>
            </w:tcBorders>
            <w:tcMar>
              <w:left w:w="28" w:type="dxa"/>
              <w:right w:w="28" w:type="dxa"/>
            </w:tcMar>
          </w:tcPr>
          <w:p w14:paraId="1CF101C9" w14:textId="77777777" w:rsidR="004A76C6" w:rsidRPr="00BB0AB8" w:rsidRDefault="004A76C6" w:rsidP="004A76C6">
            <w:pPr>
              <w:rPr>
                <w:rFonts w:ascii="Arial Narrow" w:hAnsi="Arial Narrow"/>
                <w:b/>
                <w:bCs/>
                <w:sz w:val="18"/>
                <w:szCs w:val="18"/>
              </w:rPr>
            </w:pPr>
            <w:r w:rsidRPr="00BB0AB8">
              <w:rPr>
                <w:rFonts w:ascii="Arial Narrow" w:hAnsi="Arial Narrow"/>
                <w:sz w:val="18"/>
                <w:szCs w:val="18"/>
              </w:rPr>
              <w:t>Systemic: 14%</w:t>
            </w:r>
          </w:p>
          <w:p w14:paraId="64DE2D2C" w14:textId="77777777" w:rsidR="004A76C6" w:rsidRPr="00BB0AB8" w:rsidRDefault="004A76C6" w:rsidP="004A76C6">
            <w:pPr>
              <w:rPr>
                <w:rFonts w:ascii="Arial Narrow" w:hAnsi="Arial Narrow"/>
                <w:b/>
                <w:bCs/>
                <w:sz w:val="18"/>
                <w:szCs w:val="18"/>
              </w:rPr>
            </w:pPr>
            <w:r w:rsidRPr="00BB0AB8">
              <w:rPr>
                <w:rFonts w:ascii="Arial Narrow" w:hAnsi="Arial Narrow"/>
                <w:sz w:val="18"/>
                <w:szCs w:val="18"/>
              </w:rPr>
              <w:t xml:space="preserve">Institutional: 21% </w:t>
            </w:r>
          </w:p>
          <w:p w14:paraId="3A77D0D1" w14:textId="77777777" w:rsidR="004A76C6" w:rsidRPr="00BB0AB8" w:rsidRDefault="004A76C6" w:rsidP="004A76C6">
            <w:pPr>
              <w:rPr>
                <w:rFonts w:ascii="Arial Narrow" w:hAnsi="Arial Narrow"/>
                <w:b/>
                <w:bCs/>
                <w:sz w:val="18"/>
                <w:szCs w:val="18"/>
              </w:rPr>
            </w:pPr>
            <w:r w:rsidRPr="00BB0AB8">
              <w:rPr>
                <w:rFonts w:ascii="Arial Narrow" w:hAnsi="Arial Narrow"/>
                <w:sz w:val="18"/>
                <w:szCs w:val="18"/>
              </w:rPr>
              <w:t>Individual: 9%</w:t>
            </w:r>
          </w:p>
        </w:tc>
        <w:tc>
          <w:tcPr>
            <w:tcW w:w="462" w:type="pct"/>
            <w:tcBorders>
              <w:top w:val="single" w:sz="6" w:space="0" w:color="auto"/>
              <w:left w:val="single" w:sz="18" w:space="0" w:color="auto"/>
              <w:bottom w:val="single" w:sz="6" w:space="0" w:color="auto"/>
              <w:right w:val="single" w:sz="6" w:space="0" w:color="auto"/>
            </w:tcBorders>
            <w:tcMar>
              <w:left w:w="28" w:type="dxa"/>
              <w:right w:w="28" w:type="dxa"/>
            </w:tcMar>
          </w:tcPr>
          <w:p w14:paraId="2192C7FB" w14:textId="77777777" w:rsidR="004A76C6" w:rsidRPr="00BB0AB8" w:rsidRDefault="004A76C6" w:rsidP="004A76C6">
            <w:pPr>
              <w:widowControl w:val="0"/>
              <w:rPr>
                <w:rFonts w:ascii="Arial Narrow" w:hAnsi="Arial Narrow"/>
                <w:sz w:val="18"/>
                <w:szCs w:val="18"/>
              </w:rPr>
            </w:pPr>
            <w:r w:rsidRPr="00BB0AB8">
              <w:rPr>
                <w:rFonts w:ascii="Arial Narrow" w:hAnsi="Arial Narrow" w:cs="Times Roman"/>
                <w:color w:val="000000"/>
                <w:sz w:val="18"/>
                <w:szCs w:val="18"/>
                <w:lang w:val="en-US"/>
              </w:rPr>
              <w:t xml:space="preserve">Not measured before the MTR (it is expected that an analysis will be carried out at the end of 2016) </w:t>
            </w:r>
          </w:p>
        </w:tc>
        <w:tc>
          <w:tcPr>
            <w:tcW w:w="692" w:type="pct"/>
            <w:tcBorders>
              <w:top w:val="single" w:sz="6" w:space="0" w:color="auto"/>
              <w:left w:val="single" w:sz="6" w:space="0" w:color="auto"/>
              <w:bottom w:val="single" w:sz="6" w:space="0" w:color="auto"/>
              <w:right w:val="single" w:sz="18" w:space="0" w:color="auto"/>
            </w:tcBorders>
            <w:tcMar>
              <w:left w:w="28" w:type="dxa"/>
              <w:right w:w="28" w:type="dxa"/>
            </w:tcMar>
          </w:tcPr>
          <w:p w14:paraId="170EAACC" w14:textId="77777777" w:rsidR="004A76C6" w:rsidRPr="00BB0AB8" w:rsidRDefault="004A76C6" w:rsidP="004A76C6">
            <w:pPr>
              <w:rPr>
                <w:rFonts w:ascii="Arial Narrow" w:hAnsi="Arial Narrow"/>
                <w:sz w:val="18"/>
                <w:szCs w:val="18"/>
              </w:rPr>
            </w:pPr>
            <w:r w:rsidRPr="00BB0AB8">
              <w:rPr>
                <w:rFonts w:ascii="Arial Narrow" w:hAnsi="Arial Narrow"/>
                <w:sz w:val="18"/>
                <w:szCs w:val="18"/>
              </w:rPr>
              <w:t>Unable to comment</w:t>
            </w:r>
          </w:p>
        </w:tc>
        <w:tc>
          <w:tcPr>
            <w:tcW w:w="461" w:type="pct"/>
            <w:tcBorders>
              <w:top w:val="single" w:sz="6" w:space="0" w:color="auto"/>
              <w:left w:val="single" w:sz="18" w:space="0" w:color="auto"/>
              <w:bottom w:val="single" w:sz="6" w:space="0" w:color="auto"/>
              <w:right w:val="single" w:sz="6" w:space="0" w:color="auto"/>
            </w:tcBorders>
            <w:tcMar>
              <w:left w:w="28" w:type="dxa"/>
              <w:right w:w="28" w:type="dxa"/>
            </w:tcMar>
          </w:tcPr>
          <w:p w14:paraId="28BB19F2" w14:textId="77777777" w:rsidR="004A76C6" w:rsidRPr="00BB0AB8" w:rsidRDefault="004A76C6" w:rsidP="004A76C6">
            <w:pPr>
              <w:rPr>
                <w:rFonts w:ascii="Arial Narrow" w:hAnsi="Arial Narrow"/>
                <w:b/>
                <w:bCs/>
                <w:sz w:val="18"/>
                <w:szCs w:val="18"/>
              </w:rPr>
            </w:pPr>
            <w:r w:rsidRPr="00BB0AB8">
              <w:rPr>
                <w:rFonts w:ascii="Arial Narrow" w:hAnsi="Arial Narrow"/>
                <w:sz w:val="18"/>
                <w:szCs w:val="18"/>
              </w:rPr>
              <w:t>Systemic: &gt;20%</w:t>
            </w:r>
          </w:p>
          <w:p w14:paraId="2CDF177B" w14:textId="77777777" w:rsidR="004A76C6" w:rsidRPr="00BB0AB8" w:rsidRDefault="004A76C6" w:rsidP="004A76C6">
            <w:pPr>
              <w:rPr>
                <w:rFonts w:ascii="Arial Narrow" w:hAnsi="Arial Narrow"/>
                <w:b/>
                <w:bCs/>
                <w:sz w:val="18"/>
                <w:szCs w:val="18"/>
              </w:rPr>
            </w:pPr>
            <w:r w:rsidRPr="00BB0AB8">
              <w:rPr>
                <w:rFonts w:ascii="Arial Narrow" w:hAnsi="Arial Narrow"/>
                <w:sz w:val="18"/>
                <w:szCs w:val="18"/>
              </w:rPr>
              <w:t>Institutional: &gt;29%</w:t>
            </w:r>
          </w:p>
          <w:p w14:paraId="059496DD" w14:textId="77777777" w:rsidR="004A76C6" w:rsidRPr="00BB0AB8" w:rsidRDefault="004A76C6" w:rsidP="004A76C6">
            <w:pPr>
              <w:rPr>
                <w:rFonts w:ascii="Arial Narrow" w:hAnsi="Arial Narrow"/>
                <w:b/>
                <w:bCs/>
                <w:sz w:val="18"/>
                <w:szCs w:val="18"/>
              </w:rPr>
            </w:pPr>
            <w:r w:rsidRPr="00BB0AB8">
              <w:rPr>
                <w:rFonts w:ascii="Arial Narrow" w:hAnsi="Arial Narrow"/>
                <w:sz w:val="18"/>
                <w:szCs w:val="18"/>
              </w:rPr>
              <w:t>Individual: &gt;13%</w:t>
            </w:r>
          </w:p>
        </w:tc>
        <w:tc>
          <w:tcPr>
            <w:tcW w:w="462" w:type="pct"/>
            <w:tcBorders>
              <w:top w:val="single" w:sz="6" w:space="0" w:color="auto"/>
              <w:left w:val="single" w:sz="6" w:space="0" w:color="auto"/>
              <w:bottom w:val="single" w:sz="6" w:space="0" w:color="auto"/>
              <w:right w:val="single" w:sz="6" w:space="0" w:color="auto"/>
            </w:tcBorders>
            <w:shd w:val="clear" w:color="auto" w:fill="00FF00"/>
            <w:tcMar>
              <w:left w:w="28" w:type="dxa"/>
              <w:right w:w="28" w:type="dxa"/>
            </w:tcMar>
          </w:tcPr>
          <w:p w14:paraId="306C5335" w14:textId="77777777" w:rsidR="004A76C6" w:rsidRPr="00BB0AB8" w:rsidRDefault="004A76C6" w:rsidP="004A76C6">
            <w:pPr>
              <w:rPr>
                <w:rFonts w:ascii="Arial Narrow" w:hAnsi="Arial Narrow"/>
                <w:sz w:val="18"/>
                <w:szCs w:val="18"/>
                <w:highlight w:val="green"/>
              </w:rPr>
            </w:pPr>
            <w:r w:rsidRPr="00BB0AB8">
              <w:rPr>
                <w:rFonts w:ascii="Arial Narrow" w:hAnsi="Arial Narrow"/>
                <w:sz w:val="18"/>
                <w:szCs w:val="18"/>
                <w:highlight w:val="green"/>
              </w:rPr>
              <w:t xml:space="preserve">Systemic: 26 (71%) </w:t>
            </w:r>
          </w:p>
          <w:p w14:paraId="46C0F790" w14:textId="77777777" w:rsidR="004A76C6" w:rsidRPr="00BB0AB8" w:rsidRDefault="004A76C6" w:rsidP="004A76C6">
            <w:pPr>
              <w:rPr>
                <w:rFonts w:ascii="Arial Narrow" w:hAnsi="Arial Narrow"/>
                <w:sz w:val="18"/>
                <w:szCs w:val="18"/>
                <w:highlight w:val="green"/>
              </w:rPr>
            </w:pPr>
            <w:r w:rsidRPr="00BB0AB8">
              <w:rPr>
                <w:rFonts w:ascii="Arial Narrow" w:hAnsi="Arial Narrow"/>
                <w:sz w:val="18"/>
                <w:szCs w:val="18"/>
                <w:highlight w:val="green"/>
              </w:rPr>
              <w:t xml:space="preserve">Institutional: 31 (65%) </w:t>
            </w:r>
          </w:p>
          <w:p w14:paraId="73E62AF2" w14:textId="77777777" w:rsidR="004A76C6" w:rsidRPr="00BB0AB8" w:rsidRDefault="004A76C6" w:rsidP="004A76C6">
            <w:pPr>
              <w:rPr>
                <w:rFonts w:ascii="Arial Narrow" w:hAnsi="Arial Narrow"/>
                <w:sz w:val="18"/>
                <w:szCs w:val="18"/>
              </w:rPr>
            </w:pPr>
            <w:r w:rsidRPr="00BB0AB8">
              <w:rPr>
                <w:rFonts w:ascii="Arial Narrow" w:hAnsi="Arial Narrow"/>
                <w:sz w:val="18"/>
                <w:szCs w:val="18"/>
                <w:highlight w:val="green"/>
              </w:rPr>
              <w:t>Individual: 13 (54%)</w:t>
            </w:r>
            <w:r w:rsidRPr="00BB0AB8">
              <w:rPr>
                <w:rFonts w:ascii="Arial Narrow" w:hAnsi="Arial Narrow"/>
                <w:sz w:val="18"/>
                <w:szCs w:val="18"/>
              </w:rPr>
              <w:t xml:space="preserve"> </w:t>
            </w:r>
          </w:p>
        </w:tc>
        <w:tc>
          <w:tcPr>
            <w:tcW w:w="1153" w:type="pct"/>
            <w:tcBorders>
              <w:top w:val="single" w:sz="6" w:space="0" w:color="auto"/>
              <w:left w:val="single" w:sz="6" w:space="0" w:color="auto"/>
              <w:bottom w:val="single" w:sz="6" w:space="0" w:color="auto"/>
              <w:right w:val="single" w:sz="6" w:space="0" w:color="auto"/>
            </w:tcBorders>
            <w:tcMar>
              <w:left w:w="28" w:type="dxa"/>
              <w:right w:w="28" w:type="dxa"/>
            </w:tcMar>
          </w:tcPr>
          <w:p w14:paraId="600A8BBC" w14:textId="77777777" w:rsidR="004A76C6" w:rsidRPr="00BB0AB8" w:rsidRDefault="004A76C6" w:rsidP="004A76C6">
            <w:pPr>
              <w:rPr>
                <w:rFonts w:ascii="Arial Narrow" w:hAnsi="Arial Narrow"/>
                <w:sz w:val="18"/>
                <w:szCs w:val="18"/>
              </w:rPr>
            </w:pPr>
            <w:r w:rsidRPr="00BB0AB8">
              <w:rPr>
                <w:rFonts w:ascii="Arial Narrow" w:hAnsi="Arial Narrow"/>
                <w:sz w:val="18"/>
                <w:szCs w:val="18"/>
                <w:highlight w:val="lightGray"/>
              </w:rPr>
              <w:t>Systemic score: 26 (71%)</w:t>
            </w:r>
            <w:r w:rsidRPr="00BB0AB8">
              <w:rPr>
                <w:rFonts w:ascii="Arial Narrow" w:hAnsi="Arial Narrow"/>
                <w:sz w:val="18"/>
                <w:szCs w:val="18"/>
              </w:rPr>
              <w:t xml:space="preserve"> </w:t>
            </w:r>
          </w:p>
          <w:p w14:paraId="0F9F9506" w14:textId="77777777" w:rsidR="004A76C6" w:rsidRPr="00BB0AB8" w:rsidRDefault="004A76C6" w:rsidP="004A76C6">
            <w:pPr>
              <w:rPr>
                <w:rFonts w:ascii="Arial Narrow" w:hAnsi="Arial Narrow"/>
                <w:sz w:val="18"/>
                <w:szCs w:val="18"/>
              </w:rPr>
            </w:pPr>
            <w:r w:rsidRPr="00BB0AB8">
              <w:rPr>
                <w:rFonts w:ascii="Arial Narrow" w:hAnsi="Arial Narrow"/>
                <w:sz w:val="18"/>
                <w:szCs w:val="18"/>
              </w:rPr>
              <w:t xml:space="preserve">- The reorganization of national structures plus process of developing a long term national PA policy (with GIZ support) has increased the overall championing of key PA issues. </w:t>
            </w:r>
          </w:p>
          <w:p w14:paraId="7824C5F7" w14:textId="77777777" w:rsidR="004A76C6" w:rsidRPr="00BB0AB8" w:rsidRDefault="004A76C6" w:rsidP="004A76C6">
            <w:pPr>
              <w:spacing w:before="60"/>
              <w:rPr>
                <w:rFonts w:ascii="Arial Narrow" w:hAnsi="Arial Narrow"/>
                <w:sz w:val="18"/>
                <w:szCs w:val="18"/>
              </w:rPr>
            </w:pPr>
            <w:r w:rsidRPr="00BB0AB8">
              <w:rPr>
                <w:rFonts w:ascii="Arial Narrow" w:hAnsi="Arial Narrow"/>
                <w:sz w:val="18"/>
                <w:szCs w:val="18"/>
              </w:rPr>
              <w:t>- Staff of all 3 of the Achara Colchic forest PAs (Kintrishi, Mtirala and Machakhela) have received further training on wide range of issues identified as priorities, including: law enforcement, conflict management, effective communication, use of firearms, first aid, biodiversity monitoring, SMART patrolling system etc. Trainings provided by UNDP/GEF project and in Kintrishi also by project partner (KfW SPPA Project</w:t>
            </w:r>
          </w:p>
          <w:p w14:paraId="35CB9D2D" w14:textId="77777777" w:rsidR="004A76C6" w:rsidRPr="00BB0AB8" w:rsidRDefault="004A76C6" w:rsidP="004A76C6">
            <w:pPr>
              <w:spacing w:before="60"/>
              <w:rPr>
                <w:rFonts w:ascii="Arial Narrow" w:hAnsi="Arial Narrow"/>
                <w:sz w:val="18"/>
                <w:szCs w:val="18"/>
              </w:rPr>
            </w:pPr>
            <w:r w:rsidRPr="00BB0AB8">
              <w:rPr>
                <w:rFonts w:ascii="Arial Narrow" w:hAnsi="Arial Narrow"/>
                <w:sz w:val="18"/>
                <w:szCs w:val="18"/>
              </w:rPr>
              <w:t xml:space="preserve">-The PA system has been expanded in Achara by the functional establishment of Machakhela NP and is in process of adding a Protected landscape category of PA that will cover important river habitats not covered by the NP, which is strongly supported by local stakeholders. </w:t>
            </w:r>
          </w:p>
          <w:p w14:paraId="5F599858" w14:textId="77777777" w:rsidR="004A76C6" w:rsidRPr="00BB0AB8" w:rsidRDefault="004A76C6" w:rsidP="004A76C6">
            <w:pPr>
              <w:spacing w:before="60"/>
              <w:rPr>
                <w:rFonts w:ascii="Arial Narrow" w:hAnsi="Arial Narrow"/>
                <w:sz w:val="18"/>
                <w:szCs w:val="18"/>
              </w:rPr>
            </w:pPr>
            <w:r w:rsidRPr="00BB0AB8">
              <w:rPr>
                <w:rFonts w:ascii="Arial Narrow" w:hAnsi="Arial Narrow"/>
                <w:sz w:val="18"/>
                <w:szCs w:val="18"/>
              </w:rPr>
              <w:t xml:space="preserve">- Support provided to PAs to improve monitoring planning, equipment and training. Final </w:t>
            </w:r>
            <w:r w:rsidRPr="00BB0AB8">
              <w:rPr>
                <w:rFonts w:ascii="Arial Narrow" w:hAnsi="Arial Narrow"/>
                <w:sz w:val="18"/>
                <w:szCs w:val="18"/>
              </w:rPr>
              <w:lastRenderedPageBreak/>
              <w:t xml:space="preserve">introduction of the database system (TRIPLE I) in Kintrishi and Mtirala.  </w:t>
            </w:r>
          </w:p>
          <w:p w14:paraId="0B364F60" w14:textId="77777777" w:rsidR="004A76C6" w:rsidRPr="00BB0AB8" w:rsidRDefault="004A76C6" w:rsidP="004A76C6">
            <w:pPr>
              <w:spacing w:before="60" w:after="60"/>
              <w:rPr>
                <w:rFonts w:ascii="Arial Narrow" w:hAnsi="Arial Narrow"/>
                <w:sz w:val="18"/>
                <w:szCs w:val="18"/>
              </w:rPr>
            </w:pPr>
            <w:r w:rsidRPr="00BB0AB8">
              <w:rPr>
                <w:rFonts w:ascii="Arial Narrow" w:hAnsi="Arial Narrow"/>
                <w:sz w:val="18"/>
                <w:szCs w:val="18"/>
              </w:rPr>
              <w:t>- The level of public dialogue and consultation at local level has significantly increased in Achara context, through establishment of the PA’s consultative councils and Friends Associations, enabling wider involvement of communities in the management and governance of the protected areas.</w:t>
            </w:r>
          </w:p>
          <w:p w14:paraId="3D8FBC77" w14:textId="77777777" w:rsidR="004A76C6" w:rsidRPr="00BB0AB8" w:rsidRDefault="004A76C6" w:rsidP="004A76C6">
            <w:pPr>
              <w:rPr>
                <w:rFonts w:ascii="Arial Narrow" w:hAnsi="Arial Narrow"/>
                <w:sz w:val="18"/>
                <w:szCs w:val="18"/>
              </w:rPr>
            </w:pPr>
            <w:r w:rsidRPr="00BB0AB8">
              <w:rPr>
                <w:rFonts w:ascii="Arial Narrow" w:hAnsi="Arial Narrow"/>
                <w:sz w:val="18"/>
                <w:szCs w:val="18"/>
                <w:highlight w:val="lightGray"/>
              </w:rPr>
              <w:t>Institutional score: 31(65%)</w:t>
            </w:r>
            <w:r w:rsidRPr="00BB0AB8">
              <w:rPr>
                <w:rFonts w:ascii="Arial Narrow" w:hAnsi="Arial Narrow"/>
                <w:sz w:val="18"/>
                <w:szCs w:val="18"/>
              </w:rPr>
              <w:t xml:space="preserve"> </w:t>
            </w:r>
          </w:p>
          <w:p w14:paraId="4E3DE99C" w14:textId="77777777" w:rsidR="004A76C6" w:rsidRPr="00BB0AB8" w:rsidRDefault="004A76C6" w:rsidP="004A76C6">
            <w:pPr>
              <w:rPr>
                <w:rFonts w:ascii="Arial Narrow" w:hAnsi="Arial Narrow"/>
                <w:sz w:val="18"/>
                <w:szCs w:val="18"/>
              </w:rPr>
            </w:pPr>
            <w:r w:rsidRPr="00BB0AB8">
              <w:rPr>
                <w:rFonts w:ascii="Arial Narrow" w:hAnsi="Arial Narrow"/>
                <w:sz w:val="18"/>
                <w:szCs w:val="18"/>
              </w:rPr>
              <w:t>Change related mainly to functional creation of Machakhela NP and strengthening of Kintrishi and Mtirala NP Administrations (equipment purchase and office    refurbishment, etc).</w:t>
            </w:r>
          </w:p>
          <w:p w14:paraId="3837F158" w14:textId="77777777" w:rsidR="004A76C6" w:rsidRPr="00BB0AB8" w:rsidRDefault="004A76C6" w:rsidP="004A76C6">
            <w:pPr>
              <w:spacing w:before="60"/>
              <w:rPr>
                <w:rFonts w:ascii="Arial Narrow" w:hAnsi="Arial Narrow"/>
                <w:sz w:val="18"/>
                <w:szCs w:val="18"/>
              </w:rPr>
            </w:pPr>
            <w:r w:rsidRPr="00BB0AB8">
              <w:rPr>
                <w:rFonts w:ascii="Arial Narrow" w:hAnsi="Arial Narrow"/>
                <w:sz w:val="18"/>
                <w:szCs w:val="18"/>
              </w:rPr>
              <w:t>- Process of updating the PA Strategy (2016) and development of a long-term PA Policy (ongoing) contributed to increased relevance and inclusiveness of APA strategic planning.</w:t>
            </w:r>
          </w:p>
          <w:p w14:paraId="5532977B" w14:textId="77777777" w:rsidR="004A76C6" w:rsidRPr="00BB0AB8" w:rsidRDefault="004A76C6" w:rsidP="004A76C6">
            <w:pPr>
              <w:spacing w:before="60"/>
              <w:rPr>
                <w:rFonts w:ascii="Arial Narrow" w:hAnsi="Arial Narrow"/>
                <w:sz w:val="18"/>
                <w:szCs w:val="18"/>
              </w:rPr>
            </w:pPr>
            <w:r w:rsidRPr="00BB0AB8">
              <w:rPr>
                <w:rFonts w:ascii="Arial Narrow" w:hAnsi="Arial Narrow"/>
                <w:sz w:val="18"/>
                <w:szCs w:val="18"/>
              </w:rPr>
              <w:t>- All 3 Colchic forest PAs have well-staffed administrations with clear leadership.</w:t>
            </w:r>
          </w:p>
          <w:p w14:paraId="10EA33B6" w14:textId="77777777" w:rsidR="004A76C6" w:rsidRPr="00BB0AB8" w:rsidRDefault="004A76C6" w:rsidP="004A76C6">
            <w:pPr>
              <w:spacing w:before="60"/>
              <w:rPr>
                <w:rFonts w:ascii="Arial Narrow" w:hAnsi="Arial Narrow"/>
                <w:sz w:val="18"/>
                <w:szCs w:val="18"/>
              </w:rPr>
            </w:pPr>
            <w:r w:rsidRPr="00BB0AB8">
              <w:rPr>
                <w:rFonts w:ascii="Arial Narrow" w:hAnsi="Arial Narrow"/>
                <w:sz w:val="18"/>
                <w:szCs w:val="18"/>
              </w:rPr>
              <w:t>- All target PAs have recent management plan or updated plans.</w:t>
            </w:r>
          </w:p>
          <w:p w14:paraId="03CE816C" w14:textId="77777777" w:rsidR="004A76C6" w:rsidRPr="00BB0AB8" w:rsidRDefault="004A76C6" w:rsidP="004A76C6">
            <w:pPr>
              <w:spacing w:before="60"/>
              <w:rPr>
                <w:rFonts w:ascii="Arial Narrow" w:hAnsi="Arial Narrow"/>
                <w:sz w:val="18"/>
                <w:szCs w:val="18"/>
              </w:rPr>
            </w:pPr>
            <w:r w:rsidRPr="00BB0AB8">
              <w:rPr>
                <w:rFonts w:ascii="Arial Narrow" w:hAnsi="Arial Narrow"/>
                <w:sz w:val="18"/>
                <w:szCs w:val="18"/>
              </w:rPr>
              <w:t>- Establishment of Advisory Councils at Mtirala and Machakhela including representatives of NGOs and local communities/ authorities.</w:t>
            </w:r>
          </w:p>
          <w:p w14:paraId="2447B778" w14:textId="77777777" w:rsidR="004A76C6" w:rsidRPr="00BB0AB8" w:rsidRDefault="004A76C6" w:rsidP="004A76C6">
            <w:pPr>
              <w:spacing w:before="60"/>
              <w:rPr>
                <w:rFonts w:ascii="Arial Narrow" w:hAnsi="Arial Narrow"/>
                <w:sz w:val="18"/>
                <w:szCs w:val="18"/>
              </w:rPr>
            </w:pPr>
            <w:r w:rsidRPr="00BB0AB8">
              <w:rPr>
                <w:rFonts w:ascii="Arial Narrow" w:hAnsi="Arial Narrow"/>
                <w:sz w:val="18"/>
                <w:szCs w:val="18"/>
              </w:rPr>
              <w:t>- APA and PA administrations have shown capacity to adapt to circumstances. For example, Machakhela NP administration is actively involved in organizing the process of bringing hazelnut shell (alternative to fuelwood) into the valley by mobilizing local community and communicating with suppliers and local government.</w:t>
            </w:r>
          </w:p>
          <w:p w14:paraId="6E564903" w14:textId="77777777" w:rsidR="004A76C6" w:rsidRPr="00BB0AB8" w:rsidRDefault="004A76C6" w:rsidP="004A76C6">
            <w:pPr>
              <w:spacing w:before="60"/>
              <w:rPr>
                <w:rFonts w:ascii="Arial Narrow" w:hAnsi="Arial Narrow"/>
                <w:sz w:val="18"/>
                <w:szCs w:val="18"/>
              </w:rPr>
            </w:pPr>
            <w:r w:rsidRPr="00BB0AB8">
              <w:rPr>
                <w:rFonts w:ascii="Arial Narrow" w:hAnsi="Arial Narrow"/>
                <w:sz w:val="18"/>
                <w:szCs w:val="18"/>
                <w:highlight w:val="lightGray"/>
              </w:rPr>
              <w:t>Individual score: 13 (54%)</w:t>
            </w:r>
            <w:r w:rsidRPr="00BB0AB8">
              <w:rPr>
                <w:rFonts w:ascii="Arial Narrow" w:hAnsi="Arial Narrow"/>
                <w:sz w:val="18"/>
                <w:szCs w:val="18"/>
              </w:rPr>
              <w:t xml:space="preserve"> </w:t>
            </w:r>
          </w:p>
          <w:p w14:paraId="7F3BF0CC" w14:textId="77777777" w:rsidR="004A76C6" w:rsidRPr="00BB0AB8" w:rsidRDefault="004A76C6" w:rsidP="004A76C6">
            <w:pPr>
              <w:rPr>
                <w:rFonts w:ascii="Arial Narrow" w:hAnsi="Arial Narrow"/>
                <w:sz w:val="18"/>
                <w:szCs w:val="18"/>
              </w:rPr>
            </w:pPr>
            <w:r w:rsidRPr="00BB0AB8">
              <w:rPr>
                <w:rFonts w:ascii="Arial Narrow" w:hAnsi="Arial Narrow"/>
                <w:sz w:val="18"/>
                <w:szCs w:val="18"/>
              </w:rPr>
              <w:t xml:space="preserve">- Individuals are reasonably skilled due to trainings undertaken by UNDP/GEF, SPPA and EU Twinning projects (2015). </w:t>
            </w:r>
          </w:p>
          <w:p w14:paraId="3991B3ED" w14:textId="77777777" w:rsidR="004A76C6" w:rsidRPr="00BB0AB8" w:rsidRDefault="004A76C6" w:rsidP="004A76C6">
            <w:pPr>
              <w:spacing w:before="60"/>
              <w:rPr>
                <w:rFonts w:ascii="Arial Narrow" w:hAnsi="Arial Narrow"/>
                <w:sz w:val="18"/>
                <w:szCs w:val="18"/>
              </w:rPr>
            </w:pPr>
            <w:r w:rsidRPr="00BB0AB8">
              <w:rPr>
                <w:rFonts w:ascii="Arial Narrow" w:hAnsi="Arial Narrow"/>
                <w:sz w:val="18"/>
                <w:szCs w:val="18"/>
              </w:rPr>
              <w:t xml:space="preserve">- Many individuals are motivated: creation of new administration for Machakhela, staff trainings, provision of uniforms, infrastructure </w:t>
            </w:r>
            <w:r w:rsidRPr="00BB0AB8">
              <w:rPr>
                <w:rFonts w:ascii="Arial Narrow" w:hAnsi="Arial Narrow"/>
                <w:sz w:val="18"/>
                <w:szCs w:val="18"/>
              </w:rPr>
              <w:lastRenderedPageBreak/>
              <w:t xml:space="preserve">and equipment for PA staff, improved communication with local communities, etc, all of which improved motivation and commitment of staff. Salary has increased and all 3 Colchic PAs are getting bonus/salary top up provided by CNF (Machakhela eligible to join this scheme by end 2018). </w:t>
            </w:r>
          </w:p>
          <w:p w14:paraId="25B061A4" w14:textId="77777777" w:rsidR="004A76C6" w:rsidRPr="00BB0AB8" w:rsidRDefault="004A76C6" w:rsidP="004A76C6">
            <w:pPr>
              <w:spacing w:before="60"/>
              <w:rPr>
                <w:rFonts w:ascii="Arial Narrow" w:hAnsi="Arial Narrow"/>
                <w:sz w:val="18"/>
                <w:szCs w:val="18"/>
              </w:rPr>
            </w:pPr>
            <w:r w:rsidRPr="00BB0AB8">
              <w:rPr>
                <w:rFonts w:ascii="Arial Narrow" w:hAnsi="Arial Narrow"/>
                <w:sz w:val="18"/>
                <w:szCs w:val="18"/>
              </w:rPr>
              <w:t>- As a result of trainings, development of local community relations, etc. attitudes of PA administration staff widened and more appropriate</w:t>
            </w:r>
          </w:p>
          <w:p w14:paraId="7A9EA28C" w14:textId="77777777" w:rsidR="004A76C6" w:rsidRPr="00BB0AB8" w:rsidRDefault="004A76C6" w:rsidP="004A76C6">
            <w:pPr>
              <w:spacing w:before="60"/>
              <w:rPr>
                <w:rFonts w:ascii="Arial Narrow" w:hAnsi="Arial Narrow"/>
                <w:sz w:val="18"/>
                <w:szCs w:val="18"/>
              </w:rPr>
            </w:pPr>
            <w:r w:rsidRPr="00BB0AB8">
              <w:rPr>
                <w:rFonts w:ascii="Arial Narrow" w:hAnsi="Arial Narrow"/>
                <w:sz w:val="18"/>
                <w:szCs w:val="18"/>
              </w:rPr>
              <w:t xml:space="preserve">- PA Administrations have strong Protection teams that work well with other units in administrations (Natural Resource Specialist and Visitor Specialist) sometimes. </w:t>
            </w:r>
          </w:p>
        </w:tc>
        <w:tc>
          <w:tcPr>
            <w:tcW w:w="692" w:type="pct"/>
            <w:tcBorders>
              <w:left w:val="single" w:sz="6" w:space="0" w:color="auto"/>
              <w:right w:val="single" w:sz="18" w:space="0" w:color="auto"/>
            </w:tcBorders>
            <w:tcMar>
              <w:left w:w="28" w:type="dxa"/>
              <w:right w:w="28" w:type="dxa"/>
            </w:tcMar>
          </w:tcPr>
          <w:p w14:paraId="32CECA20" w14:textId="77777777" w:rsidR="004A76C6" w:rsidRPr="00BB0AB8" w:rsidRDefault="004A76C6" w:rsidP="004A76C6">
            <w:pPr>
              <w:rPr>
                <w:rFonts w:ascii="Arial Narrow" w:hAnsi="Arial Narrow"/>
                <w:bCs/>
                <w:sz w:val="18"/>
                <w:szCs w:val="18"/>
                <w:highlight w:val="green"/>
              </w:rPr>
            </w:pPr>
            <w:r w:rsidRPr="00BB0AB8">
              <w:rPr>
                <w:rFonts w:ascii="Arial Narrow" w:hAnsi="Arial Narrow"/>
                <w:bCs/>
                <w:sz w:val="18"/>
                <w:szCs w:val="18"/>
                <w:highlight w:val="green"/>
              </w:rPr>
              <w:lastRenderedPageBreak/>
              <w:t>Capacity development scores have been greatly exceeded at systemic, institutional and individual levels!</w:t>
            </w:r>
          </w:p>
          <w:p w14:paraId="422CEB71" w14:textId="77777777" w:rsidR="004A76C6" w:rsidRPr="00BB0AB8" w:rsidRDefault="004A76C6" w:rsidP="004A76C6">
            <w:pPr>
              <w:spacing w:before="60"/>
              <w:rPr>
                <w:rFonts w:ascii="Arial Narrow" w:hAnsi="Arial Narrow"/>
                <w:bCs/>
                <w:sz w:val="18"/>
                <w:szCs w:val="18"/>
                <w:highlight w:val="green"/>
              </w:rPr>
            </w:pPr>
            <w:r w:rsidRPr="00BB0AB8">
              <w:rPr>
                <w:rFonts w:ascii="Arial Narrow" w:hAnsi="Arial Narrow"/>
                <w:bCs/>
                <w:sz w:val="18"/>
                <w:szCs w:val="18"/>
                <w:highlight w:val="green"/>
              </w:rPr>
              <w:t>The evidence presented is indicative of the huge progress made in developing capacity within Achara’s PA system, including important initiatives that strengthen professional and community support for the PA Administrations, such as the establishment of NP Friends Associations and Advisory Councils.</w:t>
            </w:r>
          </w:p>
          <w:p w14:paraId="50512245" w14:textId="77777777" w:rsidR="004A76C6" w:rsidRPr="00BB0AB8" w:rsidRDefault="004A76C6" w:rsidP="004A76C6">
            <w:pPr>
              <w:spacing w:before="60"/>
              <w:rPr>
                <w:rFonts w:ascii="Arial Narrow" w:hAnsi="Arial Narrow"/>
                <w:b/>
                <w:sz w:val="18"/>
                <w:szCs w:val="18"/>
              </w:rPr>
            </w:pPr>
            <w:r w:rsidRPr="00BB0AB8">
              <w:rPr>
                <w:rFonts w:ascii="Arial Narrow" w:hAnsi="Arial Narrow"/>
                <w:b/>
                <w:sz w:val="18"/>
                <w:szCs w:val="18"/>
              </w:rPr>
              <w:t>Note:</w:t>
            </w:r>
          </w:p>
          <w:p w14:paraId="539C9133" w14:textId="77777777" w:rsidR="004A76C6" w:rsidRPr="00BB0AB8" w:rsidRDefault="004A76C6" w:rsidP="004A76C6">
            <w:pPr>
              <w:rPr>
                <w:rFonts w:ascii="Arial Narrow" w:hAnsi="Arial Narrow"/>
                <w:sz w:val="18"/>
                <w:szCs w:val="18"/>
              </w:rPr>
            </w:pPr>
            <w:r w:rsidRPr="00BB0AB8">
              <w:rPr>
                <w:rFonts w:ascii="Arial Narrow" w:hAnsi="Arial Narrow"/>
                <w:b/>
                <w:sz w:val="18"/>
                <w:szCs w:val="18"/>
              </w:rPr>
              <w:t>1.</w:t>
            </w:r>
            <w:r w:rsidRPr="00BB0AB8">
              <w:rPr>
                <w:rFonts w:ascii="Arial Narrow" w:hAnsi="Arial Narrow"/>
                <w:sz w:val="18"/>
                <w:szCs w:val="18"/>
              </w:rPr>
              <w:t xml:space="preserve"> These achievements are the cumulative result of the project’s close collaboration with EU Twinning, GIZ and SPPA projects in particular. </w:t>
            </w:r>
            <w:r w:rsidRPr="00BB0AB8">
              <w:rPr>
                <w:rFonts w:ascii="Arial Narrow" w:hAnsi="Arial Narrow"/>
                <w:sz w:val="18"/>
                <w:szCs w:val="18"/>
              </w:rPr>
              <w:lastRenderedPageBreak/>
              <w:t>Thus, this indicator also reflects effective synergistic working between different projects but does not focus specifically on the successes of GEF project.</w:t>
            </w:r>
          </w:p>
          <w:p w14:paraId="387B2D17" w14:textId="77777777" w:rsidR="004A76C6" w:rsidRPr="00BB0AB8" w:rsidRDefault="004A76C6" w:rsidP="004A76C6">
            <w:pPr>
              <w:spacing w:before="60"/>
              <w:rPr>
                <w:rFonts w:ascii="Arial Narrow" w:hAnsi="Arial Narrow"/>
                <w:sz w:val="18"/>
                <w:szCs w:val="18"/>
              </w:rPr>
            </w:pPr>
            <w:r w:rsidRPr="00BB0AB8">
              <w:rPr>
                <w:rFonts w:ascii="Arial Narrow" w:hAnsi="Arial Narrow"/>
                <w:b/>
                <w:sz w:val="18"/>
                <w:szCs w:val="18"/>
              </w:rPr>
              <w:t xml:space="preserve">2. </w:t>
            </w:r>
            <w:r w:rsidRPr="00BB0AB8">
              <w:rPr>
                <w:rFonts w:ascii="Arial Narrow" w:hAnsi="Arial Narrow"/>
                <w:sz w:val="18"/>
                <w:szCs w:val="18"/>
              </w:rPr>
              <w:t>Advisory Councils replaced the former “Scientific Advisory Councils” in order to introduce local representation and become more consultative. While this is a welcome and important improvement supported by APA, as noted below (Outcome 2), these new Councils have had limited success to date and, in the</w:t>
            </w:r>
            <w:r>
              <w:rPr>
                <w:rFonts w:ascii="Arial Narrow" w:hAnsi="Arial Narrow"/>
                <w:sz w:val="18"/>
                <w:szCs w:val="18"/>
              </w:rPr>
              <w:t xml:space="preserve"> case</w:t>
            </w:r>
            <w:r w:rsidRPr="00BB0AB8">
              <w:rPr>
                <w:rFonts w:ascii="Arial Narrow" w:hAnsi="Arial Narrow"/>
                <w:sz w:val="18"/>
                <w:szCs w:val="18"/>
              </w:rPr>
              <w:t xml:space="preserve"> of Mtirala, do not meet regularly. </w:t>
            </w:r>
          </w:p>
        </w:tc>
      </w:tr>
      <w:tr w:rsidR="004A76C6" w:rsidRPr="00BB0AB8" w14:paraId="421E4363" w14:textId="77777777" w:rsidTr="004071E2">
        <w:tc>
          <w:tcPr>
            <w:tcW w:w="593" w:type="pct"/>
            <w:tcBorders>
              <w:top w:val="single" w:sz="6" w:space="0" w:color="auto"/>
              <w:left w:val="single" w:sz="18" w:space="0" w:color="auto"/>
              <w:bottom w:val="single" w:sz="6" w:space="0" w:color="auto"/>
              <w:right w:val="single" w:sz="6" w:space="0" w:color="auto"/>
            </w:tcBorders>
            <w:tcMar>
              <w:left w:w="28" w:type="dxa"/>
              <w:right w:w="28" w:type="dxa"/>
            </w:tcMar>
          </w:tcPr>
          <w:p w14:paraId="3703832A" w14:textId="77777777" w:rsidR="004A76C6" w:rsidRPr="00BB0AB8" w:rsidRDefault="004A76C6" w:rsidP="004A76C6">
            <w:pPr>
              <w:rPr>
                <w:rFonts w:ascii="Arial Narrow" w:hAnsi="Arial Narrow"/>
                <w:sz w:val="18"/>
                <w:szCs w:val="18"/>
              </w:rPr>
            </w:pPr>
            <w:r w:rsidRPr="00BB0AB8">
              <w:rPr>
                <w:rFonts w:ascii="Arial Narrow" w:hAnsi="Arial Narrow"/>
                <w:sz w:val="18"/>
                <w:szCs w:val="18"/>
              </w:rPr>
              <w:lastRenderedPageBreak/>
              <w:t>Management effectiveness for Kintrishi PA Complex, Mtirala NP and Machakhela NP measured by METT scorecard.</w:t>
            </w:r>
          </w:p>
        </w:tc>
        <w:tc>
          <w:tcPr>
            <w:tcW w:w="485" w:type="pct"/>
            <w:tcBorders>
              <w:top w:val="single" w:sz="6" w:space="0" w:color="auto"/>
              <w:left w:val="single" w:sz="6" w:space="0" w:color="auto"/>
              <w:bottom w:val="single" w:sz="6" w:space="0" w:color="auto"/>
              <w:right w:val="single" w:sz="18" w:space="0" w:color="auto"/>
            </w:tcBorders>
            <w:tcMar>
              <w:left w:w="28" w:type="dxa"/>
              <w:right w:w="28" w:type="dxa"/>
            </w:tcMar>
          </w:tcPr>
          <w:p w14:paraId="1CCBB91A" w14:textId="77777777" w:rsidR="004A76C6" w:rsidRPr="00BB0AB8" w:rsidRDefault="004A76C6" w:rsidP="004A76C6">
            <w:pPr>
              <w:rPr>
                <w:rFonts w:ascii="Arial Narrow" w:hAnsi="Arial Narrow"/>
                <w:b/>
                <w:bCs/>
                <w:sz w:val="18"/>
                <w:szCs w:val="18"/>
              </w:rPr>
            </w:pPr>
            <w:r w:rsidRPr="00BB0AB8">
              <w:rPr>
                <w:rFonts w:ascii="Arial Narrow" w:hAnsi="Arial Narrow"/>
                <w:sz w:val="18"/>
                <w:szCs w:val="18"/>
              </w:rPr>
              <w:t>Mtirala National Park: 68%</w:t>
            </w:r>
          </w:p>
          <w:p w14:paraId="4E88E1ED" w14:textId="77777777" w:rsidR="004A76C6" w:rsidRPr="00BB0AB8" w:rsidRDefault="004A76C6" w:rsidP="004A76C6">
            <w:pPr>
              <w:rPr>
                <w:rFonts w:ascii="Arial Narrow" w:hAnsi="Arial Narrow"/>
                <w:b/>
                <w:bCs/>
                <w:sz w:val="18"/>
                <w:szCs w:val="18"/>
              </w:rPr>
            </w:pPr>
            <w:r w:rsidRPr="00BB0AB8">
              <w:rPr>
                <w:rFonts w:ascii="Arial Narrow" w:hAnsi="Arial Narrow"/>
                <w:sz w:val="18"/>
                <w:szCs w:val="18"/>
              </w:rPr>
              <w:t>Kintrishi State Reserve : 62%</w:t>
            </w:r>
          </w:p>
          <w:p w14:paraId="745025E0" w14:textId="77777777" w:rsidR="004A76C6" w:rsidRPr="00BB0AB8" w:rsidRDefault="004A76C6" w:rsidP="004A76C6">
            <w:pPr>
              <w:rPr>
                <w:rFonts w:ascii="Arial Narrow" w:hAnsi="Arial Narrow"/>
                <w:b/>
                <w:bCs/>
                <w:sz w:val="18"/>
                <w:szCs w:val="18"/>
              </w:rPr>
            </w:pPr>
            <w:r w:rsidRPr="00BB0AB8">
              <w:rPr>
                <w:rFonts w:ascii="Arial Narrow" w:hAnsi="Arial Narrow"/>
                <w:sz w:val="18"/>
                <w:szCs w:val="18"/>
              </w:rPr>
              <w:t>Kintrishi Protected Landscape: 58%</w:t>
            </w:r>
          </w:p>
          <w:p w14:paraId="41C9E7FA" w14:textId="77777777" w:rsidR="004A76C6" w:rsidRPr="00BB0AB8" w:rsidRDefault="004A76C6" w:rsidP="004A76C6">
            <w:pPr>
              <w:rPr>
                <w:rFonts w:ascii="Arial Narrow" w:hAnsi="Arial Narrow"/>
                <w:sz w:val="18"/>
                <w:szCs w:val="18"/>
              </w:rPr>
            </w:pPr>
            <w:r w:rsidRPr="00BB0AB8">
              <w:rPr>
                <w:rFonts w:ascii="Arial Narrow" w:hAnsi="Arial Narrow"/>
                <w:sz w:val="18"/>
                <w:szCs w:val="18"/>
                <w:lang w:val="sv-SE"/>
              </w:rPr>
              <w:t>Machakhela NP: 11%</w:t>
            </w:r>
          </w:p>
        </w:tc>
        <w:tc>
          <w:tcPr>
            <w:tcW w:w="462" w:type="pct"/>
            <w:tcBorders>
              <w:top w:val="single" w:sz="6" w:space="0" w:color="auto"/>
              <w:left w:val="single" w:sz="18" w:space="0" w:color="auto"/>
              <w:bottom w:val="single" w:sz="6" w:space="0" w:color="auto"/>
              <w:right w:val="single" w:sz="6" w:space="0" w:color="auto"/>
            </w:tcBorders>
            <w:tcMar>
              <w:left w:w="28" w:type="dxa"/>
              <w:right w:w="28" w:type="dxa"/>
            </w:tcMar>
          </w:tcPr>
          <w:p w14:paraId="79D54758" w14:textId="77777777" w:rsidR="004A76C6" w:rsidRPr="00BB0AB8" w:rsidRDefault="004A76C6" w:rsidP="004A76C6">
            <w:pPr>
              <w:widowControl w:val="0"/>
              <w:rPr>
                <w:rFonts w:ascii="Arial Narrow" w:hAnsi="Arial Narrow" w:cs="Times Roman"/>
                <w:color w:val="000000"/>
                <w:sz w:val="18"/>
                <w:szCs w:val="18"/>
                <w:lang w:val="en-US"/>
              </w:rPr>
            </w:pPr>
            <w:r w:rsidRPr="00BB0AB8">
              <w:rPr>
                <w:rFonts w:ascii="Arial Narrow" w:hAnsi="Arial Narrow" w:cs="Times Roman"/>
                <w:color w:val="000000"/>
                <w:sz w:val="18"/>
                <w:szCs w:val="18"/>
                <w:lang w:val="en-US"/>
              </w:rPr>
              <w:t xml:space="preserve">Mtirala NP: 70% </w:t>
            </w:r>
          </w:p>
          <w:p w14:paraId="061EFFE5" w14:textId="77777777" w:rsidR="004A76C6" w:rsidRPr="00BB0AB8" w:rsidRDefault="004A76C6" w:rsidP="004A76C6">
            <w:pPr>
              <w:widowControl w:val="0"/>
              <w:rPr>
                <w:rFonts w:ascii="Arial Narrow" w:hAnsi="Arial Narrow" w:cs="Times Roman"/>
                <w:color w:val="000000"/>
                <w:sz w:val="18"/>
                <w:szCs w:val="18"/>
                <w:lang w:val="en-US"/>
              </w:rPr>
            </w:pPr>
            <w:r w:rsidRPr="00BB0AB8">
              <w:rPr>
                <w:rFonts w:ascii="Arial Narrow" w:hAnsi="Arial Narrow" w:cs="Times Roman"/>
                <w:color w:val="000000"/>
                <w:sz w:val="18"/>
                <w:szCs w:val="18"/>
                <w:lang w:val="en-US"/>
              </w:rPr>
              <w:t xml:space="preserve">Kintrishi SR: 64% </w:t>
            </w:r>
          </w:p>
          <w:p w14:paraId="6E4BB0A8" w14:textId="77777777" w:rsidR="004A76C6" w:rsidRPr="00BB0AB8" w:rsidRDefault="004A76C6" w:rsidP="004A76C6">
            <w:pPr>
              <w:widowControl w:val="0"/>
              <w:rPr>
                <w:rFonts w:ascii="Arial Narrow" w:hAnsi="Arial Narrow" w:cs="Times Roman"/>
                <w:color w:val="000000"/>
                <w:sz w:val="18"/>
                <w:szCs w:val="18"/>
                <w:lang w:val="en-US"/>
              </w:rPr>
            </w:pPr>
            <w:r w:rsidRPr="00BB0AB8">
              <w:rPr>
                <w:rFonts w:ascii="Arial Narrow" w:hAnsi="Arial Narrow" w:cs="Times Roman"/>
                <w:color w:val="000000"/>
                <w:sz w:val="18"/>
                <w:szCs w:val="18"/>
                <w:lang w:val="en-US"/>
              </w:rPr>
              <w:t>Kintrishi PL: 60%</w:t>
            </w:r>
          </w:p>
          <w:p w14:paraId="68C50D46" w14:textId="77777777" w:rsidR="004A76C6" w:rsidRPr="00BB0AB8" w:rsidRDefault="004A76C6" w:rsidP="004A76C6">
            <w:pPr>
              <w:widowControl w:val="0"/>
              <w:rPr>
                <w:rFonts w:ascii="Arial Narrow" w:hAnsi="Arial Narrow" w:cs="Times Roman"/>
                <w:color w:val="000000"/>
                <w:sz w:val="18"/>
                <w:szCs w:val="18"/>
                <w:lang w:val="en-US"/>
              </w:rPr>
            </w:pPr>
            <w:r w:rsidRPr="00BB0AB8">
              <w:rPr>
                <w:rFonts w:ascii="Arial Narrow" w:hAnsi="Arial Narrow" w:cs="Times Roman"/>
                <w:color w:val="000000"/>
                <w:sz w:val="18"/>
                <w:szCs w:val="18"/>
                <w:lang w:val="en-US"/>
              </w:rPr>
              <w:t>Machakhela NP: 36%</w:t>
            </w:r>
          </w:p>
        </w:tc>
        <w:tc>
          <w:tcPr>
            <w:tcW w:w="692" w:type="pct"/>
            <w:tcBorders>
              <w:top w:val="single" w:sz="6" w:space="0" w:color="auto"/>
              <w:left w:val="single" w:sz="6" w:space="0" w:color="auto"/>
              <w:bottom w:val="single" w:sz="6" w:space="0" w:color="auto"/>
              <w:right w:val="single" w:sz="18" w:space="0" w:color="auto"/>
            </w:tcBorders>
            <w:tcMar>
              <w:left w:w="28" w:type="dxa"/>
              <w:right w:w="28" w:type="dxa"/>
            </w:tcMar>
          </w:tcPr>
          <w:p w14:paraId="6A9B142A" w14:textId="77777777" w:rsidR="004A76C6" w:rsidRPr="00BB0AB8" w:rsidRDefault="004A76C6" w:rsidP="004A76C6">
            <w:pPr>
              <w:widowControl w:val="0"/>
              <w:rPr>
                <w:rFonts w:ascii="Arial Narrow" w:hAnsi="Arial Narrow" w:cs="Times Roman"/>
                <w:color w:val="000000"/>
                <w:sz w:val="18"/>
                <w:szCs w:val="18"/>
                <w:lang w:val="en-US"/>
              </w:rPr>
            </w:pPr>
            <w:r w:rsidRPr="00BB0AB8">
              <w:rPr>
                <w:rFonts w:ascii="Arial Narrow" w:hAnsi="Arial Narrow" w:cs="Times Roman"/>
                <w:color w:val="000000"/>
                <w:sz w:val="18"/>
                <w:szCs w:val="18"/>
                <w:lang w:val="en-US"/>
              </w:rPr>
              <w:t xml:space="preserve">No issues with the indicator although the targets are unrealistic and may not have been as a result of detailed analysis of what could be gained through the project’s life. </w:t>
            </w:r>
          </w:p>
          <w:p w14:paraId="5A617203" w14:textId="77777777" w:rsidR="004A76C6" w:rsidRPr="00BB0AB8" w:rsidRDefault="004A76C6" w:rsidP="004A76C6">
            <w:pPr>
              <w:rPr>
                <w:rFonts w:ascii="Arial Narrow" w:hAnsi="Arial Narrow"/>
                <w:sz w:val="18"/>
                <w:szCs w:val="18"/>
              </w:rPr>
            </w:pPr>
            <w:r w:rsidRPr="00BB0AB8">
              <w:rPr>
                <w:rFonts w:ascii="Arial Narrow" w:hAnsi="Arial Narrow" w:cs="Times Roman"/>
                <w:color w:val="000000"/>
                <w:sz w:val="18"/>
                <w:szCs w:val="18"/>
                <w:lang w:val="en-US"/>
              </w:rPr>
              <w:t>In addition, the project has no significant influence in Kintrishi PAs (cf. other actors such as the KfW- funded project).</w:t>
            </w:r>
          </w:p>
        </w:tc>
        <w:tc>
          <w:tcPr>
            <w:tcW w:w="461" w:type="pct"/>
            <w:tcBorders>
              <w:top w:val="single" w:sz="6" w:space="0" w:color="auto"/>
              <w:left w:val="single" w:sz="18" w:space="0" w:color="auto"/>
              <w:bottom w:val="single" w:sz="6" w:space="0" w:color="auto"/>
              <w:right w:val="single" w:sz="6" w:space="0" w:color="auto"/>
            </w:tcBorders>
            <w:tcMar>
              <w:left w:w="28" w:type="dxa"/>
              <w:right w:w="28" w:type="dxa"/>
            </w:tcMar>
          </w:tcPr>
          <w:p w14:paraId="675FC65D" w14:textId="77777777" w:rsidR="004A76C6" w:rsidRPr="00BB0AB8" w:rsidRDefault="004A76C6" w:rsidP="004A76C6">
            <w:pPr>
              <w:rPr>
                <w:rFonts w:ascii="Arial Narrow" w:hAnsi="Arial Narrow"/>
                <w:b/>
                <w:bCs/>
                <w:sz w:val="18"/>
                <w:szCs w:val="18"/>
              </w:rPr>
            </w:pPr>
            <w:r w:rsidRPr="00BB0AB8">
              <w:rPr>
                <w:rFonts w:ascii="Arial Narrow" w:hAnsi="Arial Narrow"/>
                <w:sz w:val="18"/>
                <w:szCs w:val="18"/>
              </w:rPr>
              <w:t>Mtirala NP: &gt;73%</w:t>
            </w:r>
          </w:p>
          <w:p w14:paraId="6049BF7D" w14:textId="77777777" w:rsidR="004A76C6" w:rsidRPr="00BB0AB8" w:rsidRDefault="004A76C6" w:rsidP="004A76C6">
            <w:pPr>
              <w:rPr>
                <w:rFonts w:ascii="Arial Narrow" w:hAnsi="Arial Narrow"/>
                <w:b/>
                <w:bCs/>
                <w:sz w:val="18"/>
                <w:szCs w:val="18"/>
              </w:rPr>
            </w:pPr>
            <w:r w:rsidRPr="00BB0AB8">
              <w:rPr>
                <w:rFonts w:ascii="Arial Narrow" w:hAnsi="Arial Narrow"/>
                <w:sz w:val="18"/>
                <w:szCs w:val="18"/>
              </w:rPr>
              <w:t>Kintrishi SR: 67%</w:t>
            </w:r>
          </w:p>
          <w:p w14:paraId="08441939" w14:textId="77777777" w:rsidR="004A76C6" w:rsidRPr="00BB0AB8" w:rsidRDefault="004A76C6" w:rsidP="004A76C6">
            <w:pPr>
              <w:rPr>
                <w:rFonts w:ascii="Arial Narrow" w:hAnsi="Arial Narrow"/>
                <w:b/>
                <w:bCs/>
                <w:sz w:val="18"/>
                <w:szCs w:val="18"/>
              </w:rPr>
            </w:pPr>
            <w:r w:rsidRPr="00BB0AB8">
              <w:rPr>
                <w:rFonts w:ascii="Arial Narrow" w:hAnsi="Arial Narrow"/>
                <w:sz w:val="18"/>
                <w:szCs w:val="18"/>
              </w:rPr>
              <w:t>Kintrishi PL: &gt;63%</w:t>
            </w:r>
          </w:p>
          <w:p w14:paraId="37884805" w14:textId="77777777" w:rsidR="004A76C6" w:rsidRPr="00BB0AB8" w:rsidRDefault="004A76C6" w:rsidP="004A76C6">
            <w:pPr>
              <w:rPr>
                <w:rFonts w:ascii="Arial Narrow" w:hAnsi="Arial Narrow"/>
                <w:sz w:val="18"/>
                <w:szCs w:val="18"/>
              </w:rPr>
            </w:pPr>
            <w:r w:rsidRPr="00BB0AB8">
              <w:rPr>
                <w:rFonts w:ascii="Arial Narrow" w:hAnsi="Arial Narrow"/>
                <w:sz w:val="18"/>
                <w:szCs w:val="18"/>
              </w:rPr>
              <w:t>Machakhela NP: 71%</w:t>
            </w:r>
          </w:p>
        </w:tc>
        <w:tc>
          <w:tcPr>
            <w:tcW w:w="462" w:type="pct"/>
            <w:tcBorders>
              <w:top w:val="single" w:sz="6" w:space="0" w:color="auto"/>
              <w:left w:val="single" w:sz="6" w:space="0" w:color="auto"/>
              <w:bottom w:val="single" w:sz="6" w:space="0" w:color="auto"/>
              <w:right w:val="single" w:sz="6" w:space="0" w:color="auto"/>
            </w:tcBorders>
            <w:shd w:val="clear" w:color="auto" w:fill="00FF00"/>
            <w:tcMar>
              <w:left w:w="28" w:type="dxa"/>
              <w:right w:w="28" w:type="dxa"/>
            </w:tcMar>
          </w:tcPr>
          <w:p w14:paraId="023FB705" w14:textId="77777777" w:rsidR="004A76C6" w:rsidRPr="00BB0AB8" w:rsidRDefault="004A76C6" w:rsidP="004A76C6">
            <w:pPr>
              <w:rPr>
                <w:rFonts w:ascii="Arial Narrow" w:hAnsi="Arial Narrow"/>
                <w:sz w:val="18"/>
                <w:szCs w:val="18"/>
                <w:highlight w:val="green"/>
              </w:rPr>
            </w:pPr>
            <w:r w:rsidRPr="00BB0AB8">
              <w:rPr>
                <w:rFonts w:ascii="Arial Narrow" w:hAnsi="Arial Narrow"/>
                <w:sz w:val="18"/>
                <w:szCs w:val="18"/>
                <w:highlight w:val="green"/>
              </w:rPr>
              <w:t xml:space="preserve">Mtirala NP: 73% Kintrishi SR: 69% </w:t>
            </w:r>
          </w:p>
          <w:p w14:paraId="615CEE11" w14:textId="77777777" w:rsidR="004A76C6" w:rsidRPr="00BB0AB8" w:rsidRDefault="004A76C6" w:rsidP="004A76C6">
            <w:pPr>
              <w:rPr>
                <w:rFonts w:ascii="Arial Narrow" w:hAnsi="Arial Narrow"/>
                <w:sz w:val="18"/>
                <w:szCs w:val="18"/>
                <w:highlight w:val="green"/>
              </w:rPr>
            </w:pPr>
            <w:r w:rsidRPr="00BB0AB8">
              <w:rPr>
                <w:rFonts w:ascii="Arial Narrow" w:hAnsi="Arial Narrow"/>
                <w:sz w:val="18"/>
                <w:szCs w:val="18"/>
                <w:highlight w:val="green"/>
              </w:rPr>
              <w:t xml:space="preserve">Kintrishi PL: 65% </w:t>
            </w:r>
          </w:p>
          <w:p w14:paraId="4525E54F" w14:textId="77777777" w:rsidR="004A76C6" w:rsidRPr="00BB0AB8" w:rsidRDefault="004A76C6" w:rsidP="004A76C6">
            <w:pPr>
              <w:rPr>
                <w:rFonts w:ascii="Arial Narrow" w:hAnsi="Arial Narrow"/>
                <w:sz w:val="18"/>
                <w:szCs w:val="18"/>
                <w:highlight w:val="green"/>
              </w:rPr>
            </w:pPr>
            <w:r w:rsidRPr="00BB0AB8">
              <w:rPr>
                <w:rFonts w:ascii="Arial Narrow" w:hAnsi="Arial Narrow"/>
                <w:sz w:val="18"/>
                <w:szCs w:val="18"/>
                <w:highlight w:val="green"/>
              </w:rPr>
              <w:t>Machakhela NP: 80%</w:t>
            </w:r>
          </w:p>
        </w:tc>
        <w:tc>
          <w:tcPr>
            <w:tcW w:w="1153" w:type="pct"/>
            <w:tcBorders>
              <w:top w:val="single" w:sz="6" w:space="0" w:color="auto"/>
              <w:left w:val="single" w:sz="6" w:space="0" w:color="auto"/>
              <w:bottom w:val="single" w:sz="6" w:space="0" w:color="auto"/>
              <w:right w:val="single" w:sz="6" w:space="0" w:color="auto"/>
            </w:tcBorders>
            <w:tcMar>
              <w:left w:w="28" w:type="dxa"/>
              <w:right w:w="28" w:type="dxa"/>
            </w:tcMar>
          </w:tcPr>
          <w:p w14:paraId="59DADE17" w14:textId="77777777" w:rsidR="004A76C6" w:rsidRPr="00BB0AB8" w:rsidRDefault="004A76C6" w:rsidP="004A76C6">
            <w:pPr>
              <w:rPr>
                <w:rFonts w:ascii="Arial Narrow" w:hAnsi="Arial Narrow"/>
                <w:bCs/>
                <w:sz w:val="18"/>
                <w:szCs w:val="18"/>
              </w:rPr>
            </w:pPr>
            <w:r w:rsidRPr="00BB0AB8">
              <w:rPr>
                <w:rFonts w:ascii="Arial Narrow" w:hAnsi="Arial Narrow"/>
                <w:bCs/>
                <w:sz w:val="18"/>
                <w:szCs w:val="18"/>
              </w:rPr>
              <w:t xml:space="preserve">Mtirala: target score of 73 achieved as result of increased capacity (training, equipment, establish-ment of Advisory Council and investment planning). </w:t>
            </w:r>
          </w:p>
          <w:p w14:paraId="3C8702C1" w14:textId="77777777" w:rsidR="004A76C6" w:rsidRPr="00BB0AB8" w:rsidRDefault="004A76C6" w:rsidP="004A76C6">
            <w:pPr>
              <w:spacing w:before="60"/>
              <w:rPr>
                <w:rFonts w:ascii="Arial Narrow" w:hAnsi="Arial Narrow"/>
                <w:bCs/>
                <w:sz w:val="18"/>
                <w:szCs w:val="18"/>
              </w:rPr>
            </w:pPr>
            <w:r w:rsidRPr="00BB0AB8">
              <w:rPr>
                <w:rFonts w:ascii="Arial Narrow" w:hAnsi="Arial Narrow"/>
                <w:bCs/>
                <w:sz w:val="18"/>
                <w:szCs w:val="18"/>
              </w:rPr>
              <w:t xml:space="preserve">Both Kintrishi PAs increased based on support provided by KfW SPPA project. Likely two PAs will become one NP in 2018 or 2019 </w:t>
            </w:r>
          </w:p>
          <w:p w14:paraId="22817D42" w14:textId="77777777" w:rsidR="004A76C6" w:rsidRPr="00BB0AB8" w:rsidRDefault="004A76C6" w:rsidP="004A76C6">
            <w:pPr>
              <w:rPr>
                <w:rFonts w:ascii="Arial Narrow" w:hAnsi="Arial Narrow"/>
                <w:sz w:val="18"/>
                <w:szCs w:val="18"/>
              </w:rPr>
            </w:pPr>
            <w:r w:rsidRPr="00BB0AB8">
              <w:rPr>
                <w:rFonts w:ascii="Arial Narrow" w:hAnsi="Arial Narrow"/>
                <w:bCs/>
                <w:sz w:val="18"/>
                <w:szCs w:val="18"/>
              </w:rPr>
              <w:t>The significant change in Machakhela NP METT is a reflection of its change from a "paper" park to a functional entity with trained staff, office, equipment, etc, and a local population that is highly supportive of PA activities.</w:t>
            </w:r>
          </w:p>
        </w:tc>
        <w:tc>
          <w:tcPr>
            <w:tcW w:w="692" w:type="pct"/>
            <w:tcBorders>
              <w:left w:val="single" w:sz="6" w:space="0" w:color="auto"/>
              <w:right w:val="single" w:sz="18" w:space="0" w:color="auto"/>
            </w:tcBorders>
            <w:tcMar>
              <w:left w:w="28" w:type="dxa"/>
              <w:right w:w="28" w:type="dxa"/>
            </w:tcMar>
          </w:tcPr>
          <w:p w14:paraId="5CAF09F7" w14:textId="77777777" w:rsidR="004A76C6" w:rsidRPr="00BB0AB8" w:rsidRDefault="004A76C6" w:rsidP="004A76C6">
            <w:pPr>
              <w:rPr>
                <w:rFonts w:ascii="Arial Narrow" w:hAnsi="Arial Narrow"/>
                <w:bCs/>
                <w:sz w:val="18"/>
                <w:szCs w:val="18"/>
                <w:highlight w:val="green"/>
              </w:rPr>
            </w:pPr>
            <w:r w:rsidRPr="00BB0AB8">
              <w:rPr>
                <w:rFonts w:ascii="Arial Narrow" w:hAnsi="Arial Narrow"/>
                <w:bCs/>
                <w:sz w:val="18"/>
                <w:szCs w:val="18"/>
                <w:highlight w:val="green"/>
              </w:rPr>
              <w:t>End of project targets met or exceeded. The modest increases in METT scores for Mtirala and Kintrishi PAs reflect their functional establishment prior to the project and more limited inputs from the project, as per ProDoc design. The huge improvement in METT score, from 11% to 80%, for Machakhela reflects the effective delivery of the project strategy to build the management capacity of this newly established NP.</w:t>
            </w:r>
          </w:p>
        </w:tc>
      </w:tr>
      <w:tr w:rsidR="004A76C6" w:rsidRPr="00BB0AB8" w14:paraId="506AA79E" w14:textId="77777777" w:rsidTr="004071E2">
        <w:tc>
          <w:tcPr>
            <w:tcW w:w="5000" w:type="pct"/>
            <w:gridSpan w:val="8"/>
            <w:tcBorders>
              <w:left w:val="single" w:sz="18" w:space="0" w:color="auto"/>
              <w:right w:val="single" w:sz="18" w:space="0" w:color="auto"/>
            </w:tcBorders>
            <w:shd w:val="clear" w:color="auto" w:fill="00FF00"/>
            <w:vAlign w:val="center"/>
          </w:tcPr>
          <w:p w14:paraId="1E0C1412" w14:textId="77777777" w:rsidR="004A76C6" w:rsidRPr="00BB0AB8" w:rsidRDefault="004A76C6" w:rsidP="004A76C6">
            <w:pPr>
              <w:spacing w:before="60"/>
              <w:rPr>
                <w:rFonts w:ascii="Arial Narrow" w:hAnsi="Arial Narrow"/>
                <w:bCs/>
                <w:sz w:val="18"/>
                <w:szCs w:val="18"/>
              </w:rPr>
            </w:pPr>
            <w:r w:rsidRPr="00BB0AB8">
              <w:rPr>
                <w:rFonts w:ascii="Arial Narrow" w:hAnsi="Arial Narrow"/>
                <w:bCs/>
                <w:sz w:val="18"/>
                <w:szCs w:val="18"/>
              </w:rPr>
              <w:t>Outcome 1: Enhanced PA management effectiveness in the Achara Region</w:t>
            </w:r>
          </w:p>
        </w:tc>
      </w:tr>
      <w:tr w:rsidR="004A76C6" w:rsidRPr="00BB0AB8" w14:paraId="52DBB324" w14:textId="77777777" w:rsidTr="004071E2">
        <w:trPr>
          <w:trHeight w:val="5361"/>
        </w:trPr>
        <w:tc>
          <w:tcPr>
            <w:tcW w:w="593" w:type="pct"/>
            <w:tcBorders>
              <w:top w:val="single" w:sz="6" w:space="0" w:color="auto"/>
              <w:left w:val="single" w:sz="18" w:space="0" w:color="auto"/>
              <w:bottom w:val="single" w:sz="6" w:space="0" w:color="auto"/>
              <w:right w:val="single" w:sz="6" w:space="0" w:color="auto"/>
            </w:tcBorders>
            <w:tcMar>
              <w:left w:w="28" w:type="dxa"/>
              <w:right w:w="28" w:type="dxa"/>
            </w:tcMar>
          </w:tcPr>
          <w:p w14:paraId="26AD3144" w14:textId="77777777" w:rsidR="004A76C6" w:rsidRPr="00BB0AB8" w:rsidDel="0095225B" w:rsidRDefault="004A76C6" w:rsidP="004A76C6">
            <w:pPr>
              <w:rPr>
                <w:rFonts w:ascii="Arial Narrow" w:hAnsi="Arial Narrow"/>
                <w:b/>
                <w:bCs/>
                <w:sz w:val="18"/>
                <w:szCs w:val="18"/>
              </w:rPr>
            </w:pPr>
            <w:r w:rsidRPr="00BB0AB8">
              <w:rPr>
                <w:rFonts w:ascii="Arial Narrow" w:hAnsi="Arial Narrow"/>
                <w:sz w:val="18"/>
                <w:szCs w:val="18"/>
              </w:rPr>
              <w:lastRenderedPageBreak/>
              <w:t>No net increase in the illegal harvesting of wood and non wood forest products</w:t>
            </w:r>
          </w:p>
        </w:tc>
        <w:tc>
          <w:tcPr>
            <w:tcW w:w="485" w:type="pct"/>
            <w:tcBorders>
              <w:top w:val="single" w:sz="6" w:space="0" w:color="auto"/>
              <w:left w:val="single" w:sz="6" w:space="0" w:color="auto"/>
              <w:bottom w:val="single" w:sz="6" w:space="0" w:color="auto"/>
              <w:right w:val="single" w:sz="18" w:space="0" w:color="auto"/>
            </w:tcBorders>
            <w:tcMar>
              <w:left w:w="28" w:type="dxa"/>
              <w:right w:w="28" w:type="dxa"/>
            </w:tcMar>
          </w:tcPr>
          <w:p w14:paraId="5D47C183" w14:textId="77777777" w:rsidR="004A76C6" w:rsidRPr="00BB0AB8" w:rsidRDefault="004A76C6" w:rsidP="004A76C6">
            <w:pPr>
              <w:rPr>
                <w:rFonts w:ascii="Arial Narrow" w:hAnsi="Arial Narrow"/>
                <w:b/>
                <w:bCs/>
                <w:sz w:val="18"/>
                <w:szCs w:val="18"/>
                <w:lang w:val="es-ES_tradnl"/>
              </w:rPr>
            </w:pPr>
            <w:r w:rsidRPr="00BB0AB8">
              <w:rPr>
                <w:rFonts w:ascii="Arial Narrow" w:hAnsi="Arial Narrow"/>
                <w:sz w:val="18"/>
                <w:szCs w:val="18"/>
                <w:lang w:val="es-ES_tradnl"/>
              </w:rPr>
              <w:t>Mtirala NP: 7.82 m</w:t>
            </w:r>
            <w:r w:rsidRPr="00BB0AB8">
              <w:rPr>
                <w:rFonts w:ascii="Arial Narrow" w:hAnsi="Arial Narrow"/>
                <w:sz w:val="18"/>
                <w:szCs w:val="18"/>
                <w:vertAlign w:val="superscript"/>
                <w:lang w:val="es-ES_tradnl"/>
              </w:rPr>
              <w:t>3</w:t>
            </w:r>
            <w:r w:rsidRPr="00BB0AB8">
              <w:rPr>
                <w:rFonts w:ascii="Arial Narrow" w:hAnsi="Arial Narrow"/>
                <w:sz w:val="18"/>
                <w:szCs w:val="18"/>
                <w:lang w:val="es-ES_tradnl"/>
              </w:rPr>
              <w:t xml:space="preserve"> </w:t>
            </w:r>
            <w:r w:rsidRPr="00BB0AB8">
              <w:rPr>
                <w:rFonts w:ascii="Arial Narrow" w:hAnsi="Arial Narrow"/>
                <w:sz w:val="18"/>
                <w:szCs w:val="18"/>
                <w:vertAlign w:val="superscript"/>
              </w:rPr>
              <w:footnoteReference w:id="46"/>
            </w:r>
          </w:p>
          <w:p w14:paraId="24D7A731" w14:textId="77777777" w:rsidR="004A76C6" w:rsidRPr="00BB0AB8" w:rsidDel="00201048" w:rsidRDefault="004A76C6" w:rsidP="004A76C6">
            <w:pPr>
              <w:rPr>
                <w:rFonts w:ascii="Arial Narrow" w:hAnsi="Arial Narrow"/>
                <w:b/>
                <w:bCs/>
                <w:sz w:val="18"/>
                <w:szCs w:val="18"/>
                <w:lang w:val="es-ES_tradnl"/>
              </w:rPr>
            </w:pPr>
            <w:r w:rsidRPr="00BB0AB8">
              <w:rPr>
                <w:rFonts w:ascii="Arial Narrow" w:hAnsi="Arial Narrow"/>
                <w:sz w:val="18"/>
                <w:szCs w:val="18"/>
                <w:lang w:val="es-ES_tradnl"/>
              </w:rPr>
              <w:t>Kintrishi PA Complex: 0 m</w:t>
            </w:r>
            <w:r w:rsidRPr="00BB0AB8">
              <w:rPr>
                <w:rFonts w:ascii="Arial Narrow" w:hAnsi="Arial Narrow"/>
                <w:sz w:val="18"/>
                <w:szCs w:val="18"/>
                <w:vertAlign w:val="superscript"/>
                <w:lang w:val="es-ES_tradnl"/>
              </w:rPr>
              <w:t>3</w:t>
            </w:r>
          </w:p>
        </w:tc>
        <w:tc>
          <w:tcPr>
            <w:tcW w:w="462" w:type="pct"/>
            <w:tcBorders>
              <w:top w:val="single" w:sz="6" w:space="0" w:color="auto"/>
              <w:left w:val="single" w:sz="18" w:space="0" w:color="auto"/>
              <w:bottom w:val="single" w:sz="6" w:space="0" w:color="auto"/>
              <w:right w:val="single" w:sz="6" w:space="0" w:color="auto"/>
            </w:tcBorders>
            <w:tcMar>
              <w:left w:w="28" w:type="dxa"/>
              <w:right w:w="28" w:type="dxa"/>
            </w:tcMar>
          </w:tcPr>
          <w:p w14:paraId="0035CC29" w14:textId="77777777" w:rsidR="004A76C6" w:rsidRPr="00BB0AB8" w:rsidRDefault="004A76C6" w:rsidP="004A76C6">
            <w:pPr>
              <w:widowControl w:val="0"/>
              <w:rPr>
                <w:rFonts w:ascii="Arial Narrow" w:hAnsi="Arial Narrow" w:cs="Times Roman"/>
                <w:color w:val="000000"/>
                <w:sz w:val="18"/>
                <w:szCs w:val="18"/>
                <w:lang w:val="en-US"/>
              </w:rPr>
            </w:pPr>
            <w:r w:rsidRPr="00BB0AB8">
              <w:rPr>
                <w:rFonts w:ascii="Arial Narrow" w:hAnsi="Arial Narrow" w:cs="Times Roman"/>
                <w:color w:val="000000"/>
                <w:sz w:val="18"/>
                <w:szCs w:val="18"/>
                <w:lang w:val="en-US"/>
              </w:rPr>
              <w:t xml:space="preserve">Mtirala NP: 0 </w:t>
            </w:r>
            <w:r w:rsidRPr="00BB0AB8">
              <w:rPr>
                <w:rFonts w:ascii="Arial Narrow" w:hAnsi="Arial Narrow"/>
                <w:sz w:val="18"/>
                <w:szCs w:val="18"/>
                <w:lang w:val="es-ES_tradnl"/>
              </w:rPr>
              <w:t>m</w:t>
            </w:r>
            <w:r w:rsidRPr="00BB0AB8">
              <w:rPr>
                <w:rFonts w:ascii="Arial Narrow" w:hAnsi="Arial Narrow"/>
                <w:sz w:val="18"/>
                <w:szCs w:val="18"/>
                <w:vertAlign w:val="superscript"/>
                <w:lang w:val="es-ES_tradnl"/>
              </w:rPr>
              <w:t>3</w:t>
            </w:r>
            <w:r w:rsidRPr="00BB0AB8">
              <w:rPr>
                <w:rFonts w:ascii="Arial Narrow" w:hAnsi="Arial Narrow" w:cs="Times Roman"/>
                <w:color w:val="000000"/>
                <w:sz w:val="18"/>
                <w:szCs w:val="18"/>
                <w:lang w:val="en-US"/>
              </w:rPr>
              <w:t xml:space="preserve"> </w:t>
            </w:r>
          </w:p>
          <w:p w14:paraId="2AE5EDB4" w14:textId="77777777" w:rsidR="004A76C6" w:rsidRPr="00BB0AB8" w:rsidRDefault="004A76C6" w:rsidP="004A76C6">
            <w:pPr>
              <w:widowControl w:val="0"/>
              <w:rPr>
                <w:rFonts w:ascii="Arial Narrow" w:hAnsi="Arial Narrow" w:cs="Times Roman"/>
                <w:color w:val="000000"/>
                <w:sz w:val="18"/>
                <w:szCs w:val="18"/>
                <w:lang w:val="en-US"/>
              </w:rPr>
            </w:pPr>
            <w:r w:rsidRPr="00BB0AB8">
              <w:rPr>
                <w:rFonts w:ascii="Arial Narrow" w:hAnsi="Arial Narrow" w:cs="Times Roman"/>
                <w:color w:val="000000"/>
                <w:sz w:val="18"/>
                <w:szCs w:val="18"/>
                <w:lang w:val="en-US"/>
              </w:rPr>
              <w:t xml:space="preserve">Kintrishi PA Complex: 0.84 </w:t>
            </w:r>
            <w:r w:rsidRPr="00BB0AB8">
              <w:rPr>
                <w:rFonts w:ascii="Arial Narrow" w:hAnsi="Arial Narrow"/>
                <w:sz w:val="18"/>
                <w:szCs w:val="18"/>
                <w:lang w:val="es-ES_tradnl"/>
              </w:rPr>
              <w:t>m</w:t>
            </w:r>
            <w:r w:rsidRPr="00BB0AB8">
              <w:rPr>
                <w:rFonts w:ascii="Arial Narrow" w:hAnsi="Arial Narrow"/>
                <w:sz w:val="18"/>
                <w:szCs w:val="18"/>
                <w:vertAlign w:val="superscript"/>
                <w:lang w:val="es-ES_tradnl"/>
              </w:rPr>
              <w:t>3</w:t>
            </w:r>
            <w:r w:rsidRPr="00BB0AB8">
              <w:rPr>
                <w:rFonts w:ascii="Arial Narrow" w:hAnsi="Arial Narrow" w:cs="Times Roman"/>
                <w:color w:val="000000"/>
                <w:sz w:val="18"/>
                <w:szCs w:val="18"/>
                <w:lang w:val="en-US"/>
              </w:rPr>
              <w:t xml:space="preserve"> </w:t>
            </w:r>
          </w:p>
          <w:p w14:paraId="51DCDDB2" w14:textId="77777777" w:rsidR="004A76C6" w:rsidRPr="00BB0AB8" w:rsidRDefault="004A76C6" w:rsidP="004A76C6">
            <w:pPr>
              <w:widowControl w:val="0"/>
              <w:rPr>
                <w:rFonts w:ascii="Arial Narrow" w:hAnsi="Arial Narrow" w:cs="Times Roman"/>
                <w:color w:val="000000"/>
                <w:sz w:val="18"/>
                <w:szCs w:val="18"/>
                <w:lang w:val="en-US"/>
              </w:rPr>
            </w:pPr>
            <w:r w:rsidRPr="00BB0AB8">
              <w:rPr>
                <w:rFonts w:ascii="Arial Narrow" w:hAnsi="Arial Narrow" w:cs="Times Roman"/>
                <w:color w:val="000000"/>
                <w:sz w:val="18"/>
                <w:szCs w:val="18"/>
                <w:lang w:val="en-US"/>
              </w:rPr>
              <w:t>(2015 data)</w:t>
            </w:r>
          </w:p>
        </w:tc>
        <w:tc>
          <w:tcPr>
            <w:tcW w:w="692" w:type="pct"/>
            <w:vMerge w:val="restart"/>
            <w:tcBorders>
              <w:top w:val="single" w:sz="6" w:space="0" w:color="auto"/>
              <w:left w:val="single" w:sz="6" w:space="0" w:color="auto"/>
              <w:right w:val="single" w:sz="18" w:space="0" w:color="auto"/>
            </w:tcBorders>
            <w:tcMar>
              <w:left w:w="28" w:type="dxa"/>
              <w:right w:w="28" w:type="dxa"/>
            </w:tcMar>
          </w:tcPr>
          <w:p w14:paraId="2131CC95" w14:textId="77777777" w:rsidR="004A76C6" w:rsidRPr="00BB0AB8" w:rsidRDefault="004A76C6" w:rsidP="004A76C6">
            <w:pPr>
              <w:widowControl w:val="0"/>
              <w:rPr>
                <w:rFonts w:ascii="Arial Narrow" w:hAnsi="Arial Narrow" w:cs="Times Roman"/>
                <w:color w:val="000000"/>
                <w:sz w:val="18"/>
                <w:szCs w:val="18"/>
                <w:lang w:val="en-US"/>
              </w:rPr>
            </w:pPr>
            <w:r w:rsidRPr="00BB0AB8">
              <w:rPr>
                <w:rFonts w:ascii="Arial Narrow" w:hAnsi="Arial Narrow" w:cs="Times Roman"/>
                <w:color w:val="000000"/>
                <w:sz w:val="18"/>
                <w:szCs w:val="18"/>
                <w:lang w:val="en-US"/>
              </w:rPr>
              <w:t xml:space="preserve">Measuring illegal activities and success in countering them is problematic and something that is faced by all projects with an emphasis on improving law enforcement. Some projects are now using the conviction rates as a measure. </w:t>
            </w:r>
          </w:p>
          <w:p w14:paraId="0E823E95" w14:textId="77777777" w:rsidR="004A76C6" w:rsidRPr="00BB0AB8" w:rsidRDefault="004A76C6" w:rsidP="004A76C6">
            <w:pPr>
              <w:widowControl w:val="0"/>
              <w:rPr>
                <w:rFonts w:ascii="Arial Narrow" w:hAnsi="Arial Narrow" w:cs="Times Roman"/>
                <w:color w:val="000000"/>
                <w:sz w:val="18"/>
                <w:szCs w:val="18"/>
                <w:lang w:val="en-US"/>
              </w:rPr>
            </w:pPr>
            <w:r w:rsidRPr="00BB0AB8">
              <w:rPr>
                <w:rFonts w:ascii="Arial Narrow" w:hAnsi="Arial Narrow" w:cs="Times Roman"/>
                <w:color w:val="000000"/>
                <w:sz w:val="18"/>
                <w:szCs w:val="18"/>
                <w:lang w:val="en-US"/>
              </w:rPr>
              <w:t xml:space="preserve">In this project, levels of illegal offtake are relatively low so changes would be difficult to attribute without a deeper understanding of the drivers of change in the data. Therefore, as long as there are no startling changes (and there do not appear to be to date), this should be satisfactory. </w:t>
            </w:r>
          </w:p>
          <w:p w14:paraId="35A7946D" w14:textId="77777777" w:rsidR="004A76C6" w:rsidRPr="00BB0AB8" w:rsidRDefault="004A76C6" w:rsidP="004A76C6">
            <w:pPr>
              <w:widowControl w:val="0"/>
              <w:rPr>
                <w:rFonts w:ascii="Arial Narrow" w:hAnsi="Arial Narrow" w:cs="Times Roman"/>
                <w:color w:val="000000"/>
                <w:sz w:val="18"/>
                <w:szCs w:val="18"/>
                <w:lang w:val="en-US"/>
              </w:rPr>
            </w:pPr>
            <w:r w:rsidRPr="00BB0AB8">
              <w:rPr>
                <w:rFonts w:ascii="Arial Narrow" w:hAnsi="Arial Narrow" w:cs="Times Roman"/>
                <w:color w:val="000000"/>
                <w:sz w:val="18"/>
                <w:szCs w:val="18"/>
                <w:lang w:val="en-US"/>
              </w:rPr>
              <w:t xml:space="preserve">Finally, as with the METT scores, the project has no significant influence in Kintrishi PAs. </w:t>
            </w:r>
          </w:p>
        </w:tc>
        <w:tc>
          <w:tcPr>
            <w:tcW w:w="461" w:type="pct"/>
            <w:tcBorders>
              <w:top w:val="single" w:sz="6" w:space="0" w:color="auto"/>
              <w:left w:val="single" w:sz="18" w:space="0" w:color="auto"/>
              <w:bottom w:val="single" w:sz="6" w:space="0" w:color="auto"/>
              <w:right w:val="single" w:sz="6" w:space="0" w:color="auto"/>
            </w:tcBorders>
            <w:tcMar>
              <w:left w:w="28" w:type="dxa"/>
              <w:right w:w="28" w:type="dxa"/>
            </w:tcMar>
          </w:tcPr>
          <w:p w14:paraId="78F5D935" w14:textId="77777777" w:rsidR="004A76C6" w:rsidRPr="00BB0AB8" w:rsidRDefault="004A76C6" w:rsidP="004A76C6">
            <w:pPr>
              <w:rPr>
                <w:rFonts w:ascii="Arial Narrow" w:hAnsi="Arial Narrow"/>
                <w:b/>
                <w:bCs/>
                <w:sz w:val="18"/>
                <w:szCs w:val="18"/>
                <w:lang w:val="es-ES_tradnl"/>
              </w:rPr>
            </w:pPr>
            <w:r w:rsidRPr="00BB0AB8">
              <w:rPr>
                <w:rFonts w:ascii="Arial Narrow" w:hAnsi="Arial Narrow"/>
                <w:sz w:val="18"/>
                <w:szCs w:val="18"/>
                <w:lang w:val="es-ES_tradnl"/>
              </w:rPr>
              <w:t>Mtirala NP: &lt; 7.82 m</w:t>
            </w:r>
            <w:r w:rsidRPr="00BB0AB8">
              <w:rPr>
                <w:rFonts w:ascii="Arial Narrow" w:hAnsi="Arial Narrow"/>
                <w:sz w:val="18"/>
                <w:szCs w:val="18"/>
                <w:vertAlign w:val="superscript"/>
                <w:lang w:val="es-ES_tradnl"/>
              </w:rPr>
              <w:t>3</w:t>
            </w:r>
          </w:p>
          <w:p w14:paraId="0A9ACEA1" w14:textId="77777777" w:rsidR="004A76C6" w:rsidRPr="00BB0AB8" w:rsidDel="00201048" w:rsidRDefault="004A76C6" w:rsidP="004A76C6">
            <w:pPr>
              <w:rPr>
                <w:rFonts w:ascii="Arial Narrow" w:hAnsi="Arial Narrow"/>
                <w:b/>
                <w:bCs/>
                <w:sz w:val="18"/>
                <w:szCs w:val="18"/>
                <w:lang w:val="es-ES_tradnl"/>
              </w:rPr>
            </w:pPr>
            <w:r w:rsidRPr="00BB0AB8">
              <w:rPr>
                <w:rFonts w:ascii="Arial Narrow" w:hAnsi="Arial Narrow"/>
                <w:sz w:val="18"/>
                <w:szCs w:val="18"/>
                <w:lang w:val="es-ES_tradnl"/>
              </w:rPr>
              <w:t>Kintrishi PA Complex: 0 m</w:t>
            </w:r>
            <w:r w:rsidRPr="00BB0AB8">
              <w:rPr>
                <w:rFonts w:ascii="Arial Narrow" w:hAnsi="Arial Narrow"/>
                <w:sz w:val="18"/>
                <w:szCs w:val="18"/>
                <w:vertAlign w:val="superscript"/>
                <w:lang w:val="es-ES_tradnl"/>
              </w:rPr>
              <w:t>3</w:t>
            </w:r>
          </w:p>
        </w:tc>
        <w:tc>
          <w:tcPr>
            <w:tcW w:w="462" w:type="pct"/>
            <w:tcBorders>
              <w:top w:val="single" w:sz="6" w:space="0" w:color="auto"/>
              <w:left w:val="single" w:sz="6" w:space="0" w:color="auto"/>
              <w:bottom w:val="single" w:sz="6" w:space="0" w:color="auto"/>
              <w:right w:val="single" w:sz="6" w:space="0" w:color="auto"/>
            </w:tcBorders>
            <w:shd w:val="clear" w:color="auto" w:fill="00FF00"/>
            <w:tcMar>
              <w:left w:w="28" w:type="dxa"/>
              <w:right w:w="28" w:type="dxa"/>
            </w:tcMar>
          </w:tcPr>
          <w:p w14:paraId="6FF59A14" w14:textId="77777777" w:rsidR="004A76C6" w:rsidRPr="00BB0AB8" w:rsidRDefault="004A76C6" w:rsidP="004A76C6">
            <w:pPr>
              <w:rPr>
                <w:rFonts w:ascii="Arial Narrow" w:hAnsi="Arial Narrow"/>
                <w:sz w:val="18"/>
                <w:szCs w:val="18"/>
                <w:highlight w:val="green"/>
              </w:rPr>
            </w:pPr>
            <w:r w:rsidRPr="00BB0AB8">
              <w:rPr>
                <w:rFonts w:ascii="Arial Narrow" w:hAnsi="Arial Narrow"/>
                <w:sz w:val="18"/>
                <w:szCs w:val="18"/>
                <w:highlight w:val="green"/>
              </w:rPr>
              <w:t xml:space="preserve">Mtirala NP: 3.25 </w:t>
            </w:r>
            <w:r w:rsidRPr="00BB0AB8">
              <w:rPr>
                <w:rFonts w:ascii="Arial Narrow" w:hAnsi="Arial Narrow"/>
                <w:sz w:val="18"/>
                <w:szCs w:val="18"/>
                <w:highlight w:val="green"/>
                <w:lang w:val="es-ES_tradnl"/>
              </w:rPr>
              <w:t>m</w:t>
            </w:r>
            <w:r w:rsidRPr="00BB0AB8">
              <w:rPr>
                <w:rFonts w:ascii="Arial Narrow" w:hAnsi="Arial Narrow"/>
                <w:sz w:val="18"/>
                <w:szCs w:val="18"/>
                <w:highlight w:val="green"/>
                <w:vertAlign w:val="superscript"/>
                <w:lang w:val="es-ES_tradnl"/>
              </w:rPr>
              <w:t>3</w:t>
            </w:r>
            <w:r w:rsidRPr="00BB0AB8">
              <w:rPr>
                <w:rFonts w:ascii="Arial Narrow" w:hAnsi="Arial Narrow"/>
                <w:sz w:val="18"/>
                <w:szCs w:val="18"/>
                <w:highlight w:val="green"/>
              </w:rPr>
              <w:t xml:space="preserve">  </w:t>
            </w:r>
          </w:p>
          <w:p w14:paraId="3C24D5D2" w14:textId="77777777" w:rsidR="004A76C6" w:rsidRPr="00BB0AB8" w:rsidDel="0095225B" w:rsidRDefault="004A76C6" w:rsidP="004A76C6">
            <w:pPr>
              <w:rPr>
                <w:rFonts w:ascii="Arial Narrow" w:hAnsi="Arial Narrow"/>
                <w:sz w:val="18"/>
                <w:szCs w:val="18"/>
                <w:highlight w:val="green"/>
              </w:rPr>
            </w:pPr>
            <w:r w:rsidRPr="00BB0AB8">
              <w:rPr>
                <w:rFonts w:ascii="Arial Narrow" w:hAnsi="Arial Narrow"/>
                <w:sz w:val="18"/>
                <w:szCs w:val="18"/>
                <w:highlight w:val="green"/>
              </w:rPr>
              <w:t xml:space="preserve">Kintrishi PA complex: 0 </w:t>
            </w:r>
            <w:r w:rsidRPr="00BB0AB8">
              <w:rPr>
                <w:rFonts w:ascii="Arial Narrow" w:hAnsi="Arial Narrow"/>
                <w:sz w:val="18"/>
                <w:szCs w:val="18"/>
                <w:highlight w:val="green"/>
                <w:lang w:val="es-ES_tradnl"/>
              </w:rPr>
              <w:t>m</w:t>
            </w:r>
            <w:r w:rsidRPr="00BB0AB8">
              <w:rPr>
                <w:rFonts w:ascii="Arial Narrow" w:hAnsi="Arial Narrow"/>
                <w:sz w:val="18"/>
                <w:szCs w:val="18"/>
                <w:highlight w:val="green"/>
                <w:vertAlign w:val="superscript"/>
                <w:lang w:val="es-ES_tradnl"/>
              </w:rPr>
              <w:t>3</w:t>
            </w:r>
            <w:r w:rsidRPr="00BB0AB8">
              <w:rPr>
                <w:rFonts w:ascii="Arial Narrow" w:hAnsi="Arial Narrow"/>
                <w:sz w:val="18"/>
                <w:szCs w:val="18"/>
                <w:highlight w:val="green"/>
              </w:rPr>
              <w:t xml:space="preserve"> </w:t>
            </w:r>
          </w:p>
        </w:tc>
        <w:tc>
          <w:tcPr>
            <w:tcW w:w="1153" w:type="pct"/>
            <w:tcBorders>
              <w:top w:val="single" w:sz="6" w:space="0" w:color="auto"/>
              <w:left w:val="single" w:sz="6" w:space="0" w:color="auto"/>
              <w:bottom w:val="single" w:sz="6" w:space="0" w:color="auto"/>
              <w:right w:val="single" w:sz="6" w:space="0" w:color="auto"/>
            </w:tcBorders>
            <w:tcMar>
              <w:left w:w="28" w:type="dxa"/>
              <w:right w:w="28" w:type="dxa"/>
            </w:tcMar>
          </w:tcPr>
          <w:p w14:paraId="6C2BAA22" w14:textId="77777777" w:rsidR="004A76C6" w:rsidRPr="00BB0AB8" w:rsidRDefault="004A76C6" w:rsidP="004A76C6">
            <w:pPr>
              <w:rPr>
                <w:rFonts w:ascii="Arial Narrow" w:hAnsi="Arial Narrow"/>
                <w:bCs/>
                <w:sz w:val="18"/>
                <w:szCs w:val="18"/>
              </w:rPr>
            </w:pPr>
            <w:r w:rsidRPr="00BB0AB8">
              <w:rPr>
                <w:rFonts w:ascii="Arial Narrow" w:hAnsi="Arial Narrow"/>
                <w:bCs/>
                <w:sz w:val="18"/>
                <w:szCs w:val="18"/>
              </w:rPr>
              <w:t xml:space="preserve">PMU entirely agrees with MTR comment in regard to this indicator. The apparent significant reduction in illegal harvesting in Mtirala should be seen in the light of this comment (i.e. a small reduction from an initial negligible baseline adds up to a significant looking percentage). In reality, illegal harvesting was low to begin with and has been further slightly decreased by increased efforts following the development of the Management and Operational plans by EU Twinning Project and various activities by UNDP/GEF project (training, community rangers programme, provision of additional equipment, etc). </w:t>
            </w:r>
          </w:p>
        </w:tc>
        <w:tc>
          <w:tcPr>
            <w:tcW w:w="692" w:type="pct"/>
            <w:tcBorders>
              <w:top w:val="single" w:sz="6" w:space="0" w:color="auto"/>
              <w:left w:val="single" w:sz="6" w:space="0" w:color="auto"/>
              <w:right w:val="single" w:sz="18" w:space="0" w:color="auto"/>
            </w:tcBorders>
            <w:tcMar>
              <w:left w:w="28" w:type="dxa"/>
              <w:right w:w="28" w:type="dxa"/>
            </w:tcMar>
          </w:tcPr>
          <w:p w14:paraId="622ADA2D" w14:textId="77777777" w:rsidR="004A76C6" w:rsidRPr="00BB0AB8" w:rsidRDefault="004A76C6" w:rsidP="004A76C6">
            <w:pPr>
              <w:rPr>
                <w:rFonts w:ascii="Arial Narrow" w:hAnsi="Arial Narrow"/>
                <w:bCs/>
                <w:sz w:val="18"/>
                <w:szCs w:val="18"/>
                <w:highlight w:val="green"/>
              </w:rPr>
            </w:pPr>
            <w:r w:rsidRPr="00BB0AB8">
              <w:rPr>
                <w:rFonts w:ascii="Arial Narrow" w:hAnsi="Arial Narrow"/>
                <w:bCs/>
                <w:sz w:val="18"/>
                <w:szCs w:val="18"/>
                <w:highlight w:val="green"/>
              </w:rPr>
              <w:t>The project has met the targets, with zero illicit harvesting encountered in the Kintrishi PAs complex and a 42% reduction n Mtirala (from 7.82 to 3.25</w:t>
            </w:r>
            <w:r w:rsidRPr="00BB0AB8">
              <w:rPr>
                <w:rFonts w:ascii="Arial Narrow" w:hAnsi="Arial Narrow"/>
                <w:sz w:val="18"/>
                <w:szCs w:val="18"/>
                <w:highlight w:val="green"/>
                <w:lang w:val="es-ES_tradnl"/>
              </w:rPr>
              <w:t xml:space="preserve"> m</w:t>
            </w:r>
            <w:r w:rsidRPr="00BB0AB8">
              <w:rPr>
                <w:rFonts w:ascii="Arial Narrow" w:hAnsi="Arial Narrow"/>
                <w:sz w:val="18"/>
                <w:szCs w:val="18"/>
                <w:highlight w:val="green"/>
                <w:vertAlign w:val="superscript"/>
                <w:lang w:val="es-ES_tradnl"/>
              </w:rPr>
              <w:t>3</w:t>
            </w:r>
            <w:r w:rsidRPr="00BB0AB8">
              <w:rPr>
                <w:rFonts w:ascii="Arial Narrow" w:hAnsi="Arial Narrow"/>
                <w:bCs/>
                <w:sz w:val="18"/>
                <w:szCs w:val="18"/>
                <w:highlight w:val="green"/>
              </w:rPr>
              <w:t>.</w:t>
            </w:r>
          </w:p>
          <w:p w14:paraId="2100EC0E" w14:textId="77777777" w:rsidR="004A76C6" w:rsidRPr="00BB0AB8" w:rsidRDefault="004A76C6" w:rsidP="004A76C6">
            <w:pPr>
              <w:spacing w:before="60"/>
              <w:rPr>
                <w:rFonts w:ascii="Arial Narrow" w:hAnsi="Arial Narrow"/>
                <w:bCs/>
                <w:sz w:val="18"/>
                <w:szCs w:val="18"/>
                <w:highlight w:val="green"/>
              </w:rPr>
            </w:pPr>
            <w:r w:rsidRPr="00BB0AB8">
              <w:rPr>
                <w:rFonts w:ascii="Arial Narrow" w:hAnsi="Arial Narrow"/>
                <w:bCs/>
                <w:sz w:val="18"/>
                <w:szCs w:val="18"/>
                <w:highlight w:val="green"/>
              </w:rPr>
              <w:t>The baseline level of off-take is negligible, assuming it is based on annual illicit harvesting over the entire PA (confirmed by PMU) and raises further questions about the usefulness of this indicator.</w:t>
            </w:r>
          </w:p>
          <w:p w14:paraId="3B6CAAA8" w14:textId="77777777" w:rsidR="004A76C6" w:rsidRPr="00BB0AB8" w:rsidRDefault="004A76C6" w:rsidP="004A76C6">
            <w:pPr>
              <w:spacing w:before="60"/>
              <w:rPr>
                <w:rFonts w:ascii="Arial Narrow" w:hAnsi="Arial Narrow"/>
                <w:bCs/>
                <w:sz w:val="18"/>
                <w:szCs w:val="18"/>
                <w:highlight w:val="green"/>
              </w:rPr>
            </w:pPr>
            <w:r w:rsidRPr="00BB0AB8">
              <w:rPr>
                <w:rFonts w:ascii="Arial Narrow" w:hAnsi="Arial Narrow"/>
                <w:b/>
                <w:bCs/>
                <w:sz w:val="18"/>
                <w:szCs w:val="18"/>
              </w:rPr>
              <w:t>Note:</w:t>
            </w:r>
            <w:r w:rsidRPr="00BB0AB8">
              <w:rPr>
                <w:rFonts w:ascii="Arial Narrow" w:hAnsi="Arial Narrow"/>
                <w:bCs/>
                <w:sz w:val="18"/>
                <w:szCs w:val="18"/>
              </w:rPr>
              <w:t xml:space="preserve"> The two indicators for Outcome 1 are weak with respect to monitoring management effectiveness, as they focus only on illegal activities and do not address the other two outputs: involvement of local communities and financial sustainability. Moreover, units are far from clear: PMU has confirmed them to be annual m</w:t>
            </w:r>
            <w:r w:rsidRPr="00BB0AB8">
              <w:rPr>
                <w:rFonts w:ascii="Arial Narrow" w:hAnsi="Arial Narrow"/>
                <w:sz w:val="18"/>
                <w:szCs w:val="18"/>
                <w:vertAlign w:val="superscript"/>
              </w:rPr>
              <w:t>3</w:t>
            </w:r>
            <w:r w:rsidRPr="00BB0AB8">
              <w:rPr>
                <w:rFonts w:ascii="Arial Narrow" w:hAnsi="Arial Narrow"/>
                <w:bCs/>
                <w:sz w:val="18"/>
                <w:szCs w:val="18"/>
              </w:rPr>
              <w:t xml:space="preserve"> over the entire PA.</w:t>
            </w:r>
          </w:p>
        </w:tc>
      </w:tr>
      <w:tr w:rsidR="004A76C6" w:rsidRPr="00BB0AB8" w14:paraId="70D2499E" w14:textId="77777777" w:rsidTr="004071E2">
        <w:trPr>
          <w:trHeight w:val="1101"/>
        </w:trPr>
        <w:tc>
          <w:tcPr>
            <w:tcW w:w="593" w:type="pct"/>
            <w:tcBorders>
              <w:top w:val="single" w:sz="6" w:space="0" w:color="auto"/>
              <w:left w:val="single" w:sz="18" w:space="0" w:color="auto"/>
              <w:bottom w:val="single" w:sz="6" w:space="0" w:color="auto"/>
              <w:right w:val="single" w:sz="6" w:space="0" w:color="auto"/>
            </w:tcBorders>
            <w:tcMar>
              <w:left w:w="28" w:type="dxa"/>
              <w:right w:w="28" w:type="dxa"/>
            </w:tcMar>
          </w:tcPr>
          <w:p w14:paraId="51744A30" w14:textId="77777777" w:rsidR="004A76C6" w:rsidRPr="00BB0AB8" w:rsidRDefault="004A76C6" w:rsidP="004A76C6">
            <w:pPr>
              <w:rPr>
                <w:rFonts w:ascii="Arial Narrow" w:hAnsi="Arial Narrow"/>
                <w:b/>
                <w:bCs/>
                <w:sz w:val="18"/>
                <w:szCs w:val="18"/>
              </w:rPr>
            </w:pPr>
            <w:r w:rsidRPr="00BB0AB8">
              <w:rPr>
                <w:rFonts w:ascii="Arial Narrow" w:hAnsi="Arial Narrow"/>
                <w:sz w:val="18"/>
                <w:szCs w:val="18"/>
              </w:rPr>
              <w:t xml:space="preserve">Reduction or no increase in illegal activity measured by % of patrols resulting in arrests or fines </w:t>
            </w:r>
            <w:r w:rsidRPr="00BB0AB8">
              <w:rPr>
                <w:rFonts w:ascii="Arial Narrow" w:hAnsi="Arial Narrow"/>
                <w:sz w:val="18"/>
                <w:szCs w:val="18"/>
                <w:vertAlign w:val="superscript"/>
              </w:rPr>
              <w:footnoteReference w:id="47"/>
            </w:r>
          </w:p>
        </w:tc>
        <w:tc>
          <w:tcPr>
            <w:tcW w:w="485" w:type="pct"/>
            <w:tcBorders>
              <w:top w:val="single" w:sz="6" w:space="0" w:color="auto"/>
              <w:left w:val="single" w:sz="6" w:space="0" w:color="auto"/>
              <w:bottom w:val="single" w:sz="6" w:space="0" w:color="auto"/>
              <w:right w:val="single" w:sz="18" w:space="0" w:color="auto"/>
            </w:tcBorders>
            <w:tcMar>
              <w:left w:w="28" w:type="dxa"/>
              <w:right w:w="28" w:type="dxa"/>
            </w:tcMar>
          </w:tcPr>
          <w:p w14:paraId="754EF2AB" w14:textId="77777777" w:rsidR="004A76C6" w:rsidRPr="00BB0AB8" w:rsidRDefault="004A76C6" w:rsidP="004A76C6">
            <w:pPr>
              <w:rPr>
                <w:rFonts w:ascii="Arial Narrow" w:hAnsi="Arial Narrow"/>
                <w:b/>
                <w:bCs/>
                <w:color w:val="000000" w:themeColor="text1"/>
                <w:sz w:val="18"/>
                <w:szCs w:val="18"/>
              </w:rPr>
            </w:pPr>
            <w:r w:rsidRPr="00BB0AB8">
              <w:rPr>
                <w:rFonts w:ascii="Arial Narrow" w:hAnsi="Arial Narrow"/>
                <w:color w:val="000000" w:themeColor="text1"/>
                <w:sz w:val="18"/>
                <w:szCs w:val="18"/>
              </w:rPr>
              <w:t>Mtirala NP: 1.3% (12 incidents, 915 patrols)</w:t>
            </w:r>
          </w:p>
          <w:p w14:paraId="70C08527" w14:textId="77777777" w:rsidR="004A76C6" w:rsidRPr="00BB0AB8" w:rsidRDefault="004A76C6" w:rsidP="004A76C6">
            <w:pPr>
              <w:rPr>
                <w:rFonts w:ascii="Arial Narrow" w:hAnsi="Arial Narrow"/>
                <w:b/>
                <w:bCs/>
                <w:color w:val="000000" w:themeColor="text1"/>
                <w:sz w:val="18"/>
                <w:szCs w:val="18"/>
              </w:rPr>
            </w:pPr>
            <w:r w:rsidRPr="00BB0AB8">
              <w:rPr>
                <w:rFonts w:ascii="Arial Narrow" w:hAnsi="Arial Narrow"/>
                <w:color w:val="000000" w:themeColor="text1"/>
                <w:sz w:val="18"/>
                <w:szCs w:val="18"/>
              </w:rPr>
              <w:t>Kintrishi PA Complex: 0.37% (1 incidents, 267 patrols)</w:t>
            </w:r>
          </w:p>
        </w:tc>
        <w:tc>
          <w:tcPr>
            <w:tcW w:w="462" w:type="pct"/>
            <w:tcBorders>
              <w:top w:val="single" w:sz="6" w:space="0" w:color="auto"/>
              <w:left w:val="single" w:sz="18" w:space="0" w:color="auto"/>
              <w:bottom w:val="single" w:sz="6" w:space="0" w:color="auto"/>
              <w:right w:val="single" w:sz="6" w:space="0" w:color="auto"/>
            </w:tcBorders>
            <w:tcMar>
              <w:left w:w="28" w:type="dxa"/>
              <w:right w:w="28" w:type="dxa"/>
            </w:tcMar>
          </w:tcPr>
          <w:p w14:paraId="24C10CE6" w14:textId="77777777" w:rsidR="004A76C6" w:rsidRPr="00BB0AB8" w:rsidRDefault="004A76C6" w:rsidP="004A76C6">
            <w:pPr>
              <w:widowControl w:val="0"/>
              <w:rPr>
                <w:rFonts w:ascii="Arial Narrow" w:hAnsi="Arial Narrow" w:cs="Times Roman"/>
                <w:color w:val="000000"/>
                <w:sz w:val="18"/>
                <w:szCs w:val="18"/>
                <w:lang w:val="en-US"/>
              </w:rPr>
            </w:pPr>
            <w:r w:rsidRPr="00BB0AB8">
              <w:rPr>
                <w:rFonts w:ascii="Arial Narrow" w:hAnsi="Arial Narrow" w:cs="Times Roman"/>
                <w:color w:val="000000"/>
                <w:sz w:val="18"/>
                <w:szCs w:val="18"/>
                <w:lang w:val="en-US"/>
              </w:rPr>
              <w:t xml:space="preserve">Mtirala NP: 0.13% </w:t>
            </w:r>
          </w:p>
          <w:p w14:paraId="1D18A468" w14:textId="77777777" w:rsidR="004A76C6" w:rsidRPr="00BB0AB8" w:rsidRDefault="004A76C6" w:rsidP="004A76C6">
            <w:pPr>
              <w:widowControl w:val="0"/>
              <w:rPr>
                <w:rFonts w:ascii="Arial Narrow" w:hAnsi="Arial Narrow" w:cs="Times Roman"/>
                <w:color w:val="000000"/>
                <w:sz w:val="18"/>
                <w:szCs w:val="18"/>
                <w:lang w:val="en-US"/>
              </w:rPr>
            </w:pPr>
            <w:r w:rsidRPr="00BB0AB8">
              <w:rPr>
                <w:rFonts w:ascii="Arial Narrow" w:hAnsi="Arial Narrow" w:cs="Times Roman"/>
                <w:color w:val="000000"/>
                <w:sz w:val="18"/>
                <w:szCs w:val="18"/>
                <w:lang w:val="en-US"/>
              </w:rPr>
              <w:t xml:space="preserve">Kintrishi PA Complex: 3% (9 incidents, 302 patrols) </w:t>
            </w:r>
          </w:p>
          <w:p w14:paraId="5567DCE2" w14:textId="77777777" w:rsidR="004A76C6" w:rsidRPr="00BB0AB8" w:rsidRDefault="004A76C6" w:rsidP="004A76C6">
            <w:pPr>
              <w:widowControl w:val="0"/>
              <w:rPr>
                <w:rFonts w:ascii="Arial Narrow" w:hAnsi="Arial Narrow" w:cs="Times Roman"/>
                <w:color w:val="000000"/>
                <w:sz w:val="18"/>
                <w:szCs w:val="18"/>
                <w:lang w:val="en-US"/>
              </w:rPr>
            </w:pPr>
            <w:r w:rsidRPr="00BB0AB8">
              <w:rPr>
                <w:rFonts w:ascii="Arial Narrow" w:hAnsi="Arial Narrow" w:cs="Times Roman"/>
                <w:color w:val="000000"/>
                <w:sz w:val="18"/>
                <w:szCs w:val="18"/>
                <w:lang w:val="en-US"/>
              </w:rPr>
              <w:t>(2015 data)</w:t>
            </w:r>
          </w:p>
        </w:tc>
        <w:tc>
          <w:tcPr>
            <w:tcW w:w="692" w:type="pct"/>
            <w:vMerge/>
            <w:tcBorders>
              <w:left w:val="single" w:sz="6" w:space="0" w:color="auto"/>
              <w:bottom w:val="single" w:sz="6" w:space="0" w:color="auto"/>
              <w:right w:val="single" w:sz="18" w:space="0" w:color="auto"/>
            </w:tcBorders>
            <w:tcMar>
              <w:left w:w="28" w:type="dxa"/>
              <w:right w:w="28" w:type="dxa"/>
            </w:tcMar>
          </w:tcPr>
          <w:p w14:paraId="0C919F4C" w14:textId="77777777" w:rsidR="004A76C6" w:rsidRPr="00BB0AB8" w:rsidRDefault="004A76C6" w:rsidP="004A76C6">
            <w:pPr>
              <w:rPr>
                <w:rFonts w:ascii="Arial Narrow" w:hAnsi="Arial Narrow"/>
                <w:color w:val="000000" w:themeColor="text1"/>
                <w:sz w:val="18"/>
                <w:szCs w:val="18"/>
              </w:rPr>
            </w:pPr>
          </w:p>
        </w:tc>
        <w:tc>
          <w:tcPr>
            <w:tcW w:w="461" w:type="pct"/>
            <w:tcBorders>
              <w:top w:val="single" w:sz="6" w:space="0" w:color="auto"/>
              <w:left w:val="single" w:sz="18" w:space="0" w:color="auto"/>
              <w:bottom w:val="single" w:sz="6" w:space="0" w:color="auto"/>
              <w:right w:val="single" w:sz="6" w:space="0" w:color="auto"/>
            </w:tcBorders>
            <w:tcMar>
              <w:left w:w="28" w:type="dxa"/>
              <w:right w:w="28" w:type="dxa"/>
            </w:tcMar>
          </w:tcPr>
          <w:p w14:paraId="4998EE3E" w14:textId="77777777" w:rsidR="004A76C6" w:rsidRPr="00BB0AB8" w:rsidRDefault="004A76C6" w:rsidP="004A76C6">
            <w:pPr>
              <w:rPr>
                <w:rFonts w:ascii="Arial Narrow" w:hAnsi="Arial Narrow"/>
                <w:b/>
                <w:bCs/>
                <w:color w:val="000000" w:themeColor="text1"/>
                <w:sz w:val="18"/>
                <w:szCs w:val="18"/>
              </w:rPr>
            </w:pPr>
            <w:r w:rsidRPr="00BB0AB8">
              <w:rPr>
                <w:rFonts w:ascii="Arial Narrow" w:hAnsi="Arial Narrow"/>
                <w:color w:val="000000" w:themeColor="text1"/>
                <w:sz w:val="18"/>
                <w:szCs w:val="18"/>
              </w:rPr>
              <w:t>Mtirala NP: 1.3% or less</w:t>
            </w:r>
          </w:p>
          <w:p w14:paraId="0AF88CE1" w14:textId="77777777" w:rsidR="004A76C6" w:rsidRPr="00BB0AB8" w:rsidRDefault="004A76C6" w:rsidP="004A76C6">
            <w:pPr>
              <w:rPr>
                <w:rFonts w:ascii="Arial Narrow" w:hAnsi="Arial Narrow"/>
                <w:b/>
                <w:bCs/>
                <w:color w:val="000000" w:themeColor="text1"/>
                <w:sz w:val="18"/>
                <w:szCs w:val="18"/>
              </w:rPr>
            </w:pPr>
            <w:r w:rsidRPr="00BB0AB8">
              <w:rPr>
                <w:rFonts w:ascii="Arial Narrow" w:hAnsi="Arial Narrow"/>
                <w:color w:val="000000" w:themeColor="text1"/>
                <w:sz w:val="18"/>
                <w:szCs w:val="18"/>
              </w:rPr>
              <w:t>Kintrishi PA Complex: 0.37% or less</w:t>
            </w:r>
          </w:p>
        </w:tc>
        <w:tc>
          <w:tcPr>
            <w:tcW w:w="462" w:type="pct"/>
            <w:tcBorders>
              <w:top w:val="single" w:sz="6" w:space="0" w:color="auto"/>
              <w:left w:val="single" w:sz="6" w:space="0" w:color="auto"/>
              <w:bottom w:val="single" w:sz="6" w:space="0" w:color="auto"/>
              <w:right w:val="single" w:sz="6" w:space="0" w:color="auto"/>
            </w:tcBorders>
            <w:shd w:val="clear" w:color="auto" w:fill="00FF00"/>
            <w:tcMar>
              <w:left w:w="28" w:type="dxa"/>
              <w:right w:w="28" w:type="dxa"/>
            </w:tcMar>
          </w:tcPr>
          <w:p w14:paraId="7C414ABB" w14:textId="77777777" w:rsidR="004A76C6" w:rsidRPr="00BB0AB8" w:rsidRDefault="004A76C6" w:rsidP="004A76C6">
            <w:pPr>
              <w:rPr>
                <w:rFonts w:ascii="Arial Narrow" w:hAnsi="Arial Narrow"/>
                <w:sz w:val="18"/>
                <w:szCs w:val="18"/>
                <w:highlight w:val="green"/>
              </w:rPr>
            </w:pPr>
            <w:r w:rsidRPr="00BB0AB8">
              <w:rPr>
                <w:rFonts w:ascii="Arial Narrow" w:hAnsi="Arial Narrow"/>
                <w:sz w:val="18"/>
                <w:szCs w:val="18"/>
                <w:highlight w:val="green"/>
              </w:rPr>
              <w:t xml:space="preserve">Mtirala NP: 0.66% (3 incidents, 450 patrols)  </w:t>
            </w:r>
          </w:p>
          <w:p w14:paraId="6FDCF492" w14:textId="77777777" w:rsidR="004A76C6" w:rsidRPr="00BB0AB8" w:rsidRDefault="004A76C6" w:rsidP="004A76C6">
            <w:pPr>
              <w:rPr>
                <w:rFonts w:ascii="Arial Narrow" w:hAnsi="Arial Narrow"/>
                <w:sz w:val="18"/>
                <w:szCs w:val="18"/>
                <w:highlight w:val="green"/>
              </w:rPr>
            </w:pPr>
            <w:r w:rsidRPr="00BB0AB8">
              <w:rPr>
                <w:rFonts w:ascii="Arial Narrow" w:hAnsi="Arial Narrow"/>
                <w:sz w:val="18"/>
                <w:szCs w:val="18"/>
                <w:highlight w:val="green"/>
              </w:rPr>
              <w:t xml:space="preserve">Kintrishi PA complex: 0% (0 incidents, 322 patrols) </w:t>
            </w:r>
          </w:p>
        </w:tc>
        <w:tc>
          <w:tcPr>
            <w:tcW w:w="1153" w:type="pct"/>
            <w:tcBorders>
              <w:top w:val="single" w:sz="6" w:space="0" w:color="auto"/>
              <w:left w:val="single" w:sz="6" w:space="0" w:color="auto"/>
              <w:bottom w:val="single" w:sz="6" w:space="0" w:color="auto"/>
              <w:right w:val="single" w:sz="6" w:space="0" w:color="auto"/>
            </w:tcBorders>
            <w:tcMar>
              <w:left w:w="28" w:type="dxa"/>
              <w:right w:w="28" w:type="dxa"/>
            </w:tcMar>
          </w:tcPr>
          <w:p w14:paraId="0A9F82FF" w14:textId="77777777" w:rsidR="004A76C6" w:rsidRPr="00BB0AB8" w:rsidRDefault="004A76C6" w:rsidP="004A76C6">
            <w:pPr>
              <w:pStyle w:val="CommentText"/>
              <w:rPr>
                <w:rFonts w:ascii="Arial Narrow" w:hAnsi="Arial Narrow"/>
                <w:sz w:val="18"/>
                <w:szCs w:val="18"/>
              </w:rPr>
            </w:pPr>
            <w:r w:rsidRPr="00BB0AB8">
              <w:rPr>
                <w:rFonts w:ascii="Arial Narrow" w:hAnsi="Arial Narrow"/>
                <w:sz w:val="18"/>
                <w:szCs w:val="18"/>
              </w:rPr>
              <w:t>Hunting is not considered to be an issue and there is no evidence to suggest that illegal fuelwood removal is or ever was significant, given limited access.</w:t>
            </w:r>
          </w:p>
          <w:p w14:paraId="24713127" w14:textId="77777777" w:rsidR="004A76C6" w:rsidRPr="00BB0AB8" w:rsidRDefault="004A76C6" w:rsidP="004A76C6">
            <w:pPr>
              <w:pStyle w:val="CommentText"/>
              <w:spacing w:before="60"/>
              <w:rPr>
                <w:rFonts w:ascii="Arial Narrow" w:hAnsi="Arial Narrow"/>
                <w:bCs/>
                <w:sz w:val="18"/>
                <w:szCs w:val="18"/>
              </w:rPr>
            </w:pPr>
            <w:r w:rsidRPr="00BB0AB8">
              <w:rPr>
                <w:rFonts w:ascii="Arial Narrow" w:hAnsi="Arial Narrow"/>
                <w:b/>
                <w:sz w:val="18"/>
                <w:szCs w:val="18"/>
              </w:rPr>
              <w:t>Note</w:t>
            </w:r>
            <w:r w:rsidRPr="00BB0AB8">
              <w:rPr>
                <w:rFonts w:ascii="Arial Narrow" w:hAnsi="Arial Narrow"/>
                <w:sz w:val="18"/>
                <w:szCs w:val="18"/>
              </w:rPr>
              <w:t xml:space="preserve"> that data on patrols and incidents refer to calendar years. In Mtirala, 900 – 950 patrols are undertaken every year. Accordingly, the benchmark is based on annual data </w:t>
            </w:r>
            <w:r w:rsidRPr="00BB0AB8">
              <w:rPr>
                <w:rFonts w:ascii="Arial Narrow" w:hAnsi="Arial Narrow"/>
                <w:sz w:val="18"/>
                <w:szCs w:val="18"/>
              </w:rPr>
              <w:lastRenderedPageBreak/>
              <w:t xml:space="preserve">(presumably for 2013); and EOP data for 450 patrols/3 incidents covers the 6-month period from January to June 2018. </w:t>
            </w:r>
          </w:p>
        </w:tc>
        <w:tc>
          <w:tcPr>
            <w:tcW w:w="692" w:type="pct"/>
            <w:tcBorders>
              <w:left w:val="single" w:sz="6" w:space="0" w:color="auto"/>
              <w:bottom w:val="single" w:sz="6" w:space="0" w:color="auto"/>
              <w:right w:val="single" w:sz="18" w:space="0" w:color="auto"/>
            </w:tcBorders>
            <w:tcMar>
              <w:left w:w="28" w:type="dxa"/>
              <w:right w:w="28" w:type="dxa"/>
            </w:tcMar>
          </w:tcPr>
          <w:p w14:paraId="257767B5" w14:textId="77777777" w:rsidR="004A76C6" w:rsidRPr="00BB0AB8" w:rsidRDefault="004A76C6" w:rsidP="004A76C6">
            <w:pPr>
              <w:rPr>
                <w:rFonts w:ascii="Arial Narrow" w:hAnsi="Arial Narrow"/>
                <w:b/>
                <w:bCs/>
                <w:sz w:val="18"/>
                <w:szCs w:val="18"/>
                <w:highlight w:val="green"/>
              </w:rPr>
            </w:pPr>
            <w:r w:rsidRPr="00BB0AB8">
              <w:rPr>
                <w:rFonts w:ascii="Arial Narrow" w:hAnsi="Arial Narrow"/>
                <w:bCs/>
                <w:sz w:val="18"/>
                <w:szCs w:val="18"/>
                <w:highlight w:val="green"/>
              </w:rPr>
              <w:lastRenderedPageBreak/>
              <w:t>The project has met the targets, with a 50% reduction in illegal activities in Mtirala and 100% reduction in Kintrishi PAs complex. Inconsistent trends may reflect weaknesses in method.</w:t>
            </w:r>
          </w:p>
        </w:tc>
      </w:tr>
      <w:tr w:rsidR="004A76C6" w:rsidRPr="00BB0AB8" w14:paraId="31ACD7BB" w14:textId="77777777" w:rsidTr="004071E2">
        <w:tc>
          <w:tcPr>
            <w:tcW w:w="5000" w:type="pct"/>
            <w:gridSpan w:val="8"/>
            <w:tcBorders>
              <w:left w:val="single" w:sz="18" w:space="0" w:color="auto"/>
              <w:right w:val="single" w:sz="18" w:space="0" w:color="auto"/>
            </w:tcBorders>
            <w:shd w:val="clear" w:color="auto" w:fill="00FF00"/>
            <w:vAlign w:val="center"/>
          </w:tcPr>
          <w:p w14:paraId="4E5F1B73" w14:textId="77777777" w:rsidR="004A76C6" w:rsidRPr="00BB0AB8" w:rsidRDefault="004A76C6" w:rsidP="004A76C6">
            <w:pPr>
              <w:rPr>
                <w:rFonts w:ascii="Arial Narrow" w:hAnsi="Arial Narrow"/>
                <w:sz w:val="18"/>
                <w:szCs w:val="18"/>
                <w:u w:val="single"/>
              </w:rPr>
            </w:pPr>
            <w:r w:rsidRPr="00BB0AB8">
              <w:rPr>
                <w:rFonts w:ascii="Arial Narrow" w:hAnsi="Arial Narrow"/>
                <w:b/>
                <w:sz w:val="18"/>
                <w:szCs w:val="18"/>
              </w:rPr>
              <w:t>Outcome 2: PA System expanded to increase functional connectivity of PAs in the West Lesser Caucasus</w:t>
            </w:r>
          </w:p>
        </w:tc>
      </w:tr>
      <w:tr w:rsidR="004A76C6" w:rsidRPr="00BB0AB8" w14:paraId="741F8D7D" w14:textId="77777777" w:rsidTr="004071E2">
        <w:trPr>
          <w:trHeight w:val="1205"/>
        </w:trPr>
        <w:tc>
          <w:tcPr>
            <w:tcW w:w="593" w:type="pct"/>
            <w:tcBorders>
              <w:top w:val="single" w:sz="6" w:space="0" w:color="auto"/>
              <w:left w:val="single" w:sz="18" w:space="0" w:color="auto"/>
              <w:bottom w:val="single" w:sz="6" w:space="0" w:color="auto"/>
              <w:right w:val="single" w:sz="6" w:space="0" w:color="auto"/>
            </w:tcBorders>
            <w:tcMar>
              <w:left w:w="28" w:type="dxa"/>
              <w:right w:w="28" w:type="dxa"/>
            </w:tcMar>
          </w:tcPr>
          <w:p w14:paraId="4EDCE950" w14:textId="77777777" w:rsidR="004A76C6" w:rsidRPr="00BB0AB8" w:rsidRDefault="004A76C6" w:rsidP="004A76C6">
            <w:pPr>
              <w:rPr>
                <w:rFonts w:ascii="Arial Narrow" w:hAnsi="Arial Narrow"/>
                <w:b/>
                <w:bCs/>
                <w:sz w:val="18"/>
                <w:szCs w:val="18"/>
              </w:rPr>
            </w:pPr>
            <w:r w:rsidRPr="00BB0AB8">
              <w:rPr>
                <w:rFonts w:ascii="Arial Narrow" w:hAnsi="Arial Narrow"/>
                <w:sz w:val="18"/>
                <w:szCs w:val="18"/>
              </w:rPr>
              <w:t>Extent (ha) of area surveyed, and formally proclaimed and managed as Machakhela National Park (IUCN Cat II)</w:t>
            </w:r>
          </w:p>
        </w:tc>
        <w:tc>
          <w:tcPr>
            <w:tcW w:w="485" w:type="pct"/>
            <w:tcBorders>
              <w:top w:val="single" w:sz="6" w:space="0" w:color="auto"/>
              <w:left w:val="single" w:sz="6" w:space="0" w:color="auto"/>
              <w:bottom w:val="single" w:sz="6" w:space="0" w:color="auto"/>
              <w:right w:val="single" w:sz="18" w:space="0" w:color="auto"/>
            </w:tcBorders>
            <w:tcMar>
              <w:left w:w="28" w:type="dxa"/>
              <w:right w:w="28" w:type="dxa"/>
            </w:tcMar>
          </w:tcPr>
          <w:p w14:paraId="0BEF8DBD" w14:textId="77777777" w:rsidR="004A76C6" w:rsidRPr="00BB0AB8" w:rsidRDefault="004A76C6" w:rsidP="004A76C6">
            <w:pPr>
              <w:rPr>
                <w:rFonts w:ascii="Arial Narrow" w:hAnsi="Arial Narrow"/>
                <w:b/>
                <w:bCs/>
                <w:sz w:val="18"/>
                <w:szCs w:val="18"/>
              </w:rPr>
            </w:pPr>
            <w:r w:rsidRPr="00BB0AB8">
              <w:rPr>
                <w:rFonts w:ascii="Arial Narrow" w:hAnsi="Arial Narrow"/>
                <w:sz w:val="18"/>
                <w:szCs w:val="18"/>
              </w:rPr>
              <w:t>0 ha</w:t>
            </w:r>
          </w:p>
        </w:tc>
        <w:tc>
          <w:tcPr>
            <w:tcW w:w="462" w:type="pct"/>
            <w:tcBorders>
              <w:top w:val="single" w:sz="6" w:space="0" w:color="auto"/>
              <w:left w:val="single" w:sz="18" w:space="0" w:color="auto"/>
              <w:bottom w:val="single" w:sz="6" w:space="0" w:color="auto"/>
              <w:right w:val="single" w:sz="6" w:space="0" w:color="auto"/>
            </w:tcBorders>
            <w:tcMar>
              <w:left w:w="28" w:type="dxa"/>
              <w:right w:w="28" w:type="dxa"/>
            </w:tcMar>
          </w:tcPr>
          <w:p w14:paraId="001D3FD1" w14:textId="77777777" w:rsidR="004A76C6" w:rsidRPr="00BB0AB8" w:rsidRDefault="004A76C6" w:rsidP="004A76C6">
            <w:pPr>
              <w:widowControl w:val="0"/>
              <w:rPr>
                <w:rFonts w:ascii="Arial Narrow" w:hAnsi="Arial Narrow" w:cs="Times Roman"/>
                <w:color w:val="000000"/>
                <w:sz w:val="18"/>
                <w:szCs w:val="18"/>
                <w:lang w:val="en-US"/>
              </w:rPr>
            </w:pPr>
            <w:r w:rsidRPr="00BB0AB8">
              <w:rPr>
                <w:rFonts w:ascii="Arial Narrow" w:hAnsi="Arial Narrow" w:cs="Times Roman"/>
                <w:color w:val="000000"/>
                <w:sz w:val="18"/>
                <w:szCs w:val="18"/>
                <w:lang w:val="en-US"/>
              </w:rPr>
              <w:t xml:space="preserve">7,359.44 ha </w:t>
            </w:r>
          </w:p>
        </w:tc>
        <w:tc>
          <w:tcPr>
            <w:tcW w:w="692" w:type="pct"/>
            <w:tcBorders>
              <w:top w:val="single" w:sz="6" w:space="0" w:color="auto"/>
              <w:left w:val="single" w:sz="6" w:space="0" w:color="auto"/>
              <w:bottom w:val="single" w:sz="6" w:space="0" w:color="auto"/>
              <w:right w:val="single" w:sz="18" w:space="0" w:color="auto"/>
            </w:tcBorders>
            <w:tcMar>
              <w:left w:w="28" w:type="dxa"/>
              <w:right w:w="28" w:type="dxa"/>
            </w:tcMar>
          </w:tcPr>
          <w:p w14:paraId="7D25D238" w14:textId="77777777" w:rsidR="004A76C6" w:rsidRPr="00BB0AB8" w:rsidRDefault="004A76C6" w:rsidP="004A76C6">
            <w:pPr>
              <w:widowControl w:val="0"/>
              <w:rPr>
                <w:rFonts w:ascii="Arial Narrow" w:hAnsi="Arial Narrow" w:cs="Times Roman"/>
                <w:color w:val="000000"/>
                <w:sz w:val="18"/>
                <w:szCs w:val="18"/>
                <w:lang w:val="en-US"/>
              </w:rPr>
            </w:pPr>
            <w:r w:rsidRPr="00BB0AB8">
              <w:rPr>
                <w:rFonts w:ascii="Arial Narrow" w:hAnsi="Arial Narrow" w:cs="Times Roman"/>
                <w:color w:val="000000"/>
                <w:sz w:val="18"/>
                <w:szCs w:val="18"/>
                <w:lang w:val="en-US"/>
              </w:rPr>
              <w:t xml:space="preserve">See comments on first indicator. </w:t>
            </w:r>
          </w:p>
          <w:p w14:paraId="2EFEAF60" w14:textId="77777777" w:rsidR="004A76C6" w:rsidRPr="00BB0AB8" w:rsidRDefault="004A76C6" w:rsidP="004A76C6">
            <w:pPr>
              <w:rPr>
                <w:rFonts w:ascii="Arial Narrow" w:hAnsi="Arial Narrow"/>
                <w:sz w:val="18"/>
                <w:szCs w:val="18"/>
                <w:lang w:val="sv-SE"/>
              </w:rPr>
            </w:pPr>
          </w:p>
        </w:tc>
        <w:tc>
          <w:tcPr>
            <w:tcW w:w="461" w:type="pct"/>
            <w:tcBorders>
              <w:top w:val="single" w:sz="6" w:space="0" w:color="auto"/>
              <w:left w:val="single" w:sz="18" w:space="0" w:color="auto"/>
              <w:bottom w:val="single" w:sz="6" w:space="0" w:color="auto"/>
              <w:right w:val="single" w:sz="6" w:space="0" w:color="auto"/>
            </w:tcBorders>
            <w:tcMar>
              <w:left w:w="28" w:type="dxa"/>
              <w:right w:w="28" w:type="dxa"/>
            </w:tcMar>
          </w:tcPr>
          <w:p w14:paraId="7B9AAF7E" w14:textId="77777777" w:rsidR="004A76C6" w:rsidRPr="00BB0AB8" w:rsidRDefault="004A76C6" w:rsidP="004A76C6">
            <w:pPr>
              <w:rPr>
                <w:rFonts w:ascii="Arial Narrow" w:hAnsi="Arial Narrow"/>
                <w:b/>
                <w:bCs/>
                <w:sz w:val="18"/>
                <w:szCs w:val="18"/>
                <w:lang w:val="sv-SE"/>
              </w:rPr>
            </w:pPr>
            <w:r w:rsidRPr="00BB0AB8">
              <w:rPr>
                <w:rFonts w:ascii="Arial Narrow" w:hAnsi="Arial Narrow"/>
                <w:sz w:val="18"/>
                <w:szCs w:val="18"/>
                <w:lang w:val="sv-SE"/>
              </w:rPr>
              <w:t>Machakhela National Park  covering 8,733 ha by yr 2</w:t>
            </w:r>
          </w:p>
        </w:tc>
        <w:tc>
          <w:tcPr>
            <w:tcW w:w="462" w:type="pct"/>
            <w:tcBorders>
              <w:top w:val="single" w:sz="6" w:space="0" w:color="auto"/>
              <w:left w:val="single" w:sz="6" w:space="0" w:color="auto"/>
              <w:bottom w:val="single" w:sz="6" w:space="0" w:color="auto"/>
              <w:right w:val="single" w:sz="6" w:space="0" w:color="auto"/>
            </w:tcBorders>
            <w:shd w:val="clear" w:color="auto" w:fill="00FF00"/>
            <w:tcMar>
              <w:left w:w="28" w:type="dxa"/>
              <w:right w:w="28" w:type="dxa"/>
            </w:tcMar>
          </w:tcPr>
          <w:p w14:paraId="784B68C2" w14:textId="77777777" w:rsidR="004A76C6" w:rsidRPr="00BB0AB8" w:rsidRDefault="004A76C6" w:rsidP="004A76C6">
            <w:pPr>
              <w:rPr>
                <w:rFonts w:ascii="Arial Narrow" w:hAnsi="Arial Narrow"/>
                <w:b/>
                <w:bCs/>
                <w:sz w:val="18"/>
                <w:szCs w:val="18"/>
                <w:highlight w:val="green"/>
              </w:rPr>
            </w:pPr>
            <w:r w:rsidRPr="00BB0AB8">
              <w:rPr>
                <w:rFonts w:ascii="Arial Narrow" w:hAnsi="Arial Narrow"/>
                <w:sz w:val="18"/>
                <w:szCs w:val="18"/>
                <w:highlight w:val="green"/>
              </w:rPr>
              <w:t>7,333.18 ha</w:t>
            </w:r>
          </w:p>
        </w:tc>
        <w:tc>
          <w:tcPr>
            <w:tcW w:w="1153" w:type="pct"/>
            <w:tcBorders>
              <w:top w:val="single" w:sz="6" w:space="0" w:color="auto"/>
              <w:left w:val="single" w:sz="6" w:space="0" w:color="auto"/>
              <w:bottom w:val="single" w:sz="6" w:space="0" w:color="auto"/>
              <w:right w:val="single" w:sz="6" w:space="0" w:color="auto"/>
            </w:tcBorders>
            <w:tcMar>
              <w:left w:w="28" w:type="dxa"/>
              <w:right w:w="28" w:type="dxa"/>
            </w:tcMar>
          </w:tcPr>
          <w:p w14:paraId="7FFEE192" w14:textId="77777777" w:rsidR="004A76C6" w:rsidRPr="00BB0AB8" w:rsidRDefault="004A76C6" w:rsidP="004A76C6">
            <w:pPr>
              <w:rPr>
                <w:rFonts w:ascii="Arial Narrow" w:hAnsi="Arial Narrow"/>
                <w:sz w:val="18"/>
                <w:szCs w:val="18"/>
              </w:rPr>
            </w:pPr>
            <w:r w:rsidRPr="00BB0AB8">
              <w:rPr>
                <w:rFonts w:ascii="Arial Narrow" w:hAnsi="Arial Narrow"/>
                <w:sz w:val="18"/>
                <w:szCs w:val="18"/>
              </w:rPr>
              <w:t xml:space="preserve">Target was achieved in 2015 (yr 2). However by yr 3 of the project, after the demarcation and subsequent changes in the Law on Machakhela NP the area was reduced to --7,333.18 ha  </w:t>
            </w:r>
          </w:p>
        </w:tc>
        <w:tc>
          <w:tcPr>
            <w:tcW w:w="692" w:type="pct"/>
            <w:tcBorders>
              <w:top w:val="single" w:sz="6" w:space="0" w:color="auto"/>
              <w:left w:val="single" w:sz="6" w:space="0" w:color="auto"/>
              <w:right w:val="single" w:sz="18" w:space="0" w:color="auto"/>
            </w:tcBorders>
            <w:tcMar>
              <w:left w:w="28" w:type="dxa"/>
              <w:right w:w="28" w:type="dxa"/>
            </w:tcMar>
          </w:tcPr>
          <w:p w14:paraId="70208B0F" w14:textId="77777777" w:rsidR="004A76C6" w:rsidRPr="00BB0AB8" w:rsidRDefault="004A76C6" w:rsidP="004A76C6">
            <w:pPr>
              <w:rPr>
                <w:rFonts w:ascii="Arial Narrow" w:hAnsi="Arial Narrow"/>
                <w:bCs/>
                <w:sz w:val="18"/>
                <w:szCs w:val="18"/>
                <w:highlight w:val="green"/>
              </w:rPr>
            </w:pPr>
            <w:r w:rsidRPr="00BB0AB8">
              <w:rPr>
                <w:rFonts w:ascii="Arial Narrow" w:hAnsi="Arial Narrow"/>
                <w:bCs/>
                <w:sz w:val="18"/>
                <w:szCs w:val="18"/>
                <w:highlight w:val="green"/>
              </w:rPr>
              <w:t>Target has essentially been met; and will be exceeded once PL is created.</w:t>
            </w:r>
          </w:p>
          <w:p w14:paraId="2B83A361" w14:textId="77777777" w:rsidR="004A76C6" w:rsidRPr="00BB0AB8" w:rsidRDefault="004A76C6" w:rsidP="004A76C6">
            <w:pPr>
              <w:spacing w:before="60"/>
              <w:rPr>
                <w:rFonts w:ascii="Arial Narrow" w:hAnsi="Arial Narrow"/>
                <w:bCs/>
                <w:sz w:val="18"/>
                <w:szCs w:val="18"/>
                <w:highlight w:val="green"/>
              </w:rPr>
            </w:pPr>
            <w:r w:rsidRPr="00BB0AB8">
              <w:rPr>
                <w:rFonts w:ascii="Arial Narrow" w:hAnsi="Arial Narrow"/>
                <w:b/>
                <w:bCs/>
                <w:sz w:val="18"/>
                <w:szCs w:val="18"/>
                <w:highlight w:val="green"/>
              </w:rPr>
              <w:t>Note:</w:t>
            </w:r>
            <w:r w:rsidRPr="00BB0AB8">
              <w:rPr>
                <w:rFonts w:ascii="Arial Narrow" w:hAnsi="Arial Narrow"/>
                <w:bCs/>
                <w:sz w:val="18"/>
                <w:szCs w:val="18"/>
                <w:highlight w:val="green"/>
              </w:rPr>
              <w:t xml:space="preserve"> This indicator is largely redundant as it is integral to 1</w:t>
            </w:r>
            <w:r w:rsidRPr="00BB0AB8">
              <w:rPr>
                <w:rFonts w:ascii="Arial Narrow" w:hAnsi="Arial Narrow"/>
                <w:bCs/>
                <w:sz w:val="18"/>
                <w:szCs w:val="18"/>
                <w:highlight w:val="green"/>
                <w:vertAlign w:val="superscript"/>
              </w:rPr>
              <w:t>st</w:t>
            </w:r>
            <w:r w:rsidRPr="00BB0AB8">
              <w:rPr>
                <w:rFonts w:ascii="Arial Narrow" w:hAnsi="Arial Narrow"/>
                <w:bCs/>
                <w:sz w:val="18"/>
                <w:szCs w:val="18"/>
                <w:highlight w:val="green"/>
              </w:rPr>
              <w:t xml:space="preserve"> indicator of Objective (see above).</w:t>
            </w:r>
          </w:p>
        </w:tc>
      </w:tr>
      <w:tr w:rsidR="004A76C6" w:rsidRPr="00BB0AB8" w14:paraId="7517F26A" w14:textId="77777777" w:rsidTr="004071E2">
        <w:trPr>
          <w:trHeight w:val="889"/>
        </w:trPr>
        <w:tc>
          <w:tcPr>
            <w:tcW w:w="593" w:type="pct"/>
            <w:tcBorders>
              <w:top w:val="single" w:sz="6" w:space="0" w:color="auto"/>
              <w:left w:val="single" w:sz="18" w:space="0" w:color="auto"/>
              <w:bottom w:val="single" w:sz="6" w:space="0" w:color="auto"/>
              <w:right w:val="single" w:sz="6" w:space="0" w:color="auto"/>
            </w:tcBorders>
            <w:tcMar>
              <w:left w:w="28" w:type="dxa"/>
              <w:right w:w="28" w:type="dxa"/>
            </w:tcMar>
          </w:tcPr>
          <w:p w14:paraId="7983D8A9" w14:textId="77777777" w:rsidR="004A76C6" w:rsidRPr="00BB0AB8" w:rsidRDefault="004A76C6" w:rsidP="004A76C6">
            <w:pPr>
              <w:rPr>
                <w:rFonts w:ascii="Arial Narrow" w:hAnsi="Arial Narrow"/>
                <w:b/>
                <w:bCs/>
                <w:noProof/>
                <w:sz w:val="18"/>
                <w:szCs w:val="18"/>
              </w:rPr>
            </w:pPr>
            <w:r w:rsidRPr="00BB0AB8">
              <w:rPr>
                <w:rFonts w:ascii="Arial Narrow" w:hAnsi="Arial Narrow"/>
                <w:sz w:val="18"/>
                <w:szCs w:val="18"/>
              </w:rPr>
              <w:t>Distance between the Mtirala/Kintrishi PA Complex and the nearest Forest Habitat PA</w:t>
            </w:r>
          </w:p>
        </w:tc>
        <w:tc>
          <w:tcPr>
            <w:tcW w:w="485" w:type="pct"/>
            <w:tcBorders>
              <w:top w:val="single" w:sz="6" w:space="0" w:color="auto"/>
              <w:left w:val="single" w:sz="6" w:space="0" w:color="auto"/>
              <w:bottom w:val="single" w:sz="6" w:space="0" w:color="auto"/>
              <w:right w:val="single" w:sz="18" w:space="0" w:color="auto"/>
            </w:tcBorders>
            <w:tcMar>
              <w:left w:w="28" w:type="dxa"/>
              <w:right w:w="28" w:type="dxa"/>
            </w:tcMar>
          </w:tcPr>
          <w:p w14:paraId="521BCD18" w14:textId="77777777" w:rsidR="004A76C6" w:rsidRPr="00BB0AB8" w:rsidRDefault="004A76C6" w:rsidP="004A76C6">
            <w:pPr>
              <w:rPr>
                <w:rFonts w:ascii="Arial Narrow" w:hAnsi="Arial Narrow"/>
                <w:b/>
                <w:bCs/>
                <w:sz w:val="18"/>
                <w:szCs w:val="18"/>
              </w:rPr>
            </w:pPr>
            <w:r w:rsidRPr="00BB0AB8">
              <w:rPr>
                <w:rFonts w:ascii="Arial Narrow" w:hAnsi="Arial Narrow"/>
                <w:sz w:val="18"/>
                <w:szCs w:val="18"/>
              </w:rPr>
              <w:t>13 km to Jamili PA, Turkey</w:t>
            </w:r>
          </w:p>
        </w:tc>
        <w:tc>
          <w:tcPr>
            <w:tcW w:w="462" w:type="pct"/>
            <w:tcBorders>
              <w:top w:val="single" w:sz="6" w:space="0" w:color="auto"/>
              <w:left w:val="single" w:sz="18" w:space="0" w:color="auto"/>
              <w:bottom w:val="single" w:sz="6" w:space="0" w:color="auto"/>
              <w:right w:val="single" w:sz="6" w:space="0" w:color="auto"/>
            </w:tcBorders>
            <w:tcMar>
              <w:left w:w="28" w:type="dxa"/>
              <w:right w:w="28" w:type="dxa"/>
            </w:tcMar>
          </w:tcPr>
          <w:p w14:paraId="0F97FBBF" w14:textId="77777777" w:rsidR="004A76C6" w:rsidRPr="00BB0AB8" w:rsidRDefault="004A76C6" w:rsidP="004A76C6">
            <w:pPr>
              <w:widowControl w:val="0"/>
              <w:rPr>
                <w:rFonts w:ascii="Arial Narrow" w:hAnsi="Arial Narrow" w:cs="Times Roman"/>
                <w:color w:val="000000"/>
                <w:sz w:val="18"/>
                <w:szCs w:val="18"/>
                <w:lang w:val="en-US"/>
              </w:rPr>
            </w:pPr>
            <w:r w:rsidRPr="00BB0AB8">
              <w:rPr>
                <w:rFonts w:ascii="Arial Narrow" w:hAnsi="Arial Narrow" w:cs="Times Roman"/>
                <w:color w:val="000000"/>
                <w:sz w:val="18"/>
                <w:szCs w:val="18"/>
                <w:lang w:val="en-US"/>
              </w:rPr>
              <w:t>Less than 6 km as reported in 2015</w:t>
            </w:r>
          </w:p>
        </w:tc>
        <w:tc>
          <w:tcPr>
            <w:tcW w:w="692" w:type="pct"/>
            <w:tcBorders>
              <w:top w:val="single" w:sz="6" w:space="0" w:color="auto"/>
              <w:left w:val="single" w:sz="6" w:space="0" w:color="auto"/>
              <w:bottom w:val="single" w:sz="6" w:space="0" w:color="auto"/>
              <w:right w:val="single" w:sz="18" w:space="0" w:color="auto"/>
            </w:tcBorders>
            <w:tcMar>
              <w:left w:w="28" w:type="dxa"/>
              <w:right w:w="28" w:type="dxa"/>
            </w:tcMar>
          </w:tcPr>
          <w:p w14:paraId="54A182B0" w14:textId="77777777" w:rsidR="004A76C6" w:rsidRPr="00BB0AB8" w:rsidRDefault="004A76C6" w:rsidP="004A76C6">
            <w:pPr>
              <w:widowControl w:val="0"/>
              <w:rPr>
                <w:rFonts w:ascii="Arial Narrow" w:hAnsi="Arial Narrow" w:cs="Times Roman"/>
                <w:color w:val="000000"/>
                <w:sz w:val="18"/>
                <w:szCs w:val="18"/>
                <w:lang w:val="en-US"/>
              </w:rPr>
            </w:pPr>
            <w:r w:rsidRPr="00BB0AB8">
              <w:rPr>
                <w:rFonts w:ascii="Arial Narrow" w:hAnsi="Arial Narrow" w:cs="Times Roman"/>
                <w:color w:val="000000"/>
                <w:sz w:val="18"/>
                <w:szCs w:val="18"/>
                <w:lang w:val="en-US"/>
              </w:rPr>
              <w:t xml:space="preserve">Target achieved. See para 41 (point 8) for discussion on the indicator. </w:t>
            </w:r>
          </w:p>
        </w:tc>
        <w:tc>
          <w:tcPr>
            <w:tcW w:w="461" w:type="pct"/>
            <w:tcBorders>
              <w:top w:val="single" w:sz="6" w:space="0" w:color="auto"/>
              <w:left w:val="single" w:sz="18" w:space="0" w:color="auto"/>
              <w:bottom w:val="single" w:sz="6" w:space="0" w:color="auto"/>
              <w:right w:val="single" w:sz="6" w:space="0" w:color="auto"/>
            </w:tcBorders>
            <w:tcMar>
              <w:left w:w="28" w:type="dxa"/>
              <w:right w:w="28" w:type="dxa"/>
            </w:tcMar>
          </w:tcPr>
          <w:p w14:paraId="531F6B89" w14:textId="77777777" w:rsidR="004A76C6" w:rsidRPr="00BB0AB8" w:rsidRDefault="004A76C6" w:rsidP="004A76C6">
            <w:pPr>
              <w:rPr>
                <w:rFonts w:ascii="Arial Narrow" w:hAnsi="Arial Narrow"/>
                <w:b/>
                <w:bCs/>
                <w:sz w:val="18"/>
                <w:szCs w:val="18"/>
              </w:rPr>
            </w:pPr>
            <w:r w:rsidRPr="00BB0AB8">
              <w:rPr>
                <w:rFonts w:ascii="Arial Narrow" w:hAnsi="Arial Narrow"/>
                <w:sz w:val="18"/>
                <w:szCs w:val="18"/>
              </w:rPr>
              <w:t>Less than 6 km to Machakhela NP</w:t>
            </w:r>
          </w:p>
        </w:tc>
        <w:tc>
          <w:tcPr>
            <w:tcW w:w="462" w:type="pct"/>
            <w:tcBorders>
              <w:top w:val="single" w:sz="6" w:space="0" w:color="auto"/>
              <w:left w:val="single" w:sz="6" w:space="0" w:color="auto"/>
              <w:bottom w:val="single" w:sz="6" w:space="0" w:color="auto"/>
              <w:right w:val="single" w:sz="6" w:space="0" w:color="auto"/>
            </w:tcBorders>
            <w:shd w:val="clear" w:color="auto" w:fill="00FF00"/>
            <w:tcMar>
              <w:left w:w="28" w:type="dxa"/>
              <w:right w:w="28" w:type="dxa"/>
            </w:tcMar>
          </w:tcPr>
          <w:p w14:paraId="776D3930" w14:textId="77777777" w:rsidR="004A76C6" w:rsidRPr="00BB0AB8" w:rsidRDefault="004A76C6" w:rsidP="004A76C6">
            <w:pPr>
              <w:rPr>
                <w:rFonts w:ascii="Arial Narrow" w:hAnsi="Arial Narrow"/>
                <w:b/>
                <w:bCs/>
                <w:sz w:val="18"/>
                <w:szCs w:val="18"/>
                <w:highlight w:val="green"/>
              </w:rPr>
            </w:pPr>
            <w:r>
              <w:rPr>
                <w:rFonts w:ascii="Arial Narrow" w:hAnsi="Arial Narrow"/>
                <w:sz w:val="18"/>
                <w:szCs w:val="18"/>
                <w:highlight w:val="green"/>
              </w:rPr>
              <w:t>Target achieved: l</w:t>
            </w:r>
            <w:r w:rsidRPr="00BB0AB8">
              <w:rPr>
                <w:rFonts w:ascii="Arial Narrow" w:hAnsi="Arial Narrow"/>
                <w:sz w:val="18"/>
                <w:szCs w:val="18"/>
                <w:highlight w:val="green"/>
              </w:rPr>
              <w:t>ess than 6 km to Machakhela NP</w:t>
            </w:r>
          </w:p>
        </w:tc>
        <w:tc>
          <w:tcPr>
            <w:tcW w:w="1153" w:type="pct"/>
            <w:tcBorders>
              <w:top w:val="single" w:sz="6" w:space="0" w:color="auto"/>
              <w:left w:val="single" w:sz="6" w:space="0" w:color="auto"/>
              <w:bottom w:val="single" w:sz="6" w:space="0" w:color="auto"/>
              <w:right w:val="single" w:sz="6" w:space="0" w:color="auto"/>
            </w:tcBorders>
            <w:tcMar>
              <w:left w:w="28" w:type="dxa"/>
              <w:right w:w="28" w:type="dxa"/>
            </w:tcMar>
          </w:tcPr>
          <w:p w14:paraId="3437DF26" w14:textId="77777777" w:rsidR="004A76C6" w:rsidRPr="00BB0AB8" w:rsidRDefault="004A76C6" w:rsidP="004A76C6">
            <w:pPr>
              <w:rPr>
                <w:rFonts w:ascii="Arial Narrow" w:hAnsi="Arial Narrow"/>
                <w:b/>
                <w:bCs/>
                <w:sz w:val="18"/>
                <w:szCs w:val="18"/>
              </w:rPr>
            </w:pPr>
            <w:r w:rsidRPr="00BB0AB8">
              <w:rPr>
                <w:rFonts w:ascii="Arial Narrow" w:hAnsi="Arial Narrow"/>
                <w:sz w:val="18"/>
                <w:szCs w:val="18"/>
              </w:rPr>
              <w:t>Target achieved (reported in the 2015 PIR) and the distance between the Mtirala/Kintrishi PA Complex and the nearest Forest Habitat PA is now less than 6 km. The revision of Law on Machakhela PA did not affect this target</w:t>
            </w:r>
          </w:p>
        </w:tc>
        <w:tc>
          <w:tcPr>
            <w:tcW w:w="692" w:type="pct"/>
            <w:tcBorders>
              <w:left w:val="single" w:sz="6" w:space="0" w:color="auto"/>
              <w:right w:val="single" w:sz="18" w:space="0" w:color="auto"/>
            </w:tcBorders>
            <w:tcMar>
              <w:left w:w="28" w:type="dxa"/>
              <w:right w:w="28" w:type="dxa"/>
            </w:tcMar>
          </w:tcPr>
          <w:p w14:paraId="5E788042" w14:textId="77777777" w:rsidR="004A76C6" w:rsidRPr="00BB0AB8" w:rsidRDefault="004A76C6" w:rsidP="004A76C6">
            <w:pPr>
              <w:rPr>
                <w:rFonts w:ascii="Arial Narrow" w:hAnsi="Arial Narrow"/>
                <w:bCs/>
                <w:sz w:val="18"/>
                <w:szCs w:val="18"/>
                <w:highlight w:val="green"/>
              </w:rPr>
            </w:pPr>
            <w:r w:rsidRPr="00BB0AB8">
              <w:rPr>
                <w:rFonts w:ascii="Arial Narrow" w:hAnsi="Arial Narrow"/>
                <w:bCs/>
                <w:sz w:val="18"/>
                <w:szCs w:val="18"/>
                <w:highlight w:val="green"/>
              </w:rPr>
              <w:t>Target has been achieved.</w:t>
            </w:r>
          </w:p>
          <w:p w14:paraId="4FDD3A71" w14:textId="77777777" w:rsidR="004A76C6" w:rsidRPr="00BB0AB8" w:rsidRDefault="004A76C6" w:rsidP="004A76C6">
            <w:pPr>
              <w:spacing w:before="60"/>
              <w:rPr>
                <w:rFonts w:ascii="Arial Narrow" w:hAnsi="Arial Narrow"/>
                <w:bCs/>
                <w:sz w:val="18"/>
                <w:szCs w:val="18"/>
                <w:highlight w:val="green"/>
              </w:rPr>
            </w:pPr>
            <w:r w:rsidRPr="00BB0AB8">
              <w:rPr>
                <w:rFonts w:ascii="Arial Narrow" w:hAnsi="Arial Narrow"/>
                <w:b/>
                <w:bCs/>
                <w:sz w:val="18"/>
                <w:szCs w:val="18"/>
                <w:highlight w:val="green"/>
              </w:rPr>
              <w:t xml:space="preserve">Note: </w:t>
            </w:r>
            <w:r w:rsidRPr="00BB0AB8">
              <w:rPr>
                <w:rFonts w:ascii="Arial Narrow" w:hAnsi="Arial Narrow"/>
                <w:bCs/>
                <w:sz w:val="18"/>
                <w:szCs w:val="18"/>
                <w:highlight w:val="green"/>
              </w:rPr>
              <w:t>Indicator is integral to 1</w:t>
            </w:r>
            <w:r w:rsidRPr="00BB0AB8">
              <w:rPr>
                <w:rFonts w:ascii="Arial Narrow" w:hAnsi="Arial Narrow"/>
                <w:bCs/>
                <w:sz w:val="18"/>
                <w:szCs w:val="18"/>
                <w:highlight w:val="green"/>
                <w:vertAlign w:val="superscript"/>
              </w:rPr>
              <w:t>st</w:t>
            </w:r>
            <w:r w:rsidRPr="00BB0AB8">
              <w:rPr>
                <w:rFonts w:ascii="Arial Narrow" w:hAnsi="Arial Narrow"/>
                <w:bCs/>
                <w:sz w:val="18"/>
                <w:szCs w:val="18"/>
                <w:highlight w:val="green"/>
              </w:rPr>
              <w:t xml:space="preserve"> indicator of Objective (see above), so redundant.</w:t>
            </w:r>
          </w:p>
        </w:tc>
      </w:tr>
      <w:tr w:rsidR="004A76C6" w:rsidRPr="00BB0AB8" w14:paraId="25CA5FEE" w14:textId="77777777" w:rsidTr="004071E2">
        <w:tc>
          <w:tcPr>
            <w:tcW w:w="593" w:type="pct"/>
            <w:tcBorders>
              <w:top w:val="single" w:sz="6" w:space="0" w:color="auto"/>
              <w:left w:val="single" w:sz="18" w:space="0" w:color="auto"/>
              <w:bottom w:val="single" w:sz="6" w:space="0" w:color="auto"/>
              <w:right w:val="single" w:sz="6" w:space="0" w:color="auto"/>
            </w:tcBorders>
            <w:tcMar>
              <w:left w:w="28" w:type="dxa"/>
              <w:right w:w="28" w:type="dxa"/>
            </w:tcMar>
          </w:tcPr>
          <w:p w14:paraId="32BBC5E5" w14:textId="77777777" w:rsidR="004A76C6" w:rsidRPr="00BB0AB8" w:rsidRDefault="004A76C6" w:rsidP="004A76C6">
            <w:pPr>
              <w:rPr>
                <w:rFonts w:ascii="Arial Narrow" w:hAnsi="Arial Narrow"/>
                <w:b/>
                <w:bCs/>
                <w:sz w:val="18"/>
                <w:szCs w:val="18"/>
              </w:rPr>
            </w:pPr>
            <w:r w:rsidRPr="00BB0AB8">
              <w:rPr>
                <w:rFonts w:ascii="Arial Narrow" w:hAnsi="Arial Narrow"/>
                <w:sz w:val="18"/>
                <w:szCs w:val="18"/>
              </w:rPr>
              <w:t>Necessary infrastructure investment is made by APA and Achara authorities to establish effective management of the NP</w:t>
            </w:r>
          </w:p>
        </w:tc>
        <w:tc>
          <w:tcPr>
            <w:tcW w:w="485" w:type="pct"/>
            <w:tcBorders>
              <w:top w:val="single" w:sz="6" w:space="0" w:color="auto"/>
              <w:left w:val="single" w:sz="6" w:space="0" w:color="auto"/>
              <w:bottom w:val="single" w:sz="6" w:space="0" w:color="auto"/>
              <w:right w:val="single" w:sz="18" w:space="0" w:color="auto"/>
            </w:tcBorders>
            <w:tcMar>
              <w:left w:w="28" w:type="dxa"/>
              <w:right w:w="28" w:type="dxa"/>
            </w:tcMar>
          </w:tcPr>
          <w:p w14:paraId="68A39F8E" w14:textId="77777777" w:rsidR="004A76C6" w:rsidRPr="00BB0AB8" w:rsidRDefault="004A76C6" w:rsidP="004A76C6">
            <w:pPr>
              <w:rPr>
                <w:rFonts w:ascii="Arial Narrow" w:hAnsi="Arial Narrow"/>
                <w:b/>
                <w:bCs/>
                <w:sz w:val="18"/>
                <w:szCs w:val="18"/>
              </w:rPr>
            </w:pPr>
            <w:r w:rsidRPr="00BB0AB8">
              <w:rPr>
                <w:rFonts w:ascii="Arial Narrow" w:hAnsi="Arial Narrow"/>
                <w:sz w:val="18"/>
                <w:szCs w:val="18"/>
              </w:rPr>
              <w:t>Zero</w:t>
            </w:r>
          </w:p>
        </w:tc>
        <w:tc>
          <w:tcPr>
            <w:tcW w:w="462" w:type="pct"/>
            <w:tcBorders>
              <w:top w:val="single" w:sz="6" w:space="0" w:color="auto"/>
              <w:left w:val="single" w:sz="18" w:space="0" w:color="auto"/>
              <w:bottom w:val="single" w:sz="6" w:space="0" w:color="auto"/>
              <w:right w:val="single" w:sz="6" w:space="0" w:color="auto"/>
            </w:tcBorders>
            <w:tcMar>
              <w:left w:w="28" w:type="dxa"/>
              <w:right w:w="28" w:type="dxa"/>
            </w:tcMar>
          </w:tcPr>
          <w:p w14:paraId="682D01B8" w14:textId="77777777" w:rsidR="004A76C6" w:rsidRPr="00BB0AB8" w:rsidRDefault="004A76C6" w:rsidP="004A76C6">
            <w:pPr>
              <w:widowControl w:val="0"/>
              <w:rPr>
                <w:rFonts w:ascii="Arial Narrow" w:hAnsi="Arial Narrow" w:cs="Times Roman"/>
                <w:color w:val="000000"/>
                <w:sz w:val="18"/>
                <w:szCs w:val="18"/>
                <w:lang w:val="en-US"/>
              </w:rPr>
            </w:pPr>
            <w:r w:rsidRPr="00BB0AB8">
              <w:rPr>
                <w:rFonts w:ascii="Arial Narrow" w:hAnsi="Arial Narrow" w:cs="Times Roman"/>
                <w:color w:val="000000"/>
                <w:sz w:val="18"/>
                <w:szCs w:val="18"/>
                <w:lang w:val="en-US"/>
              </w:rPr>
              <w:t>Investment of USD 270,000 (Achara government on road rehabilitation) and USD 47,000 (APA on three vehicles)</w:t>
            </w:r>
          </w:p>
          <w:p w14:paraId="21A7E8B5" w14:textId="77777777" w:rsidR="004A76C6" w:rsidRPr="00BB0AB8" w:rsidRDefault="004A76C6" w:rsidP="004A76C6">
            <w:pPr>
              <w:rPr>
                <w:rFonts w:ascii="Arial Narrow" w:hAnsi="Arial Narrow"/>
                <w:noProof/>
                <w:sz w:val="18"/>
                <w:szCs w:val="18"/>
              </w:rPr>
            </w:pPr>
          </w:p>
        </w:tc>
        <w:tc>
          <w:tcPr>
            <w:tcW w:w="692" w:type="pct"/>
            <w:tcBorders>
              <w:top w:val="single" w:sz="6" w:space="0" w:color="auto"/>
              <w:left w:val="single" w:sz="6" w:space="0" w:color="auto"/>
              <w:bottom w:val="single" w:sz="6" w:space="0" w:color="auto"/>
              <w:right w:val="single" w:sz="18" w:space="0" w:color="auto"/>
            </w:tcBorders>
            <w:tcMar>
              <w:left w:w="28" w:type="dxa"/>
              <w:right w:w="28" w:type="dxa"/>
            </w:tcMar>
          </w:tcPr>
          <w:p w14:paraId="41971AB5" w14:textId="77777777" w:rsidR="004A76C6" w:rsidRPr="00BB0AB8" w:rsidRDefault="004A76C6" w:rsidP="004A76C6">
            <w:pPr>
              <w:widowControl w:val="0"/>
              <w:rPr>
                <w:rFonts w:ascii="Arial Narrow" w:hAnsi="Arial Narrow" w:cs="Times Roman"/>
                <w:color w:val="000000"/>
                <w:sz w:val="18"/>
                <w:szCs w:val="18"/>
                <w:lang w:val="en-US"/>
              </w:rPr>
            </w:pPr>
            <w:r w:rsidRPr="00BB0AB8">
              <w:rPr>
                <w:rFonts w:ascii="Arial Narrow" w:hAnsi="Arial Narrow" w:cs="Times Roman"/>
                <w:color w:val="000000"/>
                <w:sz w:val="18"/>
                <w:szCs w:val="18"/>
                <w:lang w:val="en-US"/>
              </w:rPr>
              <w:t xml:space="preserve">The indicator specifies infrastructure and it only recently that the Machakhela NP has secured an administration building. Investment in that building has been forthcoming, both from the project and from APA. </w:t>
            </w:r>
          </w:p>
          <w:p w14:paraId="5CE85902" w14:textId="77777777" w:rsidR="004A76C6" w:rsidRPr="00BB0AB8" w:rsidRDefault="004A76C6" w:rsidP="004A76C6">
            <w:pPr>
              <w:widowControl w:val="0"/>
              <w:rPr>
                <w:rFonts w:ascii="Arial Narrow" w:hAnsi="Arial Narrow" w:cs="Times Roman"/>
                <w:color w:val="000000"/>
                <w:sz w:val="18"/>
                <w:szCs w:val="18"/>
                <w:lang w:val="en-US"/>
              </w:rPr>
            </w:pPr>
            <w:r w:rsidRPr="00BB0AB8">
              <w:rPr>
                <w:rFonts w:ascii="Arial Narrow" w:hAnsi="Arial Narrow" w:cs="Times Roman"/>
                <w:color w:val="000000"/>
                <w:sz w:val="18"/>
                <w:szCs w:val="18"/>
                <w:lang w:val="en-US"/>
              </w:rPr>
              <w:t xml:space="preserve">The Achara government has made significant investment into the road infrastructure in the vicinity of the protected area. </w:t>
            </w:r>
          </w:p>
        </w:tc>
        <w:tc>
          <w:tcPr>
            <w:tcW w:w="461" w:type="pct"/>
            <w:tcBorders>
              <w:top w:val="single" w:sz="6" w:space="0" w:color="auto"/>
              <w:left w:val="single" w:sz="18" w:space="0" w:color="auto"/>
              <w:bottom w:val="single" w:sz="6" w:space="0" w:color="auto"/>
              <w:right w:val="single" w:sz="6" w:space="0" w:color="auto"/>
            </w:tcBorders>
            <w:tcMar>
              <w:left w:w="28" w:type="dxa"/>
              <w:right w:w="28" w:type="dxa"/>
            </w:tcMar>
          </w:tcPr>
          <w:p w14:paraId="58AB97F6" w14:textId="77777777" w:rsidR="004A76C6" w:rsidRPr="00BB0AB8" w:rsidRDefault="004A76C6" w:rsidP="004A76C6">
            <w:pPr>
              <w:rPr>
                <w:rFonts w:ascii="Arial Narrow" w:hAnsi="Arial Narrow"/>
                <w:b/>
                <w:bCs/>
                <w:noProof/>
                <w:sz w:val="18"/>
                <w:szCs w:val="18"/>
              </w:rPr>
            </w:pPr>
            <w:r w:rsidRPr="00BB0AB8">
              <w:rPr>
                <w:rFonts w:ascii="Arial Narrow" w:hAnsi="Arial Narrow"/>
                <w:noProof/>
                <w:sz w:val="18"/>
                <w:szCs w:val="18"/>
              </w:rPr>
              <w:t>Approx. 120,000 USD</w:t>
            </w:r>
          </w:p>
        </w:tc>
        <w:tc>
          <w:tcPr>
            <w:tcW w:w="462" w:type="pct"/>
            <w:tcBorders>
              <w:top w:val="single" w:sz="6" w:space="0" w:color="auto"/>
              <w:left w:val="single" w:sz="6" w:space="0" w:color="auto"/>
              <w:bottom w:val="single" w:sz="6" w:space="0" w:color="auto"/>
              <w:right w:val="single" w:sz="6" w:space="0" w:color="auto"/>
            </w:tcBorders>
            <w:shd w:val="clear" w:color="auto" w:fill="00FF00"/>
            <w:tcMar>
              <w:left w:w="28" w:type="dxa"/>
              <w:right w:w="28" w:type="dxa"/>
            </w:tcMar>
          </w:tcPr>
          <w:p w14:paraId="49F1AA55" w14:textId="77777777" w:rsidR="004A76C6" w:rsidRPr="00BB0AB8" w:rsidRDefault="004A76C6" w:rsidP="004A76C6">
            <w:pPr>
              <w:rPr>
                <w:rFonts w:ascii="Arial Narrow" w:hAnsi="Arial Narrow"/>
                <w:bCs/>
                <w:caps/>
                <w:sz w:val="18"/>
                <w:szCs w:val="18"/>
                <w:highlight w:val="green"/>
              </w:rPr>
            </w:pPr>
            <w:r>
              <w:rPr>
                <w:rFonts w:ascii="Arial Narrow" w:hAnsi="Arial Narrow"/>
                <w:bCs/>
                <w:sz w:val="18"/>
                <w:szCs w:val="18"/>
                <w:highlight w:val="green"/>
              </w:rPr>
              <w:t>Target exceeded: i</w:t>
            </w:r>
            <w:r w:rsidRPr="00BB0AB8">
              <w:rPr>
                <w:rFonts w:ascii="Arial Narrow" w:hAnsi="Arial Narrow"/>
                <w:bCs/>
                <w:sz w:val="18"/>
                <w:szCs w:val="18"/>
                <w:highlight w:val="green"/>
              </w:rPr>
              <w:t>nvestment of  USD 43.4 million</w:t>
            </w:r>
            <w:r w:rsidRPr="00BB0AB8">
              <w:rPr>
                <w:rStyle w:val="CommentReference"/>
                <w:rFonts w:ascii="Arial Narrow" w:hAnsi="Arial Narrow"/>
              </w:rPr>
              <w:t xml:space="preserve"> b</w:t>
            </w:r>
            <w:r w:rsidRPr="00BB0AB8">
              <w:rPr>
                <w:rFonts w:ascii="Arial Narrow" w:hAnsi="Arial Narrow"/>
                <w:bCs/>
                <w:sz w:val="18"/>
                <w:szCs w:val="18"/>
                <w:highlight w:val="green"/>
              </w:rPr>
              <w:t>y Achara Government and USD 137,000 by APA</w:t>
            </w:r>
          </w:p>
        </w:tc>
        <w:tc>
          <w:tcPr>
            <w:tcW w:w="1153"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14:paraId="57206348" w14:textId="77777777" w:rsidR="004A76C6" w:rsidRPr="00BB0AB8" w:rsidRDefault="004A76C6" w:rsidP="004A76C6">
            <w:pPr>
              <w:rPr>
                <w:rFonts w:ascii="Arial Narrow" w:hAnsi="Arial Narrow"/>
                <w:bCs/>
                <w:sz w:val="18"/>
                <w:szCs w:val="18"/>
              </w:rPr>
            </w:pPr>
            <w:r w:rsidRPr="00BB0AB8">
              <w:rPr>
                <w:rFonts w:ascii="Arial Narrow" w:hAnsi="Arial Narrow"/>
                <w:bCs/>
                <w:sz w:val="18"/>
                <w:szCs w:val="18"/>
              </w:rPr>
              <w:t xml:space="preserve">This indicates Achara Government investments on road infrastructure rehabilitation in support zone of 3 PAs; and APA investments on Infrastructure including Machakhela NP administration building and vehicles. </w:t>
            </w:r>
          </w:p>
        </w:tc>
        <w:tc>
          <w:tcPr>
            <w:tcW w:w="692" w:type="pct"/>
            <w:tcBorders>
              <w:left w:val="single" w:sz="6" w:space="0" w:color="auto"/>
              <w:right w:val="single" w:sz="18" w:space="0" w:color="auto"/>
            </w:tcBorders>
            <w:tcMar>
              <w:left w:w="28" w:type="dxa"/>
              <w:right w:w="28" w:type="dxa"/>
            </w:tcMar>
          </w:tcPr>
          <w:p w14:paraId="108DAA49" w14:textId="77777777" w:rsidR="004A76C6" w:rsidRPr="00BB0AB8" w:rsidRDefault="004A76C6" w:rsidP="004A76C6">
            <w:pPr>
              <w:rPr>
                <w:rFonts w:ascii="Arial Narrow" w:hAnsi="Arial Narrow"/>
                <w:bCs/>
                <w:sz w:val="18"/>
                <w:szCs w:val="18"/>
                <w:highlight w:val="green"/>
              </w:rPr>
            </w:pPr>
            <w:r w:rsidRPr="00BB0AB8">
              <w:rPr>
                <w:rFonts w:ascii="Arial Narrow" w:hAnsi="Arial Narrow"/>
                <w:bCs/>
                <w:sz w:val="18"/>
                <w:szCs w:val="18"/>
                <w:highlight w:val="green"/>
              </w:rPr>
              <w:t xml:space="preserve">Investments are well beyond the target, with APA supporting renovation of a building for NP administration and Achara AR improving road access to NPs that benefit both local communities and visitors. </w:t>
            </w:r>
          </w:p>
        </w:tc>
      </w:tr>
      <w:tr w:rsidR="004A76C6" w:rsidRPr="00BB0AB8" w14:paraId="1EA1B4DE" w14:textId="77777777" w:rsidTr="004071E2">
        <w:tc>
          <w:tcPr>
            <w:tcW w:w="593" w:type="pct"/>
            <w:tcBorders>
              <w:top w:val="single" w:sz="6" w:space="0" w:color="auto"/>
              <w:left w:val="single" w:sz="18" w:space="0" w:color="auto"/>
              <w:bottom w:val="single" w:sz="6" w:space="0" w:color="auto"/>
              <w:right w:val="single" w:sz="6" w:space="0" w:color="auto"/>
            </w:tcBorders>
            <w:tcMar>
              <w:left w:w="28" w:type="dxa"/>
              <w:right w:w="28" w:type="dxa"/>
            </w:tcMar>
          </w:tcPr>
          <w:p w14:paraId="5FCEE3C8" w14:textId="77777777" w:rsidR="004A76C6" w:rsidRPr="00BB0AB8" w:rsidRDefault="004A76C6" w:rsidP="004A76C6">
            <w:pPr>
              <w:rPr>
                <w:rFonts w:ascii="Arial Narrow" w:hAnsi="Arial Narrow"/>
                <w:b/>
                <w:bCs/>
                <w:sz w:val="18"/>
                <w:szCs w:val="18"/>
              </w:rPr>
            </w:pPr>
            <w:r w:rsidRPr="00BB0AB8">
              <w:rPr>
                <w:rFonts w:ascii="Arial Narrow" w:hAnsi="Arial Narrow"/>
                <w:sz w:val="18"/>
                <w:szCs w:val="18"/>
              </w:rPr>
              <w:t>Machakhela NP bound</w:t>
            </w:r>
            <w:r>
              <w:rPr>
                <w:rFonts w:ascii="Arial Narrow" w:hAnsi="Arial Narrow"/>
                <w:sz w:val="18"/>
                <w:szCs w:val="18"/>
              </w:rPr>
              <w:t xml:space="preserve">aries and zonation decided and </w:t>
            </w:r>
            <w:r w:rsidRPr="00BB0AB8">
              <w:rPr>
                <w:rFonts w:ascii="Arial Narrow" w:hAnsi="Arial Narrow"/>
                <w:sz w:val="18"/>
                <w:szCs w:val="18"/>
              </w:rPr>
              <w:t>participatory management plan in existence</w:t>
            </w:r>
          </w:p>
        </w:tc>
        <w:tc>
          <w:tcPr>
            <w:tcW w:w="485" w:type="pct"/>
            <w:tcBorders>
              <w:top w:val="single" w:sz="6" w:space="0" w:color="auto"/>
              <w:left w:val="single" w:sz="6" w:space="0" w:color="auto"/>
              <w:bottom w:val="single" w:sz="6" w:space="0" w:color="auto"/>
              <w:right w:val="single" w:sz="18" w:space="0" w:color="auto"/>
            </w:tcBorders>
            <w:tcMar>
              <w:left w:w="28" w:type="dxa"/>
              <w:right w:w="28" w:type="dxa"/>
            </w:tcMar>
          </w:tcPr>
          <w:p w14:paraId="1F0563F3" w14:textId="77777777" w:rsidR="004A76C6" w:rsidRPr="00BB0AB8" w:rsidRDefault="004A76C6" w:rsidP="004A76C6">
            <w:pPr>
              <w:rPr>
                <w:rFonts w:ascii="Arial Narrow" w:hAnsi="Arial Narrow"/>
                <w:b/>
                <w:bCs/>
                <w:sz w:val="18"/>
                <w:szCs w:val="18"/>
              </w:rPr>
            </w:pPr>
            <w:r w:rsidRPr="00BB0AB8">
              <w:rPr>
                <w:rFonts w:ascii="Arial Narrow" w:hAnsi="Arial Narrow"/>
                <w:sz w:val="18"/>
                <w:szCs w:val="18"/>
              </w:rPr>
              <w:t>Boundaries only provisionally demarcated and zonation not carried out</w:t>
            </w:r>
          </w:p>
        </w:tc>
        <w:tc>
          <w:tcPr>
            <w:tcW w:w="462" w:type="pct"/>
            <w:tcBorders>
              <w:top w:val="single" w:sz="6" w:space="0" w:color="auto"/>
              <w:left w:val="single" w:sz="18" w:space="0" w:color="auto"/>
              <w:bottom w:val="single" w:sz="6" w:space="0" w:color="auto"/>
              <w:right w:val="single" w:sz="6" w:space="0" w:color="auto"/>
            </w:tcBorders>
            <w:tcMar>
              <w:left w:w="28" w:type="dxa"/>
              <w:right w:w="28" w:type="dxa"/>
            </w:tcMar>
          </w:tcPr>
          <w:p w14:paraId="2CD81128" w14:textId="77777777" w:rsidR="004A76C6" w:rsidRPr="00BB0AB8" w:rsidRDefault="004A76C6" w:rsidP="004A76C6">
            <w:pPr>
              <w:widowControl w:val="0"/>
              <w:rPr>
                <w:rFonts w:ascii="Arial Narrow" w:hAnsi="Arial Narrow" w:cs="Times Roman"/>
                <w:color w:val="000000"/>
                <w:sz w:val="18"/>
                <w:szCs w:val="18"/>
                <w:lang w:val="en-US"/>
              </w:rPr>
            </w:pPr>
            <w:r w:rsidRPr="00BB0AB8">
              <w:rPr>
                <w:rFonts w:ascii="Arial Narrow" w:hAnsi="Arial Narrow" w:cs="Times Roman"/>
                <w:color w:val="000000"/>
                <w:sz w:val="18"/>
                <w:szCs w:val="18"/>
                <w:lang w:val="en-US"/>
              </w:rPr>
              <w:t xml:space="preserve">The park boundary defined and accepted by APA and submitted to the public registry service. The revised boundary definition awaits enactment </w:t>
            </w:r>
            <w:r w:rsidRPr="00BB0AB8">
              <w:rPr>
                <w:rFonts w:ascii="Arial Narrow" w:hAnsi="Arial Narrow" w:cs="Times Roman"/>
                <w:color w:val="000000"/>
                <w:sz w:val="18"/>
                <w:szCs w:val="18"/>
                <w:lang w:val="en-US"/>
              </w:rPr>
              <w:lastRenderedPageBreak/>
              <w:t xml:space="preserve">(expected spring 2017) </w:t>
            </w:r>
          </w:p>
        </w:tc>
        <w:tc>
          <w:tcPr>
            <w:tcW w:w="692" w:type="pct"/>
            <w:tcBorders>
              <w:top w:val="single" w:sz="6" w:space="0" w:color="auto"/>
              <w:left w:val="single" w:sz="6" w:space="0" w:color="auto"/>
              <w:bottom w:val="single" w:sz="6" w:space="0" w:color="auto"/>
              <w:right w:val="single" w:sz="18" w:space="0" w:color="auto"/>
            </w:tcBorders>
            <w:tcMar>
              <w:left w:w="28" w:type="dxa"/>
              <w:right w:w="28" w:type="dxa"/>
            </w:tcMar>
          </w:tcPr>
          <w:p w14:paraId="781707FD" w14:textId="77777777" w:rsidR="004A76C6" w:rsidRPr="00BB0AB8" w:rsidRDefault="004A76C6" w:rsidP="004A76C6">
            <w:pPr>
              <w:widowControl w:val="0"/>
              <w:rPr>
                <w:rFonts w:ascii="Arial Narrow" w:hAnsi="Arial Narrow" w:cs="Times Roman"/>
                <w:color w:val="000000"/>
                <w:sz w:val="18"/>
                <w:szCs w:val="18"/>
                <w:lang w:val="en-US"/>
              </w:rPr>
            </w:pPr>
            <w:r w:rsidRPr="00BB0AB8">
              <w:rPr>
                <w:rFonts w:ascii="Arial Narrow" w:hAnsi="Arial Narrow" w:cs="Times Roman"/>
                <w:color w:val="000000"/>
                <w:sz w:val="18"/>
                <w:szCs w:val="18"/>
                <w:lang w:val="en-US"/>
              </w:rPr>
              <w:lastRenderedPageBreak/>
              <w:t xml:space="preserve">There are no issues with the indicator but both the definition of the park’s boundary and the process of zoning the park have had issues </w:t>
            </w:r>
            <w:r w:rsidRPr="00BB0AB8">
              <w:rPr>
                <w:rFonts w:ascii="Arial Narrow" w:hAnsi="Arial Narrow" w:cs="Times Roman"/>
                <w:i/>
                <w:iCs/>
                <w:color w:val="000000"/>
                <w:sz w:val="18"/>
                <w:szCs w:val="18"/>
                <w:lang w:val="en-US"/>
              </w:rPr>
              <w:t xml:space="preserve">although these seem to be almost resolved </w:t>
            </w:r>
            <w:r w:rsidRPr="00BB0AB8">
              <w:rPr>
                <w:rFonts w:ascii="Arial Narrow" w:hAnsi="Arial Narrow" w:cs="Times Roman"/>
                <w:color w:val="000000"/>
                <w:sz w:val="18"/>
                <w:szCs w:val="18"/>
                <w:lang w:val="en-US"/>
              </w:rPr>
              <w:t xml:space="preserve">(as discussed at length in paras 41 (point 7 </w:t>
            </w:r>
            <w:r w:rsidRPr="00BB0AB8">
              <w:rPr>
                <w:rFonts w:ascii="Arial Narrow" w:hAnsi="Arial Narrow" w:cs="Times Roman"/>
                <w:i/>
                <w:iCs/>
                <w:color w:val="000000"/>
                <w:sz w:val="18"/>
                <w:szCs w:val="18"/>
                <w:lang w:val="en-US"/>
              </w:rPr>
              <w:t>et seq</w:t>
            </w:r>
            <w:r w:rsidRPr="00BB0AB8">
              <w:rPr>
                <w:rFonts w:ascii="Arial Narrow" w:hAnsi="Arial Narrow" w:cs="Times Roman"/>
                <w:color w:val="000000"/>
                <w:sz w:val="18"/>
                <w:szCs w:val="18"/>
                <w:lang w:val="en-US"/>
              </w:rPr>
              <w:t xml:space="preserve">.)). </w:t>
            </w:r>
          </w:p>
        </w:tc>
        <w:tc>
          <w:tcPr>
            <w:tcW w:w="461" w:type="pct"/>
            <w:tcBorders>
              <w:top w:val="single" w:sz="6" w:space="0" w:color="auto"/>
              <w:left w:val="single" w:sz="18" w:space="0" w:color="auto"/>
              <w:bottom w:val="single" w:sz="6" w:space="0" w:color="auto"/>
              <w:right w:val="single" w:sz="6" w:space="0" w:color="auto"/>
            </w:tcBorders>
            <w:tcMar>
              <w:left w:w="28" w:type="dxa"/>
              <w:right w:w="28" w:type="dxa"/>
            </w:tcMar>
          </w:tcPr>
          <w:p w14:paraId="269A7AA9" w14:textId="77777777" w:rsidR="004A76C6" w:rsidRPr="00BB0AB8" w:rsidRDefault="004A76C6" w:rsidP="004A76C6">
            <w:pPr>
              <w:rPr>
                <w:rFonts w:ascii="Arial Narrow" w:hAnsi="Arial Narrow"/>
                <w:b/>
                <w:bCs/>
                <w:noProof/>
                <w:sz w:val="18"/>
                <w:szCs w:val="18"/>
              </w:rPr>
            </w:pPr>
            <w:r w:rsidRPr="00BB0AB8">
              <w:rPr>
                <w:rFonts w:ascii="Arial Narrow" w:hAnsi="Arial Narrow"/>
                <w:noProof/>
                <w:sz w:val="18"/>
                <w:szCs w:val="18"/>
              </w:rPr>
              <w:t>Clearly defined and consensually agreed boundaries and zones by yr 2.</w:t>
            </w:r>
          </w:p>
          <w:p w14:paraId="0F6061B7" w14:textId="77777777" w:rsidR="004A76C6" w:rsidRPr="00BB0AB8" w:rsidRDefault="004A76C6" w:rsidP="004A76C6">
            <w:pPr>
              <w:rPr>
                <w:rFonts w:ascii="Arial Narrow" w:hAnsi="Arial Narrow"/>
                <w:b/>
                <w:bCs/>
                <w:noProof/>
                <w:sz w:val="18"/>
                <w:szCs w:val="18"/>
              </w:rPr>
            </w:pPr>
            <w:r w:rsidRPr="00BB0AB8">
              <w:rPr>
                <w:rFonts w:ascii="Arial Narrow" w:hAnsi="Arial Narrow"/>
                <w:noProof/>
                <w:sz w:val="18"/>
                <w:szCs w:val="18"/>
              </w:rPr>
              <w:t>Consensually agreed Management plan exists by yr 3.</w:t>
            </w:r>
          </w:p>
        </w:tc>
        <w:tc>
          <w:tcPr>
            <w:tcW w:w="462" w:type="pct"/>
            <w:tcBorders>
              <w:top w:val="single" w:sz="6" w:space="0" w:color="auto"/>
              <w:left w:val="single" w:sz="6" w:space="0" w:color="auto"/>
              <w:bottom w:val="single" w:sz="6" w:space="0" w:color="auto"/>
              <w:right w:val="single" w:sz="6" w:space="0" w:color="auto"/>
            </w:tcBorders>
            <w:shd w:val="clear" w:color="auto" w:fill="00FF00"/>
            <w:tcMar>
              <w:left w:w="28" w:type="dxa"/>
              <w:right w:w="28" w:type="dxa"/>
            </w:tcMar>
          </w:tcPr>
          <w:p w14:paraId="7F91656B" w14:textId="77777777" w:rsidR="004A76C6" w:rsidRPr="00BB0AB8" w:rsidRDefault="004A76C6" w:rsidP="004A76C6">
            <w:pPr>
              <w:rPr>
                <w:rFonts w:ascii="Arial Narrow" w:hAnsi="Arial Narrow"/>
                <w:bCs/>
                <w:sz w:val="18"/>
                <w:szCs w:val="18"/>
                <w:highlight w:val="green"/>
              </w:rPr>
            </w:pPr>
            <w:r w:rsidRPr="00BB0AB8">
              <w:rPr>
                <w:rFonts w:ascii="Arial Narrow" w:hAnsi="Arial Narrow"/>
                <w:bCs/>
                <w:sz w:val="18"/>
                <w:szCs w:val="18"/>
                <w:highlight w:val="green"/>
              </w:rPr>
              <w:t>Target achieved</w:t>
            </w:r>
          </w:p>
        </w:tc>
        <w:tc>
          <w:tcPr>
            <w:tcW w:w="1153" w:type="pct"/>
            <w:tcBorders>
              <w:top w:val="single" w:sz="6" w:space="0" w:color="auto"/>
              <w:left w:val="single" w:sz="6" w:space="0" w:color="auto"/>
              <w:bottom w:val="single" w:sz="6" w:space="0" w:color="auto"/>
              <w:right w:val="single" w:sz="6" w:space="0" w:color="auto"/>
            </w:tcBorders>
            <w:tcMar>
              <w:left w:w="28" w:type="dxa"/>
              <w:right w:w="28" w:type="dxa"/>
            </w:tcMar>
          </w:tcPr>
          <w:p w14:paraId="07ECC611" w14:textId="77777777" w:rsidR="004A76C6" w:rsidRPr="00BB0AB8" w:rsidRDefault="004A76C6" w:rsidP="004A76C6">
            <w:pPr>
              <w:rPr>
                <w:rFonts w:ascii="Arial Narrow" w:hAnsi="Arial Narrow"/>
                <w:sz w:val="18"/>
                <w:szCs w:val="18"/>
              </w:rPr>
            </w:pPr>
            <w:r w:rsidRPr="00BB0AB8">
              <w:rPr>
                <w:rFonts w:ascii="Arial Narrow" w:hAnsi="Arial Narrow"/>
                <w:sz w:val="18"/>
                <w:szCs w:val="18"/>
              </w:rPr>
              <w:t xml:space="preserve">Machakhela NP has clearly defined and agreed boundaries, defined in the Georgian Law about establishment of Machakhela NP: </w:t>
            </w:r>
          </w:p>
          <w:p w14:paraId="217727F6" w14:textId="77777777" w:rsidR="004A76C6" w:rsidRPr="00BB0AB8" w:rsidRDefault="004A76C6" w:rsidP="004A76C6">
            <w:pPr>
              <w:spacing w:before="60"/>
              <w:rPr>
                <w:rFonts w:ascii="Arial Narrow" w:hAnsi="Arial Narrow"/>
                <w:sz w:val="18"/>
                <w:szCs w:val="18"/>
              </w:rPr>
            </w:pPr>
            <w:r w:rsidRPr="00BB0AB8">
              <w:rPr>
                <w:rFonts w:ascii="Arial Narrow" w:hAnsi="Arial Narrow"/>
                <w:sz w:val="18"/>
                <w:szCs w:val="18"/>
              </w:rPr>
              <w:t xml:space="preserve">  </w:t>
            </w:r>
            <w:r w:rsidRPr="00BB0AB8">
              <w:rPr>
                <w:rFonts w:ascii="Arial Narrow" w:hAnsi="Arial Narrow"/>
                <w:bCs/>
                <w:sz w:val="18"/>
                <w:szCs w:val="18"/>
              </w:rPr>
              <w:t>- Boundary markers installed.</w:t>
            </w:r>
            <w:r w:rsidRPr="00BB0AB8">
              <w:rPr>
                <w:rFonts w:ascii="Arial Narrow" w:hAnsi="Arial Narrow"/>
                <w:sz w:val="18"/>
                <w:szCs w:val="18"/>
              </w:rPr>
              <w:t xml:space="preserve"> </w:t>
            </w:r>
          </w:p>
          <w:p w14:paraId="7344BB2A" w14:textId="77777777" w:rsidR="004A76C6" w:rsidRPr="00BB0AB8" w:rsidRDefault="004A76C6" w:rsidP="004A76C6">
            <w:pPr>
              <w:spacing w:before="60"/>
              <w:rPr>
                <w:rFonts w:ascii="Arial Narrow" w:hAnsi="Arial Narrow"/>
                <w:bCs/>
                <w:sz w:val="18"/>
                <w:szCs w:val="18"/>
              </w:rPr>
            </w:pPr>
            <w:r w:rsidRPr="00BB0AB8">
              <w:rPr>
                <w:rFonts w:ascii="Arial Narrow" w:hAnsi="Arial Narrow"/>
                <w:bCs/>
                <w:sz w:val="18"/>
                <w:szCs w:val="18"/>
              </w:rPr>
              <w:t xml:space="preserve">  - Machakhela NP zonation was updated in late 2017 with addition of new strict protection zones. The new zonation and management plan have been approved by the Government of Georgia decree #332 of June 12, 2018.</w:t>
            </w:r>
          </w:p>
          <w:p w14:paraId="2ECD404E" w14:textId="77777777" w:rsidR="004A76C6" w:rsidRPr="00BB0AB8" w:rsidRDefault="004A76C6" w:rsidP="004A76C6">
            <w:pPr>
              <w:spacing w:before="60"/>
              <w:rPr>
                <w:rFonts w:ascii="Arial Narrow" w:hAnsi="Arial Narrow"/>
                <w:sz w:val="18"/>
                <w:szCs w:val="18"/>
              </w:rPr>
            </w:pPr>
            <w:r w:rsidRPr="00BB0AB8">
              <w:rPr>
                <w:rFonts w:ascii="Arial Narrow" w:hAnsi="Arial Narrow"/>
                <w:bCs/>
                <w:sz w:val="18"/>
                <w:szCs w:val="18"/>
              </w:rPr>
              <w:lastRenderedPageBreak/>
              <w:t xml:space="preserve">  - </w:t>
            </w:r>
            <w:r w:rsidRPr="00BB0AB8">
              <w:rPr>
                <w:rFonts w:ascii="Arial Narrow" w:hAnsi="Arial Narrow"/>
                <w:sz w:val="18"/>
                <w:szCs w:val="18"/>
              </w:rPr>
              <w:t>Three zones defined in Machakhela NP are: (1) Traditional Use zone of 4,996.63 ha; (2) Strict Protection zone of 1,542.39 ha; and (3) Managed Protection zone of 794.17 ha.</w:t>
            </w:r>
          </w:p>
        </w:tc>
        <w:tc>
          <w:tcPr>
            <w:tcW w:w="692" w:type="pct"/>
            <w:tcBorders>
              <w:left w:val="single" w:sz="6" w:space="0" w:color="auto"/>
              <w:right w:val="single" w:sz="18" w:space="0" w:color="auto"/>
            </w:tcBorders>
            <w:tcMar>
              <w:left w:w="28" w:type="dxa"/>
              <w:right w:w="28" w:type="dxa"/>
            </w:tcMar>
          </w:tcPr>
          <w:p w14:paraId="1328C888" w14:textId="77777777" w:rsidR="004A76C6" w:rsidRPr="00BB0AB8" w:rsidRDefault="004A76C6" w:rsidP="004A76C6">
            <w:pPr>
              <w:rPr>
                <w:rFonts w:ascii="Arial Narrow" w:hAnsi="Arial Narrow"/>
                <w:bCs/>
                <w:sz w:val="18"/>
                <w:szCs w:val="18"/>
                <w:highlight w:val="green"/>
              </w:rPr>
            </w:pPr>
            <w:r w:rsidRPr="00BB0AB8">
              <w:rPr>
                <w:rFonts w:ascii="Arial Narrow" w:hAnsi="Arial Narrow"/>
                <w:bCs/>
                <w:sz w:val="18"/>
                <w:szCs w:val="18"/>
                <w:highlight w:val="green"/>
              </w:rPr>
              <w:lastRenderedPageBreak/>
              <w:t xml:space="preserve">Target achieved by end of project (June 2018). While this is good progress, given initial resistance and apprehension from local communities, the late delivery has left little/no time for implementation of management plan. </w:t>
            </w:r>
          </w:p>
        </w:tc>
      </w:tr>
      <w:tr w:rsidR="004A76C6" w:rsidRPr="00BB0AB8" w14:paraId="2D135F26" w14:textId="77777777" w:rsidTr="004071E2">
        <w:tc>
          <w:tcPr>
            <w:tcW w:w="593" w:type="pct"/>
            <w:tcBorders>
              <w:top w:val="single" w:sz="6" w:space="0" w:color="auto"/>
              <w:left w:val="single" w:sz="18" w:space="0" w:color="auto"/>
              <w:bottom w:val="single" w:sz="18" w:space="0" w:color="auto"/>
              <w:right w:val="single" w:sz="6" w:space="0" w:color="auto"/>
            </w:tcBorders>
            <w:tcMar>
              <w:left w:w="28" w:type="dxa"/>
              <w:right w:w="28" w:type="dxa"/>
            </w:tcMar>
          </w:tcPr>
          <w:p w14:paraId="3CA4699D" w14:textId="77777777" w:rsidR="004A76C6" w:rsidRPr="00BB0AB8" w:rsidRDefault="004A76C6" w:rsidP="004A76C6">
            <w:pPr>
              <w:rPr>
                <w:rFonts w:ascii="Arial Narrow" w:hAnsi="Arial Narrow"/>
                <w:b/>
                <w:bCs/>
                <w:sz w:val="18"/>
                <w:szCs w:val="18"/>
              </w:rPr>
            </w:pPr>
            <w:r w:rsidRPr="00BB0AB8">
              <w:rPr>
                <w:rFonts w:ascii="Arial Narrow" w:hAnsi="Arial Narrow"/>
                <w:sz w:val="18"/>
                <w:szCs w:val="18"/>
              </w:rPr>
              <w:t>Level of involvement of communities in the management and governance of the NP</w:t>
            </w:r>
          </w:p>
        </w:tc>
        <w:tc>
          <w:tcPr>
            <w:tcW w:w="485" w:type="pct"/>
            <w:tcBorders>
              <w:top w:val="single" w:sz="6" w:space="0" w:color="auto"/>
              <w:left w:val="single" w:sz="6" w:space="0" w:color="auto"/>
              <w:bottom w:val="single" w:sz="18" w:space="0" w:color="auto"/>
              <w:right w:val="single" w:sz="18" w:space="0" w:color="auto"/>
            </w:tcBorders>
            <w:tcMar>
              <w:left w:w="28" w:type="dxa"/>
              <w:right w:w="28" w:type="dxa"/>
            </w:tcMar>
          </w:tcPr>
          <w:p w14:paraId="0A747206" w14:textId="77777777" w:rsidR="004A76C6" w:rsidRPr="00BB0AB8" w:rsidRDefault="004A76C6" w:rsidP="004A76C6">
            <w:pPr>
              <w:rPr>
                <w:rFonts w:ascii="Arial Narrow" w:hAnsi="Arial Narrow"/>
                <w:b/>
                <w:bCs/>
                <w:sz w:val="18"/>
                <w:szCs w:val="18"/>
              </w:rPr>
            </w:pPr>
            <w:r w:rsidRPr="00BB0AB8">
              <w:rPr>
                <w:rFonts w:ascii="Arial Narrow" w:hAnsi="Arial Narrow"/>
                <w:sz w:val="18"/>
                <w:szCs w:val="18"/>
              </w:rPr>
              <w:t>N/A</w:t>
            </w:r>
          </w:p>
        </w:tc>
        <w:tc>
          <w:tcPr>
            <w:tcW w:w="462" w:type="pct"/>
            <w:tcBorders>
              <w:top w:val="single" w:sz="6" w:space="0" w:color="auto"/>
              <w:left w:val="single" w:sz="18" w:space="0" w:color="auto"/>
              <w:bottom w:val="single" w:sz="18" w:space="0" w:color="auto"/>
              <w:right w:val="single" w:sz="6" w:space="0" w:color="auto"/>
            </w:tcBorders>
            <w:tcMar>
              <w:left w:w="28" w:type="dxa"/>
              <w:right w:w="28" w:type="dxa"/>
            </w:tcMar>
          </w:tcPr>
          <w:p w14:paraId="3046F652" w14:textId="77777777" w:rsidR="004A76C6" w:rsidRPr="00BB0AB8" w:rsidRDefault="004A76C6" w:rsidP="004A76C6">
            <w:pPr>
              <w:widowControl w:val="0"/>
              <w:rPr>
                <w:rFonts w:ascii="Arial Narrow" w:hAnsi="Arial Narrow" w:cs="Times Roman"/>
                <w:color w:val="000000"/>
                <w:sz w:val="18"/>
                <w:szCs w:val="18"/>
                <w:lang w:val="en-US"/>
              </w:rPr>
            </w:pPr>
            <w:r w:rsidRPr="00BB0AB8">
              <w:rPr>
                <w:rFonts w:ascii="Arial Narrow" w:hAnsi="Arial Narrow" w:cs="Times Roman"/>
                <w:color w:val="000000"/>
                <w:sz w:val="18"/>
                <w:szCs w:val="18"/>
                <w:lang w:val="en-US"/>
              </w:rPr>
              <w:t xml:space="preserve">PA Advisory Committee under discussion. </w:t>
            </w:r>
          </w:p>
        </w:tc>
        <w:tc>
          <w:tcPr>
            <w:tcW w:w="692" w:type="pct"/>
            <w:tcBorders>
              <w:top w:val="single" w:sz="6" w:space="0" w:color="auto"/>
              <w:left w:val="single" w:sz="6" w:space="0" w:color="auto"/>
              <w:bottom w:val="single" w:sz="18" w:space="0" w:color="auto"/>
              <w:right w:val="single" w:sz="18" w:space="0" w:color="auto"/>
            </w:tcBorders>
            <w:tcMar>
              <w:left w:w="28" w:type="dxa"/>
              <w:right w:w="28" w:type="dxa"/>
            </w:tcMar>
          </w:tcPr>
          <w:p w14:paraId="2D646CB9" w14:textId="77777777" w:rsidR="004A76C6" w:rsidRPr="00BB0AB8" w:rsidRDefault="004A76C6" w:rsidP="004A76C6">
            <w:pPr>
              <w:widowControl w:val="0"/>
              <w:rPr>
                <w:rFonts w:ascii="Arial Narrow" w:hAnsi="Arial Narrow" w:cs="Times Roman"/>
                <w:color w:val="000000"/>
                <w:sz w:val="18"/>
                <w:szCs w:val="18"/>
                <w:lang w:val="en-US"/>
              </w:rPr>
            </w:pPr>
            <w:r w:rsidRPr="00BB0AB8">
              <w:rPr>
                <w:rFonts w:ascii="Arial Narrow" w:hAnsi="Arial Narrow" w:cs="Times Roman"/>
                <w:color w:val="000000"/>
                <w:sz w:val="18"/>
                <w:szCs w:val="18"/>
                <w:lang w:val="en-US"/>
              </w:rPr>
              <w:t xml:space="preserve">The project is on the right track with regard to involvement of communities – starting from the conflict resolution at the outset of the project. Ultimately, once the PA Advisory Committee is functional, along with the Friends Association, the involvement will be enhanced. </w:t>
            </w:r>
          </w:p>
        </w:tc>
        <w:tc>
          <w:tcPr>
            <w:tcW w:w="461" w:type="pct"/>
            <w:tcBorders>
              <w:top w:val="single" w:sz="6" w:space="0" w:color="auto"/>
              <w:left w:val="single" w:sz="18" w:space="0" w:color="auto"/>
              <w:bottom w:val="single" w:sz="18" w:space="0" w:color="auto"/>
              <w:right w:val="single" w:sz="6" w:space="0" w:color="auto"/>
            </w:tcBorders>
            <w:tcMar>
              <w:left w:w="28" w:type="dxa"/>
              <w:right w:w="28" w:type="dxa"/>
            </w:tcMar>
          </w:tcPr>
          <w:p w14:paraId="00ABD33F" w14:textId="77777777" w:rsidR="004A76C6" w:rsidRPr="00BB0AB8" w:rsidRDefault="004A76C6" w:rsidP="004A76C6">
            <w:pPr>
              <w:rPr>
                <w:rFonts w:ascii="Arial Narrow" w:hAnsi="Arial Narrow"/>
                <w:b/>
                <w:bCs/>
                <w:noProof/>
                <w:sz w:val="18"/>
                <w:szCs w:val="18"/>
              </w:rPr>
            </w:pPr>
            <w:r w:rsidRPr="00BB0AB8">
              <w:rPr>
                <w:rFonts w:ascii="Arial Narrow" w:hAnsi="Arial Narrow"/>
                <w:noProof/>
                <w:sz w:val="18"/>
                <w:szCs w:val="18"/>
              </w:rPr>
              <w:t>Public-Civil Society-Community PA Planning and Management Governance Board established with proper representation and involvement of local communities in the planning and management of the Machakhela NP (by year 2)</w:t>
            </w:r>
          </w:p>
        </w:tc>
        <w:tc>
          <w:tcPr>
            <w:tcW w:w="462" w:type="pct"/>
            <w:tcBorders>
              <w:top w:val="single" w:sz="6" w:space="0" w:color="auto"/>
              <w:left w:val="single" w:sz="6" w:space="0" w:color="auto"/>
              <w:bottom w:val="single" w:sz="18" w:space="0" w:color="auto"/>
              <w:right w:val="single" w:sz="6" w:space="0" w:color="auto"/>
            </w:tcBorders>
            <w:shd w:val="clear" w:color="auto" w:fill="00FF00"/>
            <w:tcMar>
              <w:left w:w="28" w:type="dxa"/>
              <w:right w:w="28" w:type="dxa"/>
            </w:tcMar>
          </w:tcPr>
          <w:p w14:paraId="5AD3C9CA" w14:textId="77777777" w:rsidR="004A76C6" w:rsidRPr="00BB0AB8" w:rsidRDefault="004A76C6" w:rsidP="004A76C6">
            <w:pPr>
              <w:rPr>
                <w:rFonts w:ascii="Arial Narrow" w:hAnsi="Arial Narrow"/>
                <w:bCs/>
                <w:sz w:val="18"/>
                <w:szCs w:val="18"/>
                <w:highlight w:val="green"/>
              </w:rPr>
            </w:pPr>
            <w:r w:rsidRPr="00BB0AB8">
              <w:rPr>
                <w:rFonts w:ascii="Arial Narrow" w:hAnsi="Arial Narrow"/>
                <w:bCs/>
                <w:sz w:val="18"/>
                <w:szCs w:val="18"/>
                <w:highlight w:val="green"/>
              </w:rPr>
              <w:t>Target achieved</w:t>
            </w:r>
          </w:p>
        </w:tc>
        <w:tc>
          <w:tcPr>
            <w:tcW w:w="1153" w:type="pct"/>
            <w:tcBorders>
              <w:top w:val="single" w:sz="6" w:space="0" w:color="auto"/>
              <w:left w:val="single" w:sz="6" w:space="0" w:color="auto"/>
              <w:bottom w:val="single" w:sz="18" w:space="0" w:color="auto"/>
              <w:right w:val="single" w:sz="6" w:space="0" w:color="auto"/>
            </w:tcBorders>
            <w:tcMar>
              <w:left w:w="28" w:type="dxa"/>
              <w:right w:w="28" w:type="dxa"/>
            </w:tcMar>
          </w:tcPr>
          <w:p w14:paraId="09F1232D" w14:textId="77777777" w:rsidR="004A76C6" w:rsidRPr="00BB0AB8" w:rsidRDefault="004A76C6" w:rsidP="004A76C6">
            <w:pPr>
              <w:rPr>
                <w:rFonts w:ascii="Arial Narrow" w:hAnsi="Arial Narrow"/>
                <w:b/>
                <w:bCs/>
                <w:sz w:val="18"/>
                <w:szCs w:val="18"/>
              </w:rPr>
            </w:pPr>
            <w:r w:rsidRPr="00BB0AB8">
              <w:rPr>
                <w:rFonts w:ascii="Arial Narrow" w:hAnsi="Arial Narrow"/>
                <w:sz w:val="18"/>
                <w:szCs w:val="18"/>
              </w:rPr>
              <w:t>NP Advisory Councils with representatives of local communities and local municipalities established for Machakhela and Mtirala NPs in 2017, consisting of 13 and 10 members respectively. Councils convene quarterly. Last meeting of the Machakhela NP Council was organized in June 2018; among issues discussed were: organizing the transportation of hazelnut shells in the valley and establishment of the new IUCN category V PA in the valley – Machakhela Protected Landscape.</w:t>
            </w:r>
          </w:p>
        </w:tc>
        <w:tc>
          <w:tcPr>
            <w:tcW w:w="692" w:type="pct"/>
            <w:tcBorders>
              <w:left w:val="single" w:sz="6" w:space="0" w:color="auto"/>
              <w:bottom w:val="single" w:sz="18" w:space="0" w:color="auto"/>
              <w:right w:val="single" w:sz="18" w:space="0" w:color="auto"/>
            </w:tcBorders>
            <w:tcMar>
              <w:left w:w="28" w:type="dxa"/>
              <w:right w:w="28" w:type="dxa"/>
            </w:tcMar>
          </w:tcPr>
          <w:p w14:paraId="02DF3DA8" w14:textId="77777777" w:rsidR="004A76C6" w:rsidRPr="00BB0AB8" w:rsidRDefault="004A76C6" w:rsidP="004A76C6">
            <w:pPr>
              <w:rPr>
                <w:rFonts w:ascii="Arial Narrow" w:hAnsi="Arial Narrow"/>
                <w:bCs/>
                <w:sz w:val="18"/>
                <w:szCs w:val="18"/>
                <w:highlight w:val="green"/>
              </w:rPr>
            </w:pPr>
            <w:r w:rsidRPr="00BB0AB8">
              <w:rPr>
                <w:rFonts w:ascii="Arial Narrow" w:hAnsi="Arial Narrow"/>
                <w:bCs/>
                <w:sz w:val="18"/>
                <w:szCs w:val="18"/>
                <w:highlight w:val="green"/>
              </w:rPr>
              <w:t>Target achieved in 2017, later than planned, but a good result.</w:t>
            </w:r>
          </w:p>
          <w:p w14:paraId="494D145F" w14:textId="7D2D3233" w:rsidR="004A76C6" w:rsidRPr="00BB0AB8" w:rsidRDefault="004A76C6" w:rsidP="00961D8E">
            <w:pPr>
              <w:spacing w:before="60"/>
              <w:rPr>
                <w:rFonts w:ascii="Arial Narrow" w:hAnsi="Arial Narrow"/>
                <w:bCs/>
                <w:sz w:val="18"/>
                <w:szCs w:val="18"/>
                <w:highlight w:val="green"/>
              </w:rPr>
            </w:pPr>
            <w:r w:rsidRPr="00BB0AB8">
              <w:rPr>
                <w:rFonts w:ascii="Arial Narrow" w:hAnsi="Arial Narrow"/>
                <w:bCs/>
                <w:sz w:val="18"/>
                <w:szCs w:val="18"/>
                <w:highlight w:val="green"/>
              </w:rPr>
              <w:t xml:space="preserve">There is evidence that Advisory Councils are not working as well </w:t>
            </w:r>
            <w:r w:rsidR="00961D8E">
              <w:rPr>
                <w:rFonts w:ascii="Arial Narrow" w:hAnsi="Arial Narrow"/>
                <w:bCs/>
                <w:sz w:val="18"/>
                <w:szCs w:val="18"/>
                <w:highlight w:val="green"/>
              </w:rPr>
              <w:t xml:space="preserve">as intended. (Refer to </w:t>
            </w:r>
            <w:r w:rsidR="00961D8E" w:rsidRPr="00961D8E">
              <w:rPr>
                <w:rFonts w:ascii="Arial Narrow" w:hAnsi="Arial Narrow"/>
                <w:b/>
                <w:bCs/>
                <w:sz w:val="18"/>
                <w:szCs w:val="18"/>
                <w:highlight w:val="green"/>
              </w:rPr>
              <w:t>Section 3.2.2</w:t>
            </w:r>
            <w:r w:rsidRPr="00BB0AB8">
              <w:rPr>
                <w:rFonts w:ascii="Arial Narrow" w:hAnsi="Arial Narrow"/>
                <w:bCs/>
                <w:sz w:val="18"/>
                <w:szCs w:val="18"/>
                <w:highlight w:val="green"/>
              </w:rPr>
              <w:t xml:space="preserve"> for further consideration of this issue.)</w:t>
            </w:r>
          </w:p>
        </w:tc>
      </w:tr>
    </w:tbl>
    <w:p w14:paraId="5B360F18" w14:textId="77777777" w:rsidR="004A76C6" w:rsidRPr="0055467A" w:rsidRDefault="004A76C6" w:rsidP="004A76C6">
      <w:pPr>
        <w:rPr>
          <w:rFonts w:ascii="Calibri" w:hAnsi="Calibri" w:cs="Arial"/>
          <w:sz w:val="20"/>
        </w:rPr>
      </w:pPr>
      <w:r>
        <w:rPr>
          <w:rFonts w:ascii="Calibri" w:hAnsi="Calibri" w:cs="Arial"/>
          <w:sz w:val="20"/>
        </w:rPr>
        <w:br w:type="textWrapping" w:clear="all"/>
      </w:r>
    </w:p>
    <w:p w14:paraId="3D542594" w14:textId="77777777" w:rsidR="00B53C46" w:rsidRDefault="00B53C46" w:rsidP="004508FC">
      <w:pPr>
        <w:pStyle w:val="Default"/>
      </w:pPr>
    </w:p>
    <w:p w14:paraId="2F745FE0" w14:textId="77777777" w:rsidR="00C3661E" w:rsidRPr="0055467A" w:rsidRDefault="00C3661E" w:rsidP="00C3661E">
      <w:pPr>
        <w:rPr>
          <w:rFonts w:ascii="Calibri" w:hAnsi="Calibri" w:cs="Arial"/>
          <w:sz w:val="20"/>
        </w:rPr>
      </w:pPr>
    </w:p>
    <w:p w14:paraId="7CE2FA91" w14:textId="77777777" w:rsidR="00B53C46" w:rsidRPr="00E22EBA" w:rsidRDefault="00B53C46" w:rsidP="00B53C46">
      <w:pPr>
        <w:pStyle w:val="BodyText"/>
        <w:rPr>
          <w:rFonts w:asciiTheme="minorHAnsi" w:hAnsiTheme="minorHAnsi"/>
          <w:sz w:val="22"/>
        </w:rPr>
      </w:pPr>
    </w:p>
    <w:p w14:paraId="41E90B40" w14:textId="77777777" w:rsidR="00B53C46" w:rsidRPr="00E22EBA" w:rsidRDefault="00B53C46" w:rsidP="00B53C46">
      <w:pPr>
        <w:pStyle w:val="BodyText"/>
        <w:sectPr w:rsidR="00B53C46" w:rsidRPr="00E22EBA" w:rsidSect="00B53C46">
          <w:footnotePr>
            <w:numRestart w:val="eachPage"/>
          </w:footnotePr>
          <w:pgSz w:w="16838" w:h="11906" w:code="1"/>
          <w:pgMar w:top="1440" w:right="1440" w:bottom="1440" w:left="1440" w:header="288" w:footer="288" w:gutter="0"/>
          <w:pgNumType w:start="1"/>
          <w:cols w:space="708"/>
          <w:docGrid w:linePitch="299"/>
        </w:sectPr>
      </w:pPr>
    </w:p>
    <w:p w14:paraId="43601A88" w14:textId="2D41A86C" w:rsidR="00D80AEC" w:rsidRPr="00E22EBA" w:rsidRDefault="00D80AEC" w:rsidP="00D80AEC">
      <w:pPr>
        <w:pStyle w:val="Heading2"/>
        <w:tabs>
          <w:tab w:val="left" w:pos="1134"/>
        </w:tabs>
        <w:spacing w:after="120" w:line="240" w:lineRule="auto"/>
        <w:rPr>
          <w:rFonts w:asciiTheme="minorHAnsi" w:hAnsiTheme="minorHAnsi"/>
          <w:b/>
          <w:caps w:val="0"/>
        </w:rPr>
      </w:pPr>
      <w:bookmarkStart w:id="251" w:name="_Toc414745353"/>
      <w:r w:rsidRPr="00E22EBA">
        <w:rPr>
          <w:rFonts w:asciiTheme="minorHAnsi" w:hAnsiTheme="minorHAnsi"/>
          <w:b/>
          <w:caps w:val="0"/>
        </w:rPr>
        <w:lastRenderedPageBreak/>
        <w:t xml:space="preserve">Annex </w:t>
      </w:r>
      <w:r>
        <w:rPr>
          <w:rFonts w:asciiTheme="minorHAnsi" w:hAnsiTheme="minorHAnsi"/>
          <w:b/>
          <w:caps w:val="0"/>
        </w:rPr>
        <w:t>7</w:t>
      </w:r>
      <w:r>
        <w:rPr>
          <w:rFonts w:asciiTheme="minorHAnsi" w:hAnsiTheme="minorHAnsi"/>
          <w:b/>
          <w:caps w:val="0"/>
        </w:rPr>
        <w:tab/>
        <w:t>Template for Reporting Progress in Delivering Outputs – October 2018</w:t>
      </w:r>
      <w:bookmarkEnd w:id="251"/>
    </w:p>
    <w:p w14:paraId="4B600A8F" w14:textId="77777777" w:rsidR="00CD0232" w:rsidRDefault="00CD0232" w:rsidP="004508FC">
      <w:pPr>
        <w:pStyle w:val="Default"/>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28" w:type="dxa"/>
        </w:tblCellMar>
        <w:tblLook w:val="0000" w:firstRow="0" w:lastRow="0" w:firstColumn="0" w:lastColumn="0" w:noHBand="0" w:noVBand="0"/>
      </w:tblPr>
      <w:tblGrid>
        <w:gridCol w:w="2269"/>
        <w:gridCol w:w="9470"/>
        <w:gridCol w:w="2333"/>
      </w:tblGrid>
      <w:tr w:rsidR="00D80AEC" w:rsidRPr="0044734F" w14:paraId="21CF2332" w14:textId="77777777" w:rsidTr="00D80AEC">
        <w:trPr>
          <w:trHeight w:val="311"/>
          <w:tblHeader/>
          <w:jc w:val="center"/>
        </w:trPr>
        <w:tc>
          <w:tcPr>
            <w:tcW w:w="806" w:type="pct"/>
            <w:shd w:val="clear" w:color="auto" w:fill="F2F2F2" w:themeFill="background1" w:themeFillShade="F2"/>
            <w:tcMar>
              <w:top w:w="57" w:type="dxa"/>
              <w:bottom w:w="57" w:type="dxa"/>
              <w:right w:w="57" w:type="dxa"/>
            </w:tcMar>
            <w:vAlign w:val="center"/>
          </w:tcPr>
          <w:p w14:paraId="05879A6D" w14:textId="77777777" w:rsidR="00D80AEC" w:rsidRPr="0044734F" w:rsidRDefault="00D80AEC" w:rsidP="00D80AEC">
            <w:pPr>
              <w:jc w:val="center"/>
              <w:rPr>
                <w:rFonts w:asciiTheme="minorHAnsi" w:hAnsiTheme="minorHAnsi"/>
                <w:b/>
                <w:bCs/>
                <w:sz w:val="18"/>
                <w:szCs w:val="18"/>
              </w:rPr>
            </w:pPr>
            <w:r w:rsidRPr="0044734F">
              <w:rPr>
                <w:rFonts w:asciiTheme="minorHAnsi" w:hAnsiTheme="minorHAnsi"/>
                <w:b/>
                <w:bCs/>
                <w:sz w:val="18"/>
                <w:szCs w:val="18"/>
              </w:rPr>
              <w:t>Outputs</w:t>
            </w:r>
          </w:p>
        </w:tc>
        <w:tc>
          <w:tcPr>
            <w:tcW w:w="3365" w:type="pct"/>
            <w:shd w:val="clear" w:color="auto" w:fill="FDE9D9" w:themeFill="accent6" w:themeFillTint="33"/>
            <w:tcMar>
              <w:top w:w="57" w:type="dxa"/>
              <w:bottom w:w="57" w:type="dxa"/>
              <w:right w:w="57" w:type="dxa"/>
            </w:tcMar>
            <w:vAlign w:val="center"/>
          </w:tcPr>
          <w:p w14:paraId="3E3BF4A1" w14:textId="77777777" w:rsidR="00D80AEC" w:rsidRPr="0044734F" w:rsidRDefault="00D80AEC" w:rsidP="00D80AEC">
            <w:pPr>
              <w:jc w:val="center"/>
              <w:rPr>
                <w:rFonts w:asciiTheme="minorHAnsi" w:hAnsiTheme="minorHAnsi"/>
                <w:b/>
                <w:bCs/>
                <w:sz w:val="18"/>
                <w:szCs w:val="18"/>
              </w:rPr>
            </w:pPr>
            <w:r w:rsidRPr="00DC4AFB">
              <w:rPr>
                <w:rFonts w:asciiTheme="minorHAnsi" w:hAnsiTheme="minorHAnsi"/>
                <w:b/>
                <w:bCs/>
                <w:sz w:val="18"/>
                <w:szCs w:val="18"/>
              </w:rPr>
              <w:t>Evidence-based Achievements (Reported by PM</w:t>
            </w:r>
            <w:r>
              <w:rPr>
                <w:rFonts w:asciiTheme="minorHAnsi" w:hAnsiTheme="minorHAnsi"/>
                <w:b/>
                <w:bCs/>
                <w:sz w:val="18"/>
                <w:szCs w:val="18"/>
              </w:rPr>
              <w:t>U)</w:t>
            </w:r>
          </w:p>
        </w:tc>
        <w:tc>
          <w:tcPr>
            <w:tcW w:w="829" w:type="pct"/>
            <w:shd w:val="clear" w:color="auto" w:fill="DBE5F1"/>
            <w:tcMar>
              <w:top w:w="57" w:type="dxa"/>
              <w:bottom w:w="57" w:type="dxa"/>
              <w:right w:w="57" w:type="dxa"/>
            </w:tcMar>
            <w:vAlign w:val="center"/>
          </w:tcPr>
          <w:p w14:paraId="1D24A4B3" w14:textId="77777777" w:rsidR="00D80AEC" w:rsidRPr="0044734F" w:rsidRDefault="00D80AEC" w:rsidP="00D80AEC">
            <w:pPr>
              <w:spacing w:before="60" w:after="60"/>
              <w:jc w:val="center"/>
              <w:rPr>
                <w:rFonts w:asciiTheme="minorHAnsi" w:hAnsiTheme="minorHAnsi"/>
                <w:b/>
                <w:bCs/>
                <w:sz w:val="18"/>
                <w:szCs w:val="18"/>
              </w:rPr>
            </w:pPr>
            <w:r>
              <w:rPr>
                <w:rFonts w:asciiTheme="minorHAnsi" w:hAnsiTheme="minorHAnsi"/>
                <w:b/>
                <w:bCs/>
                <w:sz w:val="18"/>
                <w:szCs w:val="18"/>
              </w:rPr>
              <w:t>TE Evaluator</w:t>
            </w:r>
            <w:r w:rsidRPr="0044734F">
              <w:rPr>
                <w:rFonts w:asciiTheme="minorHAnsi" w:hAnsiTheme="minorHAnsi"/>
                <w:b/>
                <w:bCs/>
                <w:sz w:val="18"/>
                <w:szCs w:val="18"/>
              </w:rPr>
              <w:t xml:space="preserve"> Comments </w:t>
            </w:r>
          </w:p>
        </w:tc>
      </w:tr>
      <w:tr w:rsidR="00D80AEC" w:rsidRPr="0044734F" w14:paraId="0B28947B" w14:textId="77777777" w:rsidTr="00D80AEC">
        <w:trPr>
          <w:jc w:val="center"/>
        </w:trPr>
        <w:tc>
          <w:tcPr>
            <w:tcW w:w="5000" w:type="pct"/>
            <w:gridSpan w:val="3"/>
            <w:shd w:val="clear" w:color="auto" w:fill="E6E6E6"/>
            <w:tcMar>
              <w:top w:w="28" w:type="dxa"/>
              <w:bottom w:w="28" w:type="dxa"/>
              <w:right w:w="57" w:type="dxa"/>
            </w:tcMar>
            <w:vAlign w:val="center"/>
          </w:tcPr>
          <w:p w14:paraId="22860989" w14:textId="77777777" w:rsidR="00D80AEC" w:rsidRPr="0044734F" w:rsidRDefault="00D80AEC" w:rsidP="00D80AEC">
            <w:pPr>
              <w:widowControl w:val="0"/>
              <w:spacing w:before="60" w:after="60"/>
              <w:ind w:right="90"/>
              <w:rPr>
                <w:rFonts w:asciiTheme="minorHAnsi" w:hAnsiTheme="minorHAnsi"/>
                <w:b/>
                <w:sz w:val="18"/>
                <w:szCs w:val="18"/>
              </w:rPr>
            </w:pPr>
            <w:r w:rsidRPr="0044734F">
              <w:rPr>
                <w:rFonts w:asciiTheme="minorHAnsi" w:hAnsiTheme="minorHAnsi"/>
                <w:b/>
                <w:spacing w:val="-1"/>
                <w:w w:val="109"/>
                <w:sz w:val="18"/>
                <w:szCs w:val="18"/>
              </w:rPr>
              <w:t>P</w:t>
            </w:r>
            <w:r w:rsidRPr="0044734F">
              <w:rPr>
                <w:rFonts w:asciiTheme="minorHAnsi" w:hAnsiTheme="minorHAnsi"/>
                <w:b/>
                <w:w w:val="109"/>
                <w:sz w:val="18"/>
                <w:szCs w:val="18"/>
              </w:rPr>
              <w:t>r</w:t>
            </w:r>
            <w:r w:rsidRPr="0044734F">
              <w:rPr>
                <w:rFonts w:asciiTheme="minorHAnsi" w:hAnsiTheme="minorHAnsi"/>
                <w:b/>
                <w:spacing w:val="-1"/>
                <w:w w:val="109"/>
                <w:sz w:val="18"/>
                <w:szCs w:val="18"/>
              </w:rPr>
              <w:t>o</w:t>
            </w:r>
            <w:r w:rsidRPr="0044734F">
              <w:rPr>
                <w:rFonts w:asciiTheme="minorHAnsi" w:hAnsiTheme="minorHAnsi"/>
                <w:b/>
                <w:w w:val="109"/>
                <w:sz w:val="18"/>
                <w:szCs w:val="18"/>
              </w:rPr>
              <w:t xml:space="preserve">ject </w:t>
            </w:r>
            <w:r w:rsidRPr="0044734F">
              <w:rPr>
                <w:rFonts w:asciiTheme="minorHAnsi" w:hAnsiTheme="minorHAnsi"/>
                <w:b/>
                <w:sz w:val="18"/>
                <w:szCs w:val="18"/>
              </w:rPr>
              <w:t>Ob</w:t>
            </w:r>
            <w:r w:rsidRPr="0044734F">
              <w:rPr>
                <w:rFonts w:asciiTheme="minorHAnsi" w:hAnsiTheme="minorHAnsi"/>
                <w:b/>
                <w:spacing w:val="-2"/>
                <w:sz w:val="18"/>
                <w:szCs w:val="18"/>
              </w:rPr>
              <w:t>j</w:t>
            </w:r>
            <w:r w:rsidRPr="0044734F">
              <w:rPr>
                <w:rFonts w:asciiTheme="minorHAnsi" w:hAnsiTheme="minorHAnsi"/>
                <w:b/>
                <w:sz w:val="18"/>
                <w:szCs w:val="18"/>
              </w:rPr>
              <w:t>ect</w:t>
            </w:r>
            <w:r w:rsidRPr="0044734F">
              <w:rPr>
                <w:rFonts w:asciiTheme="minorHAnsi" w:hAnsiTheme="minorHAnsi"/>
                <w:b/>
                <w:spacing w:val="-1"/>
                <w:sz w:val="18"/>
                <w:szCs w:val="18"/>
              </w:rPr>
              <w:t>iv</w:t>
            </w:r>
            <w:r w:rsidRPr="0044734F">
              <w:rPr>
                <w:rFonts w:asciiTheme="minorHAnsi" w:hAnsiTheme="minorHAnsi"/>
                <w:b/>
                <w:spacing w:val="3"/>
                <w:sz w:val="18"/>
                <w:szCs w:val="18"/>
              </w:rPr>
              <w:t>e</w:t>
            </w:r>
            <w:r w:rsidRPr="0044734F">
              <w:rPr>
                <w:rFonts w:asciiTheme="minorHAnsi" w:hAnsiTheme="minorHAnsi"/>
                <w:b/>
                <w:sz w:val="18"/>
                <w:szCs w:val="18"/>
              </w:rPr>
              <w:t xml:space="preserve">: </w:t>
            </w:r>
            <w:r w:rsidRPr="00515A1E">
              <w:rPr>
                <w:rFonts w:ascii="Calibri" w:hAnsi="Calibri"/>
                <w:iCs/>
                <w:sz w:val="18"/>
                <w:szCs w:val="18"/>
              </w:rPr>
              <w:t>To enhan</w:t>
            </w:r>
            <w:r>
              <w:rPr>
                <w:rFonts w:ascii="Calibri" w:hAnsi="Calibri"/>
                <w:iCs/>
                <w:sz w:val="18"/>
                <w:szCs w:val="18"/>
              </w:rPr>
              <w:t>ce the management effectiveness</w:t>
            </w:r>
            <w:r w:rsidRPr="00515A1E">
              <w:rPr>
                <w:rFonts w:ascii="Calibri" w:hAnsi="Calibri"/>
                <w:iCs/>
                <w:sz w:val="18"/>
                <w:szCs w:val="18"/>
              </w:rPr>
              <w:t>, biogeographically coverage and connectivity of Protected Areas to conserve forest ecosystems in the Achara Region</w:t>
            </w:r>
            <w:r w:rsidRPr="0044734F">
              <w:rPr>
                <w:rFonts w:asciiTheme="minorHAnsi" w:hAnsiTheme="minorHAnsi"/>
                <w:b/>
                <w:sz w:val="18"/>
                <w:szCs w:val="18"/>
              </w:rPr>
              <w:t>.</w:t>
            </w:r>
          </w:p>
        </w:tc>
      </w:tr>
      <w:tr w:rsidR="00D80AEC" w:rsidRPr="0044734F" w14:paraId="37946FD2" w14:textId="77777777" w:rsidTr="00D80AEC">
        <w:trPr>
          <w:trHeight w:val="274"/>
          <w:jc w:val="center"/>
        </w:trPr>
        <w:tc>
          <w:tcPr>
            <w:tcW w:w="5000" w:type="pct"/>
            <w:gridSpan w:val="3"/>
            <w:shd w:val="clear" w:color="auto" w:fill="E6E6E6"/>
            <w:tcMar>
              <w:top w:w="28" w:type="dxa"/>
              <w:bottom w:w="28" w:type="dxa"/>
              <w:right w:w="57" w:type="dxa"/>
            </w:tcMar>
            <w:vAlign w:val="center"/>
          </w:tcPr>
          <w:p w14:paraId="2ED4DFA4" w14:textId="77777777" w:rsidR="00D80AEC" w:rsidRPr="0044734F" w:rsidRDefault="00D80AEC" w:rsidP="00D80AEC">
            <w:pPr>
              <w:pStyle w:val="Default"/>
              <w:spacing w:before="60" w:after="60"/>
              <w:rPr>
                <w:rFonts w:asciiTheme="minorHAnsi" w:hAnsiTheme="minorHAnsi"/>
                <w:sz w:val="18"/>
                <w:szCs w:val="18"/>
              </w:rPr>
            </w:pPr>
            <w:r w:rsidRPr="0044734F">
              <w:rPr>
                <w:rFonts w:asciiTheme="minorHAnsi" w:hAnsiTheme="minorHAnsi"/>
                <w:b/>
                <w:sz w:val="18"/>
                <w:szCs w:val="18"/>
              </w:rPr>
              <w:t xml:space="preserve">Outcome 1: </w:t>
            </w:r>
            <w:r w:rsidRPr="00515A1E">
              <w:rPr>
                <w:rFonts w:ascii="Calibri" w:hAnsi="Calibri"/>
                <w:sz w:val="18"/>
                <w:szCs w:val="18"/>
              </w:rPr>
              <w:t>Enhanced PA Management Effectiveness in the Achara Region</w:t>
            </w:r>
            <w:r w:rsidRPr="0044734F">
              <w:rPr>
                <w:rFonts w:asciiTheme="minorHAnsi" w:hAnsiTheme="minorHAnsi"/>
                <w:sz w:val="18"/>
                <w:szCs w:val="18"/>
              </w:rPr>
              <w:t xml:space="preserve"> </w:t>
            </w:r>
          </w:p>
        </w:tc>
      </w:tr>
      <w:tr w:rsidR="00D80AEC" w:rsidRPr="0044734F" w14:paraId="37340802" w14:textId="77777777" w:rsidTr="00D80AEC">
        <w:trPr>
          <w:trHeight w:val="274"/>
          <w:jc w:val="center"/>
        </w:trPr>
        <w:tc>
          <w:tcPr>
            <w:tcW w:w="806" w:type="pct"/>
            <w:tcMar>
              <w:top w:w="28" w:type="dxa"/>
              <w:bottom w:w="28" w:type="dxa"/>
              <w:right w:w="57" w:type="dxa"/>
            </w:tcMar>
          </w:tcPr>
          <w:p w14:paraId="54928B94" w14:textId="77777777" w:rsidR="00D80AEC" w:rsidRDefault="00D80AEC" w:rsidP="00D80AEC">
            <w:pPr>
              <w:tabs>
                <w:tab w:val="left" w:pos="14"/>
              </w:tabs>
              <w:spacing w:after="20"/>
              <w:rPr>
                <w:rFonts w:ascii="Calibri" w:hAnsi="Calibri"/>
                <w:sz w:val="18"/>
                <w:szCs w:val="18"/>
              </w:rPr>
            </w:pPr>
            <w:r w:rsidRPr="0044734F">
              <w:rPr>
                <w:rFonts w:asciiTheme="minorHAnsi" w:hAnsiTheme="minorHAnsi"/>
                <w:b/>
                <w:sz w:val="18"/>
                <w:szCs w:val="18"/>
              </w:rPr>
              <w:t xml:space="preserve">1.1: </w:t>
            </w:r>
            <w:r w:rsidRPr="00515A1E">
              <w:rPr>
                <w:rFonts w:ascii="Calibri" w:hAnsi="Calibri"/>
                <w:sz w:val="18"/>
                <w:szCs w:val="18"/>
              </w:rPr>
              <w:t>Enforcement and surveillance system strengthened in K</w:t>
            </w:r>
            <w:r>
              <w:rPr>
                <w:rFonts w:ascii="Calibri" w:hAnsi="Calibri"/>
                <w:sz w:val="18"/>
                <w:szCs w:val="18"/>
              </w:rPr>
              <w:t>intrishi Protected Areas and</w:t>
            </w:r>
            <w:r w:rsidRPr="00515A1E">
              <w:rPr>
                <w:rFonts w:ascii="Calibri" w:hAnsi="Calibri"/>
                <w:sz w:val="18"/>
                <w:szCs w:val="18"/>
              </w:rPr>
              <w:t xml:space="preserve"> Mtirala NP </w:t>
            </w:r>
          </w:p>
          <w:p w14:paraId="150180C3" w14:textId="77777777" w:rsidR="00D80AEC" w:rsidRPr="00CE66D4" w:rsidRDefault="00D80AEC" w:rsidP="00D80AEC">
            <w:pPr>
              <w:spacing w:before="60"/>
              <w:rPr>
                <w:rFonts w:asciiTheme="minorHAnsi" w:hAnsiTheme="minorHAnsi"/>
                <w:b/>
                <w:sz w:val="18"/>
                <w:szCs w:val="18"/>
                <w:highlight w:val="cyan"/>
              </w:rPr>
            </w:pPr>
            <w:r w:rsidRPr="00CE66D4">
              <w:rPr>
                <w:rFonts w:asciiTheme="minorHAnsi" w:hAnsiTheme="minorHAnsi"/>
                <w:b/>
                <w:sz w:val="18"/>
                <w:szCs w:val="18"/>
                <w:highlight w:val="cyan"/>
              </w:rPr>
              <w:t>Note:</w:t>
            </w:r>
          </w:p>
          <w:p w14:paraId="75B58411" w14:textId="77777777" w:rsidR="00D80AEC" w:rsidRPr="00CC45F1" w:rsidRDefault="00D80AEC" w:rsidP="00D80AEC">
            <w:pPr>
              <w:rPr>
                <w:rFonts w:ascii="Calibri" w:hAnsi="Calibri"/>
                <w:b/>
                <w:bCs/>
                <w:sz w:val="18"/>
                <w:szCs w:val="18"/>
              </w:rPr>
            </w:pPr>
            <w:r w:rsidRPr="002B5D9B">
              <w:rPr>
                <w:rFonts w:ascii="Calibri" w:hAnsi="Calibri"/>
                <w:bCs/>
                <w:sz w:val="18"/>
                <w:szCs w:val="18"/>
              </w:rPr>
              <w:t>KfW SPPA project active in Kintrishi – based on coordination with them inputs to Kintrishi only in case of filling gaps.</w:t>
            </w:r>
          </w:p>
        </w:tc>
        <w:tc>
          <w:tcPr>
            <w:tcW w:w="3365" w:type="pct"/>
            <w:shd w:val="clear" w:color="auto" w:fill="FDE9D9"/>
            <w:tcMar>
              <w:top w:w="28" w:type="dxa"/>
              <w:bottom w:w="28" w:type="dxa"/>
              <w:right w:w="57" w:type="dxa"/>
            </w:tcMar>
          </w:tcPr>
          <w:p w14:paraId="4F98681A" w14:textId="77777777" w:rsidR="00D80AEC" w:rsidRPr="00A309DB" w:rsidRDefault="00D80AEC" w:rsidP="00D80AEC">
            <w:pPr>
              <w:rPr>
                <w:rFonts w:asciiTheme="minorHAnsi" w:hAnsiTheme="minorHAnsi"/>
                <w:sz w:val="18"/>
                <w:szCs w:val="18"/>
              </w:rPr>
            </w:pPr>
            <w:r w:rsidRPr="00A309DB">
              <w:rPr>
                <w:rFonts w:asciiTheme="minorHAnsi" w:hAnsiTheme="minorHAnsi"/>
                <w:sz w:val="18"/>
                <w:szCs w:val="18"/>
              </w:rPr>
              <w:t>Technical and material capacity of PA staff to implement cost effective enforcement built:</w:t>
            </w:r>
          </w:p>
          <w:p w14:paraId="24DE84E3" w14:textId="77777777" w:rsidR="00D80AEC" w:rsidRPr="00A309DB" w:rsidRDefault="00D80AEC" w:rsidP="00991B6C">
            <w:pPr>
              <w:pStyle w:val="ListParagraph"/>
              <w:numPr>
                <w:ilvl w:val="0"/>
                <w:numId w:val="27"/>
              </w:numPr>
              <w:spacing w:after="60" w:line="240" w:lineRule="auto"/>
              <w:ind w:left="255" w:hanging="255"/>
              <w:rPr>
                <w:rFonts w:asciiTheme="minorHAnsi" w:hAnsiTheme="minorHAnsi"/>
                <w:sz w:val="18"/>
                <w:szCs w:val="18"/>
              </w:rPr>
            </w:pPr>
            <w:r w:rsidRPr="00A309DB">
              <w:rPr>
                <w:rFonts w:asciiTheme="minorHAnsi" w:hAnsiTheme="minorHAnsi"/>
                <w:sz w:val="18"/>
                <w:szCs w:val="18"/>
              </w:rPr>
              <w:t>Capacity needs assessment Mtirala NP (see reports x2)</w:t>
            </w:r>
          </w:p>
          <w:p w14:paraId="079CD155" w14:textId="77777777" w:rsidR="00D80AEC" w:rsidRPr="00A309DB" w:rsidRDefault="00D80AEC" w:rsidP="00991B6C">
            <w:pPr>
              <w:pStyle w:val="ListParagraph"/>
              <w:numPr>
                <w:ilvl w:val="0"/>
                <w:numId w:val="27"/>
              </w:numPr>
              <w:spacing w:after="60" w:line="240" w:lineRule="auto"/>
              <w:ind w:left="255" w:hanging="255"/>
              <w:rPr>
                <w:rFonts w:asciiTheme="minorHAnsi" w:hAnsiTheme="minorHAnsi"/>
                <w:sz w:val="18"/>
                <w:szCs w:val="18"/>
              </w:rPr>
            </w:pPr>
            <w:r w:rsidRPr="00A309DB">
              <w:rPr>
                <w:rFonts w:asciiTheme="minorHAnsi" w:hAnsiTheme="minorHAnsi"/>
                <w:sz w:val="18"/>
                <w:szCs w:val="18"/>
              </w:rPr>
              <w:t>Trainings (7 thematic trainings, approx.. 30 people each - see thematic report and individual training reports/materials)</w:t>
            </w:r>
          </w:p>
          <w:p w14:paraId="26176DB1" w14:textId="77777777" w:rsidR="00D80AEC" w:rsidRPr="00A309DB" w:rsidRDefault="00D80AEC" w:rsidP="00991B6C">
            <w:pPr>
              <w:pStyle w:val="ListParagraph"/>
              <w:numPr>
                <w:ilvl w:val="0"/>
                <w:numId w:val="27"/>
              </w:numPr>
              <w:spacing w:after="60" w:line="240" w:lineRule="auto"/>
              <w:ind w:left="255" w:hanging="255"/>
              <w:rPr>
                <w:rFonts w:asciiTheme="minorHAnsi" w:hAnsiTheme="minorHAnsi"/>
                <w:sz w:val="18"/>
                <w:szCs w:val="18"/>
              </w:rPr>
            </w:pPr>
            <w:r w:rsidRPr="00A309DB">
              <w:rPr>
                <w:rFonts w:asciiTheme="minorHAnsi" w:hAnsiTheme="minorHAnsi"/>
                <w:sz w:val="18"/>
                <w:szCs w:val="18"/>
              </w:rPr>
              <w:t>Equipment – fieldwork equipment included: Radio transmitters, flashlights, field bags, medical kits (see thematic report, procurement documents)</w:t>
            </w:r>
          </w:p>
          <w:p w14:paraId="6BD7E189" w14:textId="77777777" w:rsidR="00D80AEC" w:rsidRPr="00A309DB" w:rsidRDefault="00D80AEC" w:rsidP="00D80AEC">
            <w:pPr>
              <w:spacing w:before="60"/>
              <w:rPr>
                <w:rFonts w:asciiTheme="minorHAnsi" w:hAnsiTheme="minorHAnsi"/>
                <w:sz w:val="18"/>
                <w:szCs w:val="18"/>
              </w:rPr>
            </w:pPr>
            <w:r w:rsidRPr="00A309DB">
              <w:rPr>
                <w:rFonts w:asciiTheme="minorHAnsi" w:hAnsiTheme="minorHAnsi"/>
                <w:sz w:val="18"/>
                <w:szCs w:val="18"/>
              </w:rPr>
              <w:t>Collaborative monitoring and enforcement system in place and a platform for information sharing established between park authority and the local communities:</w:t>
            </w:r>
          </w:p>
          <w:p w14:paraId="53F4347D" w14:textId="77777777" w:rsidR="00D80AEC" w:rsidRPr="00A309DB" w:rsidRDefault="00D80AEC" w:rsidP="00991B6C">
            <w:pPr>
              <w:pStyle w:val="ListParagraph"/>
              <w:numPr>
                <w:ilvl w:val="0"/>
                <w:numId w:val="27"/>
              </w:numPr>
              <w:spacing w:after="60" w:line="240" w:lineRule="auto"/>
              <w:ind w:left="255" w:hanging="255"/>
              <w:rPr>
                <w:rFonts w:asciiTheme="minorHAnsi" w:hAnsiTheme="minorHAnsi"/>
                <w:sz w:val="18"/>
                <w:szCs w:val="18"/>
              </w:rPr>
            </w:pPr>
            <w:r w:rsidRPr="00A309DB">
              <w:rPr>
                <w:rFonts w:asciiTheme="minorHAnsi" w:hAnsiTheme="minorHAnsi"/>
                <w:sz w:val="18"/>
                <w:szCs w:val="18"/>
              </w:rPr>
              <w:t>Review of options for introducing / testing joint PA/ community monitoring (see consultant report-Ramaz Gokhashvili)</w:t>
            </w:r>
          </w:p>
          <w:p w14:paraId="5A8E72A7" w14:textId="77777777" w:rsidR="00D80AEC" w:rsidRPr="00A309DB" w:rsidRDefault="00D80AEC" w:rsidP="00991B6C">
            <w:pPr>
              <w:pStyle w:val="ListParagraph"/>
              <w:numPr>
                <w:ilvl w:val="0"/>
                <w:numId w:val="27"/>
              </w:numPr>
              <w:spacing w:after="60" w:line="240" w:lineRule="auto"/>
              <w:ind w:left="255" w:hanging="255"/>
              <w:rPr>
                <w:rFonts w:asciiTheme="minorHAnsi" w:hAnsiTheme="minorHAnsi"/>
                <w:sz w:val="18"/>
                <w:szCs w:val="18"/>
              </w:rPr>
            </w:pPr>
            <w:r w:rsidRPr="00A309DB">
              <w:rPr>
                <w:rFonts w:asciiTheme="minorHAnsi" w:hAnsiTheme="minorHAnsi"/>
                <w:sz w:val="18"/>
                <w:szCs w:val="18"/>
              </w:rPr>
              <w:t>Community ranger and Junior ranger programmes tested approach of involving local community in PA management/building awareness (see report of Friends Association  - Publication in Georgian)</w:t>
            </w:r>
          </w:p>
          <w:p w14:paraId="25D1694E" w14:textId="77777777" w:rsidR="00D80AEC" w:rsidRPr="00CE66D4" w:rsidRDefault="00D80AEC" w:rsidP="00991B6C">
            <w:pPr>
              <w:pStyle w:val="ListParagraph"/>
              <w:numPr>
                <w:ilvl w:val="0"/>
                <w:numId w:val="27"/>
              </w:numPr>
              <w:spacing w:after="60" w:line="240" w:lineRule="auto"/>
              <w:ind w:left="255" w:hanging="255"/>
              <w:rPr>
                <w:rFonts w:asciiTheme="minorHAnsi" w:hAnsiTheme="minorHAnsi"/>
                <w:sz w:val="20"/>
                <w:szCs w:val="20"/>
              </w:rPr>
            </w:pPr>
            <w:r w:rsidRPr="00A309DB">
              <w:rPr>
                <w:rFonts w:asciiTheme="minorHAnsi" w:hAnsiTheme="minorHAnsi"/>
                <w:sz w:val="18"/>
                <w:szCs w:val="18"/>
              </w:rPr>
              <w:t>Coordinated addition of Mtirala NP into SPPA project initiative on TRIPLE I information management system (project supplied required computer hardware, SPPA carried out training and trial application together with its own target PAs) – evidence: SPPA project reports, procurement documents</w:t>
            </w:r>
          </w:p>
        </w:tc>
        <w:tc>
          <w:tcPr>
            <w:tcW w:w="829" w:type="pct"/>
            <w:shd w:val="clear" w:color="auto" w:fill="DBE5F1"/>
            <w:tcMar>
              <w:top w:w="28" w:type="dxa"/>
              <w:bottom w:w="28" w:type="dxa"/>
              <w:right w:w="57" w:type="dxa"/>
            </w:tcMar>
          </w:tcPr>
          <w:p w14:paraId="6DC199BE" w14:textId="77777777" w:rsidR="00D80AEC" w:rsidRPr="0044734F" w:rsidRDefault="00D80AEC" w:rsidP="00991B6C">
            <w:pPr>
              <w:numPr>
                <w:ilvl w:val="0"/>
                <w:numId w:val="25"/>
              </w:numPr>
              <w:tabs>
                <w:tab w:val="clear" w:pos="360"/>
              </w:tabs>
              <w:overflowPunct/>
              <w:autoSpaceDE/>
              <w:autoSpaceDN/>
              <w:adjustRightInd/>
              <w:spacing w:before="60" w:after="60"/>
              <w:ind w:left="402" w:hanging="312"/>
              <w:textAlignment w:val="auto"/>
              <w:rPr>
                <w:rFonts w:asciiTheme="minorHAnsi" w:hAnsiTheme="minorHAnsi"/>
                <w:sz w:val="18"/>
                <w:szCs w:val="18"/>
              </w:rPr>
            </w:pPr>
          </w:p>
        </w:tc>
      </w:tr>
      <w:tr w:rsidR="00D80AEC" w:rsidRPr="0044734F" w14:paraId="2A4D897D" w14:textId="77777777" w:rsidTr="00D80AEC">
        <w:trPr>
          <w:trHeight w:val="274"/>
          <w:jc w:val="center"/>
        </w:trPr>
        <w:tc>
          <w:tcPr>
            <w:tcW w:w="806" w:type="pct"/>
            <w:tcMar>
              <w:top w:w="28" w:type="dxa"/>
              <w:bottom w:w="28" w:type="dxa"/>
              <w:right w:w="57" w:type="dxa"/>
            </w:tcMar>
          </w:tcPr>
          <w:p w14:paraId="62240379" w14:textId="77777777" w:rsidR="00D80AEC" w:rsidRPr="0044734F" w:rsidRDefault="00D80AEC" w:rsidP="00D80AEC">
            <w:pPr>
              <w:spacing w:after="60"/>
              <w:rPr>
                <w:rFonts w:asciiTheme="minorHAnsi" w:hAnsiTheme="minorHAnsi"/>
                <w:sz w:val="18"/>
                <w:szCs w:val="18"/>
              </w:rPr>
            </w:pPr>
            <w:r w:rsidRPr="0044734F">
              <w:rPr>
                <w:rFonts w:asciiTheme="minorHAnsi" w:hAnsiTheme="minorHAnsi"/>
                <w:b/>
                <w:sz w:val="18"/>
                <w:szCs w:val="18"/>
              </w:rPr>
              <w:t xml:space="preserve">1.2: </w:t>
            </w:r>
            <w:r w:rsidRPr="00515A1E">
              <w:rPr>
                <w:rFonts w:ascii="Calibri" w:hAnsi="Calibri"/>
                <w:sz w:val="18"/>
                <w:szCs w:val="18"/>
              </w:rPr>
              <w:t>Reduced threats at source by constructive involvement of local communities in planning and co-management arrangements within the governance framework of 2 newly established community-based organizations.</w:t>
            </w:r>
          </w:p>
        </w:tc>
        <w:tc>
          <w:tcPr>
            <w:tcW w:w="3365" w:type="pct"/>
            <w:shd w:val="clear" w:color="auto" w:fill="FDE9D9"/>
            <w:tcMar>
              <w:top w:w="28" w:type="dxa"/>
              <w:bottom w:w="28" w:type="dxa"/>
              <w:right w:w="57" w:type="dxa"/>
            </w:tcMar>
          </w:tcPr>
          <w:p w14:paraId="1AA6357E" w14:textId="77777777" w:rsidR="00D80AEC" w:rsidRDefault="00D80AEC" w:rsidP="00991B6C">
            <w:pPr>
              <w:pStyle w:val="ListParagraph"/>
              <w:numPr>
                <w:ilvl w:val="0"/>
                <w:numId w:val="27"/>
              </w:numPr>
              <w:spacing w:after="60" w:line="240" w:lineRule="auto"/>
              <w:ind w:left="255" w:hanging="255"/>
              <w:rPr>
                <w:rFonts w:asciiTheme="minorHAnsi" w:hAnsiTheme="minorHAnsi"/>
                <w:sz w:val="18"/>
                <w:szCs w:val="18"/>
              </w:rPr>
            </w:pPr>
            <w:r>
              <w:rPr>
                <w:rFonts w:asciiTheme="minorHAnsi" w:hAnsiTheme="minorHAnsi"/>
                <w:sz w:val="18"/>
                <w:szCs w:val="18"/>
              </w:rPr>
              <w:t>Coordination with SPPA and EU Twinning projects to avoid duplication/synchronise approaches. Evidence: TCG meeting records, CTA reports</w:t>
            </w:r>
          </w:p>
          <w:p w14:paraId="755ED1E7" w14:textId="77777777" w:rsidR="00D80AEC" w:rsidRDefault="00D80AEC" w:rsidP="00991B6C">
            <w:pPr>
              <w:pStyle w:val="ListParagraph"/>
              <w:numPr>
                <w:ilvl w:val="0"/>
                <w:numId w:val="27"/>
              </w:numPr>
              <w:spacing w:before="60" w:after="60" w:line="240" w:lineRule="auto"/>
              <w:ind w:left="253" w:hanging="253"/>
              <w:rPr>
                <w:rFonts w:asciiTheme="minorHAnsi" w:hAnsiTheme="minorHAnsi"/>
                <w:sz w:val="18"/>
                <w:szCs w:val="18"/>
              </w:rPr>
            </w:pPr>
            <w:r>
              <w:rPr>
                <w:rFonts w:asciiTheme="minorHAnsi" w:hAnsiTheme="minorHAnsi"/>
                <w:sz w:val="18"/>
                <w:szCs w:val="18"/>
              </w:rPr>
              <w:t>Review and analysis of most effective options for CBO /NGO establishment in the actual context of Achara. Evidence: consultant report (Ramaz Gokhelashvili)</w:t>
            </w:r>
          </w:p>
          <w:p w14:paraId="51A76E6C" w14:textId="77777777" w:rsidR="00D80AEC" w:rsidRDefault="00D80AEC" w:rsidP="00991B6C">
            <w:pPr>
              <w:pStyle w:val="ListParagraph"/>
              <w:numPr>
                <w:ilvl w:val="0"/>
                <w:numId w:val="27"/>
              </w:numPr>
              <w:spacing w:before="60" w:after="60" w:line="240" w:lineRule="auto"/>
              <w:ind w:left="253" w:hanging="253"/>
              <w:rPr>
                <w:rFonts w:asciiTheme="minorHAnsi" w:hAnsiTheme="minorHAnsi"/>
                <w:sz w:val="18"/>
                <w:szCs w:val="18"/>
              </w:rPr>
            </w:pPr>
            <w:r w:rsidRPr="000224F2">
              <w:rPr>
                <w:rFonts w:asciiTheme="minorHAnsi" w:hAnsiTheme="minorHAnsi"/>
                <w:sz w:val="18"/>
                <w:szCs w:val="18"/>
              </w:rPr>
              <w:t xml:space="preserve">Support to establishment of </w:t>
            </w:r>
            <w:r>
              <w:rPr>
                <w:rFonts w:asciiTheme="minorHAnsi" w:hAnsiTheme="minorHAnsi"/>
                <w:sz w:val="18"/>
                <w:szCs w:val="18"/>
              </w:rPr>
              <w:t>C</w:t>
            </w:r>
            <w:r w:rsidRPr="000224F2">
              <w:rPr>
                <w:rFonts w:asciiTheme="minorHAnsi" w:hAnsiTheme="minorHAnsi"/>
                <w:sz w:val="18"/>
                <w:szCs w:val="18"/>
              </w:rPr>
              <w:t xml:space="preserve">BO for Mtirala (jointly with Machakhela) by NP Directors i.e. Mtirala and Machakhela Friends </w:t>
            </w:r>
            <w:r>
              <w:rPr>
                <w:rFonts w:asciiTheme="minorHAnsi" w:hAnsiTheme="minorHAnsi"/>
                <w:sz w:val="18"/>
                <w:szCs w:val="18"/>
              </w:rPr>
              <w:t>A</w:t>
            </w:r>
            <w:r w:rsidRPr="000224F2">
              <w:rPr>
                <w:rFonts w:asciiTheme="minorHAnsi" w:hAnsiTheme="minorHAnsi"/>
                <w:sz w:val="18"/>
                <w:szCs w:val="18"/>
              </w:rPr>
              <w:t>ssociation. Evidence: Charter of FA</w:t>
            </w:r>
          </w:p>
          <w:p w14:paraId="1F440778" w14:textId="77777777" w:rsidR="00D80AEC" w:rsidRDefault="00D80AEC" w:rsidP="00991B6C">
            <w:pPr>
              <w:pStyle w:val="ListParagraph"/>
              <w:numPr>
                <w:ilvl w:val="0"/>
                <w:numId w:val="27"/>
              </w:numPr>
              <w:spacing w:before="60" w:after="60" w:line="240" w:lineRule="auto"/>
              <w:ind w:left="253" w:hanging="253"/>
              <w:rPr>
                <w:rFonts w:asciiTheme="minorHAnsi" w:hAnsiTheme="minorHAnsi"/>
                <w:sz w:val="18"/>
                <w:szCs w:val="18"/>
              </w:rPr>
            </w:pPr>
            <w:r>
              <w:rPr>
                <w:rFonts w:asciiTheme="minorHAnsi" w:hAnsiTheme="minorHAnsi"/>
                <w:sz w:val="18"/>
                <w:szCs w:val="18"/>
              </w:rPr>
              <w:t>FA Strategy and Sustainable Financing Plan. Evidence: Strategy and Plan document, consultant report</w:t>
            </w:r>
          </w:p>
          <w:p w14:paraId="0FDF3F18" w14:textId="77777777" w:rsidR="00D80AEC" w:rsidRDefault="00D80AEC" w:rsidP="00991B6C">
            <w:pPr>
              <w:pStyle w:val="ListParagraph"/>
              <w:numPr>
                <w:ilvl w:val="0"/>
                <w:numId w:val="27"/>
              </w:numPr>
              <w:spacing w:before="60" w:after="60" w:line="240" w:lineRule="auto"/>
              <w:ind w:left="253" w:hanging="253"/>
              <w:rPr>
                <w:rFonts w:asciiTheme="minorHAnsi" w:hAnsiTheme="minorHAnsi"/>
                <w:sz w:val="18"/>
                <w:szCs w:val="18"/>
              </w:rPr>
            </w:pPr>
            <w:r>
              <w:rPr>
                <w:rFonts w:asciiTheme="minorHAnsi" w:hAnsiTheme="minorHAnsi"/>
                <w:sz w:val="18"/>
                <w:szCs w:val="18"/>
              </w:rPr>
              <w:t>Ongoing operational advice and guidance to the FA during initial operations (until November 2018). Evidence: contract of consultant, reports of consultant</w:t>
            </w:r>
          </w:p>
          <w:p w14:paraId="02842D8D" w14:textId="77777777" w:rsidR="00D80AEC" w:rsidRPr="000224F2" w:rsidRDefault="00D80AEC" w:rsidP="00991B6C">
            <w:pPr>
              <w:pStyle w:val="ListParagraph"/>
              <w:numPr>
                <w:ilvl w:val="0"/>
                <w:numId w:val="27"/>
              </w:numPr>
              <w:spacing w:before="60" w:after="60" w:line="240" w:lineRule="auto"/>
              <w:ind w:left="253" w:hanging="253"/>
              <w:rPr>
                <w:rFonts w:asciiTheme="minorHAnsi" w:hAnsiTheme="minorHAnsi"/>
                <w:sz w:val="18"/>
                <w:szCs w:val="18"/>
              </w:rPr>
            </w:pPr>
            <w:r w:rsidRPr="000224F2">
              <w:rPr>
                <w:rFonts w:asciiTheme="minorHAnsi" w:hAnsiTheme="minorHAnsi"/>
                <w:sz w:val="18"/>
                <w:szCs w:val="18"/>
              </w:rPr>
              <w:t>Support to sustainable resource use in buffer areas</w:t>
            </w:r>
            <w:r>
              <w:rPr>
                <w:rFonts w:asciiTheme="minorHAnsi" w:hAnsiTheme="minorHAnsi"/>
                <w:sz w:val="18"/>
                <w:szCs w:val="18"/>
              </w:rPr>
              <w:t xml:space="preserve"> </w:t>
            </w:r>
            <w:r w:rsidRPr="000224F2">
              <w:rPr>
                <w:rFonts w:asciiTheme="minorHAnsi" w:hAnsiTheme="minorHAnsi"/>
                <w:sz w:val="18"/>
                <w:szCs w:val="18"/>
              </w:rPr>
              <w:t>- 2 cooperatives in / around Kintrishi, including:  hazelnut cleaning machine and 30 functional beehives (all with bee families)</w:t>
            </w:r>
          </w:p>
          <w:p w14:paraId="23D425AF" w14:textId="77777777" w:rsidR="00D80AEC" w:rsidRDefault="00D80AEC" w:rsidP="00D80AEC">
            <w:pPr>
              <w:pStyle w:val="ListParagraph"/>
              <w:spacing w:before="60" w:after="60"/>
              <w:ind w:left="253"/>
              <w:rPr>
                <w:rFonts w:asciiTheme="minorHAnsi" w:hAnsiTheme="minorHAnsi"/>
                <w:sz w:val="18"/>
                <w:szCs w:val="18"/>
              </w:rPr>
            </w:pPr>
            <w:r>
              <w:rPr>
                <w:rFonts w:asciiTheme="minorHAnsi" w:hAnsiTheme="minorHAnsi"/>
                <w:sz w:val="18"/>
                <w:szCs w:val="18"/>
              </w:rPr>
              <w:t>Evidence: procurement documents, equipment in-situ</w:t>
            </w:r>
          </w:p>
          <w:p w14:paraId="1CB66B8B" w14:textId="77777777" w:rsidR="00D80AEC" w:rsidRPr="00A309DB" w:rsidRDefault="00D80AEC" w:rsidP="00991B6C">
            <w:pPr>
              <w:pStyle w:val="ListParagraph"/>
              <w:numPr>
                <w:ilvl w:val="0"/>
                <w:numId w:val="27"/>
              </w:numPr>
              <w:spacing w:before="60" w:after="0" w:line="240" w:lineRule="auto"/>
              <w:ind w:left="255" w:hanging="255"/>
              <w:rPr>
                <w:rFonts w:asciiTheme="minorHAnsi" w:hAnsiTheme="minorHAnsi"/>
                <w:sz w:val="18"/>
                <w:szCs w:val="18"/>
              </w:rPr>
            </w:pPr>
            <w:r>
              <w:rPr>
                <w:rFonts w:asciiTheme="minorHAnsi" w:hAnsiTheme="minorHAnsi"/>
                <w:sz w:val="18"/>
                <w:szCs w:val="18"/>
              </w:rPr>
              <w:t>Scientific Consultative Council Mtirala NP, 10 members- Evidence: Ministers decision I-525</w:t>
            </w:r>
          </w:p>
        </w:tc>
        <w:tc>
          <w:tcPr>
            <w:tcW w:w="829" w:type="pct"/>
            <w:shd w:val="clear" w:color="auto" w:fill="DBE5F1"/>
            <w:tcMar>
              <w:top w:w="28" w:type="dxa"/>
              <w:bottom w:w="28" w:type="dxa"/>
              <w:right w:w="57" w:type="dxa"/>
            </w:tcMar>
          </w:tcPr>
          <w:p w14:paraId="1D486A1F" w14:textId="77777777" w:rsidR="00D80AEC" w:rsidRDefault="00D80AEC" w:rsidP="00991B6C">
            <w:pPr>
              <w:numPr>
                <w:ilvl w:val="0"/>
                <w:numId w:val="25"/>
              </w:numPr>
              <w:tabs>
                <w:tab w:val="clear" w:pos="360"/>
              </w:tabs>
              <w:overflowPunct/>
              <w:autoSpaceDE/>
              <w:autoSpaceDN/>
              <w:adjustRightInd/>
              <w:spacing w:before="60" w:after="60"/>
              <w:ind w:left="402" w:hanging="312"/>
              <w:textAlignment w:val="auto"/>
              <w:rPr>
                <w:rFonts w:asciiTheme="minorHAnsi" w:hAnsiTheme="minorHAnsi"/>
                <w:sz w:val="18"/>
                <w:szCs w:val="18"/>
              </w:rPr>
            </w:pPr>
            <w:r>
              <w:rPr>
                <w:rFonts w:asciiTheme="minorHAnsi" w:hAnsiTheme="minorHAnsi"/>
                <w:sz w:val="18"/>
                <w:szCs w:val="18"/>
              </w:rPr>
              <w:t>.</w:t>
            </w:r>
          </w:p>
          <w:p w14:paraId="7E1BEAB2" w14:textId="77777777" w:rsidR="00D80AEC" w:rsidRPr="008F5447" w:rsidRDefault="00D80AEC" w:rsidP="00D80AEC">
            <w:pPr>
              <w:spacing w:before="60"/>
              <w:rPr>
                <w:rFonts w:asciiTheme="minorHAnsi" w:hAnsiTheme="minorHAnsi"/>
                <w:b/>
                <w:sz w:val="18"/>
                <w:szCs w:val="18"/>
                <w:highlight w:val="cyan"/>
              </w:rPr>
            </w:pPr>
            <w:r w:rsidRPr="008F5447">
              <w:rPr>
                <w:rFonts w:asciiTheme="minorHAnsi" w:hAnsiTheme="minorHAnsi"/>
                <w:b/>
                <w:sz w:val="18"/>
                <w:szCs w:val="18"/>
                <w:highlight w:val="cyan"/>
              </w:rPr>
              <w:t>Note:</w:t>
            </w:r>
          </w:p>
          <w:p w14:paraId="10079ACA" w14:textId="77777777" w:rsidR="00D80AEC" w:rsidRPr="00A309DB" w:rsidRDefault="00D80AEC" w:rsidP="00D80AEC">
            <w:pPr>
              <w:spacing w:after="60"/>
              <w:rPr>
                <w:rFonts w:asciiTheme="minorHAnsi" w:hAnsiTheme="minorHAnsi"/>
                <w:sz w:val="18"/>
                <w:szCs w:val="18"/>
              </w:rPr>
            </w:pPr>
            <w:r w:rsidRPr="00A309DB">
              <w:rPr>
                <w:rFonts w:asciiTheme="minorHAnsi" w:hAnsiTheme="minorHAnsi"/>
                <w:sz w:val="18"/>
                <w:szCs w:val="18"/>
              </w:rPr>
              <w:t>A.  Management plans for Kintrishi and Mtirala developed by other donors (KFW SPPA and EU Twinning, respectively)</w:t>
            </w:r>
          </w:p>
          <w:p w14:paraId="0EC9EF0F" w14:textId="77777777" w:rsidR="00D80AEC" w:rsidRPr="00A309DB" w:rsidRDefault="00D80AEC" w:rsidP="00D80AEC">
            <w:pPr>
              <w:spacing w:before="60" w:after="60"/>
              <w:rPr>
                <w:rFonts w:asciiTheme="minorHAnsi" w:hAnsiTheme="minorHAnsi"/>
                <w:sz w:val="18"/>
                <w:szCs w:val="18"/>
              </w:rPr>
            </w:pPr>
            <w:r>
              <w:rPr>
                <w:rFonts w:asciiTheme="minorHAnsi" w:hAnsiTheme="minorHAnsi"/>
                <w:sz w:val="18"/>
                <w:szCs w:val="18"/>
              </w:rPr>
              <w:t>Standard format for management plan</w:t>
            </w:r>
            <w:r w:rsidRPr="00A309DB">
              <w:rPr>
                <w:rFonts w:asciiTheme="minorHAnsi" w:hAnsiTheme="minorHAnsi"/>
                <w:sz w:val="18"/>
                <w:szCs w:val="18"/>
              </w:rPr>
              <w:t>s developed under EU Twinning project and officially adopted by APA.</w:t>
            </w:r>
          </w:p>
          <w:p w14:paraId="73E4C459" w14:textId="77777777" w:rsidR="00D80AEC" w:rsidRPr="0044734F" w:rsidRDefault="00D80AEC" w:rsidP="00D80AEC">
            <w:pPr>
              <w:spacing w:before="60" w:after="60"/>
              <w:rPr>
                <w:rFonts w:asciiTheme="minorHAnsi" w:hAnsiTheme="minorHAnsi"/>
                <w:sz w:val="18"/>
                <w:szCs w:val="18"/>
              </w:rPr>
            </w:pPr>
            <w:r w:rsidRPr="00A309DB">
              <w:rPr>
                <w:rFonts w:asciiTheme="minorHAnsi" w:hAnsiTheme="minorHAnsi"/>
                <w:sz w:val="18"/>
                <w:szCs w:val="18"/>
              </w:rPr>
              <w:t>B. CBO for Kintrishi established under KfW SPPA project.</w:t>
            </w:r>
          </w:p>
        </w:tc>
      </w:tr>
      <w:tr w:rsidR="00D80AEC" w:rsidRPr="0044734F" w14:paraId="4FC9D131" w14:textId="77777777" w:rsidTr="00D80AEC">
        <w:trPr>
          <w:trHeight w:val="892"/>
          <w:jc w:val="center"/>
        </w:trPr>
        <w:tc>
          <w:tcPr>
            <w:tcW w:w="806" w:type="pct"/>
            <w:tcMar>
              <w:top w:w="28" w:type="dxa"/>
              <w:bottom w:w="28" w:type="dxa"/>
              <w:right w:w="57" w:type="dxa"/>
            </w:tcMar>
          </w:tcPr>
          <w:p w14:paraId="7BA03D53" w14:textId="77777777" w:rsidR="00D80AEC" w:rsidRPr="0044734F" w:rsidRDefault="00D80AEC" w:rsidP="00D80AEC">
            <w:pPr>
              <w:rPr>
                <w:rFonts w:asciiTheme="minorHAnsi" w:hAnsiTheme="minorHAnsi"/>
                <w:sz w:val="18"/>
                <w:szCs w:val="18"/>
              </w:rPr>
            </w:pPr>
            <w:r w:rsidRPr="0044734F">
              <w:rPr>
                <w:rFonts w:asciiTheme="minorHAnsi" w:hAnsiTheme="minorHAnsi"/>
                <w:b/>
                <w:sz w:val="18"/>
                <w:szCs w:val="18"/>
              </w:rPr>
              <w:lastRenderedPageBreak/>
              <w:t xml:space="preserve">1.3: </w:t>
            </w:r>
            <w:r w:rsidRPr="00515A1E">
              <w:rPr>
                <w:rFonts w:ascii="Calibri" w:hAnsi="Calibri"/>
                <w:sz w:val="18"/>
                <w:szCs w:val="18"/>
              </w:rPr>
              <w:t>Future financial needs of the Kintrishi and Mtirala PAs addressed by developing mechanisms to generate finances on the scale needed to address emerging long term pressures on biodiversity</w:t>
            </w:r>
            <w:r>
              <w:rPr>
                <w:rFonts w:ascii="Calibri" w:hAnsi="Calibri"/>
                <w:sz w:val="18"/>
                <w:szCs w:val="18"/>
              </w:rPr>
              <w:t>.</w:t>
            </w:r>
          </w:p>
        </w:tc>
        <w:tc>
          <w:tcPr>
            <w:tcW w:w="3365" w:type="pct"/>
            <w:shd w:val="clear" w:color="auto" w:fill="FDE9D9"/>
            <w:tcMar>
              <w:top w:w="28" w:type="dxa"/>
              <w:bottom w:w="28" w:type="dxa"/>
              <w:right w:w="57" w:type="dxa"/>
            </w:tcMar>
          </w:tcPr>
          <w:p w14:paraId="4D5D8CD7" w14:textId="77777777" w:rsidR="00D80AEC" w:rsidRDefault="00D80AEC" w:rsidP="00991B6C">
            <w:pPr>
              <w:pStyle w:val="ListParagraph"/>
              <w:numPr>
                <w:ilvl w:val="0"/>
                <w:numId w:val="27"/>
              </w:numPr>
              <w:spacing w:after="60" w:line="240" w:lineRule="auto"/>
              <w:ind w:left="255" w:hanging="255"/>
              <w:rPr>
                <w:rFonts w:asciiTheme="minorHAnsi" w:hAnsiTheme="minorHAnsi"/>
                <w:sz w:val="18"/>
                <w:szCs w:val="18"/>
              </w:rPr>
            </w:pPr>
            <w:r>
              <w:rPr>
                <w:rFonts w:asciiTheme="minorHAnsi" w:hAnsiTheme="minorHAnsi"/>
                <w:sz w:val="18"/>
                <w:szCs w:val="18"/>
              </w:rPr>
              <w:t>Ecosystem service valuation report, including review and recommendation of PA financing options. Evidence: report</w:t>
            </w:r>
          </w:p>
          <w:p w14:paraId="18F0FF55" w14:textId="77777777" w:rsidR="00D80AEC" w:rsidRDefault="00D80AEC" w:rsidP="00991B6C">
            <w:pPr>
              <w:pStyle w:val="ListParagraph"/>
              <w:numPr>
                <w:ilvl w:val="0"/>
                <w:numId w:val="27"/>
              </w:numPr>
              <w:spacing w:before="60" w:after="60" w:line="240" w:lineRule="auto"/>
              <w:ind w:left="253" w:hanging="253"/>
              <w:rPr>
                <w:rFonts w:asciiTheme="minorHAnsi" w:hAnsiTheme="minorHAnsi"/>
                <w:sz w:val="18"/>
                <w:szCs w:val="18"/>
              </w:rPr>
            </w:pPr>
            <w:r>
              <w:rPr>
                <w:rFonts w:asciiTheme="minorHAnsi" w:hAnsiTheme="minorHAnsi"/>
                <w:sz w:val="18"/>
                <w:szCs w:val="18"/>
              </w:rPr>
              <w:t>Printing of Ecosystem Services Report (200 copies) and dissemination during project meetings/events. Evidence: printed report</w:t>
            </w:r>
          </w:p>
          <w:p w14:paraId="70801094" w14:textId="77777777" w:rsidR="00D80AEC" w:rsidRDefault="00D80AEC" w:rsidP="00991B6C">
            <w:pPr>
              <w:pStyle w:val="ListParagraph"/>
              <w:numPr>
                <w:ilvl w:val="0"/>
                <w:numId w:val="27"/>
              </w:numPr>
              <w:spacing w:before="60" w:after="60" w:line="240" w:lineRule="auto"/>
              <w:ind w:left="253" w:hanging="253"/>
              <w:rPr>
                <w:rFonts w:asciiTheme="minorHAnsi" w:hAnsiTheme="minorHAnsi"/>
                <w:sz w:val="18"/>
                <w:szCs w:val="18"/>
              </w:rPr>
            </w:pPr>
            <w:r>
              <w:rPr>
                <w:rFonts w:asciiTheme="minorHAnsi" w:hAnsiTheme="minorHAnsi"/>
                <w:sz w:val="18"/>
                <w:szCs w:val="18"/>
              </w:rPr>
              <w:t xml:space="preserve">Achara PA system Tourism Strategy. Evidence: strategy document </w:t>
            </w:r>
          </w:p>
          <w:p w14:paraId="7C090083" w14:textId="77777777" w:rsidR="00D80AEC" w:rsidRDefault="00D80AEC" w:rsidP="00991B6C">
            <w:pPr>
              <w:pStyle w:val="ListParagraph"/>
              <w:numPr>
                <w:ilvl w:val="0"/>
                <w:numId w:val="27"/>
              </w:numPr>
              <w:spacing w:before="60" w:after="60" w:line="240" w:lineRule="auto"/>
              <w:ind w:left="253" w:hanging="253"/>
              <w:rPr>
                <w:rFonts w:asciiTheme="minorHAnsi" w:hAnsiTheme="minorHAnsi"/>
                <w:sz w:val="18"/>
                <w:szCs w:val="18"/>
              </w:rPr>
            </w:pPr>
            <w:r>
              <w:rPr>
                <w:rFonts w:asciiTheme="minorHAnsi" w:hAnsiTheme="minorHAnsi"/>
                <w:sz w:val="18"/>
                <w:szCs w:val="18"/>
              </w:rPr>
              <w:t>Kintrishi PAs and Mtirala NP (and Machakhela NP) Tourism Strategy and Action Plans. Evidence: contractor report and strategy documents</w:t>
            </w:r>
          </w:p>
          <w:p w14:paraId="0065A073" w14:textId="77777777" w:rsidR="00D80AEC" w:rsidRPr="00562AE2" w:rsidRDefault="00D80AEC" w:rsidP="00D80AEC">
            <w:pPr>
              <w:rPr>
                <w:rFonts w:asciiTheme="minorHAnsi" w:hAnsiTheme="minorHAnsi"/>
                <w:sz w:val="18"/>
                <w:szCs w:val="18"/>
              </w:rPr>
            </w:pPr>
            <w:r w:rsidRPr="00562AE2">
              <w:rPr>
                <w:rFonts w:asciiTheme="minorHAnsi" w:hAnsiTheme="minorHAnsi"/>
                <w:sz w:val="18"/>
                <w:szCs w:val="18"/>
              </w:rPr>
              <w:t>Assessment and recommendations on Mtirala investment needs</w:t>
            </w:r>
            <w:r>
              <w:rPr>
                <w:rFonts w:asciiTheme="minorHAnsi" w:hAnsiTheme="minorHAnsi"/>
                <w:sz w:val="18"/>
                <w:szCs w:val="18"/>
              </w:rPr>
              <w:t xml:space="preserve"> in regard to main entrance point</w:t>
            </w:r>
            <w:r w:rsidRPr="00562AE2">
              <w:rPr>
                <w:rFonts w:asciiTheme="minorHAnsi" w:hAnsiTheme="minorHAnsi"/>
                <w:sz w:val="18"/>
                <w:szCs w:val="18"/>
              </w:rPr>
              <w:t xml:space="preserve"> </w:t>
            </w:r>
            <w:r>
              <w:rPr>
                <w:rFonts w:asciiTheme="minorHAnsi" w:hAnsiTheme="minorHAnsi"/>
                <w:sz w:val="18"/>
                <w:szCs w:val="18"/>
              </w:rPr>
              <w:t>(see pp. 13-19 in</w:t>
            </w:r>
            <w:r w:rsidRPr="00B53059">
              <w:rPr>
                <w:rFonts w:asciiTheme="minorHAnsi" w:hAnsiTheme="minorHAnsi"/>
                <w:sz w:val="18"/>
                <w:szCs w:val="18"/>
              </w:rPr>
              <w:t xml:space="preserve">: </w:t>
            </w:r>
            <w:r w:rsidRPr="00E84E4E">
              <w:rPr>
                <w:rFonts w:asciiTheme="minorHAnsi" w:hAnsiTheme="minorHAnsi"/>
                <w:iCs/>
                <w:sz w:val="18"/>
                <w:szCs w:val="18"/>
              </w:rPr>
              <w:t>Feasibility Study of Income Generation Projects in Machakhela and Mtirala National Parks</w:t>
            </w:r>
            <w:r>
              <w:rPr>
                <w:rFonts w:asciiTheme="minorHAnsi" w:hAnsiTheme="minorHAnsi"/>
                <w:sz w:val="18"/>
                <w:szCs w:val="18"/>
              </w:rPr>
              <w:t>)</w:t>
            </w:r>
          </w:p>
        </w:tc>
        <w:tc>
          <w:tcPr>
            <w:tcW w:w="829" w:type="pct"/>
            <w:shd w:val="clear" w:color="auto" w:fill="DBE5F1"/>
            <w:tcMar>
              <w:top w:w="28" w:type="dxa"/>
              <w:bottom w:w="28" w:type="dxa"/>
              <w:right w:w="57" w:type="dxa"/>
            </w:tcMar>
          </w:tcPr>
          <w:p w14:paraId="55C8FCD2" w14:textId="77777777" w:rsidR="00D80AEC" w:rsidRDefault="00D80AEC" w:rsidP="00991B6C">
            <w:pPr>
              <w:numPr>
                <w:ilvl w:val="0"/>
                <w:numId w:val="25"/>
              </w:numPr>
              <w:tabs>
                <w:tab w:val="clear" w:pos="360"/>
              </w:tabs>
              <w:overflowPunct/>
              <w:autoSpaceDE/>
              <w:autoSpaceDN/>
              <w:adjustRightInd/>
              <w:spacing w:before="60" w:after="60"/>
              <w:ind w:left="402" w:hanging="312"/>
              <w:textAlignment w:val="auto"/>
              <w:rPr>
                <w:rFonts w:asciiTheme="minorHAnsi" w:hAnsiTheme="minorHAnsi"/>
                <w:sz w:val="18"/>
                <w:szCs w:val="18"/>
              </w:rPr>
            </w:pPr>
            <w:r>
              <w:rPr>
                <w:rFonts w:asciiTheme="minorHAnsi" w:hAnsiTheme="minorHAnsi"/>
                <w:sz w:val="18"/>
                <w:szCs w:val="18"/>
              </w:rPr>
              <w:t>.</w:t>
            </w:r>
          </w:p>
          <w:p w14:paraId="1A97E21A" w14:textId="6B74F4FA" w:rsidR="00D80AEC" w:rsidRPr="00A16296" w:rsidRDefault="00D80AEC" w:rsidP="00A16296">
            <w:pPr>
              <w:spacing w:before="60"/>
              <w:rPr>
                <w:rFonts w:asciiTheme="minorHAnsi" w:hAnsiTheme="minorHAnsi"/>
                <w:b/>
                <w:sz w:val="18"/>
                <w:szCs w:val="18"/>
              </w:rPr>
            </w:pPr>
            <w:r w:rsidRPr="00121E43">
              <w:rPr>
                <w:rFonts w:asciiTheme="minorHAnsi" w:hAnsiTheme="minorHAnsi"/>
                <w:b/>
                <w:sz w:val="18"/>
                <w:szCs w:val="18"/>
                <w:highlight w:val="cyan"/>
              </w:rPr>
              <w:t xml:space="preserve">Note: </w:t>
            </w:r>
            <w:r w:rsidR="00E07D30">
              <w:rPr>
                <w:rFonts w:asciiTheme="minorHAnsi" w:hAnsiTheme="minorHAnsi"/>
                <w:sz w:val="18"/>
                <w:szCs w:val="18"/>
              </w:rPr>
              <w:t>Given</w:t>
            </w:r>
            <w:r w:rsidR="00E07D30" w:rsidRPr="00E07D30">
              <w:rPr>
                <w:rFonts w:asciiTheme="minorHAnsi" w:hAnsiTheme="minorHAnsi"/>
                <w:sz w:val="18"/>
                <w:szCs w:val="18"/>
              </w:rPr>
              <w:t xml:space="preserve"> the centralized financial control </w:t>
            </w:r>
            <w:r w:rsidR="00E07D30">
              <w:rPr>
                <w:rFonts w:asciiTheme="minorHAnsi" w:hAnsiTheme="minorHAnsi"/>
                <w:sz w:val="18"/>
                <w:szCs w:val="18"/>
              </w:rPr>
              <w:t>systems in place</w:t>
            </w:r>
            <w:r w:rsidR="00E07D30" w:rsidRPr="00E07D30">
              <w:rPr>
                <w:rFonts w:asciiTheme="minorHAnsi" w:hAnsiTheme="minorHAnsi"/>
                <w:sz w:val="18"/>
                <w:szCs w:val="18"/>
              </w:rPr>
              <w:t xml:space="preserve"> and that all income generated </w:t>
            </w:r>
            <w:r w:rsidR="00E07D30">
              <w:rPr>
                <w:rFonts w:asciiTheme="minorHAnsi" w:hAnsiTheme="minorHAnsi"/>
                <w:sz w:val="18"/>
                <w:szCs w:val="18"/>
              </w:rPr>
              <w:t>by PAs (e.g.</w:t>
            </w:r>
            <w:r w:rsidR="00E07D30" w:rsidRPr="00E07D30">
              <w:rPr>
                <w:rFonts w:asciiTheme="minorHAnsi" w:hAnsiTheme="minorHAnsi"/>
                <w:sz w:val="18"/>
                <w:szCs w:val="18"/>
              </w:rPr>
              <w:t>tourism services,</w:t>
            </w:r>
            <w:r w:rsidR="00E07D30">
              <w:rPr>
                <w:rFonts w:asciiTheme="minorHAnsi" w:hAnsiTheme="minorHAnsi"/>
                <w:sz w:val="18"/>
                <w:szCs w:val="18"/>
              </w:rPr>
              <w:t xml:space="preserve"> r</w:t>
            </w:r>
            <w:r w:rsidR="00E07D30" w:rsidRPr="00E07D30">
              <w:rPr>
                <w:rFonts w:asciiTheme="minorHAnsi" w:hAnsiTheme="minorHAnsi"/>
                <w:sz w:val="18"/>
                <w:szCs w:val="18"/>
              </w:rPr>
              <w:t>esource use</w:t>
            </w:r>
            <w:r w:rsidR="00E07D30">
              <w:rPr>
                <w:rFonts w:asciiTheme="minorHAnsi" w:hAnsiTheme="minorHAnsi"/>
                <w:sz w:val="18"/>
                <w:szCs w:val="18"/>
              </w:rPr>
              <w:t>,</w:t>
            </w:r>
            <w:r w:rsidR="00E07D30" w:rsidRPr="00E07D30">
              <w:rPr>
                <w:rFonts w:asciiTheme="minorHAnsi" w:hAnsiTheme="minorHAnsi"/>
                <w:sz w:val="18"/>
                <w:szCs w:val="18"/>
              </w:rPr>
              <w:t xml:space="preserve"> </w:t>
            </w:r>
            <w:r w:rsidR="00E07D30">
              <w:rPr>
                <w:rFonts w:asciiTheme="minorHAnsi" w:hAnsiTheme="minorHAnsi"/>
                <w:sz w:val="18"/>
                <w:szCs w:val="18"/>
              </w:rPr>
              <w:t>fines) reverts</w:t>
            </w:r>
            <w:r w:rsidR="00A16296">
              <w:rPr>
                <w:rFonts w:asciiTheme="minorHAnsi" w:hAnsiTheme="minorHAnsi"/>
                <w:sz w:val="18"/>
                <w:szCs w:val="18"/>
              </w:rPr>
              <w:t xml:space="preserve"> directly to APA,</w:t>
            </w:r>
            <w:r w:rsidR="00E07D30" w:rsidRPr="00E07D30">
              <w:rPr>
                <w:rFonts w:asciiTheme="minorHAnsi" w:hAnsiTheme="minorHAnsi"/>
                <w:sz w:val="18"/>
                <w:szCs w:val="18"/>
              </w:rPr>
              <w:t xml:space="preserve"> </w:t>
            </w:r>
            <w:r w:rsidR="00E07D30">
              <w:rPr>
                <w:rFonts w:asciiTheme="minorHAnsi" w:hAnsiTheme="minorHAnsi"/>
                <w:sz w:val="18"/>
                <w:szCs w:val="18"/>
              </w:rPr>
              <w:t xml:space="preserve">the assessment concluded that </w:t>
            </w:r>
            <w:r w:rsidR="00E07D30" w:rsidRPr="00E07D30">
              <w:rPr>
                <w:rFonts w:asciiTheme="minorHAnsi" w:hAnsiTheme="minorHAnsi"/>
                <w:sz w:val="18"/>
                <w:szCs w:val="18"/>
              </w:rPr>
              <w:t xml:space="preserve">individual </w:t>
            </w:r>
            <w:r w:rsidR="00E07D30">
              <w:rPr>
                <w:rFonts w:asciiTheme="minorHAnsi" w:hAnsiTheme="minorHAnsi"/>
                <w:sz w:val="18"/>
                <w:szCs w:val="18"/>
              </w:rPr>
              <w:t>PAs</w:t>
            </w:r>
            <w:r w:rsidR="00E07D30" w:rsidRPr="00E07D30">
              <w:rPr>
                <w:rFonts w:asciiTheme="minorHAnsi" w:hAnsiTheme="minorHAnsi"/>
                <w:sz w:val="18"/>
                <w:szCs w:val="18"/>
              </w:rPr>
              <w:t xml:space="preserve"> d</w:t>
            </w:r>
            <w:r w:rsidR="00E07D30">
              <w:rPr>
                <w:rFonts w:asciiTheme="minorHAnsi" w:hAnsiTheme="minorHAnsi"/>
                <w:sz w:val="18"/>
                <w:szCs w:val="18"/>
              </w:rPr>
              <w:t>o</w:t>
            </w:r>
            <w:r w:rsidR="00E07D30" w:rsidRPr="00E07D30">
              <w:rPr>
                <w:rFonts w:asciiTheme="minorHAnsi" w:hAnsiTheme="minorHAnsi"/>
                <w:sz w:val="18"/>
                <w:szCs w:val="18"/>
              </w:rPr>
              <w:t xml:space="preserve"> not have sufficient control or delegat</w:t>
            </w:r>
            <w:r w:rsidR="00A16296">
              <w:rPr>
                <w:rFonts w:asciiTheme="minorHAnsi" w:hAnsiTheme="minorHAnsi"/>
                <w:sz w:val="18"/>
                <w:szCs w:val="18"/>
              </w:rPr>
              <w:t>ed powers</w:t>
            </w:r>
            <w:r w:rsidR="00E07D30" w:rsidRPr="00E07D30">
              <w:rPr>
                <w:rFonts w:asciiTheme="minorHAnsi" w:hAnsiTheme="minorHAnsi"/>
                <w:sz w:val="18"/>
                <w:szCs w:val="18"/>
              </w:rPr>
              <w:t xml:space="preserve"> to develop PA specific Business Plans. </w:t>
            </w:r>
            <w:r w:rsidR="00A16296">
              <w:rPr>
                <w:rFonts w:asciiTheme="minorHAnsi" w:hAnsiTheme="minorHAnsi"/>
                <w:sz w:val="18"/>
                <w:szCs w:val="18"/>
              </w:rPr>
              <w:t xml:space="preserve">Thus, </w:t>
            </w:r>
            <w:r w:rsidR="00E07D30" w:rsidRPr="00E07D30">
              <w:rPr>
                <w:rFonts w:asciiTheme="minorHAnsi" w:hAnsiTheme="minorHAnsi"/>
                <w:sz w:val="18"/>
                <w:szCs w:val="18"/>
              </w:rPr>
              <w:t xml:space="preserve">it was decided </w:t>
            </w:r>
            <w:r w:rsidR="00A16296">
              <w:rPr>
                <w:rFonts w:asciiTheme="minorHAnsi" w:hAnsiTheme="minorHAnsi"/>
                <w:sz w:val="18"/>
                <w:szCs w:val="18"/>
              </w:rPr>
              <w:t xml:space="preserve">it would be </w:t>
            </w:r>
            <w:r w:rsidR="00E07D30" w:rsidRPr="00E07D30">
              <w:rPr>
                <w:rFonts w:asciiTheme="minorHAnsi" w:hAnsiTheme="minorHAnsi"/>
                <w:sz w:val="18"/>
                <w:szCs w:val="18"/>
              </w:rPr>
              <w:t xml:space="preserve">best </w:t>
            </w:r>
            <w:r w:rsidR="00A16296">
              <w:rPr>
                <w:rFonts w:asciiTheme="minorHAnsi" w:hAnsiTheme="minorHAnsi"/>
                <w:sz w:val="18"/>
                <w:szCs w:val="18"/>
              </w:rPr>
              <w:t>t</w:t>
            </w:r>
            <w:r w:rsidR="00E07D30" w:rsidRPr="00E07D30">
              <w:rPr>
                <w:rFonts w:asciiTheme="minorHAnsi" w:hAnsiTheme="minorHAnsi"/>
                <w:sz w:val="18"/>
                <w:szCs w:val="18"/>
              </w:rPr>
              <w:t xml:space="preserve">o introduce some </w:t>
            </w:r>
            <w:r w:rsidR="00A16296">
              <w:rPr>
                <w:rFonts w:asciiTheme="minorHAnsi" w:hAnsiTheme="minorHAnsi"/>
                <w:sz w:val="18"/>
                <w:szCs w:val="18"/>
              </w:rPr>
              <w:t>financial planning into the 3-</w:t>
            </w:r>
            <w:r w:rsidR="00E07D30" w:rsidRPr="00E07D30">
              <w:rPr>
                <w:rFonts w:asciiTheme="minorHAnsi" w:hAnsiTheme="minorHAnsi"/>
                <w:sz w:val="18"/>
                <w:szCs w:val="18"/>
              </w:rPr>
              <w:t xml:space="preserve">year OP (including identification of likely funding gaps and opportunities </w:t>
            </w:r>
            <w:r w:rsidR="00A16296">
              <w:rPr>
                <w:rFonts w:asciiTheme="minorHAnsi" w:hAnsiTheme="minorHAnsi"/>
                <w:sz w:val="18"/>
                <w:szCs w:val="18"/>
              </w:rPr>
              <w:t>to fill them). T</w:t>
            </w:r>
            <w:r w:rsidR="00E07D30" w:rsidRPr="00E07D30">
              <w:rPr>
                <w:rFonts w:asciiTheme="minorHAnsi" w:hAnsiTheme="minorHAnsi"/>
                <w:sz w:val="18"/>
                <w:szCs w:val="18"/>
              </w:rPr>
              <w:t xml:space="preserve">his would provide some basis for systematic action and </w:t>
            </w:r>
            <w:r w:rsidR="00A16296">
              <w:rPr>
                <w:rFonts w:asciiTheme="minorHAnsi" w:hAnsiTheme="minorHAnsi"/>
                <w:sz w:val="18"/>
                <w:szCs w:val="18"/>
              </w:rPr>
              <w:t>prepare for</w:t>
            </w:r>
            <w:r w:rsidR="00E07D30" w:rsidRPr="00E07D30">
              <w:rPr>
                <w:rFonts w:asciiTheme="minorHAnsi" w:hAnsiTheme="minorHAnsi"/>
                <w:sz w:val="18"/>
                <w:szCs w:val="18"/>
              </w:rPr>
              <w:t xml:space="preserve"> extension of financial planning </w:t>
            </w:r>
            <w:r w:rsidR="00A16296">
              <w:rPr>
                <w:rFonts w:asciiTheme="minorHAnsi" w:hAnsiTheme="minorHAnsi"/>
                <w:sz w:val="18"/>
                <w:szCs w:val="18"/>
              </w:rPr>
              <w:t>as</w:t>
            </w:r>
            <w:r w:rsidR="00E07D30" w:rsidRPr="00E07D30">
              <w:rPr>
                <w:rFonts w:asciiTheme="minorHAnsi" w:hAnsiTheme="minorHAnsi"/>
                <w:sz w:val="18"/>
                <w:szCs w:val="18"/>
              </w:rPr>
              <w:t xml:space="preserve">/when </w:t>
            </w:r>
            <w:r w:rsidR="00A16296">
              <w:rPr>
                <w:rFonts w:asciiTheme="minorHAnsi" w:hAnsiTheme="minorHAnsi"/>
                <w:sz w:val="18"/>
                <w:szCs w:val="18"/>
              </w:rPr>
              <w:t xml:space="preserve">APA </w:t>
            </w:r>
            <w:r w:rsidR="00E07D30" w:rsidRPr="00E07D30">
              <w:rPr>
                <w:rFonts w:asciiTheme="minorHAnsi" w:hAnsiTheme="minorHAnsi"/>
                <w:sz w:val="18"/>
                <w:szCs w:val="18"/>
              </w:rPr>
              <w:t>decentraliz</w:t>
            </w:r>
            <w:r w:rsidR="00A16296">
              <w:rPr>
                <w:rFonts w:asciiTheme="minorHAnsi" w:hAnsiTheme="minorHAnsi"/>
                <w:sz w:val="18"/>
                <w:szCs w:val="18"/>
              </w:rPr>
              <w:t>es planningd by APA.</w:t>
            </w:r>
          </w:p>
        </w:tc>
      </w:tr>
      <w:tr w:rsidR="00D80AEC" w:rsidRPr="0044734F" w14:paraId="057D6001" w14:textId="77777777" w:rsidTr="00D80AEC">
        <w:trPr>
          <w:trHeight w:val="274"/>
          <w:jc w:val="center"/>
        </w:trPr>
        <w:tc>
          <w:tcPr>
            <w:tcW w:w="5000" w:type="pct"/>
            <w:gridSpan w:val="3"/>
            <w:shd w:val="clear" w:color="auto" w:fill="E6E6E6"/>
            <w:tcMar>
              <w:top w:w="28" w:type="dxa"/>
              <w:bottom w:w="28" w:type="dxa"/>
              <w:right w:w="57" w:type="dxa"/>
            </w:tcMar>
          </w:tcPr>
          <w:p w14:paraId="0C6B2529" w14:textId="77777777" w:rsidR="00D80AEC" w:rsidRPr="0044734F" w:rsidRDefault="00D80AEC" w:rsidP="00D80AEC">
            <w:pPr>
              <w:pStyle w:val="Default"/>
              <w:spacing w:before="60" w:after="60"/>
              <w:rPr>
                <w:rFonts w:asciiTheme="minorHAnsi" w:hAnsiTheme="minorHAnsi"/>
                <w:sz w:val="18"/>
                <w:szCs w:val="18"/>
              </w:rPr>
            </w:pPr>
            <w:r w:rsidRPr="0044734F">
              <w:rPr>
                <w:rFonts w:asciiTheme="minorHAnsi" w:hAnsiTheme="minorHAnsi"/>
                <w:b/>
                <w:sz w:val="18"/>
                <w:szCs w:val="18"/>
              </w:rPr>
              <w:t xml:space="preserve">Outcome 2: </w:t>
            </w:r>
            <w:r w:rsidRPr="00BF17C6">
              <w:rPr>
                <w:rFonts w:ascii="Calibri" w:hAnsi="Calibri"/>
                <w:sz w:val="18"/>
                <w:szCs w:val="18"/>
              </w:rPr>
              <w:t>PA System Expanded to increase functional connectivity of PAs in the West Lesser Caucasus</w:t>
            </w:r>
          </w:p>
        </w:tc>
      </w:tr>
      <w:tr w:rsidR="00D80AEC" w:rsidRPr="0044734F" w14:paraId="6088FF62" w14:textId="77777777" w:rsidTr="00D80AEC">
        <w:trPr>
          <w:trHeight w:val="274"/>
          <w:jc w:val="center"/>
        </w:trPr>
        <w:tc>
          <w:tcPr>
            <w:tcW w:w="806" w:type="pct"/>
            <w:tcMar>
              <w:top w:w="28" w:type="dxa"/>
              <w:bottom w:w="28" w:type="dxa"/>
              <w:right w:w="57" w:type="dxa"/>
            </w:tcMar>
          </w:tcPr>
          <w:p w14:paraId="35D8AC21" w14:textId="77777777" w:rsidR="00D80AEC" w:rsidRPr="0044734F" w:rsidRDefault="00D80AEC" w:rsidP="00D80AEC">
            <w:pPr>
              <w:spacing w:after="20"/>
              <w:rPr>
                <w:rFonts w:asciiTheme="minorHAnsi" w:hAnsiTheme="minorHAnsi"/>
                <w:color w:val="000000"/>
                <w:sz w:val="18"/>
                <w:szCs w:val="18"/>
                <w:lang w:val="en-US"/>
              </w:rPr>
            </w:pPr>
            <w:r w:rsidRPr="0044734F">
              <w:rPr>
                <w:rFonts w:asciiTheme="minorHAnsi" w:hAnsiTheme="minorHAnsi" w:cs="DJAIAN+TimesNewRoman"/>
                <w:b/>
                <w:color w:val="000000"/>
                <w:spacing w:val="-5"/>
                <w:sz w:val="18"/>
                <w:szCs w:val="18"/>
                <w:lang w:val="en-US"/>
              </w:rPr>
              <w:t>2.1</w:t>
            </w:r>
            <w:r w:rsidRPr="0044734F">
              <w:rPr>
                <w:rFonts w:asciiTheme="minorHAnsi" w:hAnsiTheme="minorHAnsi"/>
                <w:color w:val="000000"/>
                <w:sz w:val="18"/>
                <w:szCs w:val="18"/>
                <w:lang w:val="en-US"/>
              </w:rPr>
              <w:t xml:space="preserve">: </w:t>
            </w:r>
            <w:r w:rsidRPr="00515A1E">
              <w:rPr>
                <w:rFonts w:ascii="Calibri" w:hAnsi="Calibri"/>
                <w:sz w:val="18"/>
                <w:szCs w:val="18"/>
              </w:rPr>
              <w:t xml:space="preserve">Functional establishment of a new IUCN Category II PA of 8,733 ha in the Machakhela Valley </w:t>
            </w:r>
          </w:p>
        </w:tc>
        <w:tc>
          <w:tcPr>
            <w:tcW w:w="3365" w:type="pct"/>
            <w:shd w:val="clear" w:color="auto" w:fill="FDE9D9"/>
            <w:tcMar>
              <w:top w:w="28" w:type="dxa"/>
              <w:bottom w:w="28" w:type="dxa"/>
              <w:right w:w="57" w:type="dxa"/>
            </w:tcMar>
          </w:tcPr>
          <w:p w14:paraId="54503671" w14:textId="77777777" w:rsidR="00D80AEC" w:rsidRPr="008B0F63" w:rsidRDefault="00D80AEC" w:rsidP="00D80AEC">
            <w:pPr>
              <w:rPr>
                <w:rFonts w:asciiTheme="minorHAnsi" w:hAnsiTheme="minorHAnsi"/>
                <w:i/>
                <w:sz w:val="18"/>
                <w:szCs w:val="18"/>
              </w:rPr>
            </w:pPr>
            <w:r w:rsidRPr="008B0F63">
              <w:rPr>
                <w:rFonts w:asciiTheme="minorHAnsi" w:hAnsiTheme="minorHAnsi"/>
                <w:i/>
                <w:sz w:val="18"/>
                <w:szCs w:val="18"/>
              </w:rPr>
              <w:t>Transitional / start up support</w:t>
            </w:r>
          </w:p>
          <w:p w14:paraId="24457FB1" w14:textId="77777777" w:rsidR="00D80AEC" w:rsidRDefault="00D80AEC" w:rsidP="00991B6C">
            <w:pPr>
              <w:pStyle w:val="ListParagraph"/>
              <w:numPr>
                <w:ilvl w:val="0"/>
                <w:numId w:val="27"/>
              </w:numPr>
              <w:spacing w:after="60" w:line="240" w:lineRule="auto"/>
              <w:ind w:left="255" w:hanging="255"/>
              <w:rPr>
                <w:rFonts w:asciiTheme="minorHAnsi" w:hAnsiTheme="minorHAnsi"/>
                <w:sz w:val="18"/>
                <w:szCs w:val="18"/>
              </w:rPr>
            </w:pPr>
            <w:r>
              <w:rPr>
                <w:rFonts w:asciiTheme="minorHAnsi" w:hAnsiTheme="minorHAnsi"/>
                <w:sz w:val="18"/>
                <w:szCs w:val="18"/>
              </w:rPr>
              <w:t>Awareness raising and conflict reduction</w:t>
            </w:r>
            <w:r w:rsidRPr="0044734F">
              <w:rPr>
                <w:rFonts w:asciiTheme="minorHAnsi" w:hAnsiTheme="minorHAnsi"/>
                <w:sz w:val="18"/>
                <w:szCs w:val="18"/>
              </w:rPr>
              <w:t xml:space="preserve"> </w:t>
            </w:r>
            <w:r>
              <w:rPr>
                <w:rFonts w:asciiTheme="minorHAnsi" w:hAnsiTheme="minorHAnsi"/>
                <w:sz w:val="18"/>
                <w:szCs w:val="18"/>
              </w:rPr>
              <w:t>workshops – 2 days training for NP Administration, followed by 3 days community meetings, 5 communities (evidence - see report)</w:t>
            </w:r>
          </w:p>
          <w:p w14:paraId="19407FB2" w14:textId="77777777" w:rsidR="00D80AEC" w:rsidRDefault="00D80AEC" w:rsidP="00991B6C">
            <w:pPr>
              <w:pStyle w:val="ListParagraph"/>
              <w:numPr>
                <w:ilvl w:val="0"/>
                <w:numId w:val="27"/>
              </w:numPr>
              <w:spacing w:before="60" w:after="60" w:line="240" w:lineRule="auto"/>
              <w:ind w:left="253" w:hanging="253"/>
              <w:rPr>
                <w:rFonts w:asciiTheme="minorHAnsi" w:hAnsiTheme="minorHAnsi"/>
                <w:sz w:val="18"/>
                <w:szCs w:val="18"/>
              </w:rPr>
            </w:pPr>
            <w:r>
              <w:rPr>
                <w:rFonts w:asciiTheme="minorHAnsi" w:hAnsiTheme="minorHAnsi"/>
                <w:sz w:val="18"/>
                <w:szCs w:val="18"/>
              </w:rPr>
              <w:t>Identification of interim office in Machakhela valley, allocation by Municipality, refurbishment of 2 rooms, provision of basic furniture/equipment (evidence: agreement with Municipality, procurement docs)</w:t>
            </w:r>
          </w:p>
          <w:p w14:paraId="5A6F93B3" w14:textId="77777777" w:rsidR="00D80AEC" w:rsidRPr="00C83E5C" w:rsidRDefault="00D80AEC" w:rsidP="00991B6C">
            <w:pPr>
              <w:pStyle w:val="ListParagraph"/>
              <w:numPr>
                <w:ilvl w:val="0"/>
                <w:numId w:val="27"/>
              </w:numPr>
              <w:spacing w:before="60" w:after="60" w:line="240" w:lineRule="auto"/>
              <w:ind w:left="253" w:hanging="253"/>
              <w:rPr>
                <w:rFonts w:asciiTheme="minorHAnsi" w:hAnsiTheme="minorHAnsi"/>
                <w:sz w:val="18"/>
                <w:szCs w:val="18"/>
              </w:rPr>
            </w:pPr>
            <w:r>
              <w:rPr>
                <w:rFonts w:asciiTheme="minorHAnsi" w:hAnsiTheme="minorHAnsi"/>
                <w:sz w:val="18"/>
                <w:szCs w:val="18"/>
              </w:rPr>
              <w:t>Logistical support – provision of transport to NP Admin. Office for staff (Lada Niva)- evidence: transfer document</w:t>
            </w:r>
          </w:p>
          <w:p w14:paraId="0582112C" w14:textId="77777777" w:rsidR="00D80AEC" w:rsidRPr="002E3780" w:rsidRDefault="00D80AEC" w:rsidP="00991B6C">
            <w:pPr>
              <w:pStyle w:val="ListParagraph"/>
              <w:numPr>
                <w:ilvl w:val="0"/>
                <w:numId w:val="27"/>
              </w:numPr>
              <w:spacing w:before="60" w:after="60" w:line="240" w:lineRule="auto"/>
              <w:ind w:left="253" w:hanging="253"/>
              <w:rPr>
                <w:rFonts w:asciiTheme="minorHAnsi" w:hAnsiTheme="minorHAnsi"/>
                <w:sz w:val="18"/>
                <w:szCs w:val="18"/>
              </w:rPr>
            </w:pPr>
            <w:r>
              <w:rPr>
                <w:rFonts w:asciiTheme="minorHAnsi" w:hAnsiTheme="minorHAnsi"/>
                <w:sz w:val="18"/>
                <w:szCs w:val="18"/>
              </w:rPr>
              <w:t>Priority equipment</w:t>
            </w:r>
            <w:r w:rsidRPr="002E3780">
              <w:rPr>
                <w:rFonts w:asciiTheme="minorHAnsi" w:hAnsiTheme="minorHAnsi"/>
                <w:sz w:val="18"/>
                <w:szCs w:val="18"/>
              </w:rPr>
              <w:t>: fieldwork equipment incl</w:t>
            </w:r>
            <w:r>
              <w:rPr>
                <w:rFonts w:asciiTheme="minorHAnsi" w:hAnsiTheme="minorHAnsi"/>
                <w:sz w:val="18"/>
                <w:szCs w:val="18"/>
              </w:rPr>
              <w:t>uding: r</w:t>
            </w:r>
            <w:r w:rsidRPr="002E3780">
              <w:rPr>
                <w:rFonts w:asciiTheme="minorHAnsi" w:hAnsiTheme="minorHAnsi"/>
                <w:sz w:val="18"/>
                <w:szCs w:val="18"/>
              </w:rPr>
              <w:t>adio transmitters, flashlights, field bags, camera tra</w:t>
            </w:r>
            <w:r>
              <w:rPr>
                <w:rFonts w:asciiTheme="minorHAnsi" w:hAnsiTheme="minorHAnsi"/>
                <w:sz w:val="18"/>
                <w:szCs w:val="18"/>
              </w:rPr>
              <w:t>ps, GPSs, desktop and laptop PC</w:t>
            </w:r>
            <w:r w:rsidRPr="002E3780">
              <w:rPr>
                <w:rFonts w:asciiTheme="minorHAnsi" w:hAnsiTheme="minorHAnsi"/>
                <w:sz w:val="18"/>
                <w:szCs w:val="18"/>
              </w:rPr>
              <w:t>s</w:t>
            </w:r>
            <w:r>
              <w:rPr>
                <w:rFonts w:asciiTheme="minorHAnsi" w:hAnsiTheme="minorHAnsi"/>
                <w:sz w:val="18"/>
                <w:szCs w:val="18"/>
              </w:rPr>
              <w:t>. E</w:t>
            </w:r>
            <w:r w:rsidRPr="002E3780">
              <w:rPr>
                <w:rFonts w:asciiTheme="minorHAnsi" w:hAnsiTheme="minorHAnsi"/>
                <w:sz w:val="18"/>
                <w:szCs w:val="18"/>
              </w:rPr>
              <w:t>vidence: procurement documents, equipment in field</w:t>
            </w:r>
            <w:r>
              <w:rPr>
                <w:rFonts w:asciiTheme="minorHAnsi" w:hAnsiTheme="minorHAnsi"/>
                <w:sz w:val="18"/>
                <w:szCs w:val="18"/>
              </w:rPr>
              <w:t>.</w:t>
            </w:r>
          </w:p>
          <w:p w14:paraId="69D981F9" w14:textId="77777777" w:rsidR="00D80AEC" w:rsidRPr="002E3780" w:rsidRDefault="00D80AEC" w:rsidP="00991B6C">
            <w:pPr>
              <w:pStyle w:val="ListParagraph"/>
              <w:numPr>
                <w:ilvl w:val="0"/>
                <w:numId w:val="27"/>
              </w:numPr>
              <w:spacing w:before="60" w:after="60" w:line="240" w:lineRule="auto"/>
              <w:ind w:left="253" w:hanging="253"/>
              <w:rPr>
                <w:rFonts w:asciiTheme="minorHAnsi" w:hAnsiTheme="minorHAnsi"/>
                <w:sz w:val="18"/>
                <w:szCs w:val="18"/>
              </w:rPr>
            </w:pPr>
            <w:r w:rsidRPr="002E3780">
              <w:rPr>
                <w:rFonts w:asciiTheme="minorHAnsi" w:hAnsiTheme="minorHAnsi"/>
                <w:sz w:val="18"/>
                <w:szCs w:val="18"/>
              </w:rPr>
              <w:t>Fuelwood allocation specialist provision for ensuring fuelwood allocation for winter 2014/15</w:t>
            </w:r>
            <w:r>
              <w:rPr>
                <w:rFonts w:asciiTheme="minorHAnsi" w:hAnsiTheme="minorHAnsi"/>
                <w:sz w:val="18"/>
                <w:szCs w:val="18"/>
              </w:rPr>
              <w:t>. E</w:t>
            </w:r>
            <w:r w:rsidRPr="002E3780">
              <w:rPr>
                <w:rFonts w:asciiTheme="minorHAnsi" w:hAnsiTheme="minorHAnsi"/>
                <w:sz w:val="18"/>
                <w:szCs w:val="18"/>
              </w:rPr>
              <w:t>vidence: see report in Georgian only)</w:t>
            </w:r>
          </w:p>
          <w:p w14:paraId="585C281D" w14:textId="77777777" w:rsidR="00D80AEC" w:rsidRPr="008B0F63" w:rsidRDefault="00D80AEC" w:rsidP="00D80AEC">
            <w:pPr>
              <w:spacing w:before="60"/>
              <w:ind w:left="-13" w:firstLine="13"/>
              <w:rPr>
                <w:rFonts w:asciiTheme="minorHAnsi" w:hAnsiTheme="minorHAnsi"/>
                <w:i/>
                <w:color w:val="FF0000"/>
                <w:sz w:val="18"/>
                <w:szCs w:val="18"/>
              </w:rPr>
            </w:pPr>
            <w:r>
              <w:rPr>
                <w:rFonts w:asciiTheme="minorHAnsi" w:hAnsiTheme="minorHAnsi"/>
                <w:i/>
                <w:sz w:val="18"/>
                <w:szCs w:val="18"/>
              </w:rPr>
              <w:t>NP legal e</w:t>
            </w:r>
            <w:r w:rsidRPr="008B0F63">
              <w:rPr>
                <w:rFonts w:asciiTheme="minorHAnsi" w:hAnsiTheme="minorHAnsi"/>
                <w:i/>
                <w:sz w:val="18"/>
                <w:szCs w:val="18"/>
              </w:rPr>
              <w:t>stablishment and baseline data collection</w:t>
            </w:r>
          </w:p>
          <w:p w14:paraId="627BC7A2" w14:textId="77777777" w:rsidR="00D80AEC" w:rsidRPr="00162B83" w:rsidRDefault="00D80AEC" w:rsidP="00991B6C">
            <w:pPr>
              <w:pStyle w:val="ListParagraph"/>
              <w:numPr>
                <w:ilvl w:val="0"/>
                <w:numId w:val="27"/>
              </w:numPr>
              <w:spacing w:after="60" w:line="240" w:lineRule="auto"/>
              <w:ind w:left="255" w:hanging="255"/>
              <w:rPr>
                <w:rFonts w:asciiTheme="minorHAnsi" w:hAnsiTheme="minorHAnsi"/>
                <w:sz w:val="18"/>
                <w:szCs w:val="18"/>
              </w:rPr>
            </w:pPr>
            <w:r>
              <w:rPr>
                <w:rFonts w:asciiTheme="minorHAnsi" w:hAnsiTheme="minorHAnsi"/>
                <w:sz w:val="18"/>
                <w:szCs w:val="18"/>
              </w:rPr>
              <w:lastRenderedPageBreak/>
              <w:t xml:space="preserve">Consultative NP Boundary Demarcation </w:t>
            </w:r>
            <w:r w:rsidRPr="00162B83">
              <w:rPr>
                <w:rFonts w:asciiTheme="minorHAnsi" w:hAnsiTheme="minorHAnsi"/>
                <w:sz w:val="18"/>
                <w:szCs w:val="18"/>
              </w:rPr>
              <w:t xml:space="preserve">- evidence: contractor reports, APA minutes of consultation meeting Tbilisi, updated law of Georgian on Machakhela NP establishment </w:t>
            </w:r>
          </w:p>
          <w:p w14:paraId="41A68FA8" w14:textId="77777777" w:rsidR="00D80AEC" w:rsidRDefault="00D80AEC" w:rsidP="00991B6C">
            <w:pPr>
              <w:pStyle w:val="ListParagraph"/>
              <w:numPr>
                <w:ilvl w:val="0"/>
                <w:numId w:val="27"/>
              </w:numPr>
              <w:spacing w:before="60" w:after="60" w:line="240" w:lineRule="auto"/>
              <w:ind w:left="253" w:hanging="253"/>
              <w:rPr>
                <w:rFonts w:asciiTheme="minorHAnsi" w:hAnsiTheme="minorHAnsi"/>
                <w:sz w:val="18"/>
                <w:szCs w:val="18"/>
              </w:rPr>
            </w:pPr>
            <w:r>
              <w:rPr>
                <w:rFonts w:asciiTheme="minorHAnsi" w:hAnsiTheme="minorHAnsi"/>
                <w:sz w:val="18"/>
                <w:szCs w:val="18"/>
              </w:rPr>
              <w:t>Biodiversity and natural resource inventory of entire Machakhella Valley, including proposed NP zonation Plan (Evidence - see contractor reports, and GIS materials)</w:t>
            </w:r>
          </w:p>
          <w:p w14:paraId="2DE1F8E6" w14:textId="77777777" w:rsidR="00D80AEC" w:rsidRPr="00C83E5C" w:rsidRDefault="00D80AEC" w:rsidP="00991B6C">
            <w:pPr>
              <w:pStyle w:val="ListParagraph"/>
              <w:numPr>
                <w:ilvl w:val="0"/>
                <w:numId w:val="27"/>
              </w:numPr>
              <w:spacing w:before="60" w:after="0" w:line="240" w:lineRule="auto"/>
              <w:ind w:left="255" w:hanging="255"/>
              <w:rPr>
                <w:rFonts w:asciiTheme="minorHAnsi" w:hAnsiTheme="minorHAnsi"/>
                <w:sz w:val="18"/>
                <w:szCs w:val="18"/>
              </w:rPr>
            </w:pPr>
            <w:r>
              <w:rPr>
                <w:rFonts w:asciiTheme="minorHAnsi" w:hAnsiTheme="minorHAnsi"/>
                <w:sz w:val="18"/>
                <w:szCs w:val="18"/>
              </w:rPr>
              <w:t xml:space="preserve">Mtirala and Machakhela Friends Association established by Directors of NPs and local community representatives. </w:t>
            </w:r>
            <w:r w:rsidRPr="002E3780">
              <w:rPr>
                <w:rFonts w:asciiTheme="minorHAnsi" w:hAnsiTheme="minorHAnsi"/>
                <w:sz w:val="18"/>
                <w:szCs w:val="18"/>
              </w:rPr>
              <w:t>Evidence: FA charter/establishment documents)</w:t>
            </w:r>
          </w:p>
        </w:tc>
        <w:tc>
          <w:tcPr>
            <w:tcW w:w="829" w:type="pct"/>
            <w:shd w:val="clear" w:color="auto" w:fill="DBE5F1"/>
            <w:tcMar>
              <w:top w:w="28" w:type="dxa"/>
              <w:bottom w:w="28" w:type="dxa"/>
              <w:right w:w="57" w:type="dxa"/>
            </w:tcMar>
          </w:tcPr>
          <w:p w14:paraId="5116535D" w14:textId="77777777" w:rsidR="00D80AEC" w:rsidRPr="0044734F" w:rsidRDefault="00D80AEC" w:rsidP="00991B6C">
            <w:pPr>
              <w:numPr>
                <w:ilvl w:val="0"/>
                <w:numId w:val="25"/>
              </w:numPr>
              <w:tabs>
                <w:tab w:val="clear" w:pos="360"/>
              </w:tabs>
              <w:overflowPunct/>
              <w:autoSpaceDE/>
              <w:autoSpaceDN/>
              <w:adjustRightInd/>
              <w:spacing w:before="60" w:after="60"/>
              <w:ind w:left="402" w:hanging="312"/>
              <w:textAlignment w:val="auto"/>
              <w:rPr>
                <w:rFonts w:asciiTheme="minorHAnsi" w:hAnsiTheme="minorHAnsi"/>
                <w:sz w:val="18"/>
                <w:szCs w:val="18"/>
              </w:rPr>
            </w:pPr>
          </w:p>
        </w:tc>
      </w:tr>
      <w:tr w:rsidR="00D80AEC" w:rsidRPr="0044734F" w14:paraId="69303580" w14:textId="77777777" w:rsidTr="00D80AEC">
        <w:trPr>
          <w:trHeight w:val="274"/>
          <w:jc w:val="center"/>
        </w:trPr>
        <w:tc>
          <w:tcPr>
            <w:tcW w:w="806" w:type="pct"/>
            <w:tcMar>
              <w:top w:w="28" w:type="dxa"/>
              <w:bottom w:w="28" w:type="dxa"/>
              <w:right w:w="57" w:type="dxa"/>
            </w:tcMar>
          </w:tcPr>
          <w:p w14:paraId="02BA4253" w14:textId="77777777" w:rsidR="00D80AEC" w:rsidRPr="0044734F" w:rsidRDefault="00D80AEC" w:rsidP="00D80AEC">
            <w:pPr>
              <w:pStyle w:val="Default"/>
              <w:spacing w:before="60" w:after="60"/>
              <w:rPr>
                <w:rFonts w:asciiTheme="minorHAnsi" w:hAnsiTheme="minorHAnsi"/>
                <w:sz w:val="18"/>
                <w:szCs w:val="18"/>
              </w:rPr>
            </w:pPr>
            <w:r w:rsidRPr="0044734F">
              <w:rPr>
                <w:rFonts w:asciiTheme="minorHAnsi" w:hAnsiTheme="minorHAnsi"/>
                <w:b/>
                <w:spacing w:val="-5"/>
                <w:sz w:val="18"/>
                <w:szCs w:val="18"/>
              </w:rPr>
              <w:t xml:space="preserve">2.2: </w:t>
            </w:r>
            <w:r w:rsidRPr="00515A1E">
              <w:rPr>
                <w:rFonts w:ascii="Calibri" w:hAnsi="Calibri"/>
                <w:sz w:val="18"/>
                <w:szCs w:val="18"/>
              </w:rPr>
              <w:t>Public-Civil Society- Community PA Planning and Management Governance Board established and provided with a legal basis to manage the proposed Machakhela National Park.</w:t>
            </w:r>
          </w:p>
        </w:tc>
        <w:tc>
          <w:tcPr>
            <w:tcW w:w="3365" w:type="pct"/>
            <w:shd w:val="clear" w:color="auto" w:fill="FDE9D9"/>
            <w:tcMar>
              <w:top w:w="28" w:type="dxa"/>
              <w:bottom w:w="28" w:type="dxa"/>
              <w:right w:w="57" w:type="dxa"/>
            </w:tcMar>
          </w:tcPr>
          <w:p w14:paraId="3E8F16F6" w14:textId="77777777" w:rsidR="00D80AEC" w:rsidRDefault="00D80AEC" w:rsidP="00991B6C">
            <w:pPr>
              <w:pStyle w:val="ListParagraph"/>
              <w:numPr>
                <w:ilvl w:val="0"/>
                <w:numId w:val="27"/>
              </w:numPr>
              <w:spacing w:after="60" w:line="240" w:lineRule="auto"/>
              <w:ind w:left="255" w:hanging="255"/>
              <w:rPr>
                <w:rFonts w:asciiTheme="minorHAnsi" w:hAnsiTheme="minorHAnsi"/>
                <w:sz w:val="18"/>
                <w:szCs w:val="18"/>
              </w:rPr>
            </w:pPr>
            <w:r>
              <w:rPr>
                <w:rFonts w:asciiTheme="minorHAnsi" w:hAnsiTheme="minorHAnsi"/>
                <w:sz w:val="18"/>
                <w:szCs w:val="18"/>
              </w:rPr>
              <w:t>Capacity building of NP Administration on Management planning – evidence:  see training report</w:t>
            </w:r>
          </w:p>
          <w:p w14:paraId="1270A6AD" w14:textId="77777777" w:rsidR="00D80AEC" w:rsidRDefault="00D80AEC" w:rsidP="00991B6C">
            <w:pPr>
              <w:pStyle w:val="ListParagraph"/>
              <w:numPr>
                <w:ilvl w:val="0"/>
                <w:numId w:val="27"/>
              </w:numPr>
              <w:spacing w:before="60" w:after="60" w:line="240" w:lineRule="auto"/>
              <w:ind w:left="253" w:hanging="253"/>
              <w:rPr>
                <w:rFonts w:asciiTheme="minorHAnsi" w:hAnsiTheme="minorHAnsi"/>
                <w:sz w:val="18"/>
                <w:szCs w:val="18"/>
              </w:rPr>
            </w:pPr>
            <w:r>
              <w:rPr>
                <w:rFonts w:asciiTheme="minorHAnsi" w:hAnsiTheme="minorHAnsi"/>
                <w:sz w:val="18"/>
                <w:szCs w:val="18"/>
              </w:rPr>
              <w:t>Machakhela NP 6 year Management Plan developed with involvement of NP Administration and approved - Evidence: Management Plan, Government Decree 223</w:t>
            </w:r>
          </w:p>
          <w:p w14:paraId="06B6F406" w14:textId="77777777" w:rsidR="00D80AEC" w:rsidRDefault="00D80AEC" w:rsidP="00991B6C">
            <w:pPr>
              <w:pStyle w:val="ListParagraph"/>
              <w:numPr>
                <w:ilvl w:val="0"/>
                <w:numId w:val="27"/>
              </w:numPr>
              <w:spacing w:before="60" w:after="60" w:line="240" w:lineRule="auto"/>
              <w:ind w:left="253" w:hanging="253"/>
              <w:rPr>
                <w:rFonts w:asciiTheme="minorHAnsi" w:hAnsiTheme="minorHAnsi"/>
                <w:sz w:val="18"/>
                <w:szCs w:val="18"/>
              </w:rPr>
            </w:pPr>
            <w:r>
              <w:rPr>
                <w:rFonts w:asciiTheme="minorHAnsi" w:hAnsiTheme="minorHAnsi"/>
                <w:sz w:val="18"/>
                <w:szCs w:val="18"/>
              </w:rPr>
              <w:t>Initial 3 year Operational Plan (including additional new section on financial planning) - evidence: Operational Plan and spreadsheet, Decision of Chairman APA.</w:t>
            </w:r>
          </w:p>
          <w:p w14:paraId="33BC2DFF" w14:textId="77777777" w:rsidR="00D80AEC" w:rsidRDefault="00D80AEC" w:rsidP="00991B6C">
            <w:pPr>
              <w:pStyle w:val="ListParagraph"/>
              <w:numPr>
                <w:ilvl w:val="0"/>
                <w:numId w:val="27"/>
              </w:numPr>
              <w:spacing w:before="60" w:after="60" w:line="240" w:lineRule="auto"/>
              <w:ind w:left="253" w:hanging="253"/>
              <w:rPr>
                <w:rFonts w:asciiTheme="minorHAnsi" w:hAnsiTheme="minorHAnsi"/>
                <w:sz w:val="18"/>
                <w:szCs w:val="18"/>
              </w:rPr>
            </w:pPr>
            <w:r>
              <w:rPr>
                <w:rFonts w:asciiTheme="minorHAnsi" w:hAnsiTheme="minorHAnsi"/>
                <w:sz w:val="18"/>
                <w:szCs w:val="18"/>
              </w:rPr>
              <w:t>Forestry Management Plan for NP (a legal requirement) – evidence: see contractor report, Forestry Management Plan, Ministers approval.</w:t>
            </w:r>
          </w:p>
          <w:p w14:paraId="553D62BB" w14:textId="77777777" w:rsidR="00D80AEC" w:rsidRPr="00C83E5C" w:rsidRDefault="00D80AEC" w:rsidP="00991B6C">
            <w:pPr>
              <w:pStyle w:val="ListParagraph"/>
              <w:numPr>
                <w:ilvl w:val="0"/>
                <w:numId w:val="27"/>
              </w:numPr>
              <w:spacing w:before="60" w:after="0" w:line="240" w:lineRule="auto"/>
              <w:ind w:left="255" w:hanging="255"/>
              <w:rPr>
                <w:rFonts w:asciiTheme="minorHAnsi" w:hAnsiTheme="minorHAnsi"/>
                <w:sz w:val="18"/>
                <w:szCs w:val="18"/>
              </w:rPr>
            </w:pPr>
            <w:r>
              <w:rPr>
                <w:rFonts w:asciiTheme="minorHAnsi" w:hAnsiTheme="minorHAnsi"/>
                <w:sz w:val="18"/>
                <w:szCs w:val="18"/>
              </w:rPr>
              <w:t>Scientific Consultative Council established, 13 members-evidence: Ministers Order I-497</w:t>
            </w:r>
          </w:p>
        </w:tc>
        <w:tc>
          <w:tcPr>
            <w:tcW w:w="829" w:type="pct"/>
            <w:shd w:val="clear" w:color="auto" w:fill="DBE5F1"/>
            <w:tcMar>
              <w:top w:w="28" w:type="dxa"/>
              <w:bottom w:w="28" w:type="dxa"/>
              <w:right w:w="57" w:type="dxa"/>
            </w:tcMar>
          </w:tcPr>
          <w:p w14:paraId="2F018AA2" w14:textId="77777777" w:rsidR="00D80AEC" w:rsidRPr="0044734F" w:rsidRDefault="00D80AEC" w:rsidP="00991B6C">
            <w:pPr>
              <w:numPr>
                <w:ilvl w:val="0"/>
                <w:numId w:val="25"/>
              </w:numPr>
              <w:tabs>
                <w:tab w:val="clear" w:pos="360"/>
              </w:tabs>
              <w:overflowPunct/>
              <w:autoSpaceDE/>
              <w:autoSpaceDN/>
              <w:adjustRightInd/>
              <w:spacing w:before="60" w:after="60"/>
              <w:ind w:left="402" w:hanging="312"/>
              <w:textAlignment w:val="auto"/>
              <w:rPr>
                <w:rFonts w:asciiTheme="minorHAnsi" w:hAnsiTheme="minorHAnsi"/>
                <w:sz w:val="18"/>
                <w:szCs w:val="18"/>
              </w:rPr>
            </w:pPr>
          </w:p>
        </w:tc>
      </w:tr>
      <w:tr w:rsidR="00D80AEC" w:rsidRPr="0044734F" w14:paraId="2BC5FE55" w14:textId="77777777" w:rsidTr="00D80AEC">
        <w:trPr>
          <w:trHeight w:val="274"/>
          <w:jc w:val="center"/>
        </w:trPr>
        <w:tc>
          <w:tcPr>
            <w:tcW w:w="806" w:type="pct"/>
            <w:tcMar>
              <w:top w:w="28" w:type="dxa"/>
              <w:bottom w:w="28" w:type="dxa"/>
              <w:right w:w="57" w:type="dxa"/>
            </w:tcMar>
          </w:tcPr>
          <w:p w14:paraId="798168BB" w14:textId="77777777" w:rsidR="00D80AEC" w:rsidRPr="0044734F" w:rsidRDefault="00D80AEC" w:rsidP="00D80AEC">
            <w:pPr>
              <w:pStyle w:val="Default"/>
              <w:spacing w:after="60"/>
              <w:rPr>
                <w:rFonts w:asciiTheme="minorHAnsi" w:hAnsiTheme="minorHAnsi"/>
                <w:sz w:val="18"/>
                <w:szCs w:val="18"/>
              </w:rPr>
            </w:pPr>
            <w:r w:rsidRPr="0044734F">
              <w:rPr>
                <w:rFonts w:asciiTheme="minorHAnsi" w:hAnsiTheme="minorHAnsi"/>
                <w:b/>
                <w:spacing w:val="-2"/>
                <w:sz w:val="18"/>
                <w:szCs w:val="18"/>
              </w:rPr>
              <w:t xml:space="preserve">2.3: </w:t>
            </w:r>
            <w:r w:rsidRPr="00515A1E">
              <w:rPr>
                <w:rFonts w:ascii="Calibri" w:hAnsi="Calibri"/>
                <w:sz w:val="18"/>
                <w:szCs w:val="18"/>
              </w:rPr>
              <w:t>Established operational capacity at Machakhela National Park.</w:t>
            </w:r>
          </w:p>
        </w:tc>
        <w:tc>
          <w:tcPr>
            <w:tcW w:w="3365" w:type="pct"/>
            <w:shd w:val="clear" w:color="auto" w:fill="FDE9D9"/>
            <w:tcMar>
              <w:top w:w="28" w:type="dxa"/>
              <w:bottom w:w="28" w:type="dxa"/>
              <w:right w:w="57" w:type="dxa"/>
            </w:tcMar>
          </w:tcPr>
          <w:p w14:paraId="749BCA16" w14:textId="77777777" w:rsidR="00D80AEC" w:rsidRPr="008051B6" w:rsidRDefault="00D80AEC" w:rsidP="00D80AEC">
            <w:pPr>
              <w:rPr>
                <w:rFonts w:asciiTheme="minorHAnsi" w:hAnsiTheme="minorHAnsi"/>
                <w:i/>
                <w:sz w:val="18"/>
                <w:szCs w:val="18"/>
              </w:rPr>
            </w:pPr>
            <w:r w:rsidRPr="008051B6">
              <w:rPr>
                <w:rFonts w:asciiTheme="minorHAnsi" w:hAnsiTheme="minorHAnsi"/>
                <w:i/>
                <w:sz w:val="18"/>
                <w:szCs w:val="18"/>
              </w:rPr>
              <w:t xml:space="preserve">Machakhela NP Administration </w:t>
            </w:r>
          </w:p>
          <w:p w14:paraId="17A4AD73" w14:textId="77777777" w:rsidR="00D80AEC" w:rsidRPr="008051B6" w:rsidRDefault="00D80AEC" w:rsidP="00991B6C">
            <w:pPr>
              <w:pStyle w:val="ListParagraph"/>
              <w:numPr>
                <w:ilvl w:val="0"/>
                <w:numId w:val="27"/>
              </w:numPr>
              <w:spacing w:after="60" w:line="240" w:lineRule="auto"/>
              <w:ind w:left="255" w:hanging="255"/>
              <w:rPr>
                <w:rFonts w:asciiTheme="minorHAnsi" w:hAnsiTheme="minorHAnsi"/>
                <w:sz w:val="18"/>
                <w:szCs w:val="18"/>
              </w:rPr>
            </w:pPr>
            <w:r w:rsidRPr="008051B6">
              <w:rPr>
                <w:rFonts w:asciiTheme="minorHAnsi" w:hAnsiTheme="minorHAnsi"/>
                <w:sz w:val="18"/>
                <w:szCs w:val="18"/>
              </w:rPr>
              <w:t>Re</w:t>
            </w:r>
            <w:r>
              <w:rPr>
                <w:rFonts w:asciiTheme="minorHAnsi" w:hAnsiTheme="minorHAnsi"/>
                <w:sz w:val="18"/>
                <w:szCs w:val="18"/>
              </w:rPr>
              <w:t>novating</w:t>
            </w:r>
            <w:r w:rsidRPr="008051B6">
              <w:rPr>
                <w:rFonts w:asciiTheme="minorHAnsi" w:hAnsiTheme="minorHAnsi"/>
                <w:sz w:val="18"/>
                <w:szCs w:val="18"/>
              </w:rPr>
              <w:t xml:space="preserve"> NP Administration Office and Visitor Centre (full exterior repairs to building and garden covered by project, interior covered by APA) - evidence: procurement documents, finished building</w:t>
            </w:r>
          </w:p>
          <w:p w14:paraId="239EC735" w14:textId="77777777" w:rsidR="00D80AEC" w:rsidRPr="008051B6" w:rsidRDefault="00D80AEC" w:rsidP="00991B6C">
            <w:pPr>
              <w:pStyle w:val="ListParagraph"/>
              <w:numPr>
                <w:ilvl w:val="0"/>
                <w:numId w:val="27"/>
              </w:numPr>
              <w:spacing w:after="60" w:line="240" w:lineRule="auto"/>
              <w:ind w:left="255" w:hanging="255"/>
              <w:rPr>
                <w:rFonts w:asciiTheme="minorHAnsi" w:hAnsiTheme="minorHAnsi"/>
                <w:sz w:val="18"/>
                <w:szCs w:val="18"/>
              </w:rPr>
            </w:pPr>
            <w:r w:rsidRPr="008051B6">
              <w:rPr>
                <w:rFonts w:asciiTheme="minorHAnsi" w:hAnsiTheme="minorHAnsi"/>
                <w:sz w:val="18"/>
                <w:szCs w:val="18"/>
              </w:rPr>
              <w:t>NP Admin</w:t>
            </w:r>
            <w:r>
              <w:rPr>
                <w:rFonts w:asciiTheme="minorHAnsi" w:hAnsiTheme="minorHAnsi"/>
                <w:sz w:val="18"/>
                <w:szCs w:val="18"/>
              </w:rPr>
              <w:t>istration</w:t>
            </w:r>
            <w:r w:rsidRPr="008051B6">
              <w:rPr>
                <w:rFonts w:asciiTheme="minorHAnsi" w:hAnsiTheme="minorHAnsi"/>
                <w:sz w:val="18"/>
                <w:szCs w:val="18"/>
              </w:rPr>
              <w:t xml:space="preserve"> Office furniture  -</w:t>
            </w:r>
            <w:r>
              <w:rPr>
                <w:rFonts w:asciiTheme="minorHAnsi" w:hAnsiTheme="minorHAnsi"/>
                <w:sz w:val="18"/>
                <w:szCs w:val="18"/>
              </w:rPr>
              <w:t xml:space="preserve"> </w:t>
            </w:r>
            <w:r w:rsidRPr="008051B6">
              <w:rPr>
                <w:rFonts w:asciiTheme="minorHAnsi" w:hAnsiTheme="minorHAnsi"/>
                <w:sz w:val="18"/>
                <w:szCs w:val="18"/>
              </w:rPr>
              <w:t>evidence: procurement documents, furniture in-situ</w:t>
            </w:r>
          </w:p>
          <w:p w14:paraId="1D4CF919" w14:textId="77777777" w:rsidR="00D80AEC" w:rsidRPr="008051B6" w:rsidRDefault="00D80AEC" w:rsidP="00991B6C">
            <w:pPr>
              <w:pStyle w:val="ListParagraph"/>
              <w:numPr>
                <w:ilvl w:val="0"/>
                <w:numId w:val="27"/>
              </w:numPr>
              <w:spacing w:after="60" w:line="240" w:lineRule="auto"/>
              <w:ind w:left="255" w:hanging="255"/>
              <w:rPr>
                <w:rFonts w:asciiTheme="minorHAnsi" w:hAnsiTheme="minorHAnsi"/>
                <w:sz w:val="18"/>
                <w:szCs w:val="18"/>
              </w:rPr>
            </w:pPr>
            <w:r>
              <w:rPr>
                <w:rFonts w:asciiTheme="minorHAnsi" w:hAnsiTheme="minorHAnsi"/>
                <w:sz w:val="18"/>
                <w:szCs w:val="18"/>
              </w:rPr>
              <w:t>T</w:t>
            </w:r>
            <w:r w:rsidRPr="008051B6">
              <w:rPr>
                <w:rFonts w:asciiTheme="minorHAnsi" w:hAnsiTheme="minorHAnsi"/>
                <w:sz w:val="18"/>
                <w:szCs w:val="18"/>
              </w:rPr>
              <w:t>raining to build capacity to implement MP (combined with training for other NPs – total of 8 training events</w:t>
            </w:r>
            <w:r w:rsidRPr="006D2380">
              <w:rPr>
                <w:rFonts w:asciiTheme="minorHAnsi" w:hAnsiTheme="minorHAnsi"/>
                <w:sz w:val="18"/>
                <w:szCs w:val="18"/>
              </w:rPr>
              <w:t xml:space="preserve"> </w:t>
            </w:r>
            <w:r w:rsidRPr="008051B6">
              <w:rPr>
                <w:rFonts w:asciiTheme="minorHAnsi" w:hAnsiTheme="minorHAnsi"/>
                <w:sz w:val="18"/>
                <w:szCs w:val="18"/>
              </w:rPr>
              <w:t>- see individual training reports for details)</w:t>
            </w:r>
            <w:r>
              <w:rPr>
                <w:rFonts w:asciiTheme="minorHAnsi" w:hAnsiTheme="minorHAnsi"/>
                <w:sz w:val="18"/>
                <w:szCs w:val="18"/>
              </w:rPr>
              <w:t>.</w:t>
            </w:r>
            <w:r w:rsidRPr="008051B6">
              <w:rPr>
                <w:rFonts w:asciiTheme="minorHAnsi" w:hAnsiTheme="minorHAnsi"/>
                <w:sz w:val="18"/>
                <w:szCs w:val="18"/>
              </w:rPr>
              <w:t xml:space="preserve"> </w:t>
            </w:r>
            <w:r>
              <w:rPr>
                <w:rFonts w:asciiTheme="minorHAnsi" w:hAnsiTheme="minorHAnsi"/>
                <w:sz w:val="18"/>
                <w:szCs w:val="18"/>
              </w:rPr>
              <w:t>E</w:t>
            </w:r>
            <w:r w:rsidRPr="008051B6">
              <w:rPr>
                <w:rFonts w:asciiTheme="minorHAnsi" w:hAnsiTheme="minorHAnsi"/>
                <w:sz w:val="18"/>
                <w:szCs w:val="18"/>
              </w:rPr>
              <w:t>vidence: training reports</w:t>
            </w:r>
          </w:p>
          <w:p w14:paraId="2CFCFA71" w14:textId="77777777" w:rsidR="00D80AEC" w:rsidRDefault="00D80AEC" w:rsidP="00991B6C">
            <w:pPr>
              <w:pStyle w:val="ListParagraph"/>
              <w:numPr>
                <w:ilvl w:val="0"/>
                <w:numId w:val="27"/>
              </w:numPr>
              <w:spacing w:after="60" w:line="240" w:lineRule="auto"/>
              <w:ind w:left="255" w:hanging="255"/>
              <w:rPr>
                <w:rFonts w:asciiTheme="minorHAnsi" w:hAnsiTheme="minorHAnsi"/>
                <w:sz w:val="18"/>
                <w:szCs w:val="18"/>
              </w:rPr>
            </w:pPr>
            <w:r>
              <w:rPr>
                <w:rFonts w:asciiTheme="minorHAnsi" w:hAnsiTheme="minorHAnsi"/>
                <w:sz w:val="18"/>
                <w:szCs w:val="18"/>
              </w:rPr>
              <w:t>GIS training for NP Administration (Ilia University) and GIS hardware (computer). Evidence: Ilia reports, computer in-situ, GIS materials</w:t>
            </w:r>
          </w:p>
          <w:p w14:paraId="00208A09" w14:textId="77777777" w:rsidR="00D80AEC" w:rsidRPr="008051B6" w:rsidRDefault="00D80AEC" w:rsidP="00991B6C">
            <w:pPr>
              <w:pStyle w:val="ListParagraph"/>
              <w:numPr>
                <w:ilvl w:val="0"/>
                <w:numId w:val="27"/>
              </w:numPr>
              <w:spacing w:after="60" w:line="240" w:lineRule="auto"/>
              <w:ind w:left="255" w:hanging="255"/>
              <w:rPr>
                <w:rFonts w:asciiTheme="minorHAnsi" w:hAnsiTheme="minorHAnsi"/>
                <w:sz w:val="18"/>
                <w:szCs w:val="18"/>
              </w:rPr>
            </w:pPr>
            <w:r w:rsidRPr="008051B6">
              <w:rPr>
                <w:rFonts w:asciiTheme="minorHAnsi" w:hAnsiTheme="minorHAnsi"/>
                <w:sz w:val="18"/>
                <w:szCs w:val="18"/>
              </w:rPr>
              <w:t xml:space="preserve">Monitoring plan (part of MP) – extra </w:t>
            </w:r>
            <w:r>
              <w:rPr>
                <w:rFonts w:asciiTheme="minorHAnsi" w:hAnsiTheme="minorHAnsi"/>
                <w:sz w:val="18"/>
                <w:szCs w:val="18"/>
              </w:rPr>
              <w:t xml:space="preserve">training and </w:t>
            </w:r>
            <w:r w:rsidRPr="008051B6">
              <w:rPr>
                <w:rFonts w:asciiTheme="minorHAnsi" w:hAnsiTheme="minorHAnsi"/>
                <w:sz w:val="18"/>
                <w:szCs w:val="18"/>
              </w:rPr>
              <w:t>technical support provided to NP Administration to strengthen monitoring component of MP – evidence: NACRES report, monitoring component of MP</w:t>
            </w:r>
          </w:p>
          <w:p w14:paraId="7B5C2B98" w14:textId="77777777" w:rsidR="00D80AEC" w:rsidRPr="008051B6" w:rsidRDefault="00D80AEC" w:rsidP="00991B6C">
            <w:pPr>
              <w:pStyle w:val="ListParagraph"/>
              <w:numPr>
                <w:ilvl w:val="0"/>
                <w:numId w:val="27"/>
              </w:numPr>
              <w:spacing w:after="60" w:line="240" w:lineRule="auto"/>
              <w:ind w:left="255" w:hanging="255"/>
              <w:rPr>
                <w:rFonts w:asciiTheme="minorHAnsi" w:hAnsiTheme="minorHAnsi"/>
                <w:sz w:val="18"/>
                <w:szCs w:val="18"/>
              </w:rPr>
            </w:pPr>
            <w:r w:rsidRPr="008051B6">
              <w:rPr>
                <w:rFonts w:asciiTheme="minorHAnsi" w:hAnsiTheme="minorHAnsi"/>
                <w:sz w:val="18"/>
                <w:szCs w:val="18"/>
              </w:rPr>
              <w:t>Machak</w:t>
            </w:r>
            <w:r>
              <w:rPr>
                <w:rFonts w:asciiTheme="minorHAnsi" w:hAnsiTheme="minorHAnsi"/>
                <w:sz w:val="18"/>
                <w:szCs w:val="18"/>
              </w:rPr>
              <w:t>h</w:t>
            </w:r>
            <w:r w:rsidRPr="008051B6">
              <w:rPr>
                <w:rFonts w:asciiTheme="minorHAnsi" w:hAnsiTheme="minorHAnsi"/>
                <w:sz w:val="18"/>
                <w:szCs w:val="18"/>
              </w:rPr>
              <w:t xml:space="preserve">ela NP </w:t>
            </w:r>
            <w:r>
              <w:rPr>
                <w:rFonts w:asciiTheme="minorHAnsi" w:hAnsiTheme="minorHAnsi"/>
                <w:sz w:val="18"/>
                <w:szCs w:val="18"/>
              </w:rPr>
              <w:t>T</w:t>
            </w:r>
            <w:r w:rsidRPr="008051B6">
              <w:rPr>
                <w:rFonts w:asciiTheme="minorHAnsi" w:hAnsiTheme="minorHAnsi"/>
                <w:sz w:val="18"/>
                <w:szCs w:val="18"/>
              </w:rPr>
              <w:t xml:space="preserve">ourism </w:t>
            </w:r>
            <w:r>
              <w:rPr>
                <w:rFonts w:asciiTheme="minorHAnsi" w:hAnsiTheme="minorHAnsi"/>
                <w:sz w:val="18"/>
                <w:szCs w:val="18"/>
              </w:rPr>
              <w:t>S</w:t>
            </w:r>
            <w:r w:rsidRPr="008051B6">
              <w:rPr>
                <w:rFonts w:asciiTheme="minorHAnsi" w:hAnsiTheme="minorHAnsi"/>
                <w:sz w:val="18"/>
                <w:szCs w:val="18"/>
              </w:rPr>
              <w:t xml:space="preserve">trategy and Action Plan – evidence: </w:t>
            </w:r>
            <w:r>
              <w:rPr>
                <w:rFonts w:asciiTheme="minorHAnsi" w:hAnsiTheme="minorHAnsi"/>
                <w:sz w:val="18"/>
                <w:szCs w:val="18"/>
              </w:rPr>
              <w:t>S</w:t>
            </w:r>
            <w:r w:rsidRPr="008051B6">
              <w:rPr>
                <w:rFonts w:asciiTheme="minorHAnsi" w:hAnsiTheme="minorHAnsi"/>
                <w:sz w:val="18"/>
                <w:szCs w:val="18"/>
              </w:rPr>
              <w:t>trategy and A</w:t>
            </w:r>
            <w:r>
              <w:rPr>
                <w:rFonts w:asciiTheme="minorHAnsi" w:hAnsiTheme="minorHAnsi"/>
                <w:sz w:val="18"/>
                <w:szCs w:val="18"/>
              </w:rPr>
              <w:t>ction Plan</w:t>
            </w:r>
          </w:p>
          <w:p w14:paraId="1A016C7F" w14:textId="77777777" w:rsidR="00D80AEC" w:rsidRPr="008051B6" w:rsidRDefault="00D80AEC" w:rsidP="00991B6C">
            <w:pPr>
              <w:pStyle w:val="ListParagraph"/>
              <w:numPr>
                <w:ilvl w:val="0"/>
                <w:numId w:val="27"/>
              </w:numPr>
              <w:spacing w:after="60" w:line="240" w:lineRule="auto"/>
              <w:ind w:left="255" w:hanging="255"/>
              <w:rPr>
                <w:rFonts w:asciiTheme="minorHAnsi" w:hAnsiTheme="minorHAnsi"/>
                <w:sz w:val="18"/>
                <w:szCs w:val="18"/>
              </w:rPr>
            </w:pPr>
            <w:r w:rsidRPr="008051B6">
              <w:rPr>
                <w:rFonts w:asciiTheme="minorHAnsi" w:hAnsiTheme="minorHAnsi"/>
                <w:sz w:val="18"/>
                <w:szCs w:val="18"/>
              </w:rPr>
              <w:t>NP tourism development including: development of the tourist routes, marking and installation of signs in the Mtavarangelozi route. Evidence: copies of printed materials, procurement documents</w:t>
            </w:r>
          </w:p>
          <w:p w14:paraId="43ABF2D1" w14:textId="77777777" w:rsidR="00D80AEC" w:rsidRDefault="00D80AEC" w:rsidP="00991B6C">
            <w:pPr>
              <w:pStyle w:val="ListParagraph"/>
              <w:numPr>
                <w:ilvl w:val="0"/>
                <w:numId w:val="27"/>
              </w:numPr>
              <w:spacing w:after="60" w:line="240" w:lineRule="auto"/>
              <w:ind w:left="255" w:hanging="255"/>
              <w:rPr>
                <w:rFonts w:asciiTheme="minorHAnsi" w:hAnsiTheme="minorHAnsi"/>
                <w:sz w:val="18"/>
                <w:szCs w:val="18"/>
              </w:rPr>
            </w:pPr>
            <w:r w:rsidRPr="008051B6">
              <w:rPr>
                <w:rFonts w:asciiTheme="minorHAnsi" w:hAnsiTheme="minorHAnsi"/>
                <w:sz w:val="18"/>
                <w:szCs w:val="18"/>
              </w:rPr>
              <w:t xml:space="preserve">Recommendation </w:t>
            </w:r>
            <w:r>
              <w:rPr>
                <w:rFonts w:asciiTheme="minorHAnsi" w:hAnsiTheme="minorHAnsi"/>
                <w:sz w:val="18"/>
                <w:szCs w:val="18"/>
              </w:rPr>
              <w:t>f</w:t>
            </w:r>
            <w:r w:rsidRPr="008051B6">
              <w:rPr>
                <w:rFonts w:asciiTheme="minorHAnsi" w:hAnsiTheme="minorHAnsi"/>
                <w:sz w:val="18"/>
                <w:szCs w:val="18"/>
              </w:rPr>
              <w:t>or APA o</w:t>
            </w:r>
            <w:r>
              <w:rPr>
                <w:rFonts w:asciiTheme="minorHAnsi" w:hAnsiTheme="minorHAnsi"/>
                <w:sz w:val="18"/>
                <w:szCs w:val="18"/>
              </w:rPr>
              <w:t>n</w:t>
            </w:r>
            <w:r w:rsidRPr="008051B6">
              <w:rPr>
                <w:rFonts w:asciiTheme="minorHAnsi" w:hAnsiTheme="minorHAnsi"/>
                <w:sz w:val="18"/>
                <w:szCs w:val="18"/>
              </w:rPr>
              <w:t xml:space="preserve"> future Investment options and opportunities in Machakhela NP – report.</w:t>
            </w:r>
          </w:p>
          <w:p w14:paraId="368F1BFC" w14:textId="77777777" w:rsidR="00D80AEC" w:rsidRPr="008051B6" w:rsidRDefault="00D80AEC" w:rsidP="00991B6C">
            <w:pPr>
              <w:pStyle w:val="ListParagraph"/>
              <w:numPr>
                <w:ilvl w:val="0"/>
                <w:numId w:val="27"/>
              </w:numPr>
              <w:spacing w:after="60" w:line="240" w:lineRule="auto"/>
              <w:ind w:left="255" w:hanging="255"/>
              <w:rPr>
                <w:rFonts w:asciiTheme="minorHAnsi" w:hAnsiTheme="minorHAnsi"/>
                <w:sz w:val="18"/>
                <w:szCs w:val="18"/>
              </w:rPr>
            </w:pPr>
            <w:r>
              <w:rPr>
                <w:rFonts w:asciiTheme="minorHAnsi" w:hAnsiTheme="minorHAnsi"/>
                <w:sz w:val="18"/>
                <w:szCs w:val="18"/>
              </w:rPr>
              <w:t>Provision of data (inventory data, GIS materials, draft Zonation Plan) to UNESCO Natural World Heritage site application team (Succow Foundation/APA). Evidence: communications with NWH team, acknowledgement in NWH site documents.</w:t>
            </w:r>
          </w:p>
          <w:p w14:paraId="2B316724" w14:textId="77777777" w:rsidR="00D80AEC" w:rsidRPr="008051B6" w:rsidRDefault="00D80AEC" w:rsidP="00D80AEC">
            <w:pPr>
              <w:rPr>
                <w:rFonts w:asciiTheme="minorHAnsi" w:hAnsiTheme="minorHAnsi"/>
                <w:i/>
                <w:sz w:val="18"/>
                <w:szCs w:val="18"/>
              </w:rPr>
            </w:pPr>
            <w:r w:rsidRPr="008051B6">
              <w:rPr>
                <w:rFonts w:asciiTheme="minorHAnsi" w:hAnsiTheme="minorHAnsi"/>
                <w:i/>
                <w:sz w:val="18"/>
                <w:szCs w:val="18"/>
              </w:rPr>
              <w:t xml:space="preserve">Support Zone </w:t>
            </w:r>
          </w:p>
          <w:p w14:paraId="214EACB1" w14:textId="77777777" w:rsidR="00D80AEC" w:rsidRPr="008051B6" w:rsidRDefault="00D80AEC" w:rsidP="00991B6C">
            <w:pPr>
              <w:pStyle w:val="ListParagraph"/>
              <w:numPr>
                <w:ilvl w:val="0"/>
                <w:numId w:val="27"/>
              </w:numPr>
              <w:spacing w:after="60" w:line="240" w:lineRule="auto"/>
              <w:ind w:left="255" w:hanging="255"/>
              <w:rPr>
                <w:rFonts w:asciiTheme="minorHAnsi" w:hAnsiTheme="minorHAnsi"/>
                <w:sz w:val="18"/>
                <w:szCs w:val="18"/>
              </w:rPr>
            </w:pPr>
            <w:r w:rsidRPr="008051B6">
              <w:rPr>
                <w:rFonts w:asciiTheme="minorHAnsi" w:hAnsiTheme="minorHAnsi"/>
                <w:sz w:val="18"/>
                <w:szCs w:val="18"/>
              </w:rPr>
              <w:t xml:space="preserve">Participatory developed </w:t>
            </w:r>
            <w:r>
              <w:rPr>
                <w:rFonts w:asciiTheme="minorHAnsi" w:hAnsiTheme="minorHAnsi"/>
                <w:sz w:val="18"/>
                <w:szCs w:val="18"/>
              </w:rPr>
              <w:t>“</w:t>
            </w:r>
            <w:r w:rsidRPr="008051B6">
              <w:rPr>
                <w:rFonts w:asciiTheme="minorHAnsi" w:hAnsiTheme="minorHAnsi"/>
                <w:sz w:val="18"/>
                <w:szCs w:val="18"/>
              </w:rPr>
              <w:t>Support Zone Community Action Plan</w:t>
            </w:r>
            <w:r>
              <w:rPr>
                <w:rFonts w:asciiTheme="minorHAnsi" w:hAnsiTheme="minorHAnsi"/>
                <w:sz w:val="18"/>
                <w:szCs w:val="18"/>
              </w:rPr>
              <w:t>”</w:t>
            </w:r>
            <w:r w:rsidRPr="008051B6">
              <w:rPr>
                <w:rFonts w:asciiTheme="minorHAnsi" w:hAnsiTheme="minorHAnsi"/>
                <w:sz w:val="18"/>
                <w:szCs w:val="18"/>
              </w:rPr>
              <w:t xml:space="preserve"> – evidence: BSEA reports, SZ AP</w:t>
            </w:r>
          </w:p>
          <w:p w14:paraId="6243C942" w14:textId="77777777" w:rsidR="00D80AEC" w:rsidRPr="008051B6" w:rsidRDefault="00D80AEC" w:rsidP="00991B6C">
            <w:pPr>
              <w:pStyle w:val="ListParagraph"/>
              <w:numPr>
                <w:ilvl w:val="0"/>
                <w:numId w:val="27"/>
              </w:numPr>
              <w:spacing w:after="60" w:line="240" w:lineRule="auto"/>
              <w:ind w:left="255" w:hanging="255"/>
              <w:rPr>
                <w:rFonts w:asciiTheme="minorHAnsi" w:hAnsiTheme="minorHAnsi"/>
                <w:sz w:val="18"/>
                <w:szCs w:val="18"/>
              </w:rPr>
            </w:pPr>
            <w:r w:rsidRPr="00E13134">
              <w:rPr>
                <w:rFonts w:asciiTheme="minorHAnsi" w:hAnsiTheme="minorHAnsi"/>
                <w:sz w:val="18"/>
                <w:szCs w:val="18"/>
              </w:rPr>
              <w:t>4 infrastructure projects cost-shared with the local communities – water supply infrastructure, a bus-stop, a ritual service centre (arrangement of funerals)</w:t>
            </w:r>
          </w:p>
          <w:p w14:paraId="5D8CC357" w14:textId="77777777" w:rsidR="00D80AEC" w:rsidRPr="00E13134" w:rsidRDefault="00D80AEC" w:rsidP="00991B6C">
            <w:pPr>
              <w:pStyle w:val="ListParagraph"/>
              <w:numPr>
                <w:ilvl w:val="0"/>
                <w:numId w:val="27"/>
              </w:numPr>
              <w:spacing w:after="60" w:line="240" w:lineRule="auto"/>
              <w:ind w:left="255" w:hanging="255"/>
              <w:rPr>
                <w:rFonts w:asciiTheme="minorHAnsi" w:hAnsiTheme="minorHAnsi"/>
                <w:sz w:val="18"/>
                <w:szCs w:val="18"/>
              </w:rPr>
            </w:pPr>
            <w:r w:rsidRPr="00E13134">
              <w:rPr>
                <w:rFonts w:asciiTheme="minorHAnsi" w:hAnsiTheme="minorHAnsi"/>
                <w:sz w:val="18"/>
                <w:szCs w:val="18"/>
              </w:rPr>
              <w:t>A series of activities to benefit local village residents:</w:t>
            </w:r>
          </w:p>
          <w:p w14:paraId="7C2EBCB0" w14:textId="77777777" w:rsidR="00D80AEC" w:rsidRPr="002A4CE2" w:rsidRDefault="00D80AEC" w:rsidP="00991B6C">
            <w:pPr>
              <w:pStyle w:val="ListParagraph"/>
              <w:numPr>
                <w:ilvl w:val="0"/>
                <w:numId w:val="26"/>
              </w:numPr>
              <w:spacing w:after="60" w:line="240" w:lineRule="auto"/>
              <w:ind w:left="651" w:hanging="283"/>
              <w:rPr>
                <w:rFonts w:asciiTheme="minorHAnsi" w:hAnsiTheme="minorHAnsi"/>
                <w:sz w:val="18"/>
                <w:szCs w:val="18"/>
              </w:rPr>
            </w:pPr>
            <w:r w:rsidRPr="002A4CE2">
              <w:rPr>
                <w:rFonts w:asciiTheme="minorHAnsi" w:hAnsiTheme="minorHAnsi"/>
                <w:sz w:val="18"/>
                <w:szCs w:val="18"/>
              </w:rPr>
              <w:t>Training in agriculture</w:t>
            </w:r>
          </w:p>
          <w:p w14:paraId="2809B535" w14:textId="77777777" w:rsidR="00D80AEC" w:rsidRPr="002A4CE2" w:rsidRDefault="00D80AEC" w:rsidP="00991B6C">
            <w:pPr>
              <w:pStyle w:val="ListParagraph"/>
              <w:numPr>
                <w:ilvl w:val="0"/>
                <w:numId w:val="26"/>
              </w:numPr>
              <w:spacing w:after="60" w:line="240" w:lineRule="auto"/>
              <w:ind w:left="651" w:hanging="283"/>
              <w:rPr>
                <w:rFonts w:asciiTheme="minorHAnsi" w:hAnsiTheme="minorHAnsi"/>
                <w:sz w:val="18"/>
                <w:szCs w:val="18"/>
              </w:rPr>
            </w:pPr>
            <w:r w:rsidRPr="002A4CE2">
              <w:rPr>
                <w:rFonts w:asciiTheme="minorHAnsi" w:hAnsiTheme="minorHAnsi"/>
                <w:sz w:val="18"/>
                <w:szCs w:val="18"/>
              </w:rPr>
              <w:t>Assistance and recommendations in efficient forest management</w:t>
            </w:r>
          </w:p>
          <w:p w14:paraId="1779831B" w14:textId="77777777" w:rsidR="00D80AEC" w:rsidRPr="002A4CE2" w:rsidRDefault="00D80AEC" w:rsidP="00991B6C">
            <w:pPr>
              <w:pStyle w:val="ListParagraph"/>
              <w:numPr>
                <w:ilvl w:val="0"/>
                <w:numId w:val="26"/>
              </w:numPr>
              <w:spacing w:after="60" w:line="240" w:lineRule="auto"/>
              <w:ind w:left="651" w:hanging="283"/>
              <w:rPr>
                <w:rFonts w:asciiTheme="minorHAnsi" w:hAnsiTheme="minorHAnsi"/>
                <w:sz w:val="18"/>
                <w:szCs w:val="18"/>
              </w:rPr>
            </w:pPr>
            <w:r w:rsidRPr="002A4CE2">
              <w:rPr>
                <w:rFonts w:asciiTheme="minorHAnsi" w:hAnsiTheme="minorHAnsi"/>
                <w:sz w:val="18"/>
                <w:szCs w:val="18"/>
              </w:rPr>
              <w:lastRenderedPageBreak/>
              <w:t>Assistance in setting up small greenhouses</w:t>
            </w:r>
          </w:p>
          <w:p w14:paraId="2BA755E9" w14:textId="77777777" w:rsidR="00D80AEC" w:rsidRPr="002A4CE2" w:rsidRDefault="00D80AEC" w:rsidP="00991B6C">
            <w:pPr>
              <w:pStyle w:val="ListParagraph"/>
              <w:numPr>
                <w:ilvl w:val="0"/>
                <w:numId w:val="26"/>
              </w:numPr>
              <w:spacing w:after="60" w:line="240" w:lineRule="auto"/>
              <w:ind w:left="651" w:hanging="283"/>
              <w:rPr>
                <w:rFonts w:asciiTheme="minorHAnsi" w:hAnsiTheme="minorHAnsi"/>
                <w:sz w:val="18"/>
                <w:szCs w:val="18"/>
              </w:rPr>
            </w:pPr>
            <w:r w:rsidRPr="002A4CE2">
              <w:rPr>
                <w:rFonts w:asciiTheme="minorHAnsi" w:hAnsiTheme="minorHAnsi"/>
                <w:sz w:val="18"/>
                <w:szCs w:val="18"/>
              </w:rPr>
              <w:t>Assistance in setting up local market-places for selling local produce</w:t>
            </w:r>
          </w:p>
          <w:p w14:paraId="4D97A0D6" w14:textId="77777777" w:rsidR="00D80AEC" w:rsidRPr="002A4CE2" w:rsidRDefault="00D80AEC" w:rsidP="00991B6C">
            <w:pPr>
              <w:pStyle w:val="ListParagraph"/>
              <w:numPr>
                <w:ilvl w:val="0"/>
                <w:numId w:val="26"/>
              </w:numPr>
              <w:spacing w:after="60" w:line="240" w:lineRule="auto"/>
              <w:ind w:left="651" w:hanging="283"/>
              <w:rPr>
                <w:rFonts w:asciiTheme="minorHAnsi" w:hAnsiTheme="minorHAnsi"/>
                <w:sz w:val="18"/>
                <w:szCs w:val="18"/>
              </w:rPr>
            </w:pPr>
            <w:r w:rsidRPr="002A4CE2">
              <w:rPr>
                <w:rFonts w:asciiTheme="minorHAnsi" w:hAnsiTheme="minorHAnsi"/>
                <w:sz w:val="18"/>
                <w:szCs w:val="18"/>
              </w:rPr>
              <w:t>Support to the local folk music choir</w:t>
            </w:r>
          </w:p>
          <w:p w14:paraId="4D021FBD" w14:textId="77777777" w:rsidR="00D80AEC" w:rsidRPr="002A4CE2" w:rsidRDefault="00D80AEC" w:rsidP="00991B6C">
            <w:pPr>
              <w:pStyle w:val="ListParagraph"/>
              <w:numPr>
                <w:ilvl w:val="0"/>
                <w:numId w:val="26"/>
              </w:numPr>
              <w:spacing w:after="60" w:line="240" w:lineRule="auto"/>
              <w:ind w:left="651" w:hanging="283"/>
              <w:rPr>
                <w:rFonts w:asciiTheme="minorHAnsi" w:hAnsiTheme="minorHAnsi"/>
                <w:sz w:val="18"/>
                <w:szCs w:val="18"/>
              </w:rPr>
            </w:pPr>
            <w:r w:rsidRPr="002A4CE2">
              <w:rPr>
                <w:rFonts w:asciiTheme="minorHAnsi" w:hAnsiTheme="minorHAnsi"/>
                <w:sz w:val="18"/>
                <w:szCs w:val="18"/>
              </w:rPr>
              <w:t>Waste collection and transportation programme – a waste collecting vehicle will be purchased with 50% cost-sharing from the local government</w:t>
            </w:r>
          </w:p>
          <w:p w14:paraId="65886203" w14:textId="77777777" w:rsidR="00D80AEC" w:rsidRPr="00607FF4" w:rsidRDefault="00D80AEC" w:rsidP="00991B6C">
            <w:pPr>
              <w:pStyle w:val="ListParagraph"/>
              <w:numPr>
                <w:ilvl w:val="0"/>
                <w:numId w:val="26"/>
              </w:numPr>
              <w:spacing w:after="60" w:line="240" w:lineRule="auto"/>
              <w:ind w:left="651" w:hanging="283"/>
              <w:rPr>
                <w:rFonts w:asciiTheme="minorHAnsi" w:hAnsiTheme="minorHAnsi"/>
                <w:sz w:val="18"/>
                <w:szCs w:val="18"/>
              </w:rPr>
            </w:pPr>
            <w:r w:rsidRPr="00607FF4">
              <w:rPr>
                <w:rFonts w:asciiTheme="minorHAnsi" w:hAnsiTheme="minorHAnsi"/>
                <w:sz w:val="18"/>
                <w:szCs w:val="18"/>
              </w:rPr>
              <w:t>Support to sustainable resource use co-operatives: 7 cooperatives were supported including: 4 – beekeeping (80 functioning beehives total and a vehicle for transportation), 2 – hazelnut cleaning machinery, 1 – hay production – mini tractor and hay pressing machinery.</w:t>
            </w:r>
          </w:p>
          <w:p w14:paraId="3C24EA73" w14:textId="77777777" w:rsidR="00D80AEC" w:rsidRPr="008051B6" w:rsidRDefault="00D80AEC" w:rsidP="00D80AEC">
            <w:pPr>
              <w:rPr>
                <w:rFonts w:asciiTheme="minorHAnsi" w:hAnsiTheme="minorHAnsi"/>
                <w:i/>
                <w:sz w:val="18"/>
                <w:szCs w:val="18"/>
              </w:rPr>
            </w:pPr>
            <w:r w:rsidRPr="008051B6">
              <w:rPr>
                <w:rFonts w:asciiTheme="minorHAnsi" w:hAnsiTheme="minorHAnsi"/>
                <w:i/>
                <w:sz w:val="18"/>
                <w:szCs w:val="18"/>
              </w:rPr>
              <w:t xml:space="preserve">Fuelwood demand reduction </w:t>
            </w:r>
          </w:p>
          <w:p w14:paraId="6F43240D" w14:textId="77777777" w:rsidR="00D80AEC" w:rsidRPr="008051B6" w:rsidRDefault="00D80AEC" w:rsidP="00991B6C">
            <w:pPr>
              <w:pStyle w:val="ListParagraph"/>
              <w:numPr>
                <w:ilvl w:val="0"/>
                <w:numId w:val="27"/>
              </w:numPr>
              <w:spacing w:after="0" w:line="240" w:lineRule="auto"/>
              <w:ind w:left="255" w:hanging="255"/>
              <w:rPr>
                <w:rFonts w:asciiTheme="minorHAnsi" w:hAnsiTheme="minorHAnsi"/>
                <w:sz w:val="18"/>
                <w:szCs w:val="18"/>
              </w:rPr>
            </w:pPr>
            <w:r w:rsidRPr="008051B6">
              <w:rPr>
                <w:rFonts w:asciiTheme="minorHAnsi" w:hAnsiTheme="minorHAnsi"/>
                <w:sz w:val="18"/>
                <w:szCs w:val="18"/>
              </w:rPr>
              <w:t>Fuel wood alternatives piloted in 16 households (11 hazelnut, 5 solar) and 1 school (hazelnut shells, briquettes, solar water heaters) and practical feasibility assessed</w:t>
            </w:r>
          </w:p>
          <w:p w14:paraId="7DCB0499" w14:textId="77777777" w:rsidR="00D80AEC" w:rsidRPr="008051B6" w:rsidRDefault="00D80AEC" w:rsidP="00991B6C">
            <w:pPr>
              <w:pStyle w:val="ListParagraph"/>
              <w:numPr>
                <w:ilvl w:val="0"/>
                <w:numId w:val="27"/>
              </w:numPr>
              <w:spacing w:after="0" w:line="240" w:lineRule="auto"/>
              <w:ind w:left="255" w:hanging="255"/>
              <w:rPr>
                <w:rFonts w:asciiTheme="minorHAnsi" w:hAnsiTheme="minorHAnsi"/>
                <w:sz w:val="18"/>
                <w:szCs w:val="18"/>
              </w:rPr>
            </w:pPr>
            <w:r w:rsidRPr="008051B6">
              <w:rPr>
                <w:rFonts w:asciiTheme="minorHAnsi" w:hAnsiTheme="minorHAnsi"/>
                <w:sz w:val="18"/>
                <w:szCs w:val="18"/>
              </w:rPr>
              <w:t>Replication by 65 households by 2018 (60 hazelnut shells, 5 solar)</w:t>
            </w:r>
          </w:p>
          <w:p w14:paraId="707C67C7" w14:textId="77777777" w:rsidR="00D80AEC" w:rsidRPr="008051B6" w:rsidRDefault="00D80AEC" w:rsidP="00991B6C">
            <w:pPr>
              <w:pStyle w:val="ListParagraph"/>
              <w:numPr>
                <w:ilvl w:val="0"/>
                <w:numId w:val="27"/>
              </w:numPr>
              <w:spacing w:after="0" w:line="240" w:lineRule="auto"/>
              <w:ind w:left="255" w:hanging="255"/>
              <w:rPr>
                <w:rFonts w:asciiTheme="minorHAnsi" w:hAnsiTheme="minorHAnsi"/>
                <w:sz w:val="18"/>
                <w:szCs w:val="18"/>
              </w:rPr>
            </w:pPr>
            <w:r w:rsidRPr="008051B6">
              <w:rPr>
                <w:rFonts w:asciiTheme="minorHAnsi" w:hAnsiTheme="minorHAnsi"/>
                <w:sz w:val="18"/>
                <w:szCs w:val="18"/>
              </w:rPr>
              <w:t>Forecast number of families adopting hazelnut fuel by 2021</w:t>
            </w:r>
            <w:r>
              <w:rPr>
                <w:rFonts w:asciiTheme="minorHAnsi" w:hAnsiTheme="minorHAnsi"/>
                <w:sz w:val="18"/>
                <w:szCs w:val="18"/>
              </w:rPr>
              <w:t xml:space="preserve"> </w:t>
            </w:r>
            <w:r w:rsidRPr="008051B6">
              <w:rPr>
                <w:rFonts w:asciiTheme="minorHAnsi" w:hAnsiTheme="minorHAnsi"/>
                <w:sz w:val="18"/>
                <w:szCs w:val="18"/>
              </w:rPr>
              <w:t>= 250 families</w:t>
            </w:r>
          </w:p>
          <w:p w14:paraId="6FA6236B" w14:textId="77777777" w:rsidR="00D80AEC" w:rsidRPr="00607FF4" w:rsidRDefault="00D80AEC" w:rsidP="00991B6C">
            <w:pPr>
              <w:pStyle w:val="ListParagraph"/>
              <w:numPr>
                <w:ilvl w:val="0"/>
                <w:numId w:val="27"/>
              </w:numPr>
              <w:spacing w:after="0" w:line="240" w:lineRule="auto"/>
              <w:ind w:left="255" w:hanging="255"/>
              <w:rPr>
                <w:rFonts w:asciiTheme="minorHAnsi" w:hAnsiTheme="minorHAnsi"/>
                <w:sz w:val="18"/>
                <w:szCs w:val="18"/>
              </w:rPr>
            </w:pPr>
            <w:r w:rsidRPr="008051B6">
              <w:rPr>
                <w:rFonts w:asciiTheme="minorHAnsi" w:hAnsiTheme="minorHAnsi"/>
                <w:sz w:val="18"/>
                <w:szCs w:val="18"/>
              </w:rPr>
              <w:t xml:space="preserve">Forecast volume of fuelwood not used by 2021 = </w:t>
            </w:r>
            <w:r w:rsidRPr="00607FF4">
              <w:rPr>
                <w:rFonts w:asciiTheme="minorHAnsi" w:hAnsiTheme="minorHAnsi"/>
                <w:sz w:val="18"/>
                <w:szCs w:val="18"/>
              </w:rPr>
              <w:t>2,250 m</w:t>
            </w:r>
            <w:r w:rsidRPr="002A4CE2">
              <w:rPr>
                <w:rFonts w:asciiTheme="minorHAnsi" w:hAnsiTheme="minorHAnsi"/>
                <w:sz w:val="18"/>
                <w:szCs w:val="18"/>
                <w:vertAlign w:val="superscript"/>
              </w:rPr>
              <w:t>3</w:t>
            </w:r>
            <w:r w:rsidRPr="00607FF4">
              <w:rPr>
                <w:rFonts w:asciiTheme="minorHAnsi" w:hAnsiTheme="minorHAnsi"/>
                <w:sz w:val="18"/>
                <w:szCs w:val="18"/>
              </w:rPr>
              <w:t xml:space="preserve"> (1080 tons) of fuel wood.</w:t>
            </w:r>
          </w:p>
          <w:p w14:paraId="53A9AFE3" w14:textId="77777777" w:rsidR="00D80AEC" w:rsidRPr="00607FF4" w:rsidRDefault="00D80AEC" w:rsidP="00991B6C">
            <w:pPr>
              <w:pStyle w:val="ListParagraph"/>
              <w:numPr>
                <w:ilvl w:val="0"/>
                <w:numId w:val="27"/>
              </w:numPr>
              <w:spacing w:after="0" w:line="240" w:lineRule="auto"/>
              <w:ind w:left="255" w:hanging="255"/>
              <w:rPr>
                <w:rFonts w:asciiTheme="minorHAnsi" w:hAnsiTheme="minorHAnsi"/>
                <w:sz w:val="18"/>
                <w:szCs w:val="18"/>
              </w:rPr>
            </w:pPr>
            <w:r w:rsidRPr="00607FF4">
              <w:rPr>
                <w:rFonts w:asciiTheme="minorHAnsi" w:hAnsiTheme="minorHAnsi"/>
                <w:sz w:val="18"/>
                <w:szCs w:val="18"/>
              </w:rPr>
              <w:t>Equivalent to approx. 200 trees not used in 2021 (i.e. if continued at this level over 10 years</w:t>
            </w:r>
            <w:r>
              <w:rPr>
                <w:rFonts w:asciiTheme="minorHAnsi" w:hAnsiTheme="minorHAnsi"/>
                <w:sz w:val="18"/>
                <w:szCs w:val="18"/>
              </w:rPr>
              <w:t>,</w:t>
            </w:r>
            <w:r w:rsidRPr="00607FF4">
              <w:rPr>
                <w:rFonts w:asciiTheme="minorHAnsi" w:hAnsiTheme="minorHAnsi"/>
                <w:sz w:val="18"/>
                <w:szCs w:val="18"/>
              </w:rPr>
              <w:t xml:space="preserve"> the equivalent of approx. 2</w:t>
            </w:r>
            <w:r>
              <w:rPr>
                <w:rFonts w:asciiTheme="minorHAnsi" w:hAnsiTheme="minorHAnsi"/>
                <w:sz w:val="18"/>
                <w:szCs w:val="18"/>
              </w:rPr>
              <w:t>,</w:t>
            </w:r>
            <w:r w:rsidRPr="00607FF4">
              <w:rPr>
                <w:rFonts w:asciiTheme="minorHAnsi" w:hAnsiTheme="minorHAnsi"/>
                <w:sz w:val="18"/>
                <w:szCs w:val="18"/>
              </w:rPr>
              <w:t>000 trees not required for fuel)</w:t>
            </w:r>
          </w:p>
          <w:p w14:paraId="2FCD8696" w14:textId="77777777" w:rsidR="00D80AEC" w:rsidRPr="008051B6" w:rsidRDefault="00D80AEC" w:rsidP="00991B6C">
            <w:pPr>
              <w:pStyle w:val="ListParagraph"/>
              <w:numPr>
                <w:ilvl w:val="0"/>
                <w:numId w:val="27"/>
              </w:numPr>
              <w:spacing w:after="0" w:line="240" w:lineRule="auto"/>
              <w:ind w:left="255" w:hanging="255"/>
              <w:rPr>
                <w:rFonts w:asciiTheme="minorHAnsi" w:hAnsiTheme="minorHAnsi"/>
                <w:sz w:val="18"/>
                <w:szCs w:val="18"/>
              </w:rPr>
            </w:pPr>
            <w:r w:rsidRPr="008051B6">
              <w:rPr>
                <w:rFonts w:asciiTheme="minorHAnsi" w:hAnsiTheme="minorHAnsi"/>
                <w:sz w:val="18"/>
                <w:szCs w:val="18"/>
              </w:rPr>
              <w:t>Awareness and capacity to insulate houses increased by trainings (20 households)</w:t>
            </w:r>
          </w:p>
          <w:p w14:paraId="7AB0EA47" w14:textId="77777777" w:rsidR="00D80AEC" w:rsidRPr="008051B6" w:rsidRDefault="00D80AEC" w:rsidP="00991B6C">
            <w:pPr>
              <w:pStyle w:val="ListParagraph"/>
              <w:numPr>
                <w:ilvl w:val="0"/>
                <w:numId w:val="27"/>
              </w:numPr>
              <w:spacing w:after="0" w:line="240" w:lineRule="auto"/>
              <w:ind w:left="255" w:hanging="255"/>
              <w:rPr>
                <w:rFonts w:asciiTheme="minorHAnsi" w:hAnsiTheme="minorHAnsi"/>
                <w:sz w:val="18"/>
                <w:szCs w:val="18"/>
              </w:rPr>
            </w:pPr>
            <w:r w:rsidRPr="008051B6">
              <w:rPr>
                <w:rFonts w:asciiTheme="minorHAnsi" w:hAnsiTheme="minorHAnsi"/>
                <w:sz w:val="18"/>
                <w:szCs w:val="18"/>
              </w:rPr>
              <w:t xml:space="preserve">Khelvachuari Municipality included in 2018/19 programme to support low income families with hazelnut shell use </w:t>
            </w:r>
          </w:p>
          <w:p w14:paraId="70189210" w14:textId="77777777" w:rsidR="00D80AEC" w:rsidRPr="008051B6" w:rsidRDefault="00D80AEC" w:rsidP="00991B6C">
            <w:pPr>
              <w:pStyle w:val="ListParagraph"/>
              <w:numPr>
                <w:ilvl w:val="0"/>
                <w:numId w:val="27"/>
              </w:numPr>
              <w:spacing w:after="0" w:line="240" w:lineRule="auto"/>
              <w:ind w:left="255" w:hanging="255"/>
              <w:rPr>
                <w:rFonts w:asciiTheme="minorHAnsi" w:hAnsiTheme="minorHAnsi"/>
                <w:sz w:val="18"/>
                <w:szCs w:val="18"/>
              </w:rPr>
            </w:pPr>
            <w:r w:rsidRPr="008051B6">
              <w:rPr>
                <w:rFonts w:asciiTheme="minorHAnsi" w:hAnsiTheme="minorHAnsi"/>
                <w:sz w:val="18"/>
                <w:szCs w:val="18"/>
              </w:rPr>
              <w:t>Replication of experience wit</w:t>
            </w:r>
            <w:r>
              <w:rPr>
                <w:rFonts w:asciiTheme="minorHAnsi" w:hAnsiTheme="minorHAnsi"/>
                <w:sz w:val="18"/>
                <w:szCs w:val="18"/>
              </w:rPr>
              <w:t>h</w:t>
            </w:r>
            <w:r w:rsidRPr="008051B6">
              <w:rPr>
                <w:rFonts w:asciiTheme="minorHAnsi" w:hAnsiTheme="minorHAnsi"/>
                <w:sz w:val="18"/>
                <w:szCs w:val="18"/>
              </w:rPr>
              <w:t xml:space="preserve"> hazelnut shells within WWF forestry activities </w:t>
            </w:r>
            <w:r>
              <w:rPr>
                <w:rFonts w:asciiTheme="minorHAnsi" w:hAnsiTheme="minorHAnsi"/>
                <w:sz w:val="18"/>
                <w:szCs w:val="18"/>
              </w:rPr>
              <w:t xml:space="preserve">(eco-corridor’s program) </w:t>
            </w:r>
            <w:r w:rsidRPr="008051B6">
              <w:rPr>
                <w:rFonts w:asciiTheme="minorHAnsi" w:hAnsiTheme="minorHAnsi"/>
                <w:sz w:val="18"/>
                <w:szCs w:val="18"/>
              </w:rPr>
              <w:t>in K</w:t>
            </w:r>
            <w:r>
              <w:rPr>
                <w:rFonts w:asciiTheme="minorHAnsi" w:hAnsiTheme="minorHAnsi"/>
                <w:sz w:val="18"/>
                <w:szCs w:val="18"/>
              </w:rPr>
              <w:t>h</w:t>
            </w:r>
            <w:r w:rsidRPr="008051B6">
              <w:rPr>
                <w:rFonts w:asciiTheme="minorHAnsi" w:hAnsiTheme="minorHAnsi"/>
                <w:sz w:val="18"/>
                <w:szCs w:val="18"/>
              </w:rPr>
              <w:t>ulo district</w:t>
            </w:r>
          </w:p>
          <w:p w14:paraId="79A85BC8" w14:textId="77777777" w:rsidR="00D80AEC" w:rsidRPr="008051B6" w:rsidRDefault="00D80AEC" w:rsidP="00D80AEC">
            <w:pPr>
              <w:spacing w:before="60" w:after="60"/>
              <w:rPr>
                <w:rFonts w:asciiTheme="minorHAnsi" w:hAnsiTheme="minorHAnsi"/>
                <w:sz w:val="18"/>
                <w:szCs w:val="18"/>
              </w:rPr>
            </w:pPr>
            <w:r w:rsidRPr="008051B6">
              <w:rPr>
                <w:rFonts w:asciiTheme="minorHAnsi" w:hAnsiTheme="minorHAnsi"/>
                <w:sz w:val="18"/>
                <w:szCs w:val="18"/>
              </w:rPr>
              <w:t>Evidence: Contractor reports, Impact and LL report(draft), NP records, Municipality programme, WWF project reports/plans</w:t>
            </w:r>
          </w:p>
          <w:p w14:paraId="4AD5FE1E" w14:textId="77777777" w:rsidR="00D80AEC" w:rsidRPr="008051B6" w:rsidRDefault="00D80AEC" w:rsidP="00D80AEC">
            <w:pPr>
              <w:rPr>
                <w:rFonts w:asciiTheme="minorHAnsi" w:hAnsiTheme="minorHAnsi"/>
                <w:i/>
                <w:sz w:val="18"/>
                <w:szCs w:val="18"/>
              </w:rPr>
            </w:pPr>
            <w:r w:rsidRPr="008051B6">
              <w:rPr>
                <w:rFonts w:asciiTheme="minorHAnsi" w:hAnsiTheme="minorHAnsi"/>
                <w:i/>
                <w:sz w:val="18"/>
                <w:szCs w:val="18"/>
              </w:rPr>
              <w:t>Support Zone Tourism development</w:t>
            </w:r>
          </w:p>
          <w:p w14:paraId="0E82A57C" w14:textId="77777777" w:rsidR="00D80AEC" w:rsidRPr="005D65BE" w:rsidRDefault="00D80AEC" w:rsidP="00991B6C">
            <w:pPr>
              <w:pStyle w:val="ListParagraph"/>
              <w:numPr>
                <w:ilvl w:val="0"/>
                <w:numId w:val="27"/>
              </w:numPr>
              <w:spacing w:after="0" w:line="240" w:lineRule="auto"/>
              <w:ind w:left="255" w:hanging="255"/>
              <w:rPr>
                <w:rFonts w:asciiTheme="minorHAnsi" w:hAnsiTheme="minorHAnsi"/>
                <w:sz w:val="18"/>
                <w:szCs w:val="18"/>
              </w:rPr>
            </w:pPr>
            <w:r w:rsidRPr="005D65BE">
              <w:rPr>
                <w:rFonts w:asciiTheme="minorHAnsi" w:hAnsiTheme="minorHAnsi"/>
                <w:sz w:val="18"/>
                <w:szCs w:val="18"/>
              </w:rPr>
              <w:t xml:space="preserve">Tourism development activities implemented in partnership with the organization “Ecotourism Association of Georgia” </w:t>
            </w:r>
          </w:p>
          <w:p w14:paraId="45133EB1" w14:textId="77777777" w:rsidR="00D80AEC" w:rsidRPr="005D65BE" w:rsidRDefault="00D80AEC" w:rsidP="00991B6C">
            <w:pPr>
              <w:pStyle w:val="ListParagraph"/>
              <w:numPr>
                <w:ilvl w:val="0"/>
                <w:numId w:val="26"/>
              </w:numPr>
              <w:spacing w:after="60" w:line="240" w:lineRule="auto"/>
              <w:ind w:left="651" w:hanging="283"/>
              <w:rPr>
                <w:rFonts w:asciiTheme="minorHAnsi" w:hAnsiTheme="minorHAnsi"/>
                <w:sz w:val="18"/>
                <w:szCs w:val="18"/>
              </w:rPr>
            </w:pPr>
            <w:r>
              <w:rPr>
                <w:rFonts w:asciiTheme="minorHAnsi" w:hAnsiTheme="minorHAnsi"/>
                <w:sz w:val="18"/>
                <w:szCs w:val="18"/>
              </w:rPr>
              <w:t>i</w:t>
            </w:r>
            <w:r w:rsidRPr="005D65BE">
              <w:rPr>
                <w:rFonts w:asciiTheme="minorHAnsi" w:hAnsiTheme="minorHAnsi"/>
                <w:sz w:val="18"/>
                <w:szCs w:val="18"/>
              </w:rPr>
              <w:t xml:space="preserve">nventory of the historic and cultural sites in the Machakhela </w:t>
            </w:r>
            <w:r>
              <w:rPr>
                <w:rFonts w:asciiTheme="minorHAnsi" w:hAnsiTheme="minorHAnsi"/>
                <w:sz w:val="18"/>
                <w:szCs w:val="18"/>
              </w:rPr>
              <w:t>G</w:t>
            </w:r>
            <w:r w:rsidRPr="005D65BE">
              <w:rPr>
                <w:rFonts w:asciiTheme="minorHAnsi" w:hAnsiTheme="minorHAnsi"/>
                <w:sz w:val="18"/>
                <w:szCs w:val="18"/>
              </w:rPr>
              <w:t xml:space="preserve">orge, </w:t>
            </w:r>
          </w:p>
          <w:p w14:paraId="0E58F26E" w14:textId="77777777" w:rsidR="00D80AEC" w:rsidRPr="005D65BE" w:rsidRDefault="00D80AEC" w:rsidP="00991B6C">
            <w:pPr>
              <w:pStyle w:val="ListParagraph"/>
              <w:numPr>
                <w:ilvl w:val="0"/>
                <w:numId w:val="26"/>
              </w:numPr>
              <w:spacing w:after="60" w:line="240" w:lineRule="auto"/>
              <w:ind w:left="651" w:hanging="283"/>
              <w:rPr>
                <w:rFonts w:asciiTheme="minorHAnsi" w:hAnsiTheme="minorHAnsi"/>
                <w:sz w:val="18"/>
                <w:szCs w:val="18"/>
              </w:rPr>
            </w:pPr>
            <w:r w:rsidRPr="005D65BE">
              <w:rPr>
                <w:rFonts w:asciiTheme="minorHAnsi" w:hAnsiTheme="minorHAnsi"/>
                <w:sz w:val="18"/>
                <w:szCs w:val="18"/>
              </w:rPr>
              <w:t>development of touris</w:t>
            </w:r>
            <w:r>
              <w:rPr>
                <w:rFonts w:asciiTheme="minorHAnsi" w:hAnsiTheme="minorHAnsi"/>
                <w:sz w:val="18"/>
                <w:szCs w:val="18"/>
              </w:rPr>
              <w:t>m</w:t>
            </w:r>
            <w:r w:rsidRPr="005D65BE">
              <w:rPr>
                <w:rFonts w:asciiTheme="minorHAnsi" w:hAnsiTheme="minorHAnsi"/>
                <w:sz w:val="18"/>
                <w:szCs w:val="18"/>
              </w:rPr>
              <w:t xml:space="preserve"> services (wine tasting, embroidery house, blacksmith workshop, basket weaving, eco-farms etc.), assistance in opening family guesthouses, </w:t>
            </w:r>
          </w:p>
          <w:p w14:paraId="05592F8B" w14:textId="77777777" w:rsidR="00D80AEC" w:rsidRPr="005D65BE" w:rsidRDefault="00D80AEC" w:rsidP="00991B6C">
            <w:pPr>
              <w:pStyle w:val="ListParagraph"/>
              <w:numPr>
                <w:ilvl w:val="0"/>
                <w:numId w:val="26"/>
              </w:numPr>
              <w:spacing w:after="60" w:line="240" w:lineRule="auto"/>
              <w:ind w:left="651" w:hanging="283"/>
              <w:rPr>
                <w:rFonts w:asciiTheme="minorHAnsi" w:hAnsiTheme="minorHAnsi"/>
                <w:sz w:val="18"/>
                <w:szCs w:val="18"/>
              </w:rPr>
            </w:pPr>
            <w:r w:rsidRPr="005D65BE">
              <w:rPr>
                <w:rFonts w:asciiTheme="minorHAnsi" w:hAnsiTheme="minorHAnsi"/>
                <w:sz w:val="18"/>
                <w:szCs w:val="18"/>
              </w:rPr>
              <w:t>training in touris</w:t>
            </w:r>
            <w:r>
              <w:rPr>
                <w:rFonts w:asciiTheme="minorHAnsi" w:hAnsiTheme="minorHAnsi"/>
                <w:sz w:val="18"/>
                <w:szCs w:val="18"/>
              </w:rPr>
              <w:t>m</w:t>
            </w:r>
            <w:r w:rsidRPr="005D65BE">
              <w:rPr>
                <w:rFonts w:asciiTheme="minorHAnsi" w:hAnsiTheme="minorHAnsi"/>
                <w:sz w:val="18"/>
                <w:szCs w:val="18"/>
              </w:rPr>
              <w:t xml:space="preserve"> services for the residents, popularization of traditional trades.   </w:t>
            </w:r>
          </w:p>
          <w:p w14:paraId="4981A935" w14:textId="77777777" w:rsidR="00D80AEC" w:rsidRPr="005D65BE" w:rsidRDefault="00D80AEC" w:rsidP="00991B6C">
            <w:pPr>
              <w:pStyle w:val="ListParagraph"/>
              <w:numPr>
                <w:ilvl w:val="0"/>
                <w:numId w:val="27"/>
              </w:numPr>
              <w:spacing w:after="0" w:line="240" w:lineRule="auto"/>
              <w:ind w:left="255" w:hanging="255"/>
              <w:rPr>
                <w:rFonts w:asciiTheme="minorHAnsi" w:hAnsiTheme="minorHAnsi"/>
                <w:sz w:val="18"/>
                <w:szCs w:val="18"/>
              </w:rPr>
            </w:pPr>
            <w:r w:rsidRPr="005D65BE">
              <w:rPr>
                <w:rFonts w:asciiTheme="minorHAnsi" w:hAnsiTheme="minorHAnsi"/>
                <w:sz w:val="18"/>
                <w:szCs w:val="18"/>
              </w:rPr>
              <w:t>Assistance in establishing and arranging the hiking tracks in the valley– gastronomic route,  Wine presses Route, Dunga waterfall route, ethnographic route. Installation of signs</w:t>
            </w:r>
          </w:p>
          <w:p w14:paraId="0E453B8F" w14:textId="77777777" w:rsidR="00D80AEC" w:rsidRPr="005D65BE" w:rsidRDefault="00D80AEC" w:rsidP="00991B6C">
            <w:pPr>
              <w:pStyle w:val="ListParagraph"/>
              <w:numPr>
                <w:ilvl w:val="0"/>
                <w:numId w:val="27"/>
              </w:numPr>
              <w:spacing w:after="0" w:line="240" w:lineRule="auto"/>
              <w:ind w:left="255" w:hanging="255"/>
              <w:rPr>
                <w:rFonts w:asciiTheme="minorHAnsi" w:hAnsiTheme="minorHAnsi"/>
                <w:sz w:val="18"/>
                <w:szCs w:val="18"/>
              </w:rPr>
            </w:pPr>
            <w:r w:rsidRPr="005D65BE">
              <w:rPr>
                <w:rFonts w:asciiTheme="minorHAnsi" w:hAnsiTheme="minorHAnsi"/>
                <w:sz w:val="18"/>
                <w:szCs w:val="18"/>
              </w:rPr>
              <w:t xml:space="preserve">Assistance in publishing the print, audio and video touristic kits.  </w:t>
            </w:r>
          </w:p>
          <w:p w14:paraId="110AA69B" w14:textId="77777777" w:rsidR="00D80AEC" w:rsidRPr="008051B6" w:rsidRDefault="00D80AEC" w:rsidP="00D80AEC">
            <w:pPr>
              <w:shd w:val="clear" w:color="auto" w:fill="F2DBDB" w:themeFill="accent2" w:themeFillTint="33"/>
              <w:spacing w:after="60"/>
              <w:rPr>
                <w:rFonts w:asciiTheme="minorHAnsi" w:hAnsiTheme="minorHAnsi"/>
                <w:sz w:val="18"/>
                <w:szCs w:val="18"/>
              </w:rPr>
            </w:pPr>
            <w:r w:rsidRPr="008051B6">
              <w:rPr>
                <w:rFonts w:asciiTheme="minorHAnsi" w:hAnsiTheme="minorHAnsi"/>
                <w:sz w:val="18"/>
                <w:szCs w:val="18"/>
              </w:rPr>
              <w:t>Evidence: contract reports, in</w:t>
            </w:r>
            <w:r>
              <w:rPr>
                <w:rFonts w:asciiTheme="minorHAnsi" w:hAnsiTheme="minorHAnsi"/>
                <w:sz w:val="18"/>
                <w:szCs w:val="18"/>
              </w:rPr>
              <w:t xml:space="preserve">-situ </w:t>
            </w:r>
            <w:r w:rsidRPr="008051B6">
              <w:rPr>
                <w:rFonts w:asciiTheme="minorHAnsi" w:hAnsiTheme="minorHAnsi"/>
                <w:sz w:val="18"/>
                <w:szCs w:val="18"/>
              </w:rPr>
              <w:t xml:space="preserve">wine tasting </w:t>
            </w:r>
            <w:r>
              <w:rPr>
                <w:rFonts w:asciiTheme="minorHAnsi" w:hAnsiTheme="minorHAnsi"/>
                <w:sz w:val="18"/>
                <w:szCs w:val="18"/>
              </w:rPr>
              <w:t>venue</w:t>
            </w:r>
            <w:r w:rsidRPr="008051B6">
              <w:rPr>
                <w:rFonts w:asciiTheme="minorHAnsi" w:hAnsiTheme="minorHAnsi"/>
                <w:sz w:val="18"/>
                <w:szCs w:val="18"/>
              </w:rPr>
              <w:t>, embroidery house, basket weaver, etc, existing trails and signs, printed materials/ audio video tourist kits</w:t>
            </w:r>
          </w:p>
          <w:p w14:paraId="60A650FD" w14:textId="77777777" w:rsidR="00D80AEC" w:rsidRPr="008051B6" w:rsidRDefault="00D80AEC" w:rsidP="00D80AEC">
            <w:pPr>
              <w:spacing w:before="60"/>
              <w:rPr>
                <w:rFonts w:asciiTheme="minorHAnsi" w:hAnsiTheme="minorHAnsi"/>
                <w:i/>
                <w:sz w:val="18"/>
                <w:szCs w:val="18"/>
              </w:rPr>
            </w:pPr>
            <w:r w:rsidRPr="008051B6">
              <w:rPr>
                <w:rFonts w:asciiTheme="minorHAnsi" w:hAnsiTheme="minorHAnsi"/>
                <w:i/>
                <w:sz w:val="18"/>
                <w:szCs w:val="18"/>
              </w:rPr>
              <w:t>Human wildlife conflict reduction</w:t>
            </w:r>
          </w:p>
          <w:p w14:paraId="677DDB17" w14:textId="77777777" w:rsidR="00D80AEC" w:rsidRPr="008051B6" w:rsidRDefault="00D80AEC" w:rsidP="00991B6C">
            <w:pPr>
              <w:pStyle w:val="ListParagraph"/>
              <w:numPr>
                <w:ilvl w:val="0"/>
                <w:numId w:val="27"/>
              </w:numPr>
              <w:spacing w:after="0" w:line="240" w:lineRule="auto"/>
              <w:ind w:left="255" w:hanging="255"/>
              <w:rPr>
                <w:rFonts w:asciiTheme="minorHAnsi" w:hAnsiTheme="minorHAnsi"/>
                <w:sz w:val="18"/>
                <w:szCs w:val="18"/>
              </w:rPr>
            </w:pPr>
            <w:r w:rsidRPr="008051B6">
              <w:rPr>
                <w:rFonts w:asciiTheme="minorHAnsi" w:hAnsiTheme="minorHAnsi"/>
                <w:sz w:val="18"/>
                <w:szCs w:val="18"/>
              </w:rPr>
              <w:t>Data on real extent and scope of conflicts between local population and wildlife documented for 1</w:t>
            </w:r>
            <w:r w:rsidRPr="002A4CE2">
              <w:rPr>
                <w:rFonts w:asciiTheme="minorHAnsi" w:hAnsiTheme="minorHAnsi"/>
                <w:sz w:val="18"/>
                <w:szCs w:val="18"/>
              </w:rPr>
              <w:t>st</w:t>
            </w:r>
            <w:r w:rsidRPr="008051B6">
              <w:rPr>
                <w:rFonts w:asciiTheme="minorHAnsi" w:hAnsiTheme="minorHAnsi"/>
                <w:sz w:val="18"/>
                <w:szCs w:val="18"/>
              </w:rPr>
              <w:t xml:space="preserve"> time in </w:t>
            </w:r>
            <w:r>
              <w:rPr>
                <w:rFonts w:asciiTheme="minorHAnsi" w:hAnsiTheme="minorHAnsi"/>
                <w:sz w:val="18"/>
                <w:szCs w:val="18"/>
              </w:rPr>
              <w:t>Achara</w:t>
            </w:r>
            <w:r w:rsidRPr="008051B6">
              <w:rPr>
                <w:rFonts w:asciiTheme="minorHAnsi" w:hAnsiTheme="minorHAnsi"/>
                <w:sz w:val="18"/>
                <w:szCs w:val="18"/>
              </w:rPr>
              <w:t xml:space="preserve"> – evidence: NACRES report.</w:t>
            </w:r>
          </w:p>
          <w:p w14:paraId="624AF1BF" w14:textId="77777777" w:rsidR="00D80AEC" w:rsidRPr="008051B6" w:rsidRDefault="00D80AEC" w:rsidP="00991B6C">
            <w:pPr>
              <w:pStyle w:val="ListParagraph"/>
              <w:numPr>
                <w:ilvl w:val="0"/>
                <w:numId w:val="27"/>
              </w:numPr>
              <w:spacing w:after="0" w:line="240" w:lineRule="auto"/>
              <w:ind w:left="255" w:hanging="255"/>
              <w:rPr>
                <w:rFonts w:asciiTheme="minorHAnsi" w:hAnsiTheme="minorHAnsi"/>
                <w:sz w:val="18"/>
                <w:szCs w:val="18"/>
              </w:rPr>
            </w:pPr>
            <w:r w:rsidRPr="008051B6">
              <w:rPr>
                <w:rFonts w:asciiTheme="minorHAnsi" w:hAnsiTheme="minorHAnsi"/>
                <w:sz w:val="18"/>
                <w:szCs w:val="18"/>
              </w:rPr>
              <w:t>Electric fences practically tested in the field as method of preven</w:t>
            </w:r>
            <w:r>
              <w:rPr>
                <w:rFonts w:asciiTheme="minorHAnsi" w:hAnsiTheme="minorHAnsi"/>
                <w:sz w:val="18"/>
                <w:szCs w:val="18"/>
              </w:rPr>
              <w:t>ting wildlife damage to crops (</w:t>
            </w:r>
            <w:r w:rsidRPr="008051B6">
              <w:rPr>
                <w:rFonts w:asciiTheme="minorHAnsi" w:hAnsiTheme="minorHAnsi"/>
                <w:sz w:val="18"/>
                <w:szCs w:val="18"/>
              </w:rPr>
              <w:t>11 fence systems, 15 households)</w:t>
            </w:r>
          </w:p>
          <w:p w14:paraId="702917E8" w14:textId="77777777" w:rsidR="00D80AEC" w:rsidRPr="008051B6" w:rsidRDefault="00D80AEC" w:rsidP="00991B6C">
            <w:pPr>
              <w:pStyle w:val="ListParagraph"/>
              <w:numPr>
                <w:ilvl w:val="0"/>
                <w:numId w:val="27"/>
              </w:numPr>
              <w:spacing w:after="0" w:line="240" w:lineRule="auto"/>
              <w:ind w:left="255" w:hanging="255"/>
              <w:rPr>
                <w:rFonts w:asciiTheme="minorHAnsi" w:hAnsiTheme="minorHAnsi"/>
                <w:sz w:val="18"/>
                <w:szCs w:val="18"/>
              </w:rPr>
            </w:pPr>
            <w:r w:rsidRPr="008051B6">
              <w:rPr>
                <w:rFonts w:asciiTheme="minorHAnsi" w:hAnsiTheme="minorHAnsi"/>
                <w:sz w:val="18"/>
                <w:szCs w:val="18"/>
              </w:rPr>
              <w:t>Livestock insurance scheme tested – first such test in Georgia</w:t>
            </w:r>
            <w:r>
              <w:rPr>
                <w:rFonts w:asciiTheme="minorHAnsi" w:hAnsiTheme="minorHAnsi"/>
                <w:sz w:val="18"/>
                <w:szCs w:val="18"/>
              </w:rPr>
              <w:t xml:space="preserve"> (approx.</w:t>
            </w:r>
            <w:r w:rsidRPr="008051B6">
              <w:rPr>
                <w:rFonts w:asciiTheme="minorHAnsi" w:hAnsiTheme="minorHAnsi"/>
                <w:sz w:val="18"/>
                <w:szCs w:val="18"/>
              </w:rPr>
              <w:t xml:space="preserve"> 100 households, 200 cows, in 2 villages) </w:t>
            </w:r>
          </w:p>
          <w:p w14:paraId="73871238" w14:textId="77777777" w:rsidR="00D80AEC" w:rsidRPr="008051B6" w:rsidRDefault="00D80AEC" w:rsidP="00991B6C">
            <w:pPr>
              <w:pStyle w:val="ListParagraph"/>
              <w:numPr>
                <w:ilvl w:val="0"/>
                <w:numId w:val="27"/>
              </w:numPr>
              <w:spacing w:after="0" w:line="240" w:lineRule="auto"/>
              <w:ind w:left="255" w:hanging="255"/>
              <w:rPr>
                <w:rFonts w:asciiTheme="minorHAnsi" w:hAnsiTheme="minorHAnsi"/>
                <w:sz w:val="18"/>
                <w:szCs w:val="18"/>
              </w:rPr>
            </w:pPr>
            <w:r w:rsidRPr="008051B6">
              <w:rPr>
                <w:rFonts w:asciiTheme="minorHAnsi" w:hAnsiTheme="minorHAnsi"/>
                <w:sz w:val="18"/>
                <w:szCs w:val="18"/>
              </w:rPr>
              <w:lastRenderedPageBreak/>
              <w:t>Livestock Insurance approach being replicated by WWF project in K</w:t>
            </w:r>
            <w:r>
              <w:rPr>
                <w:rFonts w:asciiTheme="minorHAnsi" w:hAnsiTheme="minorHAnsi"/>
                <w:sz w:val="18"/>
                <w:szCs w:val="18"/>
              </w:rPr>
              <w:t>h</w:t>
            </w:r>
            <w:r w:rsidRPr="008051B6">
              <w:rPr>
                <w:rFonts w:asciiTheme="minorHAnsi" w:hAnsiTheme="minorHAnsi"/>
                <w:sz w:val="18"/>
                <w:szCs w:val="18"/>
              </w:rPr>
              <w:t xml:space="preserve">ulo district </w:t>
            </w:r>
          </w:p>
          <w:p w14:paraId="1FD2E0C3" w14:textId="77777777" w:rsidR="00D80AEC" w:rsidRPr="008051B6" w:rsidRDefault="00D80AEC" w:rsidP="00991B6C">
            <w:pPr>
              <w:pStyle w:val="ListParagraph"/>
              <w:numPr>
                <w:ilvl w:val="0"/>
                <w:numId w:val="27"/>
              </w:numPr>
              <w:spacing w:after="0" w:line="240" w:lineRule="auto"/>
              <w:ind w:left="255" w:hanging="255"/>
              <w:rPr>
                <w:rFonts w:asciiTheme="minorHAnsi" w:hAnsiTheme="minorHAnsi"/>
                <w:sz w:val="18"/>
                <w:szCs w:val="18"/>
              </w:rPr>
            </w:pPr>
            <w:r w:rsidRPr="008051B6">
              <w:rPr>
                <w:rFonts w:asciiTheme="minorHAnsi" w:hAnsiTheme="minorHAnsi"/>
                <w:sz w:val="18"/>
                <w:szCs w:val="18"/>
              </w:rPr>
              <w:t>Impact, L</w:t>
            </w:r>
            <w:r>
              <w:rPr>
                <w:rFonts w:asciiTheme="minorHAnsi" w:hAnsiTheme="minorHAnsi"/>
                <w:sz w:val="18"/>
                <w:szCs w:val="18"/>
              </w:rPr>
              <w:t>essons L</w:t>
            </w:r>
            <w:r w:rsidRPr="008051B6">
              <w:rPr>
                <w:rFonts w:asciiTheme="minorHAnsi" w:hAnsiTheme="minorHAnsi"/>
                <w:sz w:val="18"/>
                <w:szCs w:val="18"/>
              </w:rPr>
              <w:t>earned and Recommendations report prepared</w:t>
            </w:r>
            <w:r>
              <w:rPr>
                <w:rFonts w:asciiTheme="minorHAnsi" w:hAnsiTheme="minorHAnsi"/>
                <w:sz w:val="18"/>
                <w:szCs w:val="18"/>
              </w:rPr>
              <w:t>, published and disseminated</w:t>
            </w:r>
          </w:p>
          <w:p w14:paraId="78055A66" w14:textId="77777777" w:rsidR="00D80AEC" w:rsidRPr="008051B6" w:rsidRDefault="00D80AEC" w:rsidP="00D80AEC">
            <w:pPr>
              <w:spacing w:before="60" w:after="60"/>
              <w:rPr>
                <w:rFonts w:asciiTheme="minorHAnsi" w:hAnsiTheme="minorHAnsi"/>
                <w:sz w:val="18"/>
                <w:szCs w:val="18"/>
              </w:rPr>
            </w:pPr>
            <w:r w:rsidRPr="008051B6">
              <w:rPr>
                <w:rFonts w:asciiTheme="minorHAnsi" w:hAnsiTheme="minorHAnsi"/>
                <w:sz w:val="18"/>
                <w:szCs w:val="18"/>
              </w:rPr>
              <w:t>Evidence: NACRES reports, procurement documents, insurance documents, electric fences in-situ, Impact and Les</w:t>
            </w:r>
            <w:r>
              <w:rPr>
                <w:rFonts w:asciiTheme="minorHAnsi" w:hAnsiTheme="minorHAnsi"/>
                <w:sz w:val="18"/>
                <w:szCs w:val="18"/>
              </w:rPr>
              <w:t>sons L</w:t>
            </w:r>
            <w:r w:rsidRPr="008051B6">
              <w:rPr>
                <w:rFonts w:asciiTheme="minorHAnsi" w:hAnsiTheme="minorHAnsi"/>
                <w:sz w:val="18"/>
                <w:szCs w:val="18"/>
              </w:rPr>
              <w:t xml:space="preserve">earned report </w:t>
            </w:r>
            <w:r w:rsidRPr="002E6B5E">
              <w:rPr>
                <w:rFonts w:asciiTheme="minorHAnsi" w:hAnsiTheme="minorHAnsi"/>
                <w:sz w:val="18"/>
                <w:szCs w:val="18"/>
              </w:rPr>
              <w:t>(pending),</w:t>
            </w:r>
            <w:r w:rsidRPr="008051B6">
              <w:rPr>
                <w:rFonts w:asciiTheme="minorHAnsi" w:hAnsiTheme="minorHAnsi"/>
                <w:sz w:val="18"/>
                <w:szCs w:val="18"/>
              </w:rPr>
              <w:t xml:space="preserve"> WWF project plans/reports</w:t>
            </w:r>
          </w:p>
          <w:p w14:paraId="0069F8CA" w14:textId="77777777" w:rsidR="00D80AEC" w:rsidRPr="008051B6" w:rsidRDefault="00D80AEC" w:rsidP="00D80AEC">
            <w:pPr>
              <w:spacing w:before="60" w:after="60"/>
              <w:rPr>
                <w:rFonts w:asciiTheme="minorHAnsi" w:hAnsiTheme="minorHAnsi"/>
                <w:i/>
                <w:sz w:val="18"/>
                <w:szCs w:val="18"/>
              </w:rPr>
            </w:pPr>
            <w:r w:rsidRPr="008051B6">
              <w:rPr>
                <w:rFonts w:asciiTheme="minorHAnsi" w:hAnsiTheme="minorHAnsi"/>
                <w:i/>
                <w:sz w:val="18"/>
                <w:szCs w:val="18"/>
              </w:rPr>
              <w:t xml:space="preserve">Machakhela Valley Protected </w:t>
            </w:r>
            <w:r>
              <w:rPr>
                <w:rFonts w:asciiTheme="minorHAnsi" w:hAnsiTheme="minorHAnsi"/>
                <w:i/>
                <w:sz w:val="18"/>
                <w:szCs w:val="18"/>
              </w:rPr>
              <w:t>L</w:t>
            </w:r>
            <w:r w:rsidRPr="008051B6">
              <w:rPr>
                <w:rFonts w:asciiTheme="minorHAnsi" w:hAnsiTheme="minorHAnsi"/>
                <w:i/>
                <w:sz w:val="18"/>
                <w:szCs w:val="18"/>
              </w:rPr>
              <w:t>andscape (NP Support Zone territory)</w:t>
            </w:r>
          </w:p>
          <w:p w14:paraId="7C7A0910" w14:textId="77777777" w:rsidR="00D80AEC" w:rsidRPr="008051B6" w:rsidRDefault="00D80AEC" w:rsidP="00991B6C">
            <w:pPr>
              <w:pStyle w:val="ListParagraph"/>
              <w:numPr>
                <w:ilvl w:val="0"/>
                <w:numId w:val="27"/>
              </w:numPr>
              <w:spacing w:after="0" w:line="240" w:lineRule="auto"/>
              <w:ind w:left="255" w:hanging="255"/>
              <w:rPr>
                <w:rFonts w:asciiTheme="minorHAnsi" w:hAnsiTheme="minorHAnsi"/>
                <w:sz w:val="18"/>
                <w:szCs w:val="18"/>
              </w:rPr>
            </w:pPr>
            <w:r w:rsidRPr="008051B6">
              <w:rPr>
                <w:rFonts w:asciiTheme="minorHAnsi" w:hAnsiTheme="minorHAnsi"/>
                <w:sz w:val="18"/>
                <w:szCs w:val="18"/>
              </w:rPr>
              <w:t xml:space="preserve">Consultative review of best options for systematic conservation management of Machakhela </w:t>
            </w:r>
            <w:r>
              <w:rPr>
                <w:rFonts w:asciiTheme="minorHAnsi" w:hAnsiTheme="minorHAnsi"/>
                <w:sz w:val="18"/>
                <w:szCs w:val="18"/>
              </w:rPr>
              <w:t>S</w:t>
            </w:r>
            <w:r w:rsidRPr="008051B6">
              <w:rPr>
                <w:rFonts w:asciiTheme="minorHAnsi" w:hAnsiTheme="minorHAnsi"/>
                <w:sz w:val="18"/>
                <w:szCs w:val="18"/>
              </w:rPr>
              <w:t>upport Zone territory – evidence: consultant report</w:t>
            </w:r>
          </w:p>
          <w:p w14:paraId="70BAA70B" w14:textId="77777777" w:rsidR="00D80AEC" w:rsidRPr="008051B6" w:rsidRDefault="00D80AEC" w:rsidP="00991B6C">
            <w:pPr>
              <w:pStyle w:val="ListParagraph"/>
              <w:numPr>
                <w:ilvl w:val="0"/>
                <w:numId w:val="27"/>
              </w:numPr>
              <w:spacing w:after="0" w:line="240" w:lineRule="auto"/>
              <w:ind w:left="255" w:hanging="255"/>
              <w:rPr>
                <w:rFonts w:asciiTheme="minorHAnsi" w:hAnsiTheme="minorHAnsi"/>
                <w:sz w:val="18"/>
                <w:szCs w:val="18"/>
              </w:rPr>
            </w:pPr>
            <w:r w:rsidRPr="008051B6">
              <w:rPr>
                <w:rFonts w:asciiTheme="minorHAnsi" w:hAnsiTheme="minorHAnsi"/>
                <w:sz w:val="18"/>
                <w:szCs w:val="18"/>
              </w:rPr>
              <w:t>Consensual agreement for establishing a “protected landscape” – evidence: Reports of consultant, records/minutes of consultation meetings.</w:t>
            </w:r>
          </w:p>
          <w:p w14:paraId="43A73F5E" w14:textId="77777777" w:rsidR="00D80AEC" w:rsidRPr="008051B6" w:rsidRDefault="00D80AEC" w:rsidP="00991B6C">
            <w:pPr>
              <w:pStyle w:val="ListParagraph"/>
              <w:numPr>
                <w:ilvl w:val="0"/>
                <w:numId w:val="27"/>
              </w:numPr>
              <w:spacing w:after="0" w:line="240" w:lineRule="auto"/>
              <w:ind w:left="255" w:hanging="255"/>
              <w:rPr>
                <w:rFonts w:asciiTheme="minorHAnsi" w:hAnsiTheme="minorHAnsi"/>
                <w:sz w:val="18"/>
                <w:szCs w:val="18"/>
              </w:rPr>
            </w:pPr>
            <w:r w:rsidRPr="008051B6">
              <w:rPr>
                <w:rFonts w:asciiTheme="minorHAnsi" w:hAnsiTheme="minorHAnsi"/>
                <w:sz w:val="18"/>
                <w:szCs w:val="18"/>
              </w:rPr>
              <w:t xml:space="preserve">Documents and materials required to formally submit application to Government to establish a “Protected Landscape” prepared – evidence: </w:t>
            </w:r>
            <w:r w:rsidRPr="00401228">
              <w:rPr>
                <w:rFonts w:asciiTheme="minorHAnsi" w:hAnsiTheme="minorHAnsi"/>
                <w:sz w:val="18"/>
                <w:szCs w:val="18"/>
              </w:rPr>
              <w:t xml:space="preserve">draft law on designation and management of the new protected landscape, recommendations to the </w:t>
            </w:r>
            <w:r>
              <w:rPr>
                <w:rFonts w:asciiTheme="minorHAnsi" w:hAnsiTheme="minorHAnsi"/>
                <w:sz w:val="18"/>
                <w:szCs w:val="18"/>
              </w:rPr>
              <w:t>M</w:t>
            </w:r>
            <w:r w:rsidRPr="00401228">
              <w:rPr>
                <w:rFonts w:asciiTheme="minorHAnsi" w:hAnsiTheme="minorHAnsi"/>
                <w:sz w:val="18"/>
                <w:szCs w:val="18"/>
              </w:rPr>
              <w:t xml:space="preserve">unicipality on the administration, necessary staffing and approximate budget for the new protected landscape. </w:t>
            </w:r>
          </w:p>
          <w:p w14:paraId="0236C20F" w14:textId="77777777" w:rsidR="00D80AEC" w:rsidRPr="008051B6" w:rsidRDefault="00D80AEC" w:rsidP="00991B6C">
            <w:pPr>
              <w:pStyle w:val="ListParagraph"/>
              <w:numPr>
                <w:ilvl w:val="0"/>
                <w:numId w:val="27"/>
              </w:numPr>
              <w:spacing w:after="0" w:line="240" w:lineRule="auto"/>
              <w:ind w:left="255" w:hanging="255"/>
              <w:rPr>
                <w:rFonts w:asciiTheme="minorHAnsi" w:hAnsiTheme="minorHAnsi"/>
                <w:sz w:val="18"/>
                <w:szCs w:val="18"/>
              </w:rPr>
            </w:pPr>
            <w:r w:rsidRPr="008051B6">
              <w:rPr>
                <w:rFonts w:asciiTheme="minorHAnsi" w:hAnsiTheme="minorHAnsi"/>
                <w:sz w:val="18"/>
                <w:szCs w:val="18"/>
              </w:rPr>
              <w:t xml:space="preserve">Follow-up lobbying and support for Khelvachauri Municipality and </w:t>
            </w:r>
            <w:r>
              <w:rPr>
                <w:rFonts w:asciiTheme="minorHAnsi" w:hAnsiTheme="minorHAnsi"/>
                <w:sz w:val="18"/>
                <w:szCs w:val="18"/>
              </w:rPr>
              <w:t>Achara</w:t>
            </w:r>
            <w:r w:rsidRPr="008051B6">
              <w:rPr>
                <w:rFonts w:asciiTheme="minorHAnsi" w:hAnsiTheme="minorHAnsi"/>
                <w:sz w:val="18"/>
                <w:szCs w:val="18"/>
              </w:rPr>
              <w:t xml:space="preserve"> Government with submission of Protected Landscape proposal to government. Evidence: Letter from UNDP/minutes of meetings</w:t>
            </w:r>
            <w:r>
              <w:rPr>
                <w:rFonts w:asciiTheme="minorHAnsi" w:hAnsiTheme="minorHAnsi"/>
                <w:sz w:val="18"/>
                <w:szCs w:val="18"/>
              </w:rPr>
              <w:t>.</w:t>
            </w:r>
            <w:r w:rsidRPr="008051B6">
              <w:rPr>
                <w:rFonts w:asciiTheme="minorHAnsi" w:hAnsiTheme="minorHAnsi"/>
                <w:sz w:val="18"/>
                <w:szCs w:val="18"/>
              </w:rPr>
              <w:t xml:space="preserve"> </w:t>
            </w:r>
          </w:p>
          <w:p w14:paraId="09BF62D0" w14:textId="77777777" w:rsidR="00D80AEC" w:rsidRPr="008051B6" w:rsidRDefault="00D80AEC" w:rsidP="00991B6C">
            <w:pPr>
              <w:pStyle w:val="ListParagraph"/>
              <w:numPr>
                <w:ilvl w:val="0"/>
                <w:numId w:val="27"/>
              </w:numPr>
              <w:spacing w:after="0" w:line="240" w:lineRule="auto"/>
              <w:ind w:left="255" w:hanging="255"/>
              <w:rPr>
                <w:rFonts w:asciiTheme="minorHAnsi" w:hAnsiTheme="minorHAnsi"/>
                <w:sz w:val="18"/>
                <w:szCs w:val="18"/>
              </w:rPr>
            </w:pPr>
            <w:r w:rsidRPr="008051B6">
              <w:rPr>
                <w:rFonts w:asciiTheme="minorHAnsi" w:hAnsiTheme="minorHAnsi"/>
                <w:sz w:val="18"/>
                <w:szCs w:val="18"/>
              </w:rPr>
              <w:t>On-going support of Czech UNDP Partnership consultant secured for post</w:t>
            </w:r>
            <w:r>
              <w:rPr>
                <w:rFonts w:asciiTheme="minorHAnsi" w:hAnsiTheme="minorHAnsi"/>
                <w:sz w:val="18"/>
                <w:szCs w:val="18"/>
              </w:rPr>
              <w:t>-</w:t>
            </w:r>
            <w:r w:rsidRPr="008051B6">
              <w:rPr>
                <w:rFonts w:asciiTheme="minorHAnsi" w:hAnsiTheme="minorHAnsi"/>
                <w:sz w:val="18"/>
                <w:szCs w:val="18"/>
              </w:rPr>
              <w:t>project</w:t>
            </w:r>
            <w:r>
              <w:rPr>
                <w:rFonts w:asciiTheme="minorHAnsi" w:hAnsiTheme="minorHAnsi"/>
                <w:sz w:val="18"/>
                <w:szCs w:val="18"/>
              </w:rPr>
              <w:t xml:space="preserve"> (early 2019)</w:t>
            </w:r>
            <w:r w:rsidRPr="008051B6">
              <w:rPr>
                <w:rFonts w:asciiTheme="minorHAnsi" w:hAnsiTheme="minorHAnsi"/>
                <w:sz w:val="18"/>
                <w:szCs w:val="18"/>
              </w:rPr>
              <w:t>. Evidence: application approval/contract</w:t>
            </w:r>
          </w:p>
          <w:p w14:paraId="0E3E833C" w14:textId="77777777" w:rsidR="00D80AEC" w:rsidRPr="008051B6" w:rsidRDefault="00D80AEC" w:rsidP="00991B6C">
            <w:pPr>
              <w:pStyle w:val="ListParagraph"/>
              <w:numPr>
                <w:ilvl w:val="0"/>
                <w:numId w:val="27"/>
              </w:numPr>
              <w:spacing w:after="0" w:line="240" w:lineRule="auto"/>
              <w:ind w:left="255" w:hanging="255"/>
              <w:rPr>
                <w:rFonts w:asciiTheme="minorHAnsi" w:hAnsiTheme="minorHAnsi"/>
                <w:sz w:val="18"/>
                <w:szCs w:val="18"/>
              </w:rPr>
            </w:pPr>
            <w:r w:rsidRPr="008051B6">
              <w:rPr>
                <w:rFonts w:asciiTheme="minorHAnsi" w:hAnsiTheme="minorHAnsi"/>
                <w:sz w:val="18"/>
                <w:szCs w:val="18"/>
              </w:rPr>
              <w:t>Study tours: Awareness and direct practical experience of NP staff and local stakeholders on practical impact and benefits of protected areas increased through 3 study tours to Tusheti PAs and Kakheti PA</w:t>
            </w:r>
            <w:r>
              <w:rPr>
                <w:rFonts w:asciiTheme="minorHAnsi" w:hAnsiTheme="minorHAnsi"/>
                <w:sz w:val="18"/>
                <w:szCs w:val="18"/>
              </w:rPr>
              <w:t xml:space="preserve"> (</w:t>
            </w:r>
            <w:r w:rsidRPr="008051B6">
              <w:rPr>
                <w:rFonts w:asciiTheme="minorHAnsi" w:hAnsiTheme="minorHAnsi"/>
                <w:sz w:val="18"/>
                <w:szCs w:val="18"/>
              </w:rPr>
              <w:t>approx. 44 people in total)</w:t>
            </w:r>
            <w:r>
              <w:rPr>
                <w:rFonts w:asciiTheme="minorHAnsi" w:hAnsiTheme="minorHAnsi"/>
                <w:sz w:val="18"/>
                <w:szCs w:val="18"/>
              </w:rPr>
              <w:t xml:space="preserve">. </w:t>
            </w:r>
            <w:r w:rsidRPr="008051B6">
              <w:rPr>
                <w:rFonts w:asciiTheme="minorHAnsi" w:hAnsiTheme="minorHAnsi"/>
                <w:sz w:val="18"/>
                <w:szCs w:val="18"/>
              </w:rPr>
              <w:t xml:space="preserve"> </w:t>
            </w:r>
            <w:r>
              <w:rPr>
                <w:rFonts w:asciiTheme="minorHAnsi" w:hAnsiTheme="minorHAnsi"/>
                <w:sz w:val="18"/>
                <w:szCs w:val="18"/>
              </w:rPr>
              <w:t>E</w:t>
            </w:r>
            <w:r w:rsidRPr="008051B6">
              <w:rPr>
                <w:rFonts w:asciiTheme="minorHAnsi" w:hAnsiTheme="minorHAnsi"/>
                <w:sz w:val="18"/>
                <w:szCs w:val="18"/>
              </w:rPr>
              <w:t xml:space="preserve">vidence: </w:t>
            </w:r>
            <w:r>
              <w:rPr>
                <w:rFonts w:asciiTheme="minorHAnsi" w:hAnsiTheme="minorHAnsi"/>
                <w:sz w:val="18"/>
                <w:szCs w:val="18"/>
              </w:rPr>
              <w:t>m</w:t>
            </w:r>
            <w:r w:rsidRPr="008051B6">
              <w:rPr>
                <w:rFonts w:asciiTheme="minorHAnsi" w:hAnsiTheme="minorHAnsi"/>
                <w:sz w:val="18"/>
                <w:szCs w:val="18"/>
              </w:rPr>
              <w:t>edia reports (TV).</w:t>
            </w:r>
          </w:p>
          <w:p w14:paraId="0F3D4BB7" w14:textId="77777777" w:rsidR="00D80AEC" w:rsidRPr="008051B6" w:rsidRDefault="00D80AEC" w:rsidP="00D80AEC">
            <w:pPr>
              <w:contextualSpacing/>
              <w:rPr>
                <w:rFonts w:asciiTheme="minorHAnsi" w:hAnsiTheme="minorHAnsi"/>
                <w:i/>
                <w:sz w:val="18"/>
                <w:szCs w:val="18"/>
              </w:rPr>
            </w:pPr>
            <w:r w:rsidRPr="008051B6">
              <w:rPr>
                <w:rFonts w:asciiTheme="minorHAnsi" w:hAnsiTheme="minorHAnsi"/>
                <w:i/>
                <w:sz w:val="18"/>
                <w:szCs w:val="18"/>
              </w:rPr>
              <w:t>Recording and dissemination of Project Lessons Learned and Recommendations for Future</w:t>
            </w:r>
          </w:p>
          <w:p w14:paraId="3D8E552E" w14:textId="77777777" w:rsidR="00D80AEC" w:rsidRPr="002A4CE2" w:rsidRDefault="00D80AEC" w:rsidP="00991B6C">
            <w:pPr>
              <w:pStyle w:val="ListParagraph"/>
              <w:numPr>
                <w:ilvl w:val="0"/>
                <w:numId w:val="27"/>
              </w:numPr>
              <w:spacing w:after="0" w:line="240" w:lineRule="auto"/>
              <w:ind w:left="255" w:hanging="255"/>
              <w:rPr>
                <w:rFonts w:asciiTheme="minorHAnsi" w:hAnsiTheme="minorHAnsi"/>
                <w:sz w:val="18"/>
                <w:szCs w:val="18"/>
              </w:rPr>
            </w:pPr>
            <w:r w:rsidRPr="008051B6">
              <w:rPr>
                <w:rFonts w:asciiTheme="minorHAnsi" w:hAnsiTheme="minorHAnsi"/>
                <w:sz w:val="18"/>
                <w:szCs w:val="18"/>
              </w:rPr>
              <w:t xml:space="preserve">Overall summary LL and Recommendations x 1, Thematic LL and recommendations x 6 printed (hard </w:t>
            </w:r>
            <w:r>
              <w:rPr>
                <w:rFonts w:asciiTheme="minorHAnsi" w:hAnsiTheme="minorHAnsi"/>
                <w:sz w:val="18"/>
                <w:szCs w:val="18"/>
              </w:rPr>
              <w:t>copy, electronic</w:t>
            </w:r>
            <w:r w:rsidRPr="008051B6">
              <w:rPr>
                <w:rFonts w:asciiTheme="minorHAnsi" w:hAnsiTheme="minorHAnsi"/>
                <w:sz w:val="18"/>
                <w:szCs w:val="18"/>
              </w:rPr>
              <w:t xml:space="preserve">) approx. 200 copies. </w:t>
            </w:r>
            <w:r w:rsidRPr="002A4CE2">
              <w:rPr>
                <w:rFonts w:asciiTheme="minorHAnsi" w:hAnsiTheme="minorHAnsi"/>
                <w:sz w:val="18"/>
                <w:szCs w:val="18"/>
              </w:rPr>
              <w:t>Evidence: pending</w:t>
            </w:r>
          </w:p>
          <w:p w14:paraId="18668F8E" w14:textId="77777777" w:rsidR="00D80AEC" w:rsidRPr="002A4CE2" w:rsidRDefault="00D80AEC" w:rsidP="00991B6C">
            <w:pPr>
              <w:pStyle w:val="ListParagraph"/>
              <w:numPr>
                <w:ilvl w:val="0"/>
                <w:numId w:val="27"/>
              </w:numPr>
              <w:spacing w:after="0" w:line="240" w:lineRule="auto"/>
              <w:ind w:left="255" w:hanging="255"/>
              <w:rPr>
                <w:rFonts w:asciiTheme="minorHAnsi" w:hAnsiTheme="minorHAnsi"/>
                <w:sz w:val="18"/>
                <w:szCs w:val="18"/>
              </w:rPr>
            </w:pPr>
            <w:r w:rsidRPr="008051B6">
              <w:rPr>
                <w:rFonts w:asciiTheme="minorHAnsi" w:hAnsiTheme="minorHAnsi"/>
                <w:sz w:val="18"/>
                <w:szCs w:val="18"/>
              </w:rPr>
              <w:t>Impact, Lessons Learned and Recommendations terminal workshop (approx. 40 participants</w:t>
            </w:r>
            <w:r>
              <w:rPr>
                <w:rFonts w:asciiTheme="minorHAnsi" w:hAnsiTheme="minorHAnsi"/>
                <w:sz w:val="18"/>
                <w:szCs w:val="18"/>
              </w:rPr>
              <w:t>).</w:t>
            </w:r>
            <w:r w:rsidRPr="00401228">
              <w:rPr>
                <w:rFonts w:asciiTheme="minorHAnsi" w:hAnsiTheme="minorHAnsi"/>
                <w:sz w:val="18"/>
                <w:szCs w:val="18"/>
              </w:rPr>
              <w:t xml:space="preserve"> </w:t>
            </w:r>
            <w:r w:rsidRPr="002A4CE2">
              <w:rPr>
                <w:rFonts w:asciiTheme="minorHAnsi" w:hAnsiTheme="minorHAnsi"/>
                <w:sz w:val="18"/>
                <w:szCs w:val="18"/>
              </w:rPr>
              <w:t>Evidence: pending</w:t>
            </w:r>
          </w:p>
          <w:p w14:paraId="319E0178" w14:textId="77777777" w:rsidR="00D80AEC" w:rsidRPr="002A4CE2" w:rsidRDefault="00D80AEC" w:rsidP="00991B6C">
            <w:pPr>
              <w:pStyle w:val="ListParagraph"/>
              <w:numPr>
                <w:ilvl w:val="0"/>
                <w:numId w:val="27"/>
              </w:numPr>
              <w:spacing w:after="0" w:line="240" w:lineRule="auto"/>
              <w:ind w:left="255" w:hanging="255"/>
              <w:rPr>
                <w:rFonts w:asciiTheme="minorHAnsi" w:hAnsiTheme="minorHAnsi"/>
                <w:sz w:val="18"/>
                <w:szCs w:val="18"/>
              </w:rPr>
            </w:pPr>
            <w:r w:rsidRPr="008051B6">
              <w:rPr>
                <w:rFonts w:asciiTheme="minorHAnsi" w:hAnsiTheme="minorHAnsi"/>
                <w:sz w:val="18"/>
                <w:szCs w:val="18"/>
              </w:rPr>
              <w:t>Dissemination of LL/recommendations via direct delivery, online publishing, inclusion to suitable GEF, UNDP,</w:t>
            </w:r>
            <w:r>
              <w:rPr>
                <w:rFonts w:asciiTheme="minorHAnsi" w:hAnsiTheme="minorHAnsi"/>
                <w:sz w:val="18"/>
                <w:szCs w:val="18"/>
              </w:rPr>
              <w:t xml:space="preserve"> </w:t>
            </w:r>
            <w:r w:rsidRPr="008051B6">
              <w:rPr>
                <w:rFonts w:asciiTheme="minorHAnsi" w:hAnsiTheme="minorHAnsi"/>
                <w:sz w:val="18"/>
                <w:szCs w:val="18"/>
              </w:rPr>
              <w:t>other databases</w:t>
            </w:r>
            <w:r>
              <w:rPr>
                <w:rFonts w:asciiTheme="minorHAnsi" w:hAnsiTheme="minorHAnsi"/>
                <w:sz w:val="18"/>
                <w:szCs w:val="18"/>
              </w:rPr>
              <w:t xml:space="preserve"> </w:t>
            </w:r>
            <w:r w:rsidRPr="002A4CE2">
              <w:rPr>
                <w:rFonts w:asciiTheme="minorHAnsi" w:hAnsiTheme="minorHAnsi"/>
                <w:sz w:val="18"/>
                <w:szCs w:val="18"/>
              </w:rPr>
              <w:t>- evidence: pending</w:t>
            </w:r>
          </w:p>
          <w:p w14:paraId="15AB2BFE" w14:textId="77777777" w:rsidR="00D80AEC" w:rsidRPr="008051B6" w:rsidRDefault="00D80AEC" w:rsidP="00991B6C">
            <w:pPr>
              <w:pStyle w:val="ListParagraph"/>
              <w:numPr>
                <w:ilvl w:val="0"/>
                <w:numId w:val="27"/>
              </w:numPr>
              <w:spacing w:after="0" w:line="240" w:lineRule="auto"/>
              <w:ind w:left="255" w:hanging="255"/>
              <w:rPr>
                <w:rFonts w:asciiTheme="minorHAnsi" w:hAnsiTheme="minorHAnsi"/>
                <w:sz w:val="18"/>
                <w:szCs w:val="18"/>
              </w:rPr>
            </w:pPr>
            <w:r>
              <w:rPr>
                <w:rFonts w:asciiTheme="minorHAnsi" w:hAnsiTheme="minorHAnsi"/>
                <w:sz w:val="18"/>
                <w:szCs w:val="18"/>
              </w:rPr>
              <w:t>Transfer of experience and lessons learned by Project Manager as member of national Working Group for Development of National Protected Areas Policy” (supported by GIZ). Evidence: WG meeting minutes, correspondence.</w:t>
            </w:r>
          </w:p>
          <w:p w14:paraId="62C3691E" w14:textId="77777777" w:rsidR="00D80AEC" w:rsidRPr="008051B6" w:rsidRDefault="00D80AEC" w:rsidP="00D80AEC">
            <w:pPr>
              <w:rPr>
                <w:rFonts w:asciiTheme="minorHAnsi" w:hAnsiTheme="minorHAnsi"/>
                <w:sz w:val="18"/>
                <w:szCs w:val="18"/>
              </w:rPr>
            </w:pPr>
            <w:r w:rsidRPr="008051B6">
              <w:rPr>
                <w:rFonts w:asciiTheme="minorHAnsi" w:hAnsiTheme="minorHAnsi"/>
                <w:sz w:val="18"/>
                <w:szCs w:val="18"/>
              </w:rPr>
              <w:t>Mass media materials/events and publications. Evidence: document copies, links</w:t>
            </w:r>
            <w:r>
              <w:rPr>
                <w:rFonts w:asciiTheme="minorHAnsi" w:hAnsiTheme="minorHAnsi"/>
                <w:sz w:val="18"/>
                <w:szCs w:val="18"/>
              </w:rPr>
              <w:t xml:space="preserve"> to on-line sources (see lists </w:t>
            </w:r>
            <w:r w:rsidRPr="008051B6">
              <w:rPr>
                <w:rFonts w:asciiTheme="minorHAnsi" w:hAnsiTheme="minorHAnsi"/>
                <w:sz w:val="18"/>
                <w:szCs w:val="18"/>
              </w:rPr>
              <w:t>PIRs )</w:t>
            </w:r>
          </w:p>
        </w:tc>
        <w:tc>
          <w:tcPr>
            <w:tcW w:w="829" w:type="pct"/>
            <w:shd w:val="clear" w:color="auto" w:fill="DBE5F1"/>
            <w:tcMar>
              <w:top w:w="28" w:type="dxa"/>
              <w:bottom w:w="28" w:type="dxa"/>
              <w:right w:w="57" w:type="dxa"/>
            </w:tcMar>
          </w:tcPr>
          <w:p w14:paraId="7DA4866D" w14:textId="77777777" w:rsidR="00D80AEC" w:rsidRPr="0044734F" w:rsidRDefault="00D80AEC" w:rsidP="00991B6C">
            <w:pPr>
              <w:numPr>
                <w:ilvl w:val="0"/>
                <w:numId w:val="25"/>
              </w:numPr>
              <w:tabs>
                <w:tab w:val="clear" w:pos="360"/>
              </w:tabs>
              <w:overflowPunct/>
              <w:autoSpaceDE/>
              <w:autoSpaceDN/>
              <w:adjustRightInd/>
              <w:spacing w:before="60" w:after="60"/>
              <w:ind w:left="402" w:hanging="312"/>
              <w:textAlignment w:val="auto"/>
              <w:rPr>
                <w:rFonts w:asciiTheme="minorHAnsi" w:hAnsiTheme="minorHAnsi"/>
                <w:sz w:val="18"/>
                <w:szCs w:val="18"/>
              </w:rPr>
            </w:pPr>
          </w:p>
        </w:tc>
      </w:tr>
    </w:tbl>
    <w:p w14:paraId="65BACABC" w14:textId="77777777" w:rsidR="00D80AEC" w:rsidRDefault="00D80AEC" w:rsidP="00D80AEC"/>
    <w:p w14:paraId="5F9A0330" w14:textId="77777777" w:rsidR="00D80AEC" w:rsidRDefault="00D80AEC" w:rsidP="004508FC">
      <w:pPr>
        <w:pStyle w:val="Default"/>
      </w:pPr>
    </w:p>
    <w:p w14:paraId="0555E4F2" w14:textId="77777777" w:rsidR="00CD0232" w:rsidRDefault="00CD0232" w:rsidP="00CD0232">
      <w:pPr>
        <w:pStyle w:val="Default"/>
      </w:pPr>
    </w:p>
    <w:p w14:paraId="345C6F08" w14:textId="77777777" w:rsidR="000178D4" w:rsidRDefault="000178D4" w:rsidP="00CD0232">
      <w:pPr>
        <w:pStyle w:val="Default"/>
        <w:sectPr w:rsidR="000178D4" w:rsidSect="00ED5208">
          <w:footnotePr>
            <w:numRestart w:val="eachPage"/>
          </w:footnotePr>
          <w:pgSz w:w="16838" w:h="11906" w:orient="landscape" w:code="1"/>
          <w:pgMar w:top="1440" w:right="1440" w:bottom="1440" w:left="1440" w:header="288" w:footer="288" w:gutter="0"/>
          <w:pgNumType w:start="1"/>
          <w:cols w:space="708"/>
          <w:docGrid w:linePitch="299"/>
        </w:sectPr>
      </w:pPr>
    </w:p>
    <w:p w14:paraId="4ED27832" w14:textId="77777777" w:rsidR="000178D4" w:rsidRPr="00E22EBA" w:rsidRDefault="000178D4" w:rsidP="000178D4">
      <w:pPr>
        <w:pStyle w:val="Heading2"/>
        <w:spacing w:after="120" w:line="240" w:lineRule="auto"/>
        <w:rPr>
          <w:rFonts w:asciiTheme="minorHAnsi" w:hAnsiTheme="minorHAnsi"/>
          <w:b/>
          <w:caps w:val="0"/>
        </w:rPr>
      </w:pPr>
      <w:bookmarkStart w:id="252" w:name="_Toc414745354"/>
      <w:r w:rsidRPr="00E22EBA">
        <w:rPr>
          <w:rFonts w:asciiTheme="minorHAnsi" w:hAnsiTheme="minorHAnsi"/>
          <w:b/>
          <w:caps w:val="0"/>
        </w:rPr>
        <w:lastRenderedPageBreak/>
        <w:t xml:space="preserve">Annex </w:t>
      </w:r>
      <w:r>
        <w:rPr>
          <w:rFonts w:asciiTheme="minorHAnsi" w:hAnsiTheme="minorHAnsi"/>
          <w:b/>
          <w:caps w:val="0"/>
        </w:rPr>
        <w:t>8</w:t>
      </w:r>
      <w:r w:rsidRPr="00E22EBA">
        <w:rPr>
          <w:rFonts w:asciiTheme="minorHAnsi" w:hAnsiTheme="minorHAnsi"/>
          <w:b/>
          <w:caps w:val="0"/>
        </w:rPr>
        <w:t>: Evaluation Matrix</w:t>
      </w:r>
      <w:bookmarkEnd w:id="25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715"/>
        <w:gridCol w:w="216"/>
        <w:gridCol w:w="3548"/>
        <w:gridCol w:w="3091"/>
        <w:gridCol w:w="2750"/>
        <w:gridCol w:w="342"/>
        <w:gridCol w:w="2352"/>
      </w:tblGrid>
      <w:tr w:rsidR="000178D4" w:rsidRPr="00636EC9" w14:paraId="3C75DEB9" w14:textId="77777777" w:rsidTr="00CE3C2C">
        <w:trPr>
          <w:cantSplit/>
          <w:trHeight w:val="485"/>
          <w:tblHeader/>
        </w:trPr>
        <w:tc>
          <w:tcPr>
            <w:tcW w:w="689" w:type="pct"/>
            <w:gridSpan w:val="2"/>
            <w:tcBorders>
              <w:top w:val="single" w:sz="4" w:space="0" w:color="auto"/>
              <w:left w:val="single" w:sz="4" w:space="0" w:color="auto"/>
              <w:bottom w:val="single" w:sz="4" w:space="0" w:color="auto"/>
              <w:right w:val="single" w:sz="4" w:space="0" w:color="auto"/>
            </w:tcBorders>
            <w:shd w:val="clear" w:color="auto" w:fill="17365D"/>
            <w:tcMar>
              <w:left w:w="28" w:type="dxa"/>
              <w:right w:w="28" w:type="dxa"/>
            </w:tcMar>
            <w:vAlign w:val="center"/>
          </w:tcPr>
          <w:p w14:paraId="71C2C6A8" w14:textId="77777777" w:rsidR="000178D4" w:rsidRPr="00636EC9" w:rsidRDefault="000178D4" w:rsidP="00CE3C2C">
            <w:pPr>
              <w:keepLines/>
              <w:jc w:val="center"/>
              <w:rPr>
                <w:rFonts w:ascii="Arial Narrow" w:hAnsi="Arial Narrow" w:cs="Arial"/>
                <w:b/>
                <w:smallCaps/>
                <w:color w:val="F2F2F2"/>
                <w:sz w:val="20"/>
                <w:lang w:val="en-US"/>
              </w:rPr>
            </w:pPr>
            <w:r w:rsidRPr="00636EC9">
              <w:rPr>
                <w:rFonts w:ascii="Arial Narrow" w:hAnsi="Arial Narrow" w:cs="Arial"/>
                <w:b/>
                <w:smallCaps/>
                <w:color w:val="F2F2F2"/>
                <w:sz w:val="20"/>
                <w:lang w:val="en-US"/>
              </w:rPr>
              <w:t>Evaluation Criteria /</w:t>
            </w:r>
          </w:p>
          <w:p w14:paraId="584C1696" w14:textId="77777777" w:rsidR="000178D4" w:rsidRPr="00636EC9" w:rsidRDefault="000178D4" w:rsidP="00CE3C2C">
            <w:pPr>
              <w:keepLines/>
              <w:jc w:val="center"/>
              <w:rPr>
                <w:rFonts w:ascii="Arial Narrow" w:hAnsi="Arial Narrow" w:cs="Arial"/>
                <w:b/>
                <w:smallCaps/>
                <w:color w:val="F2F2F2"/>
                <w:sz w:val="20"/>
                <w:lang w:val="en-US"/>
              </w:rPr>
            </w:pPr>
            <w:r w:rsidRPr="00636EC9">
              <w:rPr>
                <w:rFonts w:ascii="Arial Narrow" w:hAnsi="Arial Narrow" w:cs="Arial"/>
                <w:b/>
                <w:smallCaps/>
                <w:color w:val="F2F2F2"/>
                <w:sz w:val="20"/>
                <w:lang w:val="en-US"/>
              </w:rPr>
              <w:t>Sub-criteria</w:t>
            </w:r>
          </w:p>
        </w:tc>
        <w:tc>
          <w:tcPr>
            <w:tcW w:w="1266" w:type="pct"/>
            <w:tcBorders>
              <w:top w:val="single" w:sz="4" w:space="0" w:color="auto"/>
              <w:left w:val="single" w:sz="4" w:space="0" w:color="auto"/>
              <w:bottom w:val="single" w:sz="4" w:space="0" w:color="auto"/>
              <w:right w:val="single" w:sz="4" w:space="0" w:color="auto"/>
            </w:tcBorders>
            <w:shd w:val="clear" w:color="auto" w:fill="17365D"/>
            <w:tcMar>
              <w:left w:w="28" w:type="dxa"/>
              <w:right w:w="28" w:type="dxa"/>
            </w:tcMar>
            <w:vAlign w:val="center"/>
          </w:tcPr>
          <w:p w14:paraId="7A0B668F" w14:textId="77777777" w:rsidR="000178D4" w:rsidRPr="00636EC9" w:rsidRDefault="000178D4" w:rsidP="00CE3C2C">
            <w:pPr>
              <w:keepLines/>
              <w:jc w:val="center"/>
              <w:rPr>
                <w:rFonts w:ascii="Arial Narrow" w:hAnsi="Arial Narrow" w:cs="Arial"/>
                <w:b/>
                <w:smallCaps/>
                <w:color w:val="F2F2F2"/>
                <w:sz w:val="20"/>
                <w:lang w:val="en-US"/>
              </w:rPr>
            </w:pPr>
            <w:r w:rsidRPr="00636EC9">
              <w:rPr>
                <w:rFonts w:ascii="Arial Narrow" w:hAnsi="Arial Narrow" w:cs="Arial"/>
                <w:b/>
                <w:smallCaps/>
                <w:color w:val="F2F2F2"/>
                <w:sz w:val="20"/>
                <w:lang w:val="en-US"/>
              </w:rPr>
              <w:t>Main Questions to be Addressed by the Evaluation</w:t>
            </w:r>
          </w:p>
        </w:tc>
        <w:tc>
          <w:tcPr>
            <w:tcW w:w="1103" w:type="pct"/>
            <w:tcBorders>
              <w:top w:val="single" w:sz="4" w:space="0" w:color="auto"/>
              <w:left w:val="single" w:sz="4" w:space="0" w:color="auto"/>
              <w:bottom w:val="single" w:sz="4" w:space="0" w:color="auto"/>
              <w:right w:val="single" w:sz="4" w:space="0" w:color="auto"/>
            </w:tcBorders>
            <w:shd w:val="clear" w:color="auto" w:fill="17365D"/>
            <w:tcMar>
              <w:left w:w="28" w:type="dxa"/>
              <w:right w:w="28" w:type="dxa"/>
            </w:tcMar>
            <w:vAlign w:val="center"/>
          </w:tcPr>
          <w:p w14:paraId="226A75A3" w14:textId="77777777" w:rsidR="000178D4" w:rsidRPr="00636EC9" w:rsidRDefault="000178D4" w:rsidP="00CE3C2C">
            <w:pPr>
              <w:keepLines/>
              <w:jc w:val="center"/>
              <w:rPr>
                <w:rFonts w:ascii="Arial Narrow" w:hAnsi="Arial Narrow" w:cs="Arial"/>
                <w:b/>
                <w:smallCaps/>
                <w:color w:val="F2F2F2"/>
                <w:sz w:val="20"/>
                <w:lang w:val="en-US"/>
              </w:rPr>
            </w:pPr>
            <w:r w:rsidRPr="00636EC9">
              <w:rPr>
                <w:rFonts w:ascii="Arial Narrow" w:hAnsi="Arial Narrow" w:cs="Arial"/>
                <w:b/>
                <w:smallCaps/>
                <w:color w:val="F2F2F2"/>
                <w:sz w:val="20"/>
                <w:lang w:val="en-US"/>
              </w:rPr>
              <w:t>What to Look For (Indicators)</w:t>
            </w:r>
          </w:p>
        </w:tc>
        <w:tc>
          <w:tcPr>
            <w:tcW w:w="981" w:type="pct"/>
            <w:tcBorders>
              <w:top w:val="single" w:sz="4" w:space="0" w:color="auto"/>
              <w:left w:val="single" w:sz="4" w:space="0" w:color="auto"/>
              <w:bottom w:val="single" w:sz="4" w:space="0" w:color="auto"/>
              <w:right w:val="single" w:sz="4" w:space="0" w:color="auto"/>
            </w:tcBorders>
            <w:shd w:val="clear" w:color="auto" w:fill="17365D"/>
            <w:tcMar>
              <w:left w:w="28" w:type="dxa"/>
              <w:right w:w="28" w:type="dxa"/>
            </w:tcMar>
            <w:vAlign w:val="center"/>
          </w:tcPr>
          <w:p w14:paraId="692FA117" w14:textId="77777777" w:rsidR="000178D4" w:rsidRPr="00636EC9" w:rsidRDefault="000178D4" w:rsidP="00CE3C2C">
            <w:pPr>
              <w:keepLines/>
              <w:jc w:val="center"/>
              <w:rPr>
                <w:rFonts w:ascii="Arial Narrow" w:hAnsi="Arial Narrow" w:cs="Arial"/>
                <w:b/>
                <w:smallCaps/>
                <w:color w:val="F2F2F2"/>
                <w:sz w:val="20"/>
                <w:lang w:val="en-US"/>
              </w:rPr>
            </w:pPr>
            <w:r w:rsidRPr="00636EC9">
              <w:rPr>
                <w:rFonts w:ascii="Arial Narrow" w:hAnsi="Arial Narrow" w:cs="Arial"/>
                <w:b/>
                <w:smallCaps/>
                <w:color w:val="F2F2F2"/>
                <w:sz w:val="20"/>
                <w:lang w:val="en-US"/>
              </w:rPr>
              <w:t>Data Sources</w:t>
            </w:r>
          </w:p>
        </w:tc>
        <w:tc>
          <w:tcPr>
            <w:tcW w:w="961" w:type="pct"/>
            <w:gridSpan w:val="2"/>
            <w:tcBorders>
              <w:top w:val="single" w:sz="4" w:space="0" w:color="auto"/>
              <w:left w:val="single" w:sz="4" w:space="0" w:color="auto"/>
              <w:bottom w:val="single" w:sz="4" w:space="0" w:color="auto"/>
              <w:right w:val="single" w:sz="4" w:space="0" w:color="auto"/>
            </w:tcBorders>
            <w:shd w:val="clear" w:color="auto" w:fill="17365D"/>
            <w:tcMar>
              <w:left w:w="28" w:type="dxa"/>
              <w:right w:w="28" w:type="dxa"/>
            </w:tcMar>
            <w:vAlign w:val="center"/>
          </w:tcPr>
          <w:p w14:paraId="6343D601" w14:textId="77777777" w:rsidR="000178D4" w:rsidRPr="00636EC9" w:rsidRDefault="000178D4" w:rsidP="00CE3C2C">
            <w:pPr>
              <w:keepLines/>
              <w:jc w:val="center"/>
              <w:rPr>
                <w:rFonts w:ascii="Arial Narrow" w:hAnsi="Arial Narrow" w:cs="Arial"/>
                <w:b/>
                <w:smallCaps/>
                <w:color w:val="F2F2F2"/>
                <w:sz w:val="20"/>
                <w:lang w:val="en-US"/>
              </w:rPr>
            </w:pPr>
            <w:r w:rsidRPr="00636EC9">
              <w:rPr>
                <w:rFonts w:ascii="Arial Narrow" w:hAnsi="Arial Narrow" w:cs="Arial"/>
                <w:b/>
                <w:smallCaps/>
                <w:color w:val="F2F2F2"/>
                <w:sz w:val="20"/>
                <w:lang w:val="en-US"/>
              </w:rPr>
              <w:t>Data Collection Methods</w:t>
            </w:r>
          </w:p>
        </w:tc>
      </w:tr>
      <w:tr w:rsidR="000178D4" w:rsidRPr="00636EC9" w14:paraId="1BDECC41" w14:textId="77777777" w:rsidTr="00CE3C2C">
        <w:trPr>
          <w:cantSplit/>
          <w:trHeight w:val="172"/>
        </w:trPr>
        <w:tc>
          <w:tcPr>
            <w:tcW w:w="5000" w:type="pct"/>
            <w:gridSpan w:val="7"/>
            <w:tcBorders>
              <w:top w:val="single" w:sz="4" w:space="0" w:color="auto"/>
              <w:right w:val="single" w:sz="4" w:space="0" w:color="auto"/>
            </w:tcBorders>
            <w:shd w:val="clear" w:color="auto" w:fill="B8CCE4"/>
            <w:tcMar>
              <w:left w:w="28" w:type="dxa"/>
              <w:right w:w="28" w:type="dxa"/>
            </w:tcMar>
            <w:vAlign w:val="center"/>
          </w:tcPr>
          <w:p w14:paraId="10EE2A70" w14:textId="77777777" w:rsidR="000178D4" w:rsidRPr="00636EC9" w:rsidRDefault="000178D4" w:rsidP="00CE3C2C">
            <w:pPr>
              <w:keepLines/>
              <w:rPr>
                <w:rFonts w:ascii="Arial Narrow" w:hAnsi="Arial Narrow" w:cs="Arial"/>
                <w:sz w:val="18"/>
                <w:szCs w:val="18"/>
                <w:lang w:val="en-US"/>
              </w:rPr>
            </w:pPr>
            <w:r w:rsidRPr="00636EC9">
              <w:rPr>
                <w:rFonts w:ascii="Arial Narrow" w:hAnsi="Arial Narrow" w:cs="Arial"/>
                <w:b/>
                <w:smallCaps/>
                <w:sz w:val="18"/>
                <w:szCs w:val="18"/>
                <w:lang w:val="en-US"/>
              </w:rPr>
              <w:t>RELEVANCE to global, national and local environment and sustainable development priorities</w:t>
            </w:r>
          </w:p>
        </w:tc>
      </w:tr>
      <w:tr w:rsidR="000178D4" w:rsidRPr="00636EC9" w14:paraId="05824891" w14:textId="77777777" w:rsidTr="00CE3C2C">
        <w:tc>
          <w:tcPr>
            <w:tcW w:w="612" w:type="pct"/>
            <w:tcMar>
              <w:left w:w="28" w:type="dxa"/>
              <w:right w:w="28" w:type="dxa"/>
            </w:tcMar>
          </w:tcPr>
          <w:p w14:paraId="4D4E8A9E" w14:textId="77777777" w:rsidR="000178D4" w:rsidRPr="00636EC9" w:rsidRDefault="000178D4" w:rsidP="00CE3C2C">
            <w:pPr>
              <w:keepLines/>
              <w:rPr>
                <w:rFonts w:ascii="Arial Narrow" w:hAnsi="Arial Narrow" w:cs="Arial"/>
                <w:b/>
                <w:sz w:val="18"/>
                <w:szCs w:val="18"/>
                <w:lang w:val="en-US"/>
              </w:rPr>
            </w:pPr>
            <w:r>
              <w:rPr>
                <w:rFonts w:ascii="Arial Narrow" w:hAnsi="Arial Narrow" w:cs="Arial"/>
                <w:b/>
                <w:sz w:val="18"/>
                <w:szCs w:val="18"/>
                <w:lang w:val="en-US"/>
              </w:rPr>
              <w:t>1.</w:t>
            </w:r>
            <w:r w:rsidRPr="00636EC9">
              <w:rPr>
                <w:rFonts w:ascii="Arial Narrow" w:hAnsi="Arial Narrow" w:cs="Arial"/>
                <w:b/>
                <w:sz w:val="18"/>
                <w:szCs w:val="18"/>
                <w:lang w:val="en-US"/>
              </w:rPr>
              <w:t xml:space="preserve"> </w:t>
            </w:r>
            <w:r w:rsidRPr="00636EC9">
              <w:rPr>
                <w:rFonts w:ascii="Arial Narrow" w:hAnsi="Arial Narrow" w:cs="Arial"/>
                <w:b/>
                <w:color w:val="000000"/>
                <w:kern w:val="2"/>
                <w:sz w:val="18"/>
                <w:szCs w:val="18"/>
                <w:lang w:val="en-US" w:eastAsia="ja-JP"/>
              </w:rPr>
              <w:t>Alignment of project with GEF global priorities</w:t>
            </w:r>
          </w:p>
        </w:tc>
        <w:tc>
          <w:tcPr>
            <w:tcW w:w="1343" w:type="pct"/>
            <w:gridSpan w:val="2"/>
            <w:tcMar>
              <w:left w:w="28" w:type="dxa"/>
              <w:right w:w="28" w:type="dxa"/>
            </w:tcMar>
          </w:tcPr>
          <w:p w14:paraId="5928A14B" w14:textId="77777777" w:rsidR="000178D4" w:rsidRPr="00AC3DF7"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lang w:val="en-US"/>
              </w:rPr>
            </w:pPr>
            <w:r w:rsidRPr="00AC3DF7">
              <w:rPr>
                <w:rFonts w:ascii="Arial Narrow" w:hAnsi="Arial Narrow" w:cs="Arial"/>
                <w:sz w:val="18"/>
                <w:szCs w:val="18"/>
              </w:rPr>
              <w:t>Is the project in line wit</w:t>
            </w:r>
            <w:r>
              <w:rPr>
                <w:rFonts w:ascii="Arial Narrow" w:hAnsi="Arial Narrow" w:cs="Arial"/>
                <w:sz w:val="18"/>
                <w:szCs w:val="18"/>
              </w:rPr>
              <w:t>h the GEF Operational Programme</w:t>
            </w:r>
            <w:r w:rsidRPr="00AC3DF7">
              <w:rPr>
                <w:rFonts w:ascii="Arial Narrow" w:hAnsi="Arial Narrow" w:cs="Arial"/>
                <w:sz w:val="18"/>
                <w:szCs w:val="18"/>
              </w:rPr>
              <w:t xml:space="preserve"> and its strategic priorities/ focal area?</w:t>
            </w:r>
          </w:p>
          <w:p w14:paraId="06C0A88B" w14:textId="77777777" w:rsidR="000178D4" w:rsidRPr="00753A8C" w:rsidRDefault="000178D4" w:rsidP="00991B6C">
            <w:pPr>
              <w:keepLines/>
              <w:numPr>
                <w:ilvl w:val="0"/>
                <w:numId w:val="36"/>
              </w:numPr>
              <w:overflowPunct/>
              <w:autoSpaceDE/>
              <w:autoSpaceDN/>
              <w:adjustRightInd/>
              <w:ind w:left="263" w:hanging="142"/>
              <w:textAlignment w:val="auto"/>
              <w:rPr>
                <w:rFonts w:ascii="Arial Narrow" w:hAnsi="Arial Narrow"/>
                <w:sz w:val="18"/>
                <w:szCs w:val="18"/>
              </w:rPr>
            </w:pPr>
            <w:r w:rsidRPr="00753A8C">
              <w:rPr>
                <w:rFonts w:ascii="Arial Narrow" w:hAnsi="Arial Narrow"/>
                <w:sz w:val="18"/>
                <w:szCs w:val="18"/>
              </w:rPr>
              <w:t>BD SO-1, SP-3: Strengthening Terrestrial P</w:t>
            </w:r>
            <w:r>
              <w:rPr>
                <w:rFonts w:ascii="Arial Narrow" w:hAnsi="Arial Narrow"/>
                <w:sz w:val="18"/>
                <w:szCs w:val="18"/>
              </w:rPr>
              <w:t>As</w:t>
            </w:r>
            <w:r w:rsidRPr="00753A8C">
              <w:rPr>
                <w:rFonts w:ascii="Arial Narrow" w:hAnsi="Arial Narrow"/>
                <w:sz w:val="18"/>
                <w:szCs w:val="18"/>
              </w:rPr>
              <w:t xml:space="preserve"> Areas</w:t>
            </w:r>
            <w:r w:rsidRPr="00AC3DF7">
              <w:rPr>
                <w:rFonts w:ascii="Arial Narrow" w:hAnsi="Arial Narrow"/>
                <w:sz w:val="18"/>
                <w:szCs w:val="18"/>
              </w:rPr>
              <w:t xml:space="preserve"> </w:t>
            </w:r>
          </w:p>
        </w:tc>
        <w:tc>
          <w:tcPr>
            <w:tcW w:w="1103" w:type="pct"/>
            <w:tcMar>
              <w:left w:w="28" w:type="dxa"/>
              <w:right w:w="28" w:type="dxa"/>
            </w:tcMar>
          </w:tcPr>
          <w:p w14:paraId="280E9E5C" w14:textId="77777777" w:rsidR="000178D4" w:rsidRPr="00AC3DF7"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lang w:val="en-US"/>
              </w:rPr>
            </w:pPr>
            <w:r w:rsidRPr="00AC3DF7">
              <w:rPr>
                <w:rFonts w:ascii="Arial Narrow" w:hAnsi="Arial Narrow" w:cs="Arial"/>
                <w:sz w:val="18"/>
                <w:szCs w:val="18"/>
                <w:lang w:val="en-US"/>
              </w:rPr>
              <w:t>Degree of alignment between project outputs and the relevant GEF strategic objectives</w:t>
            </w:r>
          </w:p>
        </w:tc>
        <w:tc>
          <w:tcPr>
            <w:tcW w:w="1103" w:type="pct"/>
            <w:gridSpan w:val="2"/>
            <w:tcMar>
              <w:left w:w="28" w:type="dxa"/>
              <w:right w:w="28" w:type="dxa"/>
            </w:tcMar>
          </w:tcPr>
          <w:p w14:paraId="53DDFC4C" w14:textId="77777777" w:rsidR="000178D4" w:rsidRPr="00636EC9"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lang w:val="en-US"/>
              </w:rPr>
            </w:pPr>
            <w:r>
              <w:rPr>
                <w:rFonts w:ascii="Arial Narrow" w:hAnsi="Arial Narrow" w:cs="Arial"/>
                <w:sz w:val="18"/>
                <w:szCs w:val="18"/>
                <w:lang w:val="en-US"/>
              </w:rPr>
              <w:t>Relevant documents</w:t>
            </w:r>
          </w:p>
          <w:p w14:paraId="0624D764" w14:textId="77777777" w:rsidR="000178D4" w:rsidRPr="00636EC9"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lang w:val="en-US"/>
              </w:rPr>
            </w:pPr>
            <w:r>
              <w:rPr>
                <w:rFonts w:ascii="Arial Narrow" w:hAnsi="Arial Narrow" w:cs="Arial"/>
                <w:sz w:val="18"/>
                <w:szCs w:val="18"/>
                <w:lang w:val="en-US"/>
              </w:rPr>
              <w:t>UNDP-</w:t>
            </w:r>
            <w:r w:rsidRPr="00636EC9">
              <w:rPr>
                <w:rFonts w:ascii="Arial Narrow" w:hAnsi="Arial Narrow" w:cs="Arial"/>
                <w:sz w:val="18"/>
                <w:szCs w:val="18"/>
                <w:lang w:val="en-US"/>
              </w:rPr>
              <w:t>GEF RTA</w:t>
            </w:r>
          </w:p>
        </w:tc>
        <w:tc>
          <w:tcPr>
            <w:tcW w:w="839" w:type="pct"/>
            <w:tcMar>
              <w:left w:w="28" w:type="dxa"/>
              <w:right w:w="28" w:type="dxa"/>
            </w:tcMar>
          </w:tcPr>
          <w:p w14:paraId="4E67BA65" w14:textId="77777777" w:rsidR="000178D4" w:rsidRPr="00636EC9" w:rsidRDefault="000178D4" w:rsidP="00991B6C">
            <w:pPr>
              <w:keepLines/>
              <w:numPr>
                <w:ilvl w:val="0"/>
                <w:numId w:val="35"/>
              </w:numPr>
              <w:tabs>
                <w:tab w:val="clear" w:pos="227"/>
                <w:tab w:val="num" w:pos="112"/>
              </w:tabs>
              <w:overflowPunct/>
              <w:autoSpaceDE/>
              <w:autoSpaceDN/>
              <w:adjustRightInd/>
              <w:textAlignment w:val="auto"/>
              <w:rPr>
                <w:rFonts w:ascii="Arial Narrow" w:hAnsi="Arial Narrow" w:cs="Arial"/>
                <w:sz w:val="18"/>
                <w:szCs w:val="18"/>
                <w:lang w:val="en-US"/>
              </w:rPr>
            </w:pPr>
            <w:r>
              <w:rPr>
                <w:rFonts w:ascii="Arial Narrow" w:hAnsi="Arial Narrow" w:cs="Arial"/>
                <w:sz w:val="18"/>
                <w:szCs w:val="18"/>
                <w:lang w:val="en-US"/>
              </w:rPr>
              <w:t>Review documents</w:t>
            </w:r>
          </w:p>
          <w:p w14:paraId="7C668ED4" w14:textId="77777777" w:rsidR="000178D4" w:rsidRPr="00636EC9" w:rsidRDefault="000178D4" w:rsidP="00991B6C">
            <w:pPr>
              <w:keepLines/>
              <w:numPr>
                <w:ilvl w:val="0"/>
                <w:numId w:val="35"/>
              </w:numPr>
              <w:tabs>
                <w:tab w:val="clear" w:pos="227"/>
                <w:tab w:val="num" w:pos="112"/>
              </w:tabs>
              <w:overflowPunct/>
              <w:autoSpaceDE/>
              <w:autoSpaceDN/>
              <w:adjustRightInd/>
              <w:textAlignment w:val="auto"/>
              <w:rPr>
                <w:rFonts w:ascii="Arial Narrow" w:hAnsi="Arial Narrow" w:cs="Arial"/>
                <w:sz w:val="18"/>
                <w:szCs w:val="18"/>
                <w:lang w:val="en-US"/>
              </w:rPr>
            </w:pPr>
            <w:r>
              <w:rPr>
                <w:rFonts w:ascii="Arial Narrow" w:hAnsi="Arial Narrow" w:cs="Arial"/>
                <w:sz w:val="18"/>
                <w:szCs w:val="18"/>
                <w:lang w:val="en-US"/>
              </w:rPr>
              <w:t xml:space="preserve">Consult </w:t>
            </w:r>
            <w:r w:rsidRPr="00636EC9">
              <w:rPr>
                <w:rFonts w:ascii="Arial Narrow" w:hAnsi="Arial Narrow" w:cs="Arial"/>
                <w:sz w:val="18"/>
                <w:szCs w:val="18"/>
                <w:lang w:val="en-US"/>
              </w:rPr>
              <w:t>with RTA</w:t>
            </w:r>
          </w:p>
        </w:tc>
      </w:tr>
      <w:tr w:rsidR="000178D4" w:rsidRPr="00636EC9" w14:paraId="5505BEA4" w14:textId="77777777" w:rsidTr="00CE3C2C">
        <w:tc>
          <w:tcPr>
            <w:tcW w:w="612" w:type="pct"/>
            <w:tcMar>
              <w:left w:w="28" w:type="dxa"/>
              <w:right w:w="28" w:type="dxa"/>
            </w:tcMar>
          </w:tcPr>
          <w:p w14:paraId="7226855D" w14:textId="77777777" w:rsidR="000178D4" w:rsidRPr="00636EC9" w:rsidRDefault="000178D4" w:rsidP="00CE3C2C">
            <w:pPr>
              <w:keepLines/>
              <w:rPr>
                <w:rFonts w:ascii="Arial Narrow" w:hAnsi="Arial Narrow" w:cs="Arial"/>
                <w:b/>
                <w:sz w:val="18"/>
                <w:szCs w:val="18"/>
                <w:lang w:val="en-US"/>
              </w:rPr>
            </w:pPr>
            <w:r>
              <w:rPr>
                <w:rFonts w:ascii="Arial Narrow" w:hAnsi="Arial Narrow" w:cs="Arial"/>
                <w:b/>
                <w:sz w:val="18"/>
                <w:szCs w:val="18"/>
                <w:lang w:val="en-US"/>
              </w:rPr>
              <w:t>2.</w:t>
            </w:r>
            <w:r w:rsidRPr="00636EC9">
              <w:rPr>
                <w:rFonts w:ascii="Arial Narrow" w:hAnsi="Arial Narrow" w:cs="Arial"/>
                <w:b/>
                <w:sz w:val="18"/>
                <w:szCs w:val="18"/>
                <w:lang w:val="en-US"/>
              </w:rPr>
              <w:t xml:space="preserve"> Project design </w:t>
            </w:r>
            <w:r>
              <w:rPr>
                <w:rFonts w:ascii="Arial Narrow" w:hAnsi="Arial Narrow" w:cs="Arial"/>
                <w:b/>
                <w:sz w:val="18"/>
                <w:szCs w:val="18"/>
                <w:lang w:val="en-US"/>
              </w:rPr>
              <w:t xml:space="preserve">(SRF) </w:t>
            </w:r>
            <w:r w:rsidRPr="00636EC9">
              <w:rPr>
                <w:rFonts w:ascii="Arial Narrow" w:hAnsi="Arial Narrow" w:cs="Arial"/>
                <w:b/>
                <w:sz w:val="18"/>
                <w:szCs w:val="18"/>
                <w:lang w:val="en-US"/>
              </w:rPr>
              <w:t>address</w:t>
            </w:r>
            <w:r>
              <w:rPr>
                <w:rFonts w:ascii="Arial Narrow" w:hAnsi="Arial Narrow" w:cs="Arial"/>
                <w:b/>
                <w:sz w:val="18"/>
                <w:szCs w:val="18"/>
                <w:lang w:val="en-US"/>
              </w:rPr>
              <w:t>es</w:t>
            </w:r>
            <w:r w:rsidRPr="00636EC9">
              <w:rPr>
                <w:rFonts w:ascii="Arial Narrow" w:hAnsi="Arial Narrow" w:cs="Arial"/>
                <w:b/>
                <w:sz w:val="18"/>
                <w:szCs w:val="18"/>
                <w:lang w:val="en-US"/>
              </w:rPr>
              <w:t xml:space="preserve"> identified threats and barriers </w:t>
            </w:r>
          </w:p>
        </w:tc>
        <w:tc>
          <w:tcPr>
            <w:tcW w:w="1343" w:type="pct"/>
            <w:gridSpan w:val="2"/>
            <w:tcMar>
              <w:left w:w="28" w:type="dxa"/>
              <w:right w:w="28" w:type="dxa"/>
            </w:tcMar>
          </w:tcPr>
          <w:p w14:paraId="4AD744CF" w14:textId="77777777" w:rsidR="000178D4" w:rsidRPr="00636EC9"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lang w:val="en-US"/>
              </w:rPr>
            </w:pPr>
            <w:r>
              <w:rPr>
                <w:rFonts w:ascii="Arial Narrow" w:hAnsi="Arial Narrow" w:cs="Arial"/>
                <w:sz w:val="18"/>
                <w:szCs w:val="18"/>
              </w:rPr>
              <w:t>How d</w:t>
            </w:r>
            <w:r w:rsidRPr="00636EC9">
              <w:rPr>
                <w:rFonts w:ascii="Arial Narrow" w:hAnsi="Arial Narrow" w:cs="Arial"/>
                <w:sz w:val="18"/>
                <w:szCs w:val="18"/>
              </w:rPr>
              <w:t xml:space="preserve">oes the project reflect the needs of </w:t>
            </w:r>
            <w:r>
              <w:rPr>
                <w:rFonts w:ascii="Arial Narrow" w:hAnsi="Arial Narrow" w:cs="Arial"/>
                <w:sz w:val="18"/>
                <w:szCs w:val="18"/>
              </w:rPr>
              <w:t>Georgia at national, regional (Achara) and local administrative and community) levels</w:t>
            </w:r>
            <w:r w:rsidRPr="00636EC9">
              <w:rPr>
                <w:rFonts w:ascii="Arial Narrow" w:hAnsi="Arial Narrow" w:cs="Arial"/>
                <w:sz w:val="18"/>
                <w:szCs w:val="18"/>
              </w:rPr>
              <w:t xml:space="preserve">? </w:t>
            </w:r>
          </w:p>
        </w:tc>
        <w:tc>
          <w:tcPr>
            <w:tcW w:w="1103" w:type="pct"/>
            <w:tcMar>
              <w:left w:w="28" w:type="dxa"/>
              <w:right w:w="28" w:type="dxa"/>
            </w:tcMar>
          </w:tcPr>
          <w:p w14:paraId="3F779523" w14:textId="77777777" w:rsidR="000178D4" w:rsidRPr="00636EC9"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lang w:val="en-US"/>
              </w:rPr>
            </w:pPr>
            <w:r w:rsidRPr="00636EC9">
              <w:rPr>
                <w:rFonts w:ascii="Arial Narrow" w:hAnsi="Arial Narrow" w:cs="Arial"/>
                <w:sz w:val="18"/>
                <w:szCs w:val="18"/>
                <w:lang w:val="en-US"/>
              </w:rPr>
              <w:t>Project design in response to identified threats and barriers</w:t>
            </w:r>
            <w:r>
              <w:rPr>
                <w:rFonts w:ascii="Arial Narrow" w:hAnsi="Arial Narrow" w:cs="Arial"/>
                <w:sz w:val="18"/>
                <w:szCs w:val="18"/>
                <w:lang w:val="en-US"/>
              </w:rPr>
              <w:t xml:space="preserve"> clearly reflected in SRF</w:t>
            </w:r>
          </w:p>
        </w:tc>
        <w:tc>
          <w:tcPr>
            <w:tcW w:w="1103" w:type="pct"/>
            <w:gridSpan w:val="2"/>
            <w:tcMar>
              <w:left w:w="28" w:type="dxa"/>
              <w:right w:w="28" w:type="dxa"/>
            </w:tcMar>
          </w:tcPr>
          <w:p w14:paraId="69A134AE" w14:textId="77777777" w:rsidR="000178D4" w:rsidRPr="009E2E5E"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lang w:val="en-US"/>
              </w:rPr>
            </w:pPr>
            <w:r w:rsidRPr="009E2E5E">
              <w:rPr>
                <w:rFonts w:ascii="Arial Narrow" w:hAnsi="Arial Narrow" w:cs="Arial"/>
                <w:sz w:val="18"/>
                <w:szCs w:val="18"/>
                <w:lang w:val="en-US"/>
              </w:rPr>
              <w:t xml:space="preserve">Relevant documents, including Project Document and </w:t>
            </w:r>
            <w:r>
              <w:rPr>
                <w:rFonts w:ascii="Arial Narrow" w:hAnsi="Arial Narrow" w:cs="Arial"/>
                <w:sz w:val="18"/>
                <w:szCs w:val="18"/>
                <w:lang w:val="en-US"/>
              </w:rPr>
              <w:t>policy provisions (lack of) for community engagement in SLEM.</w:t>
            </w:r>
          </w:p>
          <w:p w14:paraId="686EF6A9" w14:textId="77777777" w:rsidR="000178D4" w:rsidRPr="00636EC9"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lang w:val="en-US"/>
              </w:rPr>
            </w:pPr>
            <w:r>
              <w:rPr>
                <w:rFonts w:ascii="Arial Narrow" w:hAnsi="Arial Narrow" w:cs="Arial"/>
                <w:sz w:val="18"/>
                <w:szCs w:val="18"/>
                <w:lang w:val="en-US"/>
              </w:rPr>
              <w:t>Stakeholders, including project partners</w:t>
            </w:r>
          </w:p>
        </w:tc>
        <w:tc>
          <w:tcPr>
            <w:tcW w:w="839" w:type="pct"/>
            <w:tcBorders>
              <w:right w:val="single" w:sz="4" w:space="0" w:color="auto"/>
            </w:tcBorders>
            <w:tcMar>
              <w:left w:w="28" w:type="dxa"/>
              <w:right w:w="28" w:type="dxa"/>
            </w:tcMar>
          </w:tcPr>
          <w:p w14:paraId="03F9B07A" w14:textId="77777777" w:rsidR="000178D4" w:rsidRPr="005C594C"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Pr>
                <w:rFonts w:ascii="Arial Narrow" w:hAnsi="Arial Narrow" w:cs="Arial"/>
                <w:sz w:val="18"/>
                <w:szCs w:val="18"/>
              </w:rPr>
              <w:t>Review documents</w:t>
            </w:r>
          </w:p>
          <w:p w14:paraId="1CF3EE32" w14:textId="77777777" w:rsidR="000178D4" w:rsidRPr="00636EC9" w:rsidRDefault="000178D4" w:rsidP="00991B6C">
            <w:pPr>
              <w:keepLines/>
              <w:numPr>
                <w:ilvl w:val="0"/>
                <w:numId w:val="34"/>
              </w:numPr>
              <w:tabs>
                <w:tab w:val="num" w:pos="112"/>
              </w:tabs>
              <w:overflowPunct/>
              <w:autoSpaceDE/>
              <w:autoSpaceDN/>
              <w:adjustRightInd/>
              <w:ind w:left="138" w:hanging="138"/>
              <w:textAlignment w:val="auto"/>
              <w:rPr>
                <w:rFonts w:ascii="Arial Narrow" w:hAnsi="Arial Narrow" w:cs="Arial"/>
                <w:sz w:val="18"/>
                <w:szCs w:val="18"/>
                <w:lang w:val="en-US"/>
              </w:rPr>
            </w:pPr>
            <w:r>
              <w:rPr>
                <w:rFonts w:ascii="Arial Narrow" w:hAnsi="Arial Narrow" w:cs="Arial"/>
                <w:sz w:val="18"/>
                <w:szCs w:val="18"/>
              </w:rPr>
              <w:t>Consult</w:t>
            </w:r>
            <w:r w:rsidRPr="005C594C">
              <w:rPr>
                <w:rFonts w:ascii="Arial Narrow" w:hAnsi="Arial Narrow" w:cs="Arial"/>
                <w:sz w:val="18"/>
                <w:szCs w:val="18"/>
              </w:rPr>
              <w:t xml:space="preserve"> with </w:t>
            </w:r>
            <w:r>
              <w:rPr>
                <w:rFonts w:ascii="Arial Narrow" w:hAnsi="Arial Narrow" w:cs="Arial"/>
                <w:sz w:val="18"/>
                <w:szCs w:val="18"/>
              </w:rPr>
              <w:t>Project Steering Committee, other sta</w:t>
            </w:r>
            <w:r w:rsidRPr="005C594C">
              <w:rPr>
                <w:rFonts w:ascii="Arial Narrow" w:hAnsi="Arial Narrow" w:cs="Arial"/>
                <w:sz w:val="18"/>
                <w:szCs w:val="18"/>
              </w:rPr>
              <w:t>keholders</w:t>
            </w:r>
          </w:p>
        </w:tc>
      </w:tr>
      <w:tr w:rsidR="000178D4" w:rsidRPr="00636EC9" w14:paraId="49D63D13" w14:textId="77777777" w:rsidTr="00CE3C2C">
        <w:trPr>
          <w:cantSplit/>
          <w:trHeight w:val="153"/>
        </w:trPr>
        <w:tc>
          <w:tcPr>
            <w:tcW w:w="5000" w:type="pct"/>
            <w:gridSpan w:val="7"/>
            <w:tcBorders>
              <w:top w:val="single" w:sz="4" w:space="0" w:color="auto"/>
              <w:right w:val="single" w:sz="4" w:space="0" w:color="auto"/>
            </w:tcBorders>
            <w:shd w:val="clear" w:color="auto" w:fill="B8CCE4"/>
            <w:tcMar>
              <w:left w:w="28" w:type="dxa"/>
              <w:right w:w="28" w:type="dxa"/>
            </w:tcMar>
            <w:vAlign w:val="center"/>
          </w:tcPr>
          <w:p w14:paraId="586F888C" w14:textId="77777777" w:rsidR="000178D4" w:rsidRPr="00636EC9" w:rsidRDefault="000178D4" w:rsidP="00CE3C2C">
            <w:pPr>
              <w:keepLines/>
              <w:rPr>
                <w:rFonts w:ascii="Arial Narrow" w:hAnsi="Arial Narrow" w:cs="Arial"/>
                <w:sz w:val="18"/>
                <w:szCs w:val="18"/>
                <w:lang w:val="en-US"/>
              </w:rPr>
            </w:pPr>
            <w:r w:rsidRPr="00636EC9">
              <w:rPr>
                <w:rFonts w:ascii="Arial Narrow" w:hAnsi="Arial Narrow" w:cs="Arial"/>
                <w:b/>
                <w:smallCaps/>
                <w:sz w:val="18"/>
                <w:szCs w:val="18"/>
                <w:lang w:val="en-US"/>
              </w:rPr>
              <w:t xml:space="preserve">EFFECTIVENESS </w:t>
            </w:r>
            <w:r>
              <w:rPr>
                <w:rFonts w:ascii="Arial Narrow" w:hAnsi="Arial Narrow" w:cs="Arial"/>
                <w:b/>
                <w:smallCaps/>
                <w:sz w:val="18"/>
                <w:szCs w:val="18"/>
                <w:lang w:val="en-US"/>
              </w:rPr>
              <w:t>– extent towards achieving project outcomes and objective, and overall impact in reducing environmental stress and/or improving ecological status</w:t>
            </w:r>
          </w:p>
        </w:tc>
      </w:tr>
      <w:tr w:rsidR="000178D4" w:rsidRPr="00636EC9" w14:paraId="4F0F97ED" w14:textId="77777777" w:rsidTr="00CE3C2C">
        <w:tc>
          <w:tcPr>
            <w:tcW w:w="612" w:type="pct"/>
            <w:tcMar>
              <w:left w:w="28" w:type="dxa"/>
              <w:right w:w="28" w:type="dxa"/>
            </w:tcMar>
          </w:tcPr>
          <w:p w14:paraId="3AF1D00E" w14:textId="77777777" w:rsidR="000178D4" w:rsidRPr="00636EC9" w:rsidRDefault="000178D4" w:rsidP="00CE3C2C">
            <w:pPr>
              <w:keepLines/>
              <w:rPr>
                <w:rFonts w:ascii="Arial Narrow" w:hAnsi="Arial Narrow" w:cs="Arial"/>
                <w:b/>
                <w:sz w:val="18"/>
                <w:szCs w:val="18"/>
                <w:lang w:val="en-US"/>
              </w:rPr>
            </w:pPr>
            <w:r>
              <w:rPr>
                <w:rFonts w:ascii="Arial Narrow" w:hAnsi="Arial Narrow" w:cs="Arial"/>
                <w:b/>
                <w:sz w:val="18"/>
                <w:szCs w:val="18"/>
                <w:lang w:val="en-US"/>
              </w:rPr>
              <w:t>3.</w:t>
            </w:r>
            <w:r w:rsidRPr="00636EC9">
              <w:rPr>
                <w:rFonts w:ascii="Arial Narrow" w:hAnsi="Arial Narrow" w:cs="Arial"/>
                <w:b/>
                <w:sz w:val="18"/>
                <w:szCs w:val="18"/>
                <w:lang w:val="en-US"/>
              </w:rPr>
              <w:t xml:space="preserve"> Progress toward</w:t>
            </w:r>
            <w:r>
              <w:rPr>
                <w:rFonts w:ascii="Arial Narrow" w:hAnsi="Arial Narrow" w:cs="Arial"/>
                <w:b/>
                <w:sz w:val="18"/>
                <w:szCs w:val="18"/>
                <w:lang w:val="en-US"/>
              </w:rPr>
              <w:t>s</w:t>
            </w:r>
            <w:r w:rsidRPr="00636EC9">
              <w:rPr>
                <w:rFonts w:ascii="Arial Narrow" w:hAnsi="Arial Narrow" w:cs="Arial"/>
                <w:b/>
                <w:sz w:val="18"/>
                <w:szCs w:val="18"/>
                <w:lang w:val="en-US"/>
              </w:rPr>
              <w:t xml:space="preserve"> achievement of Objective</w:t>
            </w:r>
            <w:r>
              <w:rPr>
                <w:rFonts w:ascii="Arial Narrow" w:hAnsi="Arial Narrow" w:cs="Arial"/>
                <w:b/>
                <w:sz w:val="18"/>
                <w:szCs w:val="18"/>
                <w:lang w:val="en-US"/>
              </w:rPr>
              <w:t>,</w:t>
            </w:r>
            <w:r w:rsidRPr="00636EC9">
              <w:rPr>
                <w:rFonts w:ascii="Arial Narrow" w:hAnsi="Arial Narrow" w:cs="Arial"/>
                <w:b/>
                <w:sz w:val="18"/>
                <w:szCs w:val="18"/>
                <w:lang w:val="en-US"/>
              </w:rPr>
              <w:t xml:space="preserve"> Outcomes</w:t>
            </w:r>
            <w:r>
              <w:rPr>
                <w:rFonts w:ascii="Arial Narrow" w:hAnsi="Arial Narrow" w:cs="Arial"/>
                <w:b/>
                <w:sz w:val="18"/>
                <w:szCs w:val="18"/>
                <w:lang w:val="en-US"/>
              </w:rPr>
              <w:t xml:space="preserve"> and significance of impact</w:t>
            </w:r>
          </w:p>
        </w:tc>
        <w:tc>
          <w:tcPr>
            <w:tcW w:w="1343" w:type="pct"/>
            <w:gridSpan w:val="2"/>
            <w:tcMar>
              <w:left w:w="28" w:type="dxa"/>
              <w:right w:w="28" w:type="dxa"/>
            </w:tcMar>
          </w:tcPr>
          <w:p w14:paraId="69C76DDE" w14:textId="77777777" w:rsidR="000178D4"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Pr>
                <w:rFonts w:ascii="Arial Narrow" w:hAnsi="Arial Narrow" w:cs="Arial"/>
                <w:sz w:val="18"/>
                <w:szCs w:val="18"/>
              </w:rPr>
              <w:t>To what extent d</w:t>
            </w:r>
            <w:r w:rsidRPr="009E2E5E">
              <w:rPr>
                <w:rFonts w:ascii="Arial Narrow" w:hAnsi="Arial Narrow" w:cs="Arial"/>
                <w:sz w:val="18"/>
                <w:szCs w:val="18"/>
              </w:rPr>
              <w:t xml:space="preserve">id implementation </w:t>
            </w:r>
            <w:r>
              <w:rPr>
                <w:rFonts w:ascii="Arial Narrow" w:hAnsi="Arial Narrow" w:cs="Arial"/>
                <w:sz w:val="18"/>
                <w:szCs w:val="18"/>
              </w:rPr>
              <w:t xml:space="preserve">of project activities meet </w:t>
            </w:r>
            <w:r w:rsidRPr="009E2E5E">
              <w:rPr>
                <w:rFonts w:ascii="Arial Narrow" w:hAnsi="Arial Narrow" w:cs="Arial"/>
                <w:sz w:val="18"/>
                <w:szCs w:val="18"/>
              </w:rPr>
              <w:t xml:space="preserve">the </w:t>
            </w:r>
            <w:r>
              <w:rPr>
                <w:rFonts w:ascii="Arial Narrow" w:hAnsi="Arial Narrow" w:cs="Arial"/>
                <w:sz w:val="18"/>
                <w:szCs w:val="18"/>
              </w:rPr>
              <w:t>planned</w:t>
            </w:r>
            <w:r w:rsidRPr="009E2E5E">
              <w:rPr>
                <w:rFonts w:ascii="Arial Narrow" w:hAnsi="Arial Narrow" w:cs="Arial"/>
                <w:sz w:val="18"/>
                <w:szCs w:val="18"/>
              </w:rPr>
              <w:t xml:space="preserve"> outcomes and objective?</w:t>
            </w:r>
          </w:p>
          <w:p w14:paraId="22CED41D" w14:textId="77777777" w:rsidR="000178D4" w:rsidRPr="009E2E5E"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Pr>
                <w:rFonts w:ascii="Arial Narrow" w:hAnsi="Arial Narrow" w:cs="Arial"/>
                <w:sz w:val="18"/>
                <w:szCs w:val="18"/>
              </w:rPr>
              <w:t>What is (likely to be) impact of project on ecological status of biodiversity (ecosystem services) and sustainable livelihoods?</w:t>
            </w:r>
          </w:p>
        </w:tc>
        <w:tc>
          <w:tcPr>
            <w:tcW w:w="1103" w:type="pct"/>
            <w:tcMar>
              <w:left w:w="28" w:type="dxa"/>
              <w:right w:w="28" w:type="dxa"/>
            </w:tcMar>
          </w:tcPr>
          <w:p w14:paraId="73AC16AD" w14:textId="77777777" w:rsidR="000178D4"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Pr>
                <w:rFonts w:ascii="Arial Narrow" w:hAnsi="Arial Narrow" w:cs="Arial"/>
                <w:sz w:val="18"/>
                <w:szCs w:val="18"/>
              </w:rPr>
              <w:t>Extent of a</w:t>
            </w:r>
            <w:r w:rsidRPr="009E2E5E">
              <w:rPr>
                <w:rFonts w:ascii="Arial Narrow" w:hAnsi="Arial Narrow" w:cs="Arial"/>
                <w:sz w:val="18"/>
                <w:szCs w:val="18"/>
              </w:rPr>
              <w:t>chievement of</w:t>
            </w:r>
            <w:r>
              <w:rPr>
                <w:rFonts w:ascii="Arial Narrow" w:hAnsi="Arial Narrow" w:cs="Arial"/>
                <w:sz w:val="18"/>
                <w:szCs w:val="18"/>
              </w:rPr>
              <w:t xml:space="preserve"> targets specified in SRF in accordance with </w:t>
            </w:r>
            <w:r w:rsidRPr="009E2E5E">
              <w:rPr>
                <w:rFonts w:ascii="Arial Narrow" w:hAnsi="Arial Narrow" w:cs="Arial"/>
                <w:sz w:val="18"/>
                <w:szCs w:val="18"/>
              </w:rPr>
              <w:t>SMART indicators</w:t>
            </w:r>
          </w:p>
          <w:p w14:paraId="2BEEE941" w14:textId="77777777" w:rsidR="000178D4" w:rsidRPr="009E2E5E"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Pr>
                <w:rFonts w:ascii="Arial Narrow" w:hAnsi="Arial Narrow" w:cs="Arial"/>
                <w:sz w:val="18"/>
                <w:szCs w:val="18"/>
              </w:rPr>
              <w:t>Results (quantitative, qualitative) of pilot studies and individual HH case studies</w:t>
            </w:r>
            <w:r w:rsidRPr="009E2E5E">
              <w:rPr>
                <w:rFonts w:ascii="Arial Narrow" w:hAnsi="Arial Narrow" w:cs="Arial"/>
                <w:sz w:val="18"/>
                <w:szCs w:val="18"/>
              </w:rPr>
              <w:t xml:space="preserve"> </w:t>
            </w:r>
          </w:p>
        </w:tc>
        <w:tc>
          <w:tcPr>
            <w:tcW w:w="1103" w:type="pct"/>
            <w:gridSpan w:val="2"/>
            <w:tcMar>
              <w:left w:w="28" w:type="dxa"/>
              <w:right w:w="28" w:type="dxa"/>
            </w:tcMar>
          </w:tcPr>
          <w:p w14:paraId="07772694" w14:textId="77777777" w:rsidR="000178D4"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sidRPr="009E2E5E">
              <w:rPr>
                <w:rFonts w:ascii="Arial Narrow" w:hAnsi="Arial Narrow" w:cs="Arial"/>
                <w:sz w:val="18"/>
                <w:szCs w:val="18"/>
              </w:rPr>
              <w:t>PIRs</w:t>
            </w:r>
          </w:p>
          <w:p w14:paraId="010FA594" w14:textId="77777777" w:rsidR="000178D4" w:rsidRPr="009E2E5E"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Pr>
                <w:rFonts w:ascii="Arial Narrow" w:hAnsi="Arial Narrow" w:cs="Arial"/>
                <w:sz w:val="18"/>
                <w:szCs w:val="18"/>
              </w:rPr>
              <w:t>MTE</w:t>
            </w:r>
            <w:r w:rsidRPr="009E2E5E">
              <w:rPr>
                <w:rFonts w:ascii="Arial Narrow" w:hAnsi="Arial Narrow" w:cs="Arial"/>
                <w:sz w:val="18"/>
                <w:szCs w:val="18"/>
              </w:rPr>
              <w:t xml:space="preserve"> and Management Responses</w:t>
            </w:r>
          </w:p>
          <w:p w14:paraId="504FDFE1" w14:textId="77777777" w:rsidR="000178D4" w:rsidRPr="007B5545"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Pr>
                <w:rFonts w:ascii="Arial Narrow" w:hAnsi="Arial Narrow" w:cs="Arial"/>
                <w:sz w:val="18"/>
                <w:szCs w:val="18"/>
              </w:rPr>
              <w:t>Beneficiaries: line agencies, communities</w:t>
            </w:r>
          </w:p>
        </w:tc>
        <w:tc>
          <w:tcPr>
            <w:tcW w:w="839" w:type="pct"/>
            <w:tcBorders>
              <w:right w:val="single" w:sz="4" w:space="0" w:color="auto"/>
            </w:tcBorders>
            <w:tcMar>
              <w:left w:w="28" w:type="dxa"/>
              <w:right w:w="28" w:type="dxa"/>
            </w:tcMar>
          </w:tcPr>
          <w:p w14:paraId="234C8EA9" w14:textId="77777777" w:rsidR="000178D4" w:rsidRPr="009E2E5E"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Pr>
                <w:rFonts w:ascii="Arial Narrow" w:hAnsi="Arial Narrow" w:cs="Arial"/>
                <w:sz w:val="18"/>
                <w:szCs w:val="18"/>
              </w:rPr>
              <w:t>Review documents</w:t>
            </w:r>
          </w:p>
          <w:p w14:paraId="4B09B91E" w14:textId="77777777" w:rsidR="000178D4" w:rsidRPr="009E2E5E"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Pr>
                <w:rFonts w:ascii="Arial Narrow" w:hAnsi="Arial Narrow" w:cs="Arial"/>
                <w:sz w:val="18"/>
                <w:szCs w:val="18"/>
              </w:rPr>
              <w:t>Consultations in the full range of stakeholders (Project Steering Committee, line agencies, village councils, women</w:t>
            </w:r>
          </w:p>
        </w:tc>
      </w:tr>
      <w:tr w:rsidR="000178D4" w:rsidRPr="00636EC9" w14:paraId="6B1AA065" w14:textId="77777777" w:rsidTr="00CE3C2C">
        <w:trPr>
          <w:cantSplit/>
          <w:trHeight w:val="63"/>
        </w:trPr>
        <w:tc>
          <w:tcPr>
            <w:tcW w:w="5000" w:type="pct"/>
            <w:gridSpan w:val="7"/>
            <w:tcBorders>
              <w:right w:val="single" w:sz="4" w:space="0" w:color="auto"/>
            </w:tcBorders>
            <w:shd w:val="clear" w:color="auto" w:fill="B8CCE4"/>
            <w:tcMar>
              <w:left w:w="28" w:type="dxa"/>
              <w:right w:w="28" w:type="dxa"/>
            </w:tcMar>
            <w:vAlign w:val="center"/>
          </w:tcPr>
          <w:p w14:paraId="24444BBF" w14:textId="77777777" w:rsidR="000178D4" w:rsidRPr="00636EC9" w:rsidRDefault="000178D4" w:rsidP="00CE3C2C">
            <w:pPr>
              <w:keepLines/>
              <w:rPr>
                <w:rFonts w:ascii="Arial Narrow" w:hAnsi="Arial Narrow" w:cs="Arial"/>
                <w:sz w:val="18"/>
                <w:szCs w:val="18"/>
                <w:lang w:val="en-US"/>
              </w:rPr>
            </w:pPr>
            <w:r w:rsidRPr="00636EC9">
              <w:rPr>
                <w:rFonts w:ascii="Arial Narrow" w:hAnsi="Arial Narrow" w:cs="Arial"/>
                <w:b/>
                <w:smallCaps/>
                <w:sz w:val="18"/>
                <w:szCs w:val="18"/>
                <w:lang w:val="en-US"/>
              </w:rPr>
              <w:t>EFFICIENCY</w:t>
            </w:r>
            <w:r>
              <w:rPr>
                <w:rFonts w:ascii="Arial Narrow" w:hAnsi="Arial Narrow" w:cs="Arial"/>
                <w:b/>
                <w:smallCaps/>
                <w:sz w:val="18"/>
                <w:szCs w:val="18"/>
                <w:lang w:val="en-US"/>
              </w:rPr>
              <w:t xml:space="preserve"> of implememtation, in line with international and national norms and standards</w:t>
            </w:r>
          </w:p>
        </w:tc>
      </w:tr>
      <w:tr w:rsidR="000178D4" w:rsidRPr="00636EC9" w14:paraId="3BF96483" w14:textId="77777777" w:rsidTr="00CE3C2C">
        <w:tc>
          <w:tcPr>
            <w:tcW w:w="612" w:type="pct"/>
            <w:tcMar>
              <w:left w:w="28" w:type="dxa"/>
              <w:right w:w="28" w:type="dxa"/>
            </w:tcMar>
          </w:tcPr>
          <w:p w14:paraId="778843DD" w14:textId="77777777" w:rsidR="000178D4" w:rsidRPr="00636EC9" w:rsidRDefault="000178D4" w:rsidP="00CE3C2C">
            <w:pPr>
              <w:keepLines/>
              <w:rPr>
                <w:rFonts w:ascii="Arial Narrow" w:hAnsi="Arial Narrow" w:cs="Arial"/>
                <w:b/>
                <w:sz w:val="18"/>
                <w:szCs w:val="18"/>
                <w:lang w:val="en-US"/>
              </w:rPr>
            </w:pPr>
            <w:r>
              <w:rPr>
                <w:rFonts w:ascii="Arial Narrow" w:hAnsi="Arial Narrow" w:cs="Arial"/>
                <w:b/>
                <w:sz w:val="18"/>
                <w:szCs w:val="18"/>
                <w:lang w:val="en-US"/>
              </w:rPr>
              <w:t>4.</w:t>
            </w:r>
            <w:r w:rsidRPr="00636EC9">
              <w:rPr>
                <w:rFonts w:ascii="Arial Narrow" w:hAnsi="Arial Narrow" w:cs="Arial"/>
                <w:b/>
                <w:sz w:val="18"/>
                <w:szCs w:val="18"/>
                <w:lang w:val="en-US"/>
              </w:rPr>
              <w:t xml:space="preserve"> </w:t>
            </w:r>
            <w:r>
              <w:rPr>
                <w:rFonts w:ascii="Arial Narrow" w:hAnsi="Arial Narrow" w:cs="Arial"/>
                <w:b/>
                <w:sz w:val="18"/>
                <w:szCs w:val="18"/>
                <w:lang w:val="en-US"/>
              </w:rPr>
              <w:t>E</w:t>
            </w:r>
            <w:r w:rsidRPr="00636EC9">
              <w:rPr>
                <w:rFonts w:ascii="Arial Narrow" w:hAnsi="Arial Narrow" w:cs="Arial"/>
                <w:b/>
                <w:sz w:val="18"/>
                <w:szCs w:val="18"/>
                <w:lang w:val="en-US"/>
              </w:rPr>
              <w:t>xecution e</w:t>
            </w:r>
            <w:r>
              <w:rPr>
                <w:rFonts w:ascii="Arial Narrow" w:hAnsi="Arial Narrow" w:cs="Arial"/>
                <w:b/>
                <w:sz w:val="18"/>
                <w:szCs w:val="18"/>
                <w:lang w:val="en-US"/>
              </w:rPr>
              <w:t>fficiency</w:t>
            </w:r>
          </w:p>
        </w:tc>
        <w:tc>
          <w:tcPr>
            <w:tcW w:w="1343" w:type="pct"/>
            <w:gridSpan w:val="2"/>
            <w:tcMar>
              <w:left w:w="28" w:type="dxa"/>
              <w:right w:w="28" w:type="dxa"/>
            </w:tcMar>
          </w:tcPr>
          <w:p w14:paraId="41A07B2F" w14:textId="77777777" w:rsidR="000178D4"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Pr>
                <w:rFonts w:ascii="Arial Narrow" w:hAnsi="Arial Narrow" w:cs="Arial"/>
                <w:sz w:val="18"/>
                <w:szCs w:val="18"/>
              </w:rPr>
              <w:t>To what extent has the EA enabled the project to meet its SRF targets on time and within budget?</w:t>
            </w:r>
          </w:p>
          <w:p w14:paraId="44A28454" w14:textId="77777777" w:rsidR="000178D4" w:rsidRPr="0067711B"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Pr>
                <w:rFonts w:ascii="Arial Narrow" w:hAnsi="Arial Narrow" w:cs="Arial"/>
                <w:sz w:val="18"/>
                <w:szCs w:val="18"/>
              </w:rPr>
              <w:t>What have been the key challenges to efficient execution and to what extent have these been addressed through adaptive management?</w:t>
            </w:r>
          </w:p>
        </w:tc>
        <w:tc>
          <w:tcPr>
            <w:tcW w:w="1103" w:type="pct"/>
            <w:tcMar>
              <w:left w:w="28" w:type="dxa"/>
              <w:right w:w="28" w:type="dxa"/>
            </w:tcMar>
          </w:tcPr>
          <w:p w14:paraId="29BB6495" w14:textId="77777777" w:rsidR="000178D4" w:rsidRPr="009E2E5E"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sidRPr="009E2E5E">
              <w:rPr>
                <w:rFonts w:ascii="Arial Narrow" w:hAnsi="Arial Narrow" w:cs="Arial"/>
                <w:sz w:val="18"/>
                <w:szCs w:val="18"/>
              </w:rPr>
              <w:t>Project extensions, cost over-runs</w:t>
            </w:r>
          </w:p>
          <w:p w14:paraId="150E6858" w14:textId="77777777" w:rsidR="000178D4"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sidRPr="009E2E5E">
              <w:rPr>
                <w:rFonts w:ascii="Arial Narrow" w:hAnsi="Arial Narrow" w:cs="Arial"/>
                <w:sz w:val="18"/>
                <w:szCs w:val="18"/>
              </w:rPr>
              <w:t>Risk management strategy</w:t>
            </w:r>
          </w:p>
          <w:p w14:paraId="64C5C4FE" w14:textId="77777777" w:rsidR="000178D4" w:rsidRPr="009E2E5E"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Pr>
                <w:rFonts w:ascii="Arial Narrow" w:hAnsi="Arial Narrow" w:cs="Arial"/>
                <w:sz w:val="18"/>
                <w:szCs w:val="18"/>
              </w:rPr>
              <w:t>Accountability and ownership among partners</w:t>
            </w:r>
          </w:p>
        </w:tc>
        <w:tc>
          <w:tcPr>
            <w:tcW w:w="1103" w:type="pct"/>
            <w:gridSpan w:val="2"/>
            <w:tcMar>
              <w:left w:w="28" w:type="dxa"/>
              <w:right w:w="28" w:type="dxa"/>
            </w:tcMar>
          </w:tcPr>
          <w:p w14:paraId="122339FD" w14:textId="77777777" w:rsidR="000178D4" w:rsidRPr="009E2E5E"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Pr>
                <w:rFonts w:ascii="Arial Narrow" w:hAnsi="Arial Narrow" w:cs="Arial"/>
                <w:sz w:val="18"/>
                <w:szCs w:val="18"/>
              </w:rPr>
              <w:t>Programme Board, Project Steering Committee m</w:t>
            </w:r>
            <w:r w:rsidRPr="009E2E5E">
              <w:rPr>
                <w:rFonts w:ascii="Arial Narrow" w:hAnsi="Arial Narrow" w:cs="Arial"/>
                <w:sz w:val="18"/>
                <w:szCs w:val="18"/>
              </w:rPr>
              <w:t>inutes</w:t>
            </w:r>
          </w:p>
          <w:p w14:paraId="6C746018" w14:textId="77777777" w:rsidR="000178D4" w:rsidRPr="009E2E5E"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Pr>
                <w:rFonts w:ascii="Arial Narrow" w:hAnsi="Arial Narrow" w:cs="Arial"/>
                <w:sz w:val="18"/>
                <w:szCs w:val="18"/>
              </w:rPr>
              <w:t>Other sources as listed below for IA</w:t>
            </w:r>
          </w:p>
        </w:tc>
        <w:tc>
          <w:tcPr>
            <w:tcW w:w="839" w:type="pct"/>
            <w:tcBorders>
              <w:right w:val="single" w:sz="4" w:space="0" w:color="auto"/>
            </w:tcBorders>
            <w:tcMar>
              <w:left w:w="28" w:type="dxa"/>
              <w:right w:w="28" w:type="dxa"/>
            </w:tcMar>
          </w:tcPr>
          <w:p w14:paraId="479779F8" w14:textId="77777777" w:rsidR="000178D4" w:rsidRPr="009E2E5E"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Pr>
                <w:rFonts w:ascii="Arial Narrow" w:hAnsi="Arial Narrow" w:cs="Arial"/>
                <w:sz w:val="18"/>
                <w:szCs w:val="18"/>
              </w:rPr>
              <w:t>Review documents</w:t>
            </w:r>
          </w:p>
          <w:p w14:paraId="192F05AC" w14:textId="77777777" w:rsidR="000178D4" w:rsidRPr="003514F0"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sidRPr="009E2E5E">
              <w:rPr>
                <w:rFonts w:ascii="Arial Narrow" w:hAnsi="Arial Narrow" w:cs="Arial"/>
                <w:sz w:val="18"/>
                <w:szCs w:val="18"/>
              </w:rPr>
              <w:t xml:space="preserve">Consultations with </w:t>
            </w:r>
            <w:r>
              <w:rPr>
                <w:rFonts w:ascii="Arial Narrow" w:hAnsi="Arial Narrow" w:cs="Arial"/>
                <w:sz w:val="18"/>
                <w:szCs w:val="18"/>
              </w:rPr>
              <w:t>Programme Board (includes UNDP), Project Steering Committee</w:t>
            </w:r>
          </w:p>
        </w:tc>
      </w:tr>
      <w:tr w:rsidR="000178D4" w:rsidRPr="00636EC9" w14:paraId="1CA4D086" w14:textId="77777777" w:rsidTr="00CE3C2C">
        <w:tc>
          <w:tcPr>
            <w:tcW w:w="612" w:type="pct"/>
            <w:tcMar>
              <w:left w:w="28" w:type="dxa"/>
              <w:right w:w="28" w:type="dxa"/>
            </w:tcMar>
          </w:tcPr>
          <w:p w14:paraId="6991C4F0" w14:textId="77777777" w:rsidR="000178D4" w:rsidRPr="00636EC9" w:rsidRDefault="000178D4" w:rsidP="00CE3C2C">
            <w:pPr>
              <w:keepLines/>
              <w:rPr>
                <w:rFonts w:ascii="Arial Narrow" w:hAnsi="Arial Narrow" w:cs="Arial"/>
                <w:b/>
                <w:sz w:val="18"/>
                <w:szCs w:val="18"/>
                <w:lang w:val="en-US"/>
              </w:rPr>
            </w:pPr>
            <w:r>
              <w:rPr>
                <w:rFonts w:ascii="Arial Narrow" w:hAnsi="Arial Narrow" w:cs="Arial"/>
                <w:b/>
                <w:sz w:val="18"/>
                <w:szCs w:val="18"/>
                <w:lang w:val="en-US"/>
              </w:rPr>
              <w:t>5.</w:t>
            </w:r>
            <w:r w:rsidRPr="00636EC9">
              <w:rPr>
                <w:rFonts w:ascii="Arial Narrow" w:hAnsi="Arial Narrow" w:cs="Arial"/>
                <w:b/>
                <w:sz w:val="18"/>
                <w:szCs w:val="18"/>
                <w:lang w:val="en-US"/>
              </w:rPr>
              <w:t xml:space="preserve"> </w:t>
            </w:r>
            <w:r>
              <w:rPr>
                <w:rFonts w:ascii="Arial Narrow" w:hAnsi="Arial Narrow" w:cs="Arial"/>
                <w:b/>
                <w:sz w:val="18"/>
                <w:szCs w:val="18"/>
                <w:lang w:val="en-US"/>
              </w:rPr>
              <w:t>I</w:t>
            </w:r>
            <w:r w:rsidRPr="00636EC9">
              <w:rPr>
                <w:rFonts w:ascii="Arial Narrow" w:hAnsi="Arial Narrow" w:cs="Arial"/>
                <w:b/>
                <w:sz w:val="18"/>
                <w:szCs w:val="18"/>
                <w:lang w:val="en-US"/>
              </w:rPr>
              <w:t>mplementation efficiency</w:t>
            </w:r>
          </w:p>
        </w:tc>
        <w:tc>
          <w:tcPr>
            <w:tcW w:w="1343" w:type="pct"/>
            <w:gridSpan w:val="2"/>
            <w:tcMar>
              <w:left w:w="28" w:type="dxa"/>
              <w:right w:w="28" w:type="dxa"/>
            </w:tcMar>
          </w:tcPr>
          <w:p w14:paraId="183D12BE" w14:textId="77777777" w:rsidR="000178D4" w:rsidRPr="0067711B"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sidRPr="0067711B">
              <w:rPr>
                <w:rFonts w:ascii="Arial Narrow" w:hAnsi="Arial Narrow" w:cs="Arial"/>
                <w:sz w:val="18"/>
                <w:szCs w:val="18"/>
              </w:rPr>
              <w:t xml:space="preserve">To what extent has the IA implemented the project in line with the annual work plan and </w:t>
            </w:r>
            <w:r>
              <w:rPr>
                <w:rFonts w:ascii="Arial Narrow" w:hAnsi="Arial Narrow" w:cs="Arial"/>
                <w:sz w:val="18"/>
                <w:szCs w:val="18"/>
              </w:rPr>
              <w:t>m</w:t>
            </w:r>
            <w:r w:rsidRPr="0067711B">
              <w:rPr>
                <w:rFonts w:ascii="Arial Narrow" w:hAnsi="Arial Narrow" w:cs="Arial"/>
                <w:sz w:val="18"/>
                <w:szCs w:val="18"/>
              </w:rPr>
              <w:t>et its</w:t>
            </w:r>
            <w:r>
              <w:rPr>
                <w:rFonts w:ascii="Arial Narrow" w:hAnsi="Arial Narrow" w:cs="Arial"/>
                <w:sz w:val="18"/>
                <w:szCs w:val="18"/>
              </w:rPr>
              <w:t xml:space="preserve"> SRF</w:t>
            </w:r>
            <w:r w:rsidRPr="0067711B">
              <w:rPr>
                <w:rFonts w:ascii="Arial Narrow" w:hAnsi="Arial Narrow" w:cs="Arial"/>
                <w:sz w:val="18"/>
                <w:szCs w:val="18"/>
              </w:rPr>
              <w:t xml:space="preserve"> targets on time and within budget.</w:t>
            </w:r>
          </w:p>
          <w:p w14:paraId="7A04B78C" w14:textId="77777777" w:rsidR="000178D4" w:rsidRPr="009E2E5E"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Pr>
                <w:rFonts w:ascii="Arial Narrow" w:hAnsi="Arial Narrow" w:cs="Arial"/>
                <w:sz w:val="18"/>
                <w:szCs w:val="18"/>
              </w:rPr>
              <w:t>What have been the key challenges to efficient implementation and to what extent have these been addressed through adaptive management?</w:t>
            </w:r>
          </w:p>
          <w:p w14:paraId="22025C5D" w14:textId="77777777" w:rsidR="000178D4" w:rsidRPr="009E2E5E"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sidRPr="009E2E5E">
              <w:rPr>
                <w:rFonts w:ascii="Arial Narrow" w:hAnsi="Arial Narrow" w:cs="Arial"/>
                <w:sz w:val="18"/>
                <w:szCs w:val="18"/>
              </w:rPr>
              <w:t>H</w:t>
            </w:r>
            <w:r>
              <w:rPr>
                <w:rFonts w:ascii="Arial Narrow" w:hAnsi="Arial Narrow" w:cs="Arial"/>
                <w:sz w:val="18"/>
                <w:szCs w:val="18"/>
              </w:rPr>
              <w:t>ow h</w:t>
            </w:r>
            <w:r w:rsidRPr="009E2E5E">
              <w:rPr>
                <w:rFonts w:ascii="Arial Narrow" w:hAnsi="Arial Narrow" w:cs="Arial"/>
                <w:sz w:val="18"/>
                <w:szCs w:val="18"/>
              </w:rPr>
              <w:t xml:space="preserve">ave </w:t>
            </w:r>
            <w:r>
              <w:rPr>
                <w:rFonts w:ascii="Arial Narrow" w:hAnsi="Arial Narrow" w:cs="Arial"/>
                <w:sz w:val="18"/>
                <w:szCs w:val="18"/>
              </w:rPr>
              <w:t>r</w:t>
            </w:r>
            <w:r w:rsidRPr="009E2E5E">
              <w:rPr>
                <w:rFonts w:ascii="Arial Narrow" w:hAnsi="Arial Narrow" w:cs="Arial"/>
                <w:sz w:val="18"/>
                <w:szCs w:val="18"/>
              </w:rPr>
              <w:t>isks been avoided or mitigated?</w:t>
            </w:r>
          </w:p>
        </w:tc>
        <w:tc>
          <w:tcPr>
            <w:tcW w:w="1103" w:type="pct"/>
            <w:tcMar>
              <w:left w:w="28" w:type="dxa"/>
              <w:right w:w="28" w:type="dxa"/>
            </w:tcMar>
          </w:tcPr>
          <w:p w14:paraId="4F9E21D8" w14:textId="77777777" w:rsidR="000178D4"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Pr>
                <w:rFonts w:ascii="Arial Narrow" w:hAnsi="Arial Narrow" w:cs="Arial"/>
                <w:sz w:val="18"/>
                <w:szCs w:val="18"/>
              </w:rPr>
              <w:t>Annual work plan</w:t>
            </w:r>
          </w:p>
          <w:p w14:paraId="00852EF1" w14:textId="77777777" w:rsidR="000178D4"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Pr>
                <w:rFonts w:ascii="Arial Narrow" w:hAnsi="Arial Narrow" w:cs="Arial"/>
                <w:sz w:val="18"/>
                <w:szCs w:val="18"/>
              </w:rPr>
              <w:t>Rate of disbursement and liquidation of project funds</w:t>
            </w:r>
          </w:p>
          <w:p w14:paraId="1066945E" w14:textId="77777777" w:rsidR="000178D4"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Pr>
                <w:rFonts w:ascii="Arial Narrow" w:hAnsi="Arial Narrow" w:cs="Arial"/>
                <w:sz w:val="18"/>
                <w:szCs w:val="18"/>
              </w:rPr>
              <w:t>Timeliness of procurement; capacity and commitment of service providers</w:t>
            </w:r>
          </w:p>
          <w:p w14:paraId="4A569232" w14:textId="77777777" w:rsidR="000178D4" w:rsidRPr="003514F0"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Pr>
                <w:rFonts w:ascii="Arial Narrow" w:hAnsi="Arial Narrow" w:cs="Arial"/>
                <w:sz w:val="18"/>
                <w:szCs w:val="18"/>
              </w:rPr>
              <w:t xml:space="preserve">Coordinating mechanisms at provincial, district and village levels </w:t>
            </w:r>
          </w:p>
        </w:tc>
        <w:tc>
          <w:tcPr>
            <w:tcW w:w="1103" w:type="pct"/>
            <w:gridSpan w:val="2"/>
            <w:tcMar>
              <w:left w:w="28" w:type="dxa"/>
              <w:right w:w="28" w:type="dxa"/>
            </w:tcMar>
          </w:tcPr>
          <w:p w14:paraId="76336868" w14:textId="77777777" w:rsidR="000178D4" w:rsidRPr="003514F0"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sidRPr="003514F0">
              <w:rPr>
                <w:rFonts w:ascii="Arial Narrow" w:hAnsi="Arial Narrow" w:cs="Arial"/>
                <w:sz w:val="18"/>
                <w:szCs w:val="18"/>
              </w:rPr>
              <w:t>ProDoc, PIRs, Annual Work Plans</w:t>
            </w:r>
          </w:p>
          <w:p w14:paraId="2D395704" w14:textId="77777777" w:rsidR="000178D4"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Pr>
                <w:rFonts w:ascii="Arial Narrow" w:hAnsi="Arial Narrow" w:cs="Arial"/>
                <w:sz w:val="18"/>
                <w:szCs w:val="18"/>
              </w:rPr>
              <w:t>UNDP CO, PMU, Agency for Protected Areas</w:t>
            </w:r>
          </w:p>
          <w:p w14:paraId="0BCC0A66" w14:textId="77777777" w:rsidR="000178D4" w:rsidRPr="003514F0"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sidRPr="009E2E5E">
              <w:rPr>
                <w:rFonts w:ascii="Arial Narrow" w:hAnsi="Arial Narrow" w:cs="Arial"/>
                <w:sz w:val="18"/>
                <w:szCs w:val="18"/>
              </w:rPr>
              <w:t>UNDP/GEF RTA</w:t>
            </w:r>
          </w:p>
        </w:tc>
        <w:tc>
          <w:tcPr>
            <w:tcW w:w="839" w:type="pct"/>
            <w:tcMar>
              <w:left w:w="28" w:type="dxa"/>
              <w:right w:w="28" w:type="dxa"/>
            </w:tcMar>
          </w:tcPr>
          <w:p w14:paraId="2DB7ABA5" w14:textId="77777777" w:rsidR="000178D4" w:rsidRPr="009E2E5E"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Pr>
                <w:rFonts w:ascii="Arial Narrow" w:hAnsi="Arial Narrow" w:cs="Arial"/>
                <w:sz w:val="18"/>
                <w:szCs w:val="18"/>
              </w:rPr>
              <w:t>Review documents</w:t>
            </w:r>
          </w:p>
          <w:p w14:paraId="7A40A271" w14:textId="77777777" w:rsidR="000178D4" w:rsidRPr="003514F0"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sidRPr="009E2E5E">
              <w:rPr>
                <w:rFonts w:ascii="Arial Narrow" w:hAnsi="Arial Narrow" w:cs="Arial"/>
                <w:sz w:val="18"/>
                <w:szCs w:val="18"/>
              </w:rPr>
              <w:t>Consultations with PMU</w:t>
            </w:r>
            <w:r>
              <w:rPr>
                <w:rFonts w:ascii="Arial Narrow" w:hAnsi="Arial Narrow" w:cs="Arial"/>
                <w:sz w:val="18"/>
                <w:szCs w:val="18"/>
              </w:rPr>
              <w:t>, UNDP, RTA, beneficiaries</w:t>
            </w:r>
          </w:p>
        </w:tc>
      </w:tr>
      <w:tr w:rsidR="000178D4" w:rsidRPr="00636EC9" w14:paraId="30F8AD4E" w14:textId="77777777" w:rsidTr="00CE3C2C">
        <w:trPr>
          <w:cantSplit/>
          <w:trHeight w:val="115"/>
        </w:trPr>
        <w:tc>
          <w:tcPr>
            <w:tcW w:w="5000" w:type="pct"/>
            <w:gridSpan w:val="7"/>
            <w:tcBorders>
              <w:right w:val="single" w:sz="4" w:space="0" w:color="auto"/>
            </w:tcBorders>
            <w:shd w:val="clear" w:color="auto" w:fill="B8CCE4"/>
            <w:tcMar>
              <w:left w:w="28" w:type="dxa"/>
              <w:right w:w="28" w:type="dxa"/>
            </w:tcMar>
            <w:vAlign w:val="center"/>
          </w:tcPr>
          <w:p w14:paraId="79E067BD" w14:textId="77777777" w:rsidR="000178D4" w:rsidRPr="00636EC9" w:rsidRDefault="000178D4" w:rsidP="00CE3C2C">
            <w:pPr>
              <w:keepLines/>
              <w:rPr>
                <w:rFonts w:ascii="Arial Narrow" w:hAnsi="Arial Narrow" w:cs="Arial"/>
                <w:sz w:val="18"/>
                <w:szCs w:val="18"/>
                <w:lang w:val="en-US"/>
              </w:rPr>
            </w:pPr>
            <w:r w:rsidRPr="00636EC9">
              <w:rPr>
                <w:rFonts w:ascii="Arial Narrow" w:hAnsi="Arial Narrow" w:cs="Arial"/>
                <w:b/>
                <w:smallCaps/>
                <w:sz w:val="18"/>
                <w:szCs w:val="18"/>
                <w:lang w:val="en-US"/>
              </w:rPr>
              <w:t>SUSTAINABILITY</w:t>
            </w:r>
            <w:r>
              <w:rPr>
                <w:rFonts w:ascii="Arial Narrow" w:hAnsi="Arial Narrow" w:cs="Arial"/>
                <w:b/>
                <w:smallCaps/>
                <w:sz w:val="18"/>
                <w:szCs w:val="18"/>
                <w:lang w:val="en-US"/>
              </w:rPr>
              <w:t xml:space="preserve"> – likelihood of financial, institutional, socio-economic and/or environmental risks to sustaining long-term project benefits</w:t>
            </w:r>
          </w:p>
        </w:tc>
      </w:tr>
      <w:tr w:rsidR="000178D4" w:rsidRPr="00636EC9" w14:paraId="4CA9ECA3" w14:textId="77777777" w:rsidTr="00CE3C2C">
        <w:tc>
          <w:tcPr>
            <w:tcW w:w="612" w:type="pct"/>
            <w:tcMar>
              <w:left w:w="28" w:type="dxa"/>
              <w:right w:w="28" w:type="dxa"/>
            </w:tcMar>
          </w:tcPr>
          <w:p w14:paraId="4F1D55B0" w14:textId="77777777" w:rsidR="000178D4" w:rsidRPr="00636EC9" w:rsidRDefault="000178D4" w:rsidP="00CE3C2C">
            <w:pPr>
              <w:keepLines/>
              <w:rPr>
                <w:rFonts w:ascii="Arial Narrow" w:hAnsi="Arial Narrow" w:cs="Arial"/>
                <w:b/>
                <w:sz w:val="18"/>
                <w:szCs w:val="18"/>
                <w:lang w:val="en-US"/>
              </w:rPr>
            </w:pPr>
            <w:r>
              <w:rPr>
                <w:rFonts w:ascii="Arial Narrow" w:hAnsi="Arial Narrow" w:cs="Arial"/>
                <w:b/>
                <w:sz w:val="18"/>
                <w:szCs w:val="18"/>
                <w:lang w:val="en-US"/>
              </w:rPr>
              <w:t>6.</w:t>
            </w:r>
            <w:r w:rsidRPr="00636EC9">
              <w:rPr>
                <w:rFonts w:ascii="Arial Narrow" w:hAnsi="Arial Narrow" w:cs="Arial"/>
                <w:b/>
                <w:sz w:val="18"/>
                <w:szCs w:val="18"/>
                <w:lang w:val="en-US"/>
              </w:rPr>
              <w:t xml:space="preserve"> Design for Sustainability</w:t>
            </w:r>
          </w:p>
        </w:tc>
        <w:tc>
          <w:tcPr>
            <w:tcW w:w="1343" w:type="pct"/>
            <w:gridSpan w:val="2"/>
            <w:tcMar>
              <w:left w:w="28" w:type="dxa"/>
              <w:right w:w="28" w:type="dxa"/>
            </w:tcMar>
          </w:tcPr>
          <w:p w14:paraId="336D1E4D" w14:textId="77777777" w:rsidR="000178D4" w:rsidRPr="009E2E5E"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sidRPr="009E2E5E">
              <w:rPr>
                <w:rFonts w:ascii="Arial Narrow" w:hAnsi="Arial Narrow" w:cs="Arial"/>
                <w:sz w:val="18"/>
                <w:szCs w:val="18"/>
              </w:rPr>
              <w:t>Were interventions designed to have sustainable results</w:t>
            </w:r>
            <w:r>
              <w:rPr>
                <w:rFonts w:ascii="Arial Narrow" w:hAnsi="Arial Narrow" w:cs="Arial"/>
                <w:sz w:val="18"/>
                <w:szCs w:val="18"/>
              </w:rPr>
              <w:t xml:space="preserve"> that take into account </w:t>
            </w:r>
            <w:r w:rsidRPr="009E2E5E">
              <w:rPr>
                <w:rFonts w:ascii="Arial Narrow" w:hAnsi="Arial Narrow" w:cs="Arial"/>
                <w:sz w:val="18"/>
                <w:szCs w:val="18"/>
              </w:rPr>
              <w:t>identifiable risks</w:t>
            </w:r>
            <w:r>
              <w:rPr>
                <w:rFonts w:ascii="Arial Narrow" w:hAnsi="Arial Narrow" w:cs="Arial"/>
                <w:sz w:val="18"/>
                <w:szCs w:val="18"/>
              </w:rPr>
              <w:t>,</w:t>
            </w:r>
            <w:r w:rsidRPr="009E2E5E">
              <w:rPr>
                <w:rFonts w:ascii="Arial Narrow" w:hAnsi="Arial Narrow" w:cs="Arial"/>
                <w:sz w:val="18"/>
                <w:szCs w:val="18"/>
              </w:rPr>
              <w:t xml:space="preserve"> and did they include an exit strategy?</w:t>
            </w:r>
          </w:p>
        </w:tc>
        <w:tc>
          <w:tcPr>
            <w:tcW w:w="1103" w:type="pct"/>
            <w:vMerge w:val="restart"/>
            <w:tcMar>
              <w:left w:w="28" w:type="dxa"/>
              <w:right w:w="28" w:type="dxa"/>
            </w:tcMar>
          </w:tcPr>
          <w:p w14:paraId="7C302FE2" w14:textId="77777777" w:rsidR="000178D4" w:rsidRPr="009E2E5E"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sidRPr="009E2E5E">
              <w:rPr>
                <w:rFonts w:ascii="Arial Narrow" w:hAnsi="Arial Narrow" w:cs="Arial"/>
                <w:sz w:val="18"/>
                <w:szCs w:val="18"/>
              </w:rPr>
              <w:t>Sustainability Plan/Exit Strategy</w:t>
            </w:r>
          </w:p>
          <w:p w14:paraId="5FA9EEFB" w14:textId="77777777" w:rsidR="000178D4" w:rsidRPr="009E2E5E"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Pr>
                <w:rFonts w:ascii="Arial Narrow" w:hAnsi="Arial Narrow" w:cs="Arial"/>
                <w:sz w:val="18"/>
                <w:szCs w:val="18"/>
              </w:rPr>
              <w:t>SRF and changes arising from MTR</w:t>
            </w:r>
          </w:p>
          <w:p w14:paraId="1541F305" w14:textId="77777777" w:rsidR="000178D4" w:rsidRPr="009E2E5E"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sidRPr="009E2E5E">
              <w:rPr>
                <w:rFonts w:ascii="Arial Narrow" w:hAnsi="Arial Narrow" w:cs="Arial"/>
                <w:sz w:val="18"/>
                <w:szCs w:val="18"/>
              </w:rPr>
              <w:t>Examples of adaptive management</w:t>
            </w:r>
          </w:p>
          <w:p w14:paraId="1E14C682" w14:textId="77777777" w:rsidR="000178D4" w:rsidRPr="009E2E5E"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sidRPr="009E2E5E">
              <w:rPr>
                <w:rFonts w:ascii="Arial Narrow" w:hAnsi="Arial Narrow" w:cs="Arial"/>
                <w:sz w:val="18"/>
                <w:szCs w:val="18"/>
              </w:rPr>
              <w:t>Arrangements in place for the transition</w:t>
            </w:r>
          </w:p>
        </w:tc>
        <w:tc>
          <w:tcPr>
            <w:tcW w:w="1103" w:type="pct"/>
            <w:gridSpan w:val="2"/>
            <w:vMerge w:val="restart"/>
            <w:tcMar>
              <w:left w:w="28" w:type="dxa"/>
              <w:right w:w="28" w:type="dxa"/>
            </w:tcMar>
          </w:tcPr>
          <w:p w14:paraId="1E102BD7" w14:textId="77777777" w:rsidR="000178D4" w:rsidRPr="009E2E5E"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sidRPr="009E2E5E">
              <w:rPr>
                <w:rFonts w:ascii="Arial Narrow" w:hAnsi="Arial Narrow" w:cs="Arial"/>
                <w:sz w:val="18"/>
                <w:szCs w:val="18"/>
              </w:rPr>
              <w:t>ProDoc and project design</w:t>
            </w:r>
            <w:r>
              <w:rPr>
                <w:rFonts w:ascii="Arial Narrow" w:hAnsi="Arial Narrow" w:cs="Arial"/>
                <w:sz w:val="18"/>
                <w:szCs w:val="18"/>
              </w:rPr>
              <w:t xml:space="preserve"> (SRF)</w:t>
            </w:r>
          </w:p>
          <w:p w14:paraId="6D6E9CF0" w14:textId="77777777" w:rsidR="000178D4" w:rsidRPr="00026ADA"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sidRPr="009E2E5E">
              <w:rPr>
                <w:rFonts w:ascii="Arial Narrow" w:hAnsi="Arial Narrow" w:cs="Arial"/>
                <w:sz w:val="18"/>
                <w:szCs w:val="18"/>
              </w:rPr>
              <w:t>PIRs</w:t>
            </w:r>
            <w:r>
              <w:rPr>
                <w:rFonts w:ascii="Arial Narrow" w:hAnsi="Arial Narrow" w:cs="Arial"/>
                <w:sz w:val="18"/>
                <w:szCs w:val="18"/>
              </w:rPr>
              <w:t xml:space="preserve">, </w:t>
            </w:r>
            <w:r w:rsidRPr="00026ADA">
              <w:rPr>
                <w:rFonts w:ascii="Arial Narrow" w:hAnsi="Arial Narrow" w:cs="Arial"/>
                <w:sz w:val="18"/>
                <w:szCs w:val="18"/>
              </w:rPr>
              <w:t>MTR</w:t>
            </w:r>
          </w:p>
          <w:p w14:paraId="4787881E" w14:textId="77777777" w:rsidR="000178D4"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Pr>
                <w:rFonts w:ascii="Arial Narrow" w:hAnsi="Arial Narrow" w:cs="Arial"/>
                <w:sz w:val="18"/>
                <w:szCs w:val="18"/>
              </w:rPr>
              <w:t>Project Steering Committee, PMU</w:t>
            </w:r>
          </w:p>
          <w:p w14:paraId="357DB427" w14:textId="77777777" w:rsidR="000178D4" w:rsidRPr="009E2E5E"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Pr>
                <w:rFonts w:ascii="Arial Narrow" w:hAnsi="Arial Narrow" w:cs="Arial"/>
                <w:sz w:val="18"/>
                <w:szCs w:val="18"/>
              </w:rPr>
              <w:t>Prospective heirs</w:t>
            </w:r>
          </w:p>
        </w:tc>
        <w:tc>
          <w:tcPr>
            <w:tcW w:w="839" w:type="pct"/>
            <w:tcBorders>
              <w:right w:val="single" w:sz="4" w:space="0" w:color="auto"/>
            </w:tcBorders>
            <w:tcMar>
              <w:left w:w="28" w:type="dxa"/>
              <w:right w:w="28" w:type="dxa"/>
            </w:tcMar>
          </w:tcPr>
          <w:p w14:paraId="3274FA0F" w14:textId="77777777" w:rsidR="000178D4" w:rsidRPr="003F58D8"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sidRPr="009E2E5E">
              <w:rPr>
                <w:rFonts w:ascii="Arial Narrow" w:hAnsi="Arial Narrow" w:cs="Arial"/>
                <w:sz w:val="18"/>
                <w:szCs w:val="18"/>
              </w:rPr>
              <w:t>Review document</w:t>
            </w:r>
            <w:r>
              <w:rPr>
                <w:rFonts w:ascii="Arial Narrow" w:hAnsi="Arial Narrow" w:cs="Arial"/>
                <w:sz w:val="18"/>
                <w:szCs w:val="18"/>
              </w:rPr>
              <w:t>s</w:t>
            </w:r>
          </w:p>
        </w:tc>
      </w:tr>
      <w:tr w:rsidR="000178D4" w:rsidRPr="00636EC9" w14:paraId="5996792A" w14:textId="77777777" w:rsidTr="00CE3C2C">
        <w:tc>
          <w:tcPr>
            <w:tcW w:w="612" w:type="pct"/>
            <w:tcMar>
              <w:left w:w="28" w:type="dxa"/>
              <w:right w:w="28" w:type="dxa"/>
            </w:tcMar>
          </w:tcPr>
          <w:p w14:paraId="2DE8053A" w14:textId="77777777" w:rsidR="000178D4" w:rsidRPr="00636EC9" w:rsidRDefault="000178D4" w:rsidP="00CE3C2C">
            <w:pPr>
              <w:keepLines/>
              <w:rPr>
                <w:rFonts w:ascii="Arial Narrow" w:hAnsi="Arial Narrow" w:cs="Arial"/>
                <w:b/>
                <w:sz w:val="18"/>
                <w:szCs w:val="18"/>
                <w:lang w:val="en-US"/>
              </w:rPr>
            </w:pPr>
            <w:r>
              <w:rPr>
                <w:rFonts w:ascii="Arial Narrow" w:hAnsi="Arial Narrow" w:cs="Arial"/>
                <w:b/>
                <w:sz w:val="18"/>
                <w:szCs w:val="18"/>
                <w:lang w:val="en-US"/>
              </w:rPr>
              <w:t>7.</w:t>
            </w:r>
            <w:r w:rsidRPr="00636EC9">
              <w:rPr>
                <w:rFonts w:ascii="Arial Narrow" w:hAnsi="Arial Narrow" w:cs="Arial"/>
                <w:b/>
                <w:sz w:val="18"/>
                <w:szCs w:val="18"/>
                <w:lang w:val="en-US"/>
              </w:rPr>
              <w:t xml:space="preserve"> Issues at implementation and corrective measures</w:t>
            </w:r>
          </w:p>
        </w:tc>
        <w:tc>
          <w:tcPr>
            <w:tcW w:w="1343" w:type="pct"/>
            <w:gridSpan w:val="2"/>
            <w:tcMar>
              <w:left w:w="28" w:type="dxa"/>
              <w:right w:w="28" w:type="dxa"/>
            </w:tcMar>
          </w:tcPr>
          <w:p w14:paraId="391D5E02" w14:textId="77777777" w:rsidR="000178D4" w:rsidRPr="00C5453D"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sidRPr="009E2E5E">
              <w:rPr>
                <w:rFonts w:ascii="Arial Narrow" w:hAnsi="Arial Narrow" w:cs="Arial"/>
                <w:sz w:val="18"/>
                <w:szCs w:val="18"/>
              </w:rPr>
              <w:t>What issues emerged during implementation as threat</w:t>
            </w:r>
            <w:r>
              <w:rPr>
                <w:rFonts w:ascii="Arial Narrow" w:hAnsi="Arial Narrow" w:cs="Arial"/>
                <w:sz w:val="18"/>
                <w:szCs w:val="18"/>
              </w:rPr>
              <w:t>s</w:t>
            </w:r>
            <w:r w:rsidRPr="009E2E5E">
              <w:rPr>
                <w:rFonts w:ascii="Arial Narrow" w:hAnsi="Arial Narrow" w:cs="Arial"/>
                <w:sz w:val="18"/>
                <w:szCs w:val="18"/>
              </w:rPr>
              <w:t xml:space="preserve"> to sustainability</w:t>
            </w:r>
            <w:r>
              <w:rPr>
                <w:rFonts w:ascii="Arial Narrow" w:hAnsi="Arial Narrow" w:cs="Arial"/>
                <w:sz w:val="18"/>
                <w:szCs w:val="18"/>
              </w:rPr>
              <w:t xml:space="preserve"> and how were they addressed</w:t>
            </w:r>
            <w:r w:rsidRPr="009E2E5E">
              <w:rPr>
                <w:rFonts w:ascii="Arial Narrow" w:hAnsi="Arial Narrow" w:cs="Arial"/>
                <w:sz w:val="18"/>
                <w:szCs w:val="18"/>
              </w:rPr>
              <w:t>?</w:t>
            </w:r>
          </w:p>
        </w:tc>
        <w:tc>
          <w:tcPr>
            <w:tcW w:w="1103" w:type="pct"/>
            <w:vMerge/>
            <w:tcMar>
              <w:left w:w="28" w:type="dxa"/>
              <w:right w:w="28" w:type="dxa"/>
            </w:tcMar>
          </w:tcPr>
          <w:p w14:paraId="36AC47B2" w14:textId="77777777" w:rsidR="000178D4" w:rsidRPr="009E2E5E"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p>
        </w:tc>
        <w:tc>
          <w:tcPr>
            <w:tcW w:w="1103" w:type="pct"/>
            <w:gridSpan w:val="2"/>
            <w:vMerge/>
            <w:tcMar>
              <w:left w:w="28" w:type="dxa"/>
              <w:right w:w="28" w:type="dxa"/>
            </w:tcMar>
          </w:tcPr>
          <w:p w14:paraId="0A4750C2" w14:textId="77777777" w:rsidR="000178D4" w:rsidRPr="009E2E5E"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p>
        </w:tc>
        <w:tc>
          <w:tcPr>
            <w:tcW w:w="839" w:type="pct"/>
            <w:vMerge w:val="restart"/>
            <w:tcMar>
              <w:left w:w="28" w:type="dxa"/>
              <w:right w:w="28" w:type="dxa"/>
            </w:tcMar>
          </w:tcPr>
          <w:p w14:paraId="6CF1D4D3" w14:textId="77777777" w:rsidR="000178D4" w:rsidRPr="009E2E5E"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Pr>
                <w:rFonts w:ascii="Arial Narrow" w:hAnsi="Arial Narrow" w:cs="Arial"/>
                <w:sz w:val="18"/>
                <w:szCs w:val="18"/>
              </w:rPr>
              <w:t>Review documents</w:t>
            </w:r>
          </w:p>
          <w:p w14:paraId="147EA541" w14:textId="77777777" w:rsidR="000178D4" w:rsidRPr="003F58D8"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Pr>
                <w:rFonts w:ascii="Arial Narrow" w:hAnsi="Arial Narrow" w:cs="Arial"/>
                <w:sz w:val="18"/>
                <w:szCs w:val="18"/>
              </w:rPr>
              <w:t xml:space="preserve">Consultations with Project Steering Committee, </w:t>
            </w:r>
            <w:r w:rsidRPr="009E2E5E">
              <w:rPr>
                <w:rFonts w:ascii="Arial Narrow" w:hAnsi="Arial Narrow" w:cs="Arial"/>
                <w:sz w:val="18"/>
                <w:szCs w:val="18"/>
              </w:rPr>
              <w:t>Project Manager</w:t>
            </w:r>
            <w:r>
              <w:rPr>
                <w:rFonts w:ascii="Arial Narrow" w:hAnsi="Arial Narrow" w:cs="Arial"/>
                <w:sz w:val="18"/>
                <w:szCs w:val="18"/>
              </w:rPr>
              <w:t xml:space="preserve">, </w:t>
            </w:r>
            <w:r w:rsidRPr="003F58D8">
              <w:rPr>
                <w:rFonts w:ascii="Arial Narrow" w:hAnsi="Arial Narrow" w:cs="Arial"/>
                <w:sz w:val="18"/>
                <w:szCs w:val="18"/>
              </w:rPr>
              <w:t xml:space="preserve">PMU, RTA, </w:t>
            </w:r>
            <w:r>
              <w:rPr>
                <w:rFonts w:ascii="Arial Narrow" w:hAnsi="Arial Narrow" w:cs="Arial"/>
                <w:sz w:val="18"/>
                <w:szCs w:val="18"/>
              </w:rPr>
              <w:t>heirs</w:t>
            </w:r>
          </w:p>
        </w:tc>
      </w:tr>
      <w:tr w:rsidR="000178D4" w:rsidRPr="00636EC9" w14:paraId="00E12470" w14:textId="77777777" w:rsidTr="00CE3C2C">
        <w:tc>
          <w:tcPr>
            <w:tcW w:w="612" w:type="pct"/>
            <w:tcMar>
              <w:left w:w="28" w:type="dxa"/>
              <w:right w:w="28" w:type="dxa"/>
            </w:tcMar>
          </w:tcPr>
          <w:p w14:paraId="7CB33631" w14:textId="77777777" w:rsidR="000178D4" w:rsidRPr="00636EC9" w:rsidRDefault="000178D4" w:rsidP="00CE3C2C">
            <w:pPr>
              <w:keepLines/>
              <w:rPr>
                <w:rFonts w:ascii="Arial Narrow" w:hAnsi="Arial Narrow" w:cs="Arial"/>
                <w:b/>
                <w:sz w:val="18"/>
                <w:szCs w:val="18"/>
                <w:lang w:val="en-US"/>
              </w:rPr>
            </w:pPr>
            <w:r>
              <w:rPr>
                <w:rFonts w:ascii="Arial Narrow" w:hAnsi="Arial Narrow" w:cs="Arial"/>
                <w:b/>
                <w:sz w:val="18"/>
                <w:szCs w:val="18"/>
                <w:lang w:val="en-US"/>
              </w:rPr>
              <w:t>8.</w:t>
            </w:r>
            <w:r w:rsidRPr="00636EC9">
              <w:rPr>
                <w:rFonts w:ascii="Arial Narrow" w:hAnsi="Arial Narrow" w:cs="Arial"/>
                <w:b/>
                <w:sz w:val="18"/>
                <w:szCs w:val="18"/>
                <w:lang w:val="en-US"/>
              </w:rPr>
              <w:t xml:space="preserve"> Sustainability strategy</w:t>
            </w:r>
          </w:p>
        </w:tc>
        <w:tc>
          <w:tcPr>
            <w:tcW w:w="1343" w:type="pct"/>
            <w:gridSpan w:val="2"/>
            <w:tcMar>
              <w:left w:w="28" w:type="dxa"/>
              <w:right w:w="28" w:type="dxa"/>
            </w:tcMar>
          </w:tcPr>
          <w:p w14:paraId="0232F243" w14:textId="77777777" w:rsidR="000178D4" w:rsidRPr="009E2E5E"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r>
              <w:rPr>
                <w:rFonts w:ascii="Arial Narrow" w:hAnsi="Arial Narrow" w:cs="Arial"/>
                <w:sz w:val="18"/>
                <w:szCs w:val="18"/>
              </w:rPr>
              <w:t>Have</w:t>
            </w:r>
            <w:r w:rsidRPr="009E2E5E">
              <w:rPr>
                <w:rFonts w:ascii="Arial Narrow" w:hAnsi="Arial Narrow" w:cs="Arial"/>
                <w:sz w:val="18"/>
                <w:szCs w:val="18"/>
              </w:rPr>
              <w:t xml:space="preserve"> heirs to project been identified and prepared?</w:t>
            </w:r>
          </w:p>
        </w:tc>
        <w:tc>
          <w:tcPr>
            <w:tcW w:w="1103" w:type="pct"/>
            <w:vMerge/>
            <w:tcMar>
              <w:left w:w="28" w:type="dxa"/>
              <w:right w:w="28" w:type="dxa"/>
            </w:tcMar>
          </w:tcPr>
          <w:p w14:paraId="77849C93" w14:textId="77777777" w:rsidR="000178D4" w:rsidRPr="009E2E5E"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p>
        </w:tc>
        <w:tc>
          <w:tcPr>
            <w:tcW w:w="1103" w:type="pct"/>
            <w:gridSpan w:val="2"/>
            <w:vMerge/>
            <w:tcMar>
              <w:left w:w="28" w:type="dxa"/>
              <w:right w:w="28" w:type="dxa"/>
            </w:tcMar>
          </w:tcPr>
          <w:p w14:paraId="3577A200" w14:textId="77777777" w:rsidR="000178D4" w:rsidRPr="009E2E5E" w:rsidRDefault="000178D4" w:rsidP="00991B6C">
            <w:pPr>
              <w:keepLines/>
              <w:numPr>
                <w:ilvl w:val="0"/>
                <w:numId w:val="34"/>
              </w:numPr>
              <w:overflowPunct/>
              <w:autoSpaceDE/>
              <w:autoSpaceDN/>
              <w:adjustRightInd/>
              <w:ind w:left="138" w:hanging="138"/>
              <w:textAlignment w:val="auto"/>
              <w:rPr>
                <w:rFonts w:ascii="Arial Narrow" w:hAnsi="Arial Narrow" w:cs="Arial"/>
                <w:sz w:val="18"/>
                <w:szCs w:val="18"/>
              </w:rPr>
            </w:pPr>
          </w:p>
        </w:tc>
        <w:tc>
          <w:tcPr>
            <w:tcW w:w="839" w:type="pct"/>
            <w:vMerge/>
            <w:tcMar>
              <w:left w:w="28" w:type="dxa"/>
              <w:right w:w="28" w:type="dxa"/>
            </w:tcMar>
          </w:tcPr>
          <w:p w14:paraId="498EA873" w14:textId="77777777" w:rsidR="000178D4" w:rsidRPr="009E2E5E" w:rsidRDefault="000178D4" w:rsidP="00CE3C2C">
            <w:pPr>
              <w:keepLines/>
              <w:ind w:left="360"/>
              <w:rPr>
                <w:rFonts w:ascii="Arial Narrow" w:hAnsi="Arial Narrow" w:cs="Arial"/>
                <w:sz w:val="18"/>
                <w:szCs w:val="18"/>
              </w:rPr>
            </w:pPr>
          </w:p>
        </w:tc>
      </w:tr>
    </w:tbl>
    <w:p w14:paraId="542F6B1F" w14:textId="77777777" w:rsidR="004508FC" w:rsidRDefault="004508FC" w:rsidP="002E313D">
      <w:pPr>
        <w:pStyle w:val="Heading2"/>
        <w:spacing w:after="120" w:line="240" w:lineRule="auto"/>
        <w:rPr>
          <w:rFonts w:asciiTheme="minorHAnsi" w:hAnsiTheme="minorHAnsi"/>
          <w:b/>
          <w:caps w:val="0"/>
        </w:rPr>
        <w:sectPr w:rsidR="004508FC" w:rsidSect="00ED5208">
          <w:footnotePr>
            <w:numRestart w:val="eachPage"/>
          </w:footnotePr>
          <w:pgSz w:w="16838" w:h="11906" w:orient="landscape" w:code="1"/>
          <w:pgMar w:top="1440" w:right="1440" w:bottom="1440" w:left="1440" w:header="288" w:footer="288" w:gutter="0"/>
          <w:pgNumType w:start="1"/>
          <w:cols w:space="708"/>
          <w:docGrid w:linePitch="299"/>
        </w:sectPr>
      </w:pPr>
    </w:p>
    <w:p w14:paraId="56474979" w14:textId="28AE649A" w:rsidR="00FC2349" w:rsidRPr="00E22EBA" w:rsidRDefault="00FC2349" w:rsidP="00207AB8">
      <w:pPr>
        <w:pStyle w:val="Heading2"/>
        <w:spacing w:after="120" w:line="240" w:lineRule="auto"/>
        <w:rPr>
          <w:rFonts w:asciiTheme="minorHAnsi" w:hAnsiTheme="minorHAnsi"/>
          <w:b/>
          <w:caps w:val="0"/>
        </w:rPr>
      </w:pPr>
      <w:bookmarkStart w:id="253" w:name="_Toc414745355"/>
      <w:r w:rsidRPr="00E22EBA">
        <w:rPr>
          <w:rFonts w:asciiTheme="minorHAnsi" w:hAnsiTheme="minorHAnsi"/>
          <w:b/>
          <w:caps w:val="0"/>
        </w:rPr>
        <w:lastRenderedPageBreak/>
        <w:t xml:space="preserve">Annex </w:t>
      </w:r>
      <w:r w:rsidR="00D940F5" w:rsidRPr="00E22EBA">
        <w:rPr>
          <w:rFonts w:asciiTheme="minorHAnsi" w:hAnsiTheme="minorHAnsi"/>
          <w:b/>
          <w:caps w:val="0"/>
        </w:rPr>
        <w:t>9</w:t>
      </w:r>
      <w:r w:rsidRPr="00E22EBA">
        <w:rPr>
          <w:rFonts w:asciiTheme="minorHAnsi" w:hAnsiTheme="minorHAnsi"/>
          <w:b/>
          <w:caps w:val="0"/>
        </w:rPr>
        <w:t xml:space="preserve">: </w:t>
      </w:r>
      <w:r w:rsidR="00770621">
        <w:rPr>
          <w:rFonts w:asciiTheme="minorHAnsi" w:hAnsiTheme="minorHAnsi"/>
          <w:b/>
          <w:caps w:val="0"/>
        </w:rPr>
        <w:t>Audit Trail of</w:t>
      </w:r>
      <w:r w:rsidRPr="00E22EBA">
        <w:rPr>
          <w:rFonts w:asciiTheme="minorHAnsi" w:hAnsiTheme="minorHAnsi"/>
          <w:b/>
          <w:caps w:val="0"/>
        </w:rPr>
        <w:t xml:space="preserve"> Review Comments and Evaluator Responses</w:t>
      </w:r>
      <w:bookmarkEnd w:id="253"/>
    </w:p>
    <w:p w14:paraId="7270D5FF" w14:textId="2AF69E9F" w:rsidR="00CE3C2C" w:rsidRDefault="00CE3C2C" w:rsidP="005B25B8">
      <w:pPr>
        <w:spacing w:after="120"/>
        <w:rPr>
          <w:rFonts w:ascii="Calibri" w:hAnsi="Calibri"/>
        </w:rPr>
      </w:pPr>
      <w:r>
        <w:rPr>
          <w:rFonts w:ascii="Calibri" w:hAnsi="Calibri"/>
        </w:rPr>
        <w:t>Feedback/c</w:t>
      </w:r>
      <w:r w:rsidRPr="006443B8">
        <w:rPr>
          <w:rFonts w:ascii="Calibri" w:hAnsi="Calibri"/>
        </w:rPr>
        <w:t xml:space="preserve">omments provided in the draft </w:t>
      </w:r>
      <w:r>
        <w:rPr>
          <w:rFonts w:ascii="Calibri" w:hAnsi="Calibri"/>
        </w:rPr>
        <w:t>Terminal Evaluation, consolidated in some cases, and responses to them are provided in the table below.</w:t>
      </w:r>
    </w:p>
    <w:tbl>
      <w:tblPr>
        <w:tblStyle w:val="TableGrid"/>
        <w:tblW w:w="5000" w:type="pct"/>
        <w:tblLook w:val="04A0" w:firstRow="1" w:lastRow="0" w:firstColumn="1" w:lastColumn="0" w:noHBand="0" w:noVBand="1"/>
      </w:tblPr>
      <w:tblGrid>
        <w:gridCol w:w="877"/>
        <w:gridCol w:w="2734"/>
        <w:gridCol w:w="5495"/>
      </w:tblGrid>
      <w:tr w:rsidR="00CB48FA" w:rsidRPr="00BB02A5" w14:paraId="49EF2147" w14:textId="77777777" w:rsidTr="00CB48FA">
        <w:tc>
          <w:tcPr>
            <w:tcW w:w="482" w:type="pct"/>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000000"/>
            <w:tcMar>
              <w:top w:w="11" w:type="dxa"/>
              <w:left w:w="40" w:type="dxa"/>
              <w:bottom w:w="11" w:type="dxa"/>
              <w:right w:w="40" w:type="dxa"/>
            </w:tcMar>
          </w:tcPr>
          <w:p w14:paraId="76C1956B" w14:textId="77B0D978" w:rsidR="00CB48FA" w:rsidRPr="00BB02A5" w:rsidRDefault="00CB48FA" w:rsidP="00CE3C2C">
            <w:pPr>
              <w:rPr>
                <w:rFonts w:ascii="Calibri" w:hAnsi="Calibri"/>
                <w:b/>
                <w:color w:val="FFFFFF" w:themeColor="background1"/>
              </w:rPr>
            </w:pPr>
            <w:r>
              <w:rPr>
                <w:rFonts w:ascii="Calibri" w:hAnsi="Calibri"/>
                <w:b/>
                <w:color w:val="FFFFFF" w:themeColor="background1"/>
              </w:rPr>
              <w:t>Location</w:t>
            </w:r>
          </w:p>
        </w:tc>
        <w:tc>
          <w:tcPr>
            <w:tcW w:w="1501" w:type="pct"/>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000000"/>
            <w:tcMar>
              <w:top w:w="11" w:type="dxa"/>
              <w:left w:w="40" w:type="dxa"/>
              <w:bottom w:w="11" w:type="dxa"/>
              <w:right w:w="40" w:type="dxa"/>
            </w:tcMar>
          </w:tcPr>
          <w:p w14:paraId="7B8E2580" w14:textId="100ED66C" w:rsidR="00CB48FA" w:rsidRPr="00877C70" w:rsidRDefault="00CB48FA" w:rsidP="00CE3C2C">
            <w:pPr>
              <w:rPr>
                <w:rFonts w:ascii="Calibri" w:hAnsi="Calibri"/>
                <w:b/>
                <w:color w:val="FFFFFF" w:themeColor="background1"/>
              </w:rPr>
            </w:pPr>
            <w:r w:rsidRPr="00877C70">
              <w:rPr>
                <w:rFonts w:ascii="Calibri" w:hAnsi="Calibri"/>
                <w:b/>
                <w:color w:val="FFFFFF" w:themeColor="background1"/>
              </w:rPr>
              <w:t xml:space="preserve">Comment/feedback on draft </w:t>
            </w:r>
            <w:r>
              <w:rPr>
                <w:rFonts w:ascii="Calibri" w:hAnsi="Calibri"/>
                <w:b/>
                <w:color w:val="FFFFFF" w:themeColor="background1"/>
              </w:rPr>
              <w:t>TE</w:t>
            </w:r>
            <w:r w:rsidRPr="00877C70">
              <w:rPr>
                <w:rFonts w:ascii="Calibri" w:hAnsi="Calibri"/>
                <w:b/>
                <w:color w:val="FFFFFF" w:themeColor="background1"/>
              </w:rPr>
              <w:t xml:space="preserve"> report </w:t>
            </w:r>
          </w:p>
        </w:tc>
        <w:tc>
          <w:tcPr>
            <w:tcW w:w="3017" w:type="pct"/>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000000"/>
            <w:tcMar>
              <w:top w:w="11" w:type="dxa"/>
              <w:left w:w="40" w:type="dxa"/>
              <w:bottom w:w="11" w:type="dxa"/>
              <w:right w:w="40" w:type="dxa"/>
            </w:tcMar>
          </w:tcPr>
          <w:p w14:paraId="1741949E" w14:textId="018AEC78" w:rsidR="00CB48FA" w:rsidRPr="00BB02A5" w:rsidRDefault="00CB48FA" w:rsidP="00CE3C2C">
            <w:pPr>
              <w:spacing w:after="60"/>
              <w:rPr>
                <w:rFonts w:ascii="Calibri" w:hAnsi="Calibri"/>
                <w:b/>
                <w:color w:val="FFFFFF" w:themeColor="background1"/>
              </w:rPr>
            </w:pPr>
            <w:r>
              <w:rPr>
                <w:rFonts w:ascii="Calibri" w:hAnsi="Calibri"/>
                <w:b/>
                <w:color w:val="FFFFFF" w:themeColor="background1"/>
              </w:rPr>
              <w:t>Evaluation T</w:t>
            </w:r>
            <w:r w:rsidRPr="00BB02A5">
              <w:rPr>
                <w:rFonts w:ascii="Calibri" w:hAnsi="Calibri"/>
                <w:b/>
                <w:color w:val="FFFFFF" w:themeColor="background1"/>
              </w:rPr>
              <w:t>eam response</w:t>
            </w:r>
            <w:r>
              <w:rPr>
                <w:rFonts w:ascii="Calibri" w:hAnsi="Calibri"/>
                <w:b/>
                <w:color w:val="FFFFFF" w:themeColor="background1"/>
              </w:rPr>
              <w:t>s</w:t>
            </w:r>
            <w:r w:rsidRPr="00BB02A5">
              <w:rPr>
                <w:rFonts w:ascii="Calibri" w:hAnsi="Calibri"/>
                <w:b/>
                <w:color w:val="FFFFFF" w:themeColor="background1"/>
              </w:rPr>
              <w:t xml:space="preserve"> and actions taken</w:t>
            </w:r>
          </w:p>
        </w:tc>
      </w:tr>
      <w:tr w:rsidR="00CB48FA" w:rsidRPr="009043C5" w14:paraId="49EBEAE9" w14:textId="77777777" w:rsidTr="00CB48FA">
        <w:tc>
          <w:tcPr>
            <w:tcW w:w="482" w:type="pct"/>
            <w:tcBorders>
              <w:top w:val="single" w:sz="4" w:space="0" w:color="FFFFFF" w:themeColor="background1"/>
            </w:tcBorders>
            <w:shd w:val="clear" w:color="auto" w:fill="E0E0E0"/>
            <w:noWrap/>
            <w:tcMar>
              <w:top w:w="11" w:type="dxa"/>
              <w:left w:w="28" w:type="dxa"/>
              <w:bottom w:w="11" w:type="dxa"/>
              <w:right w:w="28" w:type="dxa"/>
            </w:tcMar>
          </w:tcPr>
          <w:p w14:paraId="62F8EA51" w14:textId="7C347C84" w:rsidR="00CB48FA" w:rsidRPr="009043C5" w:rsidRDefault="00CB48FA" w:rsidP="00CE3C2C">
            <w:pPr>
              <w:rPr>
                <w:rFonts w:ascii="Arial Narrow" w:hAnsi="Arial Narrow"/>
                <w:sz w:val="19"/>
                <w:szCs w:val="19"/>
              </w:rPr>
            </w:pPr>
          </w:p>
        </w:tc>
        <w:tc>
          <w:tcPr>
            <w:tcW w:w="1501" w:type="pct"/>
            <w:tcBorders>
              <w:top w:val="single" w:sz="4" w:space="0" w:color="FFFFFF" w:themeColor="background1"/>
            </w:tcBorders>
            <w:shd w:val="clear" w:color="auto" w:fill="E0E0E0"/>
            <w:noWrap/>
            <w:tcMar>
              <w:top w:w="11" w:type="dxa"/>
              <w:left w:w="40" w:type="dxa"/>
              <w:bottom w:w="11" w:type="dxa"/>
              <w:right w:w="40" w:type="dxa"/>
            </w:tcMar>
          </w:tcPr>
          <w:p w14:paraId="024207BC" w14:textId="37E67281" w:rsidR="00CB48FA" w:rsidRPr="00877C70" w:rsidRDefault="00CB48FA" w:rsidP="00CE3C2C">
            <w:pPr>
              <w:spacing w:after="60"/>
              <w:rPr>
                <w:rFonts w:ascii="Arial Narrow" w:hAnsi="Arial Narrow"/>
                <w:sz w:val="20"/>
              </w:rPr>
            </w:pPr>
            <w:r w:rsidRPr="00541D54">
              <w:rPr>
                <w:rFonts w:ascii="Arial Narrow" w:hAnsi="Arial Narrow"/>
                <w:b/>
                <w:sz w:val="20"/>
              </w:rPr>
              <w:t>Comments from APA</w:t>
            </w:r>
          </w:p>
        </w:tc>
        <w:tc>
          <w:tcPr>
            <w:tcW w:w="3017" w:type="pct"/>
            <w:tcBorders>
              <w:top w:val="single" w:sz="4" w:space="0" w:color="FFFFFF" w:themeColor="background1"/>
            </w:tcBorders>
            <w:shd w:val="clear" w:color="auto" w:fill="E0E0E0"/>
          </w:tcPr>
          <w:p w14:paraId="3A2F76C3" w14:textId="597C7EFF" w:rsidR="00CB48FA" w:rsidRPr="009043C5" w:rsidRDefault="00CB48FA" w:rsidP="00CE3C2C">
            <w:pPr>
              <w:spacing w:after="60"/>
              <w:rPr>
                <w:rFonts w:ascii="Arial Narrow" w:hAnsi="Arial Narrow"/>
                <w:sz w:val="20"/>
              </w:rPr>
            </w:pPr>
            <w:r w:rsidRPr="00541D54">
              <w:rPr>
                <w:rFonts w:ascii="Arial Narrow" w:hAnsi="Arial Narrow"/>
                <w:b/>
                <w:sz w:val="20"/>
              </w:rPr>
              <w:t>Responses from Evaluators</w:t>
            </w:r>
          </w:p>
        </w:tc>
      </w:tr>
      <w:tr w:rsidR="00CB48FA" w:rsidRPr="000A2B19" w14:paraId="1978FBC3" w14:textId="77777777" w:rsidTr="00CB48FA">
        <w:trPr>
          <w:trHeight w:val="1464"/>
        </w:trPr>
        <w:tc>
          <w:tcPr>
            <w:tcW w:w="482" w:type="pct"/>
            <w:tcMar>
              <w:top w:w="11" w:type="dxa"/>
              <w:left w:w="40" w:type="dxa"/>
              <w:bottom w:w="11" w:type="dxa"/>
              <w:right w:w="40" w:type="dxa"/>
            </w:tcMar>
          </w:tcPr>
          <w:p w14:paraId="0515B4D8" w14:textId="5349A81F" w:rsidR="00CB48FA" w:rsidRPr="005B25B8" w:rsidRDefault="00CB48FA" w:rsidP="00CE3C2C">
            <w:pPr>
              <w:rPr>
                <w:rFonts w:ascii="Arial Narrow" w:hAnsi="Arial Narrow"/>
                <w:color w:val="FF0000"/>
                <w:sz w:val="20"/>
              </w:rPr>
            </w:pPr>
            <w:r w:rsidRPr="005B25B8">
              <w:rPr>
                <w:rFonts w:ascii="Arial Narrow" w:hAnsi="Arial Narrow"/>
                <w:color w:val="FF0000"/>
                <w:sz w:val="20"/>
              </w:rPr>
              <w:t xml:space="preserve">See draft TE for </w:t>
            </w:r>
            <w:r>
              <w:rPr>
                <w:rFonts w:ascii="Arial Narrow" w:hAnsi="Arial Narrow"/>
                <w:color w:val="FF0000"/>
                <w:sz w:val="20"/>
              </w:rPr>
              <w:t xml:space="preserve">location of </w:t>
            </w:r>
            <w:r w:rsidRPr="005B25B8">
              <w:rPr>
                <w:rFonts w:ascii="Arial Narrow" w:hAnsi="Arial Narrow"/>
                <w:color w:val="FF0000"/>
                <w:sz w:val="20"/>
              </w:rPr>
              <w:t>feedback comments</w:t>
            </w:r>
          </w:p>
        </w:tc>
        <w:tc>
          <w:tcPr>
            <w:tcW w:w="1501" w:type="pct"/>
            <w:tcMar>
              <w:top w:w="11" w:type="dxa"/>
              <w:left w:w="40" w:type="dxa"/>
              <w:bottom w:w="11" w:type="dxa"/>
              <w:right w:w="40" w:type="dxa"/>
            </w:tcMar>
          </w:tcPr>
          <w:p w14:paraId="2CC77A24" w14:textId="18F9072C" w:rsidR="00CB48FA" w:rsidRPr="00C5564F" w:rsidRDefault="00CB48FA" w:rsidP="00C54825">
            <w:pPr>
              <w:pStyle w:val="ListParagraph"/>
              <w:numPr>
                <w:ilvl w:val="0"/>
                <w:numId w:val="43"/>
              </w:numPr>
              <w:tabs>
                <w:tab w:val="right" w:pos="381"/>
              </w:tabs>
              <w:spacing w:after="0" w:line="240" w:lineRule="auto"/>
              <w:contextualSpacing w:val="0"/>
              <w:rPr>
                <w:rFonts w:ascii="Arial Narrow" w:hAnsi="Arial Narrow"/>
                <w:sz w:val="20"/>
              </w:rPr>
            </w:pPr>
            <w:r w:rsidRPr="00C5564F">
              <w:rPr>
                <w:rFonts w:ascii="Arial Narrow" w:hAnsi="Arial Narrow"/>
                <w:sz w:val="20"/>
              </w:rPr>
              <w:t xml:space="preserve">This paragraph seems not so clear, what kind of meetings are meant? If the meetings between the administrations and the advisory councils are meant, this usually takes place. </w:t>
            </w:r>
          </w:p>
        </w:tc>
        <w:tc>
          <w:tcPr>
            <w:tcW w:w="3017" w:type="pct"/>
            <w:tcMar>
              <w:top w:w="11" w:type="dxa"/>
              <w:left w:w="40" w:type="dxa"/>
              <w:bottom w:w="11" w:type="dxa"/>
              <w:right w:w="40" w:type="dxa"/>
            </w:tcMar>
          </w:tcPr>
          <w:p w14:paraId="7BA58F57" w14:textId="769FA539" w:rsidR="00CB48FA" w:rsidRPr="000A2B19" w:rsidRDefault="00CB48FA" w:rsidP="00C54825">
            <w:pPr>
              <w:rPr>
                <w:rFonts w:ascii="Arial Narrow" w:hAnsi="Arial Narrow"/>
                <w:sz w:val="20"/>
              </w:rPr>
            </w:pPr>
            <w:r w:rsidRPr="00541D54">
              <w:rPr>
                <w:rFonts w:ascii="Arial Narrow" w:hAnsi="Arial Narrow"/>
                <w:sz w:val="20"/>
              </w:rPr>
              <w:t>This refers to the Advisory Councils and the fact that they are not always held regularly and, based on feedb</w:t>
            </w:r>
            <w:r>
              <w:rPr>
                <w:rFonts w:ascii="Arial Narrow" w:hAnsi="Arial Narrow"/>
                <w:sz w:val="20"/>
              </w:rPr>
              <w:t xml:space="preserve">ack, seem to </w:t>
            </w:r>
            <w:r w:rsidRPr="00541D54">
              <w:rPr>
                <w:rFonts w:ascii="Arial Narrow" w:hAnsi="Arial Narrow"/>
                <w:sz w:val="20"/>
              </w:rPr>
              <w:t>scheduled</w:t>
            </w:r>
          </w:p>
        </w:tc>
      </w:tr>
      <w:tr w:rsidR="00CB48FA" w:rsidRPr="006C0797" w14:paraId="359A169E" w14:textId="77777777" w:rsidTr="00CB48FA">
        <w:tc>
          <w:tcPr>
            <w:tcW w:w="482" w:type="pct"/>
            <w:tcMar>
              <w:top w:w="11" w:type="dxa"/>
              <w:left w:w="40" w:type="dxa"/>
              <w:bottom w:w="11" w:type="dxa"/>
              <w:right w:w="40" w:type="dxa"/>
            </w:tcMar>
          </w:tcPr>
          <w:p w14:paraId="29B285BC" w14:textId="4E77B3BF" w:rsidR="00CB48FA" w:rsidRPr="006C0797" w:rsidRDefault="00CB48FA" w:rsidP="00CE3C2C">
            <w:pPr>
              <w:rPr>
                <w:rFonts w:ascii="Arial Narrow" w:hAnsi="Arial Narrow"/>
                <w:sz w:val="20"/>
              </w:rPr>
            </w:pPr>
          </w:p>
        </w:tc>
        <w:tc>
          <w:tcPr>
            <w:tcW w:w="1501" w:type="pct"/>
            <w:tcMar>
              <w:top w:w="11" w:type="dxa"/>
              <w:left w:w="40" w:type="dxa"/>
              <w:bottom w:w="11" w:type="dxa"/>
              <w:right w:w="40" w:type="dxa"/>
            </w:tcMar>
          </w:tcPr>
          <w:p w14:paraId="40C13352" w14:textId="7D3EFB2C" w:rsidR="00CB48FA" w:rsidRPr="00C5564F" w:rsidRDefault="00CB48FA" w:rsidP="00C54825">
            <w:pPr>
              <w:pStyle w:val="ListParagraph"/>
              <w:numPr>
                <w:ilvl w:val="0"/>
                <w:numId w:val="43"/>
              </w:numPr>
              <w:tabs>
                <w:tab w:val="right" w:pos="381"/>
              </w:tabs>
              <w:spacing w:after="0" w:line="240" w:lineRule="auto"/>
              <w:contextualSpacing w:val="0"/>
              <w:rPr>
                <w:rFonts w:ascii="Arial Narrow" w:hAnsi="Arial Narrow"/>
                <w:sz w:val="20"/>
              </w:rPr>
            </w:pPr>
            <w:r w:rsidRPr="00C5564F">
              <w:rPr>
                <w:rFonts w:ascii="Arial Narrow" w:hAnsi="Arial Narrow"/>
                <w:sz w:val="20"/>
              </w:rPr>
              <w:t>Is there meant the document elaborated by PMO regarding the income generation potential projects of Machakhela?</w:t>
            </w:r>
          </w:p>
        </w:tc>
        <w:tc>
          <w:tcPr>
            <w:tcW w:w="3017" w:type="pct"/>
            <w:tcMar>
              <w:top w:w="11" w:type="dxa"/>
              <w:left w:w="40" w:type="dxa"/>
              <w:bottom w:w="11" w:type="dxa"/>
              <w:right w:w="40" w:type="dxa"/>
            </w:tcMar>
          </w:tcPr>
          <w:p w14:paraId="4EDAA934" w14:textId="7436CEAD" w:rsidR="00CB48FA" w:rsidRPr="006C0797" w:rsidRDefault="00CB48FA" w:rsidP="00C54825">
            <w:pPr>
              <w:rPr>
                <w:rFonts w:ascii="Arial Narrow" w:hAnsi="Arial Narrow"/>
                <w:sz w:val="20"/>
              </w:rPr>
            </w:pPr>
            <w:r w:rsidRPr="00C54825">
              <w:rPr>
                <w:rFonts w:ascii="Arial Narrow" w:hAnsi="Arial Narrow"/>
                <w:sz w:val="20"/>
              </w:rPr>
              <w:t xml:space="preserve">The document, </w:t>
            </w:r>
            <w:r w:rsidRPr="00C54825">
              <w:rPr>
                <w:rFonts w:ascii="Arial Narrow" w:hAnsi="Arial Narrow"/>
                <w:i/>
                <w:sz w:val="20"/>
              </w:rPr>
              <w:t>Pilot Route in Machakhela National Park</w:t>
            </w:r>
            <w:r w:rsidRPr="00C54825">
              <w:rPr>
                <w:rFonts w:ascii="Arial Narrow" w:hAnsi="Arial Narrow"/>
                <w:sz w:val="20"/>
              </w:rPr>
              <w:t xml:space="preserve"> is mentioned, along with others, as evidence of some good quality outputs. In this case the pilot route has been carefully designed to enable visitors to appreciate the natural beauty of the landscape without undue disturbance from the better access. </w:t>
            </w:r>
          </w:p>
        </w:tc>
      </w:tr>
      <w:tr w:rsidR="00CB48FA" w:rsidRPr="000A2B19" w14:paraId="0E3F94C3" w14:textId="77777777" w:rsidTr="00CB48FA">
        <w:tc>
          <w:tcPr>
            <w:tcW w:w="482" w:type="pct"/>
            <w:tcMar>
              <w:top w:w="11" w:type="dxa"/>
              <w:left w:w="40" w:type="dxa"/>
              <w:bottom w:w="11" w:type="dxa"/>
              <w:right w:w="40" w:type="dxa"/>
            </w:tcMar>
          </w:tcPr>
          <w:p w14:paraId="6DF410B4" w14:textId="6A684B21" w:rsidR="00CB48FA" w:rsidRPr="000A2B19" w:rsidRDefault="00CB48FA" w:rsidP="00CE3C2C">
            <w:pPr>
              <w:rPr>
                <w:rFonts w:ascii="Arial Narrow" w:hAnsi="Arial Narrow"/>
                <w:sz w:val="20"/>
              </w:rPr>
            </w:pPr>
          </w:p>
        </w:tc>
        <w:tc>
          <w:tcPr>
            <w:tcW w:w="1501" w:type="pct"/>
            <w:tcMar>
              <w:top w:w="11" w:type="dxa"/>
              <w:left w:w="40" w:type="dxa"/>
              <w:bottom w:w="11" w:type="dxa"/>
              <w:right w:w="40" w:type="dxa"/>
            </w:tcMar>
          </w:tcPr>
          <w:p w14:paraId="4731A8ED" w14:textId="75A3C140" w:rsidR="00CB48FA" w:rsidRPr="00C5564F" w:rsidRDefault="00CB48FA" w:rsidP="00C54825">
            <w:pPr>
              <w:pStyle w:val="ListParagraph"/>
              <w:numPr>
                <w:ilvl w:val="0"/>
                <w:numId w:val="43"/>
              </w:numPr>
              <w:tabs>
                <w:tab w:val="right" w:pos="381"/>
              </w:tabs>
              <w:spacing w:after="0" w:line="240" w:lineRule="auto"/>
              <w:contextualSpacing w:val="0"/>
              <w:rPr>
                <w:rFonts w:ascii="Arial Narrow" w:hAnsi="Arial Narrow"/>
                <w:sz w:val="20"/>
              </w:rPr>
            </w:pPr>
            <w:r w:rsidRPr="00C5564F">
              <w:rPr>
                <w:rFonts w:ascii="Arial Narrow" w:hAnsi="Arial Narrow"/>
                <w:sz w:val="20"/>
              </w:rPr>
              <w:t xml:space="preserve">This paragraph is not clear for me. I don’t think that PA policy and legislation is main challenge for the administrations. </w:t>
            </w:r>
          </w:p>
        </w:tc>
        <w:tc>
          <w:tcPr>
            <w:tcW w:w="3017" w:type="pct"/>
            <w:tcMar>
              <w:top w:w="11" w:type="dxa"/>
              <w:left w:w="40" w:type="dxa"/>
              <w:bottom w:w="11" w:type="dxa"/>
              <w:right w:w="40" w:type="dxa"/>
            </w:tcMar>
          </w:tcPr>
          <w:p w14:paraId="26399E93" w14:textId="77777777" w:rsidR="00CB48FA" w:rsidRPr="00541D54" w:rsidRDefault="00CB48FA" w:rsidP="00C54825">
            <w:pPr>
              <w:rPr>
                <w:rFonts w:ascii="Arial Narrow" w:hAnsi="Arial Narrow"/>
                <w:sz w:val="20"/>
              </w:rPr>
            </w:pPr>
            <w:r w:rsidRPr="00541D54">
              <w:rPr>
                <w:rFonts w:ascii="Arial Narrow" w:hAnsi="Arial Narrow"/>
                <w:sz w:val="20"/>
              </w:rPr>
              <w:t>APA’s feedback is included in a footnote to the paragraph (Executive Summary, p. iv) for purposes of transparency but the paragraph remains unchanged because the evaluators disagree with this feedback based on the following accounts:</w:t>
            </w:r>
          </w:p>
          <w:p w14:paraId="0B853DA7" w14:textId="77777777" w:rsidR="00CB48FA" w:rsidRPr="00541D54" w:rsidRDefault="00CB48FA" w:rsidP="00C54825">
            <w:pPr>
              <w:pStyle w:val="ListParagraph"/>
              <w:numPr>
                <w:ilvl w:val="0"/>
                <w:numId w:val="37"/>
              </w:numPr>
              <w:spacing w:after="0" w:line="240" w:lineRule="auto"/>
              <w:contextualSpacing w:val="0"/>
              <w:rPr>
                <w:rFonts w:ascii="Arial Narrow" w:hAnsi="Arial Narrow"/>
                <w:sz w:val="20"/>
                <w:szCs w:val="20"/>
              </w:rPr>
            </w:pPr>
            <w:r w:rsidRPr="00541D54">
              <w:rPr>
                <w:rFonts w:ascii="Arial Narrow" w:hAnsi="Arial Narrow"/>
                <w:sz w:val="20"/>
                <w:szCs w:val="20"/>
              </w:rPr>
              <w:t>The risk had been identified in the ProDoc, signed off by APA.</w:t>
            </w:r>
          </w:p>
          <w:p w14:paraId="119AF7C1" w14:textId="77777777" w:rsidR="00CB48FA" w:rsidRPr="00541D54" w:rsidRDefault="00CB48FA" w:rsidP="00C54825">
            <w:pPr>
              <w:pStyle w:val="ListParagraph"/>
              <w:numPr>
                <w:ilvl w:val="0"/>
                <w:numId w:val="37"/>
              </w:numPr>
              <w:spacing w:after="0" w:line="240" w:lineRule="auto"/>
              <w:contextualSpacing w:val="0"/>
              <w:rPr>
                <w:rFonts w:ascii="Arial Narrow" w:hAnsi="Arial Narrow"/>
                <w:sz w:val="20"/>
                <w:szCs w:val="20"/>
              </w:rPr>
            </w:pPr>
            <w:r w:rsidRPr="00541D54">
              <w:rPr>
                <w:rFonts w:ascii="Arial Narrow" w:hAnsi="Arial Narrow"/>
                <w:sz w:val="20"/>
                <w:szCs w:val="20"/>
              </w:rPr>
              <w:t>The issue of decentralisation was also highlighted in the MTR (Section 3.2.2, para 47).</w:t>
            </w:r>
          </w:p>
          <w:p w14:paraId="011F508E" w14:textId="77777777" w:rsidR="00CB48FA" w:rsidRPr="00541D54" w:rsidRDefault="00CB48FA" w:rsidP="00C54825">
            <w:pPr>
              <w:pStyle w:val="ListParagraph"/>
              <w:numPr>
                <w:ilvl w:val="0"/>
                <w:numId w:val="37"/>
              </w:numPr>
              <w:spacing w:after="0" w:line="240" w:lineRule="auto"/>
              <w:contextualSpacing w:val="0"/>
              <w:rPr>
                <w:rFonts w:ascii="Arial Narrow" w:hAnsi="Arial Narrow"/>
                <w:sz w:val="20"/>
                <w:szCs w:val="20"/>
              </w:rPr>
            </w:pPr>
            <w:r w:rsidRPr="00541D54">
              <w:rPr>
                <w:rFonts w:ascii="Arial Narrow" w:hAnsi="Arial Narrow"/>
                <w:sz w:val="20"/>
                <w:szCs w:val="20"/>
              </w:rPr>
              <w:t xml:space="preserve"> Many stakeholders, including PA staff, concurred that the centralised nature of administering PAs is a barrier to efficient and effective management.</w:t>
            </w:r>
          </w:p>
          <w:p w14:paraId="572A565A" w14:textId="2961F5DC" w:rsidR="00CB48FA" w:rsidRPr="000A2B19" w:rsidRDefault="00CB48FA" w:rsidP="00C54825">
            <w:pPr>
              <w:rPr>
                <w:rFonts w:ascii="Arial Narrow" w:hAnsi="Arial Narrow"/>
                <w:sz w:val="20"/>
              </w:rPr>
            </w:pPr>
            <w:r w:rsidRPr="00541D54">
              <w:rPr>
                <w:rFonts w:ascii="Arial Narrow" w:hAnsi="Arial Narrow"/>
                <w:sz w:val="20"/>
              </w:rPr>
              <w:t xml:space="preserve">It is understood that policy for PAs is being reviewed under the GIZ-funded IBiS Project, with a working group tasked to develop a new policy for which the Biodiversity and Forest Policy Department (BFD) has been given the lead. </w:t>
            </w:r>
            <w:r w:rsidRPr="00541D54">
              <w:rPr>
                <w:rFonts w:ascii="Arial Narrow" w:hAnsi="Arial Narrow"/>
                <w:color w:val="000000"/>
                <w:sz w:val="20"/>
              </w:rPr>
              <w:t>The centralized management of PAs, with directors of PA administrations having few devolved powers, has been recognized by the Working Group as weakness in PAs management and is among the topics being examined.</w:t>
            </w:r>
          </w:p>
        </w:tc>
      </w:tr>
      <w:tr w:rsidR="00CB48FA" w:rsidRPr="000A2B19" w14:paraId="3AACAA6A" w14:textId="77777777" w:rsidTr="00CB48FA">
        <w:tc>
          <w:tcPr>
            <w:tcW w:w="482" w:type="pct"/>
            <w:tcMar>
              <w:top w:w="11" w:type="dxa"/>
              <w:left w:w="40" w:type="dxa"/>
              <w:bottom w:w="11" w:type="dxa"/>
              <w:right w:w="40" w:type="dxa"/>
            </w:tcMar>
          </w:tcPr>
          <w:p w14:paraId="188237A8" w14:textId="2C688DB5" w:rsidR="00CB48FA" w:rsidRPr="000A2B19" w:rsidRDefault="00CB48FA" w:rsidP="00CE3C2C">
            <w:pPr>
              <w:rPr>
                <w:rFonts w:ascii="Arial Narrow" w:hAnsi="Arial Narrow"/>
                <w:sz w:val="20"/>
              </w:rPr>
            </w:pPr>
          </w:p>
        </w:tc>
        <w:tc>
          <w:tcPr>
            <w:tcW w:w="1501" w:type="pct"/>
            <w:tcMar>
              <w:top w:w="11" w:type="dxa"/>
              <w:left w:w="40" w:type="dxa"/>
              <w:bottom w:w="11" w:type="dxa"/>
              <w:right w:w="40" w:type="dxa"/>
            </w:tcMar>
          </w:tcPr>
          <w:p w14:paraId="2E21BB16" w14:textId="77777777" w:rsidR="00CB48FA" w:rsidRPr="00541D54" w:rsidRDefault="00CB48FA" w:rsidP="00C54825">
            <w:pPr>
              <w:pStyle w:val="ListParagraph"/>
              <w:numPr>
                <w:ilvl w:val="0"/>
                <w:numId w:val="43"/>
              </w:numPr>
              <w:tabs>
                <w:tab w:val="right" w:pos="381"/>
                <w:tab w:val="left" w:pos="426"/>
              </w:tabs>
              <w:spacing w:after="0" w:line="240" w:lineRule="auto"/>
              <w:contextualSpacing w:val="0"/>
              <w:rPr>
                <w:rFonts w:ascii="Arial Narrow" w:hAnsi="Arial Narrow"/>
                <w:sz w:val="20"/>
                <w:szCs w:val="20"/>
              </w:rPr>
            </w:pPr>
            <w:r w:rsidRPr="00541D54">
              <w:rPr>
                <w:rFonts w:ascii="Arial Narrow" w:hAnsi="Arial Narrow"/>
                <w:sz w:val="20"/>
                <w:szCs w:val="20"/>
              </w:rPr>
              <w:t xml:space="preserve">Before, the zonation was regulated by the Temporary Regulation Rule. The zonation was defining the biodiversity protection aspects as well as the socio-economic aspects. The zonation plan provided by Ilia State University was just taking into account the aspects of strict protection zone, which would cause the conflicts with local communities. So this proposal was from scratch not supported by APA. </w:t>
            </w:r>
          </w:p>
          <w:p w14:paraId="569DDC8E" w14:textId="5F1308E1" w:rsidR="00CB48FA" w:rsidRPr="00C5564F" w:rsidRDefault="00CB48FA" w:rsidP="00C54825">
            <w:pPr>
              <w:pStyle w:val="ListParagraph"/>
              <w:numPr>
                <w:ilvl w:val="0"/>
                <w:numId w:val="43"/>
              </w:numPr>
              <w:tabs>
                <w:tab w:val="right" w:pos="381"/>
              </w:tabs>
              <w:spacing w:after="0" w:line="240" w:lineRule="auto"/>
              <w:contextualSpacing w:val="0"/>
              <w:rPr>
                <w:rFonts w:ascii="Arial Narrow" w:hAnsi="Arial Narrow"/>
                <w:sz w:val="20"/>
              </w:rPr>
            </w:pPr>
            <w:r w:rsidRPr="00C5564F">
              <w:rPr>
                <w:rFonts w:ascii="Arial Narrow" w:hAnsi="Arial Narrow"/>
                <w:sz w:val="20"/>
              </w:rPr>
              <w:t>On the other hand, this was a working process which needed time, so I would not assess it as - a delay.</w:t>
            </w:r>
          </w:p>
        </w:tc>
        <w:tc>
          <w:tcPr>
            <w:tcW w:w="3017" w:type="pct"/>
            <w:tcMar>
              <w:top w:w="11" w:type="dxa"/>
              <w:left w:w="40" w:type="dxa"/>
              <w:bottom w:w="11" w:type="dxa"/>
              <w:right w:w="40" w:type="dxa"/>
            </w:tcMar>
          </w:tcPr>
          <w:p w14:paraId="784885AD" w14:textId="77777777" w:rsidR="00CB48FA" w:rsidRPr="00541D54" w:rsidRDefault="00CB48FA" w:rsidP="00C54825">
            <w:pPr>
              <w:rPr>
                <w:rFonts w:ascii="Arial Narrow" w:hAnsi="Arial Narrow"/>
                <w:sz w:val="20"/>
              </w:rPr>
            </w:pPr>
            <w:r w:rsidRPr="00541D54">
              <w:rPr>
                <w:rFonts w:ascii="Arial Narrow" w:hAnsi="Arial Narrow"/>
                <w:sz w:val="20"/>
              </w:rPr>
              <w:t xml:space="preserve">The point about process is well made and the red cross against the paragraph has been removed and the wording changed. It seems that Ilia University had not taken the local socio-economic context into account, as explained here in APA’s feedback. </w:t>
            </w:r>
          </w:p>
          <w:p w14:paraId="113D2F98" w14:textId="77777777" w:rsidR="00CB48FA" w:rsidRPr="00541D54" w:rsidRDefault="00CB48FA" w:rsidP="00C54825">
            <w:pPr>
              <w:rPr>
                <w:rFonts w:ascii="Arial Narrow" w:hAnsi="Arial Narrow"/>
                <w:sz w:val="20"/>
              </w:rPr>
            </w:pPr>
            <w:r w:rsidRPr="00541D54">
              <w:rPr>
                <w:rFonts w:ascii="Arial Narrow" w:hAnsi="Arial Narrow"/>
                <w:sz w:val="20"/>
              </w:rPr>
              <w:t xml:space="preserve">What concerned the Evaluators was the ‘tone’ of APA’s apparent response to the University as reported in the MTR (page 31, para 41.7): </w:t>
            </w:r>
          </w:p>
          <w:p w14:paraId="73578380" w14:textId="77777777" w:rsidR="00CB48FA" w:rsidRPr="00541D54" w:rsidRDefault="00CB48FA" w:rsidP="00C54825">
            <w:pPr>
              <w:ind w:left="394"/>
              <w:rPr>
                <w:rFonts w:ascii="Arial Narrow" w:hAnsi="Arial Narrow"/>
                <w:sz w:val="20"/>
                <w:lang w:val="en-US"/>
              </w:rPr>
            </w:pPr>
            <w:r w:rsidRPr="00541D54">
              <w:rPr>
                <w:rFonts w:ascii="Arial Narrow" w:hAnsi="Arial Narrow"/>
                <w:sz w:val="20"/>
                <w:lang w:val="en-US"/>
              </w:rPr>
              <w:t>“</w:t>
            </w:r>
            <w:r w:rsidRPr="00C54825">
              <w:rPr>
                <w:rFonts w:ascii="Arial Narrow" w:hAnsi="Arial Narrow"/>
                <w:i/>
                <w:sz w:val="20"/>
                <w:lang w:val="en-US"/>
              </w:rPr>
              <w:t>APA also informed the MTR team that they were rejecting the zonation plan that was proposed by Ilia State University.</w:t>
            </w:r>
            <w:r w:rsidRPr="00541D54">
              <w:rPr>
                <w:rFonts w:ascii="Arial Narrow" w:hAnsi="Arial Narrow"/>
                <w:sz w:val="20"/>
                <w:lang w:val="en-US"/>
              </w:rPr>
              <w:t xml:space="preserve"> </w:t>
            </w:r>
          </w:p>
          <w:p w14:paraId="7F5CC8EC" w14:textId="77777777" w:rsidR="00CB48FA" w:rsidRPr="00541D54" w:rsidRDefault="00CB48FA" w:rsidP="00C54825">
            <w:pPr>
              <w:rPr>
                <w:rFonts w:ascii="Arial Narrow" w:hAnsi="Arial Narrow"/>
                <w:sz w:val="20"/>
                <w:lang w:val="en-US"/>
              </w:rPr>
            </w:pPr>
            <w:r w:rsidRPr="00541D54">
              <w:rPr>
                <w:rFonts w:ascii="Arial Narrow" w:hAnsi="Arial Narrow"/>
                <w:sz w:val="20"/>
                <w:lang w:val="en-US"/>
              </w:rPr>
              <w:t>This has a number of implications: i) it is of some concern that APA would reject a piece of work that involved consultation with the stakeholders on the ground and that was founded on biodiversity parameters,  . . .”</w:t>
            </w:r>
          </w:p>
          <w:p w14:paraId="01231A18" w14:textId="2594F6A7" w:rsidR="00CB48FA" w:rsidRPr="000A2B19" w:rsidRDefault="00CB48FA" w:rsidP="00C54825">
            <w:pPr>
              <w:rPr>
                <w:rFonts w:ascii="Arial Narrow" w:hAnsi="Arial Narrow"/>
                <w:sz w:val="20"/>
              </w:rPr>
            </w:pPr>
            <w:r w:rsidRPr="00541D54">
              <w:rPr>
                <w:rFonts w:ascii="Arial Narrow" w:hAnsi="Arial Narrow"/>
                <w:sz w:val="20"/>
              </w:rPr>
              <w:t>‘Rejecting” is strong language, suggesting that parties may have been upset, frustrated or worse. Whatever, it also raises questions about whether or not the consultant had been adequately briefed, supervised etc. Clearly, according to the MTR, there were misunderstandings. So the lesson is more about designing good processes, which takes more time, than delays as inferred in the draft TE report.</w:t>
            </w:r>
          </w:p>
        </w:tc>
      </w:tr>
      <w:tr w:rsidR="00CB48FA" w:rsidRPr="000A2B19" w14:paraId="71EEC9CE" w14:textId="77777777" w:rsidTr="00CB48FA">
        <w:tc>
          <w:tcPr>
            <w:tcW w:w="482" w:type="pct"/>
            <w:tcMar>
              <w:top w:w="11" w:type="dxa"/>
              <w:left w:w="40" w:type="dxa"/>
              <w:bottom w:w="11" w:type="dxa"/>
              <w:right w:w="40" w:type="dxa"/>
            </w:tcMar>
          </w:tcPr>
          <w:p w14:paraId="265F1943" w14:textId="38C85743" w:rsidR="00CB48FA" w:rsidRPr="000A2B19" w:rsidRDefault="00CB48FA" w:rsidP="00CE3C2C">
            <w:pPr>
              <w:rPr>
                <w:rFonts w:ascii="Arial Narrow" w:hAnsi="Arial Narrow"/>
                <w:sz w:val="20"/>
              </w:rPr>
            </w:pPr>
          </w:p>
        </w:tc>
        <w:tc>
          <w:tcPr>
            <w:tcW w:w="1501" w:type="pct"/>
            <w:tcMar>
              <w:top w:w="11" w:type="dxa"/>
              <w:left w:w="40" w:type="dxa"/>
              <w:bottom w:w="11" w:type="dxa"/>
              <w:right w:w="40" w:type="dxa"/>
            </w:tcMar>
          </w:tcPr>
          <w:p w14:paraId="2958E360" w14:textId="5EC73451" w:rsidR="00CB48FA" w:rsidRPr="00C5564F" w:rsidRDefault="00CB48FA" w:rsidP="00C54825">
            <w:pPr>
              <w:pStyle w:val="ListParagraph"/>
              <w:numPr>
                <w:ilvl w:val="0"/>
                <w:numId w:val="43"/>
              </w:numPr>
              <w:tabs>
                <w:tab w:val="right" w:pos="381"/>
              </w:tabs>
              <w:spacing w:after="0" w:line="240" w:lineRule="auto"/>
              <w:contextualSpacing w:val="0"/>
              <w:rPr>
                <w:rFonts w:ascii="Arial Narrow" w:hAnsi="Arial Narrow"/>
                <w:sz w:val="20"/>
              </w:rPr>
            </w:pPr>
            <w:r w:rsidRPr="00C5564F">
              <w:rPr>
                <w:rFonts w:ascii="Arial Narrow" w:hAnsi="Arial Narrow"/>
                <w:sz w:val="20"/>
              </w:rPr>
              <w:t xml:space="preserve">In spite of NPD changes, there was only one change when the territorial administration director-  director of Machakhela was advanced. In case of Mtirala and Kintrishi, there was no change in </w:t>
            </w:r>
            <w:r w:rsidRPr="00C5564F">
              <w:rPr>
                <w:rFonts w:ascii="Arial Narrow" w:hAnsi="Arial Narrow"/>
                <w:sz w:val="20"/>
              </w:rPr>
              <w:lastRenderedPageBreak/>
              <w:t xml:space="preserve">management. </w:t>
            </w:r>
          </w:p>
        </w:tc>
        <w:tc>
          <w:tcPr>
            <w:tcW w:w="3017" w:type="pct"/>
            <w:tcMar>
              <w:top w:w="11" w:type="dxa"/>
              <w:left w:w="40" w:type="dxa"/>
              <w:bottom w:w="11" w:type="dxa"/>
              <w:right w:w="40" w:type="dxa"/>
            </w:tcMar>
          </w:tcPr>
          <w:p w14:paraId="5217B104" w14:textId="1B2EE47D" w:rsidR="00CB48FA" w:rsidRPr="000A2B19" w:rsidRDefault="00CB48FA" w:rsidP="00C54825">
            <w:pPr>
              <w:rPr>
                <w:rFonts w:ascii="Arial Narrow" w:hAnsi="Arial Narrow"/>
                <w:sz w:val="20"/>
              </w:rPr>
            </w:pPr>
            <w:r w:rsidRPr="00541D54">
              <w:rPr>
                <w:rFonts w:ascii="Arial Narrow" w:hAnsi="Arial Narrow"/>
                <w:sz w:val="20"/>
              </w:rPr>
              <w:lastRenderedPageBreak/>
              <w:t>This feedback has been included as a footnote.</w:t>
            </w:r>
          </w:p>
        </w:tc>
      </w:tr>
      <w:tr w:rsidR="00CB48FA" w:rsidRPr="000A424E" w14:paraId="142AFC12" w14:textId="77777777" w:rsidTr="00CB48FA">
        <w:tc>
          <w:tcPr>
            <w:tcW w:w="482" w:type="pct"/>
            <w:tcMar>
              <w:top w:w="11" w:type="dxa"/>
              <w:left w:w="40" w:type="dxa"/>
              <w:bottom w:w="11" w:type="dxa"/>
              <w:right w:w="40" w:type="dxa"/>
            </w:tcMar>
          </w:tcPr>
          <w:p w14:paraId="3AC13EC3" w14:textId="246B3D95" w:rsidR="00CB48FA" w:rsidRPr="000A424E" w:rsidRDefault="00CB48FA" w:rsidP="00CE3C2C">
            <w:pPr>
              <w:rPr>
                <w:rFonts w:ascii="Arial Narrow" w:hAnsi="Arial Narrow"/>
                <w:sz w:val="20"/>
              </w:rPr>
            </w:pPr>
          </w:p>
        </w:tc>
        <w:tc>
          <w:tcPr>
            <w:tcW w:w="1501" w:type="pct"/>
            <w:tcMar>
              <w:top w:w="11" w:type="dxa"/>
              <w:left w:w="40" w:type="dxa"/>
              <w:bottom w:w="11" w:type="dxa"/>
              <w:right w:w="40" w:type="dxa"/>
            </w:tcMar>
          </w:tcPr>
          <w:p w14:paraId="46E2F9A6" w14:textId="710059D0" w:rsidR="00CB48FA" w:rsidRPr="00C5564F" w:rsidRDefault="00CB48FA" w:rsidP="00C54825">
            <w:pPr>
              <w:pStyle w:val="ListParagraph"/>
              <w:numPr>
                <w:ilvl w:val="0"/>
                <w:numId w:val="43"/>
              </w:numPr>
              <w:tabs>
                <w:tab w:val="right" w:pos="381"/>
              </w:tabs>
              <w:spacing w:after="0" w:line="240" w:lineRule="auto"/>
              <w:contextualSpacing w:val="0"/>
              <w:rPr>
                <w:rFonts w:ascii="Arial Narrow" w:hAnsi="Arial Narrow"/>
                <w:sz w:val="20"/>
              </w:rPr>
            </w:pPr>
            <w:r w:rsidRPr="00C5564F">
              <w:rPr>
                <w:rFonts w:ascii="Arial Narrow" w:hAnsi="Arial Narrow"/>
                <w:sz w:val="20"/>
              </w:rPr>
              <w:t>Regarding high turnover, it should be mentioned, that, in spite of the fact that in whole APA there was a high turnover of staff, during this 4.5 years period, precisely in the project target parks not so many staff amendment has been occurred. Herewith, these changes have not caused any serious delays in decision-making process.</w:t>
            </w:r>
          </w:p>
        </w:tc>
        <w:tc>
          <w:tcPr>
            <w:tcW w:w="3017" w:type="pct"/>
            <w:tcMar>
              <w:top w:w="11" w:type="dxa"/>
              <w:left w:w="40" w:type="dxa"/>
              <w:bottom w:w="11" w:type="dxa"/>
              <w:right w:w="40" w:type="dxa"/>
            </w:tcMar>
          </w:tcPr>
          <w:p w14:paraId="0C903AC3" w14:textId="35826890" w:rsidR="00CB48FA" w:rsidRPr="000A424E" w:rsidRDefault="00CB48FA" w:rsidP="00C54825">
            <w:pPr>
              <w:rPr>
                <w:rFonts w:ascii="Arial Narrow" w:hAnsi="Arial Narrow"/>
                <w:sz w:val="20"/>
              </w:rPr>
            </w:pPr>
            <w:r w:rsidRPr="00541D54">
              <w:rPr>
                <w:rFonts w:ascii="Arial Narrow" w:hAnsi="Arial Narrow"/>
                <w:sz w:val="20"/>
              </w:rPr>
              <w:t>A number of stakeholders maintained that the high turnover of senior members in APA (i.e. decision-makers) did have some impact on project implementation, given APA’s role as Implementing Partner. The text has been clarified to this effect – i.e. delays due to high-turnover of decision-makers rather than of staff in the PAs.</w:t>
            </w:r>
          </w:p>
        </w:tc>
      </w:tr>
      <w:tr w:rsidR="00CB48FA" w:rsidRPr="000A424E" w14:paraId="41EF1F6E" w14:textId="77777777" w:rsidTr="00CB48FA">
        <w:tc>
          <w:tcPr>
            <w:tcW w:w="482" w:type="pct"/>
            <w:tcMar>
              <w:top w:w="11" w:type="dxa"/>
              <w:left w:w="40" w:type="dxa"/>
              <w:bottom w:w="11" w:type="dxa"/>
              <w:right w:w="40" w:type="dxa"/>
            </w:tcMar>
          </w:tcPr>
          <w:p w14:paraId="57851519" w14:textId="4E948E13" w:rsidR="00CB48FA" w:rsidRPr="000A424E" w:rsidRDefault="00CB48FA" w:rsidP="00CE3C2C">
            <w:pPr>
              <w:rPr>
                <w:rFonts w:ascii="Arial Narrow" w:hAnsi="Arial Narrow"/>
                <w:sz w:val="20"/>
              </w:rPr>
            </w:pPr>
          </w:p>
        </w:tc>
        <w:tc>
          <w:tcPr>
            <w:tcW w:w="1501" w:type="pct"/>
            <w:tcMar>
              <w:top w:w="11" w:type="dxa"/>
              <w:left w:w="40" w:type="dxa"/>
              <w:bottom w:w="11" w:type="dxa"/>
              <w:right w:w="40" w:type="dxa"/>
            </w:tcMar>
          </w:tcPr>
          <w:p w14:paraId="0BFF0ACE" w14:textId="66F23AA5" w:rsidR="00CB48FA" w:rsidRPr="00C5564F" w:rsidRDefault="00CB48FA" w:rsidP="00C54825">
            <w:pPr>
              <w:pStyle w:val="ListParagraph"/>
              <w:numPr>
                <w:ilvl w:val="0"/>
                <w:numId w:val="43"/>
              </w:numPr>
              <w:tabs>
                <w:tab w:val="right" w:pos="381"/>
              </w:tabs>
              <w:spacing w:after="0" w:line="240" w:lineRule="auto"/>
              <w:contextualSpacing w:val="0"/>
              <w:rPr>
                <w:rFonts w:ascii="Arial Narrow" w:hAnsi="Arial Narrow"/>
                <w:sz w:val="20"/>
              </w:rPr>
            </w:pPr>
            <w:r w:rsidRPr="00C5564F">
              <w:rPr>
                <w:rFonts w:ascii="Arial Narrow" w:hAnsi="Arial Narrow"/>
                <w:sz w:val="20"/>
              </w:rPr>
              <w:t xml:space="preserve">In regard to the point it should be stressed that at the current stage, the mentioned parks have no enough facilities/infrastructure or resources/possibilities to generate own revenues that will be enable them to work independently. Due to this fact APA is obliged to use budget or own revenues generated by other parks for maintaining these parks. Without centralization these parks won’t be able to cover at least its operational costs. </w:t>
            </w:r>
          </w:p>
        </w:tc>
        <w:tc>
          <w:tcPr>
            <w:tcW w:w="3017" w:type="pct"/>
            <w:tcMar>
              <w:top w:w="11" w:type="dxa"/>
              <w:left w:w="40" w:type="dxa"/>
              <w:bottom w:w="11" w:type="dxa"/>
              <w:right w:w="40" w:type="dxa"/>
            </w:tcMar>
          </w:tcPr>
          <w:p w14:paraId="75C0C014" w14:textId="77777777" w:rsidR="00CB48FA" w:rsidRPr="00541D54" w:rsidRDefault="00CB48FA" w:rsidP="00C54825">
            <w:pPr>
              <w:rPr>
                <w:rFonts w:ascii="Arial Narrow" w:hAnsi="Arial Narrow"/>
                <w:sz w:val="20"/>
              </w:rPr>
            </w:pPr>
            <w:r w:rsidRPr="00541D54">
              <w:rPr>
                <w:rFonts w:ascii="Arial Narrow" w:hAnsi="Arial Narrow"/>
                <w:sz w:val="20"/>
              </w:rPr>
              <w:t>There appears to be a misunderstanding wit h respect to this feedback from APA. Decentralisation does not necessarily mean that the PA has to be financially viable. Many PAs from around the world are financed from the national treasury – for the very same reasons as cited by APA – they are not financially self-sustaining, nor should they necessarily be so. However, they do have devolved powers to use their budget in line with their approved management plan and make decisions in line with national PA law and policy etc. Very often, such PAs, funded by central government, have a Board (comprising members that represent both national and local interests) to which the PA director reports. This type of governance can work extremely well.</w:t>
            </w:r>
          </w:p>
          <w:p w14:paraId="7E95ADEE" w14:textId="77777777" w:rsidR="00CB48FA" w:rsidRPr="00541D54" w:rsidRDefault="00CB48FA" w:rsidP="00C54825">
            <w:pPr>
              <w:rPr>
                <w:rFonts w:ascii="Arial Narrow" w:hAnsi="Arial Narrow"/>
                <w:sz w:val="20"/>
              </w:rPr>
            </w:pPr>
            <w:r w:rsidRPr="00541D54">
              <w:rPr>
                <w:rFonts w:ascii="Arial Narrow" w:hAnsi="Arial Narrow"/>
                <w:sz w:val="20"/>
              </w:rPr>
              <w:t>Thus, it is these devolved powers that are constraining efficient and effective management and this need have nothing to do with the current need to centralise the financing of PAs for the very good reasons stated in APA’s feedback.</w:t>
            </w:r>
          </w:p>
          <w:p w14:paraId="1B9BC55C" w14:textId="4F3E8E9A" w:rsidR="00CB48FA" w:rsidRPr="000A424E" w:rsidRDefault="00CB48FA" w:rsidP="00C54825">
            <w:pPr>
              <w:rPr>
                <w:rFonts w:ascii="Arial Narrow" w:hAnsi="Arial Narrow"/>
                <w:sz w:val="20"/>
              </w:rPr>
            </w:pPr>
            <w:r w:rsidRPr="00541D54">
              <w:rPr>
                <w:rFonts w:ascii="Arial Narrow" w:hAnsi="Arial Narrow"/>
                <w:sz w:val="20"/>
              </w:rPr>
              <w:t>APA’s feedback has been included as a footnote, with a brief response from the Evaluators and cross-referenced to this audit trail.</w:t>
            </w:r>
          </w:p>
        </w:tc>
      </w:tr>
      <w:tr w:rsidR="00CB48FA" w:rsidRPr="000A424E" w14:paraId="58EBE7D9" w14:textId="77777777" w:rsidTr="00CB48FA">
        <w:tc>
          <w:tcPr>
            <w:tcW w:w="482" w:type="pct"/>
            <w:tcMar>
              <w:top w:w="11" w:type="dxa"/>
              <w:left w:w="40" w:type="dxa"/>
              <w:bottom w:w="11" w:type="dxa"/>
              <w:right w:w="40" w:type="dxa"/>
            </w:tcMar>
          </w:tcPr>
          <w:p w14:paraId="2307808B" w14:textId="57C09B6C" w:rsidR="00CB48FA" w:rsidRPr="000A424E" w:rsidRDefault="00CB48FA" w:rsidP="00CE3C2C">
            <w:pPr>
              <w:rPr>
                <w:rFonts w:ascii="Arial Narrow" w:hAnsi="Arial Narrow"/>
                <w:sz w:val="20"/>
              </w:rPr>
            </w:pPr>
          </w:p>
        </w:tc>
        <w:tc>
          <w:tcPr>
            <w:tcW w:w="1501" w:type="pct"/>
            <w:tcMar>
              <w:top w:w="11" w:type="dxa"/>
              <w:left w:w="40" w:type="dxa"/>
              <w:bottom w:w="11" w:type="dxa"/>
              <w:right w:w="40" w:type="dxa"/>
            </w:tcMar>
          </w:tcPr>
          <w:p w14:paraId="71DB0DD0" w14:textId="2DF18FA0" w:rsidR="00CB48FA" w:rsidRPr="00C5564F" w:rsidRDefault="00CB48FA" w:rsidP="00C54825">
            <w:pPr>
              <w:pStyle w:val="ListParagraph"/>
              <w:numPr>
                <w:ilvl w:val="0"/>
                <w:numId w:val="43"/>
              </w:numPr>
              <w:tabs>
                <w:tab w:val="right" w:pos="381"/>
              </w:tabs>
              <w:spacing w:after="0" w:line="240" w:lineRule="auto"/>
              <w:contextualSpacing w:val="0"/>
              <w:rPr>
                <w:rFonts w:ascii="Arial Narrow" w:hAnsi="Arial Narrow"/>
                <w:sz w:val="20"/>
              </w:rPr>
            </w:pPr>
            <w:r w:rsidRPr="00C5564F">
              <w:rPr>
                <w:rFonts w:ascii="Arial Narrow" w:hAnsi="Arial Narrow"/>
                <w:sz w:val="20"/>
              </w:rPr>
              <w:t>This confusion in the 2012 UNDP-GEF guidelines for TE will be brought to the attention of UNDP HQ,</w:t>
            </w:r>
          </w:p>
        </w:tc>
        <w:tc>
          <w:tcPr>
            <w:tcW w:w="3017" w:type="pct"/>
            <w:tcMar>
              <w:top w:w="11" w:type="dxa"/>
              <w:left w:w="40" w:type="dxa"/>
              <w:bottom w:w="11" w:type="dxa"/>
              <w:right w:w="40" w:type="dxa"/>
            </w:tcMar>
          </w:tcPr>
          <w:p w14:paraId="7BADE30A" w14:textId="271FB342" w:rsidR="00CB48FA" w:rsidRPr="000A424E" w:rsidRDefault="00CB48FA" w:rsidP="00C54825">
            <w:pPr>
              <w:rPr>
                <w:rFonts w:ascii="Arial Narrow" w:hAnsi="Arial Narrow"/>
                <w:sz w:val="20"/>
              </w:rPr>
            </w:pPr>
            <w:r w:rsidRPr="00541D54">
              <w:rPr>
                <w:rFonts w:ascii="Arial Narrow" w:hAnsi="Arial Narrow"/>
                <w:sz w:val="20"/>
              </w:rPr>
              <w:t>This matter has been brought to the attention of UNDP’s Evaluation Office, since drafting this TE report.</w:t>
            </w:r>
          </w:p>
        </w:tc>
      </w:tr>
      <w:tr w:rsidR="00CB48FA" w:rsidRPr="00580E38" w14:paraId="7F62C790" w14:textId="77777777" w:rsidTr="00CB48FA">
        <w:tc>
          <w:tcPr>
            <w:tcW w:w="482" w:type="pct"/>
            <w:tcMar>
              <w:top w:w="11" w:type="dxa"/>
              <w:left w:w="40" w:type="dxa"/>
              <w:bottom w:w="11" w:type="dxa"/>
              <w:right w:w="40" w:type="dxa"/>
            </w:tcMar>
          </w:tcPr>
          <w:p w14:paraId="40A9FF44" w14:textId="335C603C" w:rsidR="00CB48FA" w:rsidRPr="00580E38" w:rsidRDefault="00CB48FA" w:rsidP="00CE3C2C">
            <w:pPr>
              <w:rPr>
                <w:rFonts w:ascii="Arial Narrow" w:hAnsi="Arial Narrow"/>
                <w:sz w:val="20"/>
              </w:rPr>
            </w:pPr>
          </w:p>
        </w:tc>
        <w:tc>
          <w:tcPr>
            <w:tcW w:w="1501" w:type="pct"/>
            <w:tcMar>
              <w:top w:w="11" w:type="dxa"/>
              <w:left w:w="40" w:type="dxa"/>
              <w:bottom w:w="11" w:type="dxa"/>
              <w:right w:w="40" w:type="dxa"/>
            </w:tcMar>
          </w:tcPr>
          <w:p w14:paraId="54B2BB8E" w14:textId="062CC56B" w:rsidR="00CB48FA" w:rsidRPr="00C5564F" w:rsidRDefault="00CB48FA" w:rsidP="00C54825">
            <w:pPr>
              <w:pStyle w:val="ListParagraph"/>
              <w:numPr>
                <w:ilvl w:val="0"/>
                <w:numId w:val="43"/>
              </w:numPr>
              <w:tabs>
                <w:tab w:val="right" w:pos="381"/>
              </w:tabs>
              <w:spacing w:after="0" w:line="240" w:lineRule="auto"/>
              <w:contextualSpacing w:val="0"/>
              <w:rPr>
                <w:rFonts w:ascii="Arial Narrow" w:hAnsi="Arial Narrow"/>
                <w:sz w:val="20"/>
              </w:rPr>
            </w:pPr>
            <w:r w:rsidRPr="00C5564F">
              <w:rPr>
                <w:rFonts w:ascii="Arial Narrow" w:hAnsi="Arial Narrow"/>
                <w:sz w:val="20"/>
              </w:rPr>
              <w:t xml:space="preserve">I think it cannot be stated so strictly because out of the four dimensions stated below, SOCIO-ECONOMIC as well as the INSTITUTIONAL FRAMEWORK AND GOVERNANCE and ENVIRONMENTAL dimensions have quite good achievements, I suppose. </w:t>
            </w:r>
          </w:p>
        </w:tc>
        <w:tc>
          <w:tcPr>
            <w:tcW w:w="3017" w:type="pct"/>
            <w:tcMar>
              <w:top w:w="11" w:type="dxa"/>
              <w:left w:w="40" w:type="dxa"/>
              <w:bottom w:w="11" w:type="dxa"/>
              <w:right w:w="40" w:type="dxa"/>
            </w:tcMar>
          </w:tcPr>
          <w:p w14:paraId="67D206FB" w14:textId="7E9E568F" w:rsidR="00CB48FA" w:rsidRPr="00580E38" w:rsidRDefault="00CB48FA" w:rsidP="00C54825">
            <w:pPr>
              <w:rPr>
                <w:rFonts w:ascii="Arial Narrow" w:hAnsi="Arial Narrow"/>
                <w:sz w:val="20"/>
              </w:rPr>
            </w:pPr>
            <w:r w:rsidRPr="00541D54">
              <w:rPr>
                <w:rFonts w:ascii="Arial Narrow" w:hAnsi="Arial Narrow"/>
                <w:sz w:val="20"/>
              </w:rPr>
              <w:t>As stated in the text of this TE report: “</w:t>
            </w:r>
            <w:r w:rsidRPr="00541D54">
              <w:rPr>
                <w:rFonts w:ascii="Arial Narrow" w:eastAsia="MS Mincho" w:hAnsi="Arial Narrow" w:cs="Arial"/>
                <w:i/>
                <w:sz w:val="20"/>
              </w:rPr>
              <w:t>Under GEF criteria, each sustainability dimension is critical, so the overall ranking cannot be higher than the lowest one.</w:t>
            </w:r>
            <w:r w:rsidRPr="00541D54">
              <w:rPr>
                <w:rFonts w:ascii="Arial Narrow" w:eastAsia="MS Mincho" w:hAnsi="Arial Narrow" w:cs="Arial"/>
                <w:sz w:val="20"/>
              </w:rPr>
              <w:t xml:space="preserve">” </w:t>
            </w:r>
            <w:r w:rsidRPr="00541D54">
              <w:rPr>
                <w:rFonts w:ascii="Arial Narrow" w:hAnsi="Arial Narrow"/>
                <w:sz w:val="20"/>
              </w:rPr>
              <w:t xml:space="preserve"> The Evaluators are bound to follow this guidance!</w:t>
            </w:r>
          </w:p>
        </w:tc>
      </w:tr>
      <w:tr w:rsidR="00CB48FA" w14:paraId="73CECB92" w14:textId="77777777" w:rsidTr="00CB48FA">
        <w:tc>
          <w:tcPr>
            <w:tcW w:w="482" w:type="pct"/>
            <w:tcMar>
              <w:top w:w="11" w:type="dxa"/>
              <w:left w:w="40" w:type="dxa"/>
              <w:bottom w:w="11" w:type="dxa"/>
              <w:right w:w="40" w:type="dxa"/>
            </w:tcMar>
          </w:tcPr>
          <w:p w14:paraId="20687211" w14:textId="505B6157" w:rsidR="00CB48FA" w:rsidRPr="00DD5A28" w:rsidRDefault="00CB48FA" w:rsidP="00CE3C2C">
            <w:pPr>
              <w:rPr>
                <w:rFonts w:ascii="Arial Narrow" w:hAnsi="Arial Narrow"/>
                <w:sz w:val="20"/>
              </w:rPr>
            </w:pPr>
          </w:p>
        </w:tc>
        <w:tc>
          <w:tcPr>
            <w:tcW w:w="1501" w:type="pct"/>
            <w:tcMar>
              <w:top w:w="11" w:type="dxa"/>
              <w:left w:w="40" w:type="dxa"/>
              <w:bottom w:w="11" w:type="dxa"/>
              <w:right w:w="40" w:type="dxa"/>
            </w:tcMar>
          </w:tcPr>
          <w:p w14:paraId="61ECB198" w14:textId="1B6BB119" w:rsidR="00CB48FA" w:rsidRPr="00C5564F" w:rsidRDefault="00CB48FA" w:rsidP="00C54825">
            <w:pPr>
              <w:pStyle w:val="ListParagraph"/>
              <w:numPr>
                <w:ilvl w:val="0"/>
                <w:numId w:val="43"/>
              </w:numPr>
              <w:tabs>
                <w:tab w:val="right" w:pos="381"/>
              </w:tabs>
              <w:spacing w:after="0" w:line="240" w:lineRule="auto"/>
              <w:contextualSpacing w:val="0"/>
              <w:rPr>
                <w:rFonts w:ascii="Arial Narrow" w:hAnsi="Arial Narrow"/>
                <w:sz w:val="20"/>
              </w:rPr>
            </w:pPr>
            <w:r w:rsidRPr="00C5564F">
              <w:rPr>
                <w:rFonts w:ascii="Arial Narrow" w:hAnsi="Arial Narrow"/>
                <w:sz w:val="20"/>
              </w:rPr>
              <w:t>Still until the parks are able to maintain themselves, it’s impossible to delegate, state budget is not enough for all 20 administrations without adding own revenues which is generated by other parks.</w:t>
            </w:r>
          </w:p>
        </w:tc>
        <w:tc>
          <w:tcPr>
            <w:tcW w:w="3017" w:type="pct"/>
            <w:tcMar>
              <w:top w:w="11" w:type="dxa"/>
              <w:left w:w="40" w:type="dxa"/>
              <w:bottom w:w="11" w:type="dxa"/>
              <w:right w:w="40" w:type="dxa"/>
            </w:tcMar>
          </w:tcPr>
          <w:p w14:paraId="5065FE04" w14:textId="2431A8A5" w:rsidR="00CB48FA" w:rsidRPr="00DD5A28" w:rsidRDefault="00CB48FA" w:rsidP="00C54825">
            <w:pPr>
              <w:rPr>
                <w:rFonts w:ascii="Arial Narrow" w:hAnsi="Arial Narrow"/>
                <w:sz w:val="20"/>
              </w:rPr>
            </w:pPr>
            <w:r w:rsidRPr="00541D54">
              <w:rPr>
                <w:rFonts w:ascii="Arial Narrow" w:hAnsi="Arial Narrow"/>
                <w:sz w:val="20"/>
                <w:u w:val="single"/>
              </w:rPr>
              <w:t>Refer to comment 7</w:t>
            </w:r>
            <w:r w:rsidRPr="00541D54">
              <w:rPr>
                <w:rFonts w:ascii="Arial Narrow" w:hAnsi="Arial Narrow"/>
                <w:sz w:val="20"/>
              </w:rPr>
              <w:t>, which is the same issue. The budget can be determined by APA and then awar</w:t>
            </w:r>
            <w:r>
              <w:rPr>
                <w:rFonts w:ascii="Arial Narrow" w:hAnsi="Arial Narrow"/>
                <w:sz w:val="20"/>
              </w:rPr>
              <w:t>d</w:t>
            </w:r>
            <w:r w:rsidRPr="00541D54">
              <w:rPr>
                <w:rFonts w:ascii="Arial Narrow" w:hAnsi="Arial Narrow"/>
                <w:sz w:val="20"/>
              </w:rPr>
              <w:t>ed to each PA. In so doing, powers (responsibilities) can be devolved/delegated to the PA Director to deliver the outputs for which the funds have been awarded, with transparent and accountable mechanisms in place to monitor expenditures.</w:t>
            </w:r>
          </w:p>
        </w:tc>
      </w:tr>
      <w:tr w:rsidR="00CB48FA" w14:paraId="5692C4DD" w14:textId="77777777" w:rsidTr="00CB48FA">
        <w:tc>
          <w:tcPr>
            <w:tcW w:w="482" w:type="pct"/>
            <w:tcMar>
              <w:top w:w="11" w:type="dxa"/>
              <w:left w:w="40" w:type="dxa"/>
              <w:bottom w:w="11" w:type="dxa"/>
              <w:right w:w="40" w:type="dxa"/>
            </w:tcMar>
          </w:tcPr>
          <w:p w14:paraId="7B8CA347" w14:textId="09DE97F8" w:rsidR="00CB48FA" w:rsidRPr="00311480" w:rsidRDefault="00CB48FA" w:rsidP="00CE3C2C">
            <w:pPr>
              <w:rPr>
                <w:rFonts w:ascii="Arial Narrow" w:hAnsi="Arial Narrow"/>
                <w:sz w:val="20"/>
              </w:rPr>
            </w:pPr>
          </w:p>
        </w:tc>
        <w:tc>
          <w:tcPr>
            <w:tcW w:w="1501" w:type="pct"/>
            <w:tcMar>
              <w:top w:w="11" w:type="dxa"/>
              <w:left w:w="40" w:type="dxa"/>
              <w:bottom w:w="11" w:type="dxa"/>
              <w:right w:w="40" w:type="dxa"/>
            </w:tcMar>
          </w:tcPr>
          <w:p w14:paraId="5D60DBBE" w14:textId="7DBAAF25" w:rsidR="00CB48FA" w:rsidRPr="00C5564F" w:rsidRDefault="00CB48FA" w:rsidP="00C54825">
            <w:pPr>
              <w:pStyle w:val="ListParagraph"/>
              <w:numPr>
                <w:ilvl w:val="0"/>
                <w:numId w:val="43"/>
              </w:numPr>
              <w:tabs>
                <w:tab w:val="right" w:pos="381"/>
              </w:tabs>
              <w:spacing w:after="0" w:line="240" w:lineRule="auto"/>
              <w:contextualSpacing w:val="0"/>
              <w:rPr>
                <w:rFonts w:ascii="Arial Narrow" w:hAnsi="Arial Narrow"/>
                <w:sz w:val="20"/>
              </w:rPr>
            </w:pPr>
            <w:r w:rsidRPr="00C5564F">
              <w:rPr>
                <w:rFonts w:ascii="Arial Narrow" w:hAnsi="Arial Narrow"/>
                <w:sz w:val="20"/>
              </w:rPr>
              <w:t xml:space="preserve">I suggest not to state this as determined, since “management is passed” will be a wrong interpretation of what is written in the Law on the System of Protected Territories and still needs to be determined by different state structures. </w:t>
            </w:r>
          </w:p>
        </w:tc>
        <w:tc>
          <w:tcPr>
            <w:tcW w:w="3017" w:type="pct"/>
            <w:tcMar>
              <w:top w:w="11" w:type="dxa"/>
              <w:left w:w="40" w:type="dxa"/>
              <w:bottom w:w="11" w:type="dxa"/>
              <w:right w:w="40" w:type="dxa"/>
            </w:tcMar>
          </w:tcPr>
          <w:p w14:paraId="67DAF917" w14:textId="7DDE27A2" w:rsidR="00CB48FA" w:rsidRPr="000D5DFF" w:rsidRDefault="00CB48FA" w:rsidP="00C54825">
            <w:pPr>
              <w:rPr>
                <w:rFonts w:ascii="Arial Narrow" w:hAnsi="Arial Narrow"/>
                <w:sz w:val="20"/>
              </w:rPr>
            </w:pPr>
            <w:r w:rsidRPr="00541D54">
              <w:rPr>
                <w:rFonts w:ascii="Arial Narrow" w:hAnsi="Arial Narrow"/>
                <w:sz w:val="20"/>
              </w:rPr>
              <w:t>The text has been revised and reference to the Law has been removed.</w:t>
            </w:r>
          </w:p>
        </w:tc>
      </w:tr>
      <w:tr w:rsidR="00CB48FA" w14:paraId="23134DB3" w14:textId="77777777" w:rsidTr="00CB48FA">
        <w:tc>
          <w:tcPr>
            <w:tcW w:w="482" w:type="pct"/>
            <w:tcMar>
              <w:top w:w="11" w:type="dxa"/>
              <w:left w:w="40" w:type="dxa"/>
              <w:bottom w:w="11" w:type="dxa"/>
              <w:right w:w="40" w:type="dxa"/>
            </w:tcMar>
          </w:tcPr>
          <w:p w14:paraId="63CB6B83" w14:textId="109FCAEA" w:rsidR="00CB48FA" w:rsidRPr="00311480" w:rsidRDefault="00CB48FA" w:rsidP="00CE3C2C">
            <w:pPr>
              <w:rPr>
                <w:rFonts w:ascii="Arial Narrow" w:hAnsi="Arial Narrow"/>
                <w:sz w:val="20"/>
              </w:rPr>
            </w:pPr>
          </w:p>
        </w:tc>
        <w:tc>
          <w:tcPr>
            <w:tcW w:w="1501" w:type="pct"/>
            <w:tcMar>
              <w:top w:w="11" w:type="dxa"/>
              <w:left w:w="40" w:type="dxa"/>
              <w:bottom w:w="11" w:type="dxa"/>
              <w:right w:w="40" w:type="dxa"/>
            </w:tcMar>
          </w:tcPr>
          <w:p w14:paraId="0DE85F9A" w14:textId="4EA3622B" w:rsidR="00CB48FA" w:rsidRPr="00C5564F" w:rsidRDefault="00CB48FA" w:rsidP="00C54825">
            <w:pPr>
              <w:pStyle w:val="ListParagraph"/>
              <w:numPr>
                <w:ilvl w:val="0"/>
                <w:numId w:val="43"/>
              </w:numPr>
              <w:tabs>
                <w:tab w:val="right" w:pos="381"/>
              </w:tabs>
              <w:spacing w:after="0" w:line="240" w:lineRule="auto"/>
              <w:contextualSpacing w:val="0"/>
              <w:rPr>
                <w:rFonts w:ascii="Arial Narrow" w:hAnsi="Arial Narrow"/>
                <w:sz w:val="20"/>
              </w:rPr>
            </w:pPr>
            <w:r w:rsidRPr="00C5564F">
              <w:rPr>
                <w:rFonts w:ascii="Arial Narrow" w:hAnsi="Arial Narrow"/>
                <w:sz w:val="20"/>
              </w:rPr>
              <w:t xml:space="preserve">I think this is good recommendation in general, but does not seem to be relevant for </w:t>
            </w:r>
            <w:r w:rsidRPr="00C5564F">
              <w:rPr>
                <w:rFonts w:ascii="Arial Narrow" w:hAnsi="Arial Narrow"/>
                <w:sz w:val="20"/>
              </w:rPr>
              <w:lastRenderedPageBreak/>
              <w:t xml:space="preserve">our project. </w:t>
            </w:r>
          </w:p>
        </w:tc>
        <w:tc>
          <w:tcPr>
            <w:tcW w:w="3017" w:type="pct"/>
            <w:tcMar>
              <w:top w:w="11" w:type="dxa"/>
              <w:left w:w="40" w:type="dxa"/>
              <w:bottom w:w="11" w:type="dxa"/>
              <w:right w:w="40" w:type="dxa"/>
            </w:tcMar>
          </w:tcPr>
          <w:p w14:paraId="6CF9F03F" w14:textId="77777777" w:rsidR="00CB48FA" w:rsidRPr="00541D54" w:rsidRDefault="00CB48FA" w:rsidP="00C54825">
            <w:pPr>
              <w:rPr>
                <w:rFonts w:ascii="Arial Narrow" w:hAnsi="Arial Narrow"/>
                <w:sz w:val="20"/>
              </w:rPr>
            </w:pPr>
            <w:r w:rsidRPr="00541D54">
              <w:rPr>
                <w:rFonts w:ascii="Arial Narrow" w:hAnsi="Arial Narrow"/>
                <w:sz w:val="20"/>
              </w:rPr>
              <w:lastRenderedPageBreak/>
              <w:t xml:space="preserve">The compliment is appreciated – thank you. It is highly relevant with respect to future sustainable land use practices being encouraged in the lower valley that falls outside the national park boundary, especially if local </w:t>
            </w:r>
            <w:r w:rsidRPr="00541D54">
              <w:rPr>
                <w:rFonts w:ascii="Arial Narrow" w:hAnsi="Arial Narrow"/>
                <w:sz w:val="20"/>
              </w:rPr>
              <w:lastRenderedPageBreak/>
              <w:t>livelihoods are to become increasingly sustainable in terms of impacts on the land and water draining from the valley.</w:t>
            </w:r>
          </w:p>
          <w:p w14:paraId="26A856B6" w14:textId="4B829EEA" w:rsidR="00CB48FA" w:rsidRPr="00311480" w:rsidRDefault="00CB48FA" w:rsidP="00C54825">
            <w:pPr>
              <w:rPr>
                <w:rFonts w:ascii="Arial Narrow" w:hAnsi="Arial Narrow"/>
                <w:sz w:val="20"/>
              </w:rPr>
            </w:pPr>
            <w:r w:rsidRPr="00541D54">
              <w:rPr>
                <w:rFonts w:ascii="Arial Narrow" w:hAnsi="Arial Narrow"/>
                <w:sz w:val="20"/>
              </w:rPr>
              <w:t>Recommendations have been re-arranged and this one now falls under the general ones.</w:t>
            </w:r>
          </w:p>
        </w:tc>
      </w:tr>
      <w:tr w:rsidR="00CB48FA" w14:paraId="0CC063A8" w14:textId="77777777" w:rsidTr="00CB48FA">
        <w:tc>
          <w:tcPr>
            <w:tcW w:w="482" w:type="pct"/>
            <w:tcMar>
              <w:top w:w="11" w:type="dxa"/>
              <w:left w:w="40" w:type="dxa"/>
              <w:bottom w:w="11" w:type="dxa"/>
              <w:right w:w="40" w:type="dxa"/>
            </w:tcMar>
          </w:tcPr>
          <w:p w14:paraId="48347D63" w14:textId="1A253BB1" w:rsidR="00CB48FA" w:rsidRPr="00311480" w:rsidRDefault="00CB48FA" w:rsidP="00CE3C2C">
            <w:pPr>
              <w:rPr>
                <w:rFonts w:ascii="Arial Narrow" w:hAnsi="Arial Narrow"/>
                <w:sz w:val="20"/>
              </w:rPr>
            </w:pPr>
          </w:p>
        </w:tc>
        <w:tc>
          <w:tcPr>
            <w:tcW w:w="1501" w:type="pct"/>
            <w:tcMar>
              <w:top w:w="11" w:type="dxa"/>
              <w:left w:w="40" w:type="dxa"/>
              <w:bottom w:w="11" w:type="dxa"/>
              <w:right w:w="40" w:type="dxa"/>
            </w:tcMar>
          </w:tcPr>
          <w:p w14:paraId="20BB07A6" w14:textId="6D1764ED" w:rsidR="00CB48FA" w:rsidRPr="00877C70" w:rsidRDefault="00CB48FA" w:rsidP="00C54825">
            <w:pPr>
              <w:pStyle w:val="CommentText"/>
              <w:numPr>
                <w:ilvl w:val="0"/>
                <w:numId w:val="43"/>
              </w:numPr>
              <w:tabs>
                <w:tab w:val="right" w:pos="381"/>
              </w:tabs>
              <w:spacing w:after="0" w:line="240" w:lineRule="auto"/>
              <w:jc w:val="left"/>
              <w:rPr>
                <w:rFonts w:ascii="Arial Narrow" w:hAnsi="Arial Narrow"/>
                <w:sz w:val="20"/>
              </w:rPr>
            </w:pPr>
            <w:r w:rsidRPr="00541D54">
              <w:rPr>
                <w:rFonts w:ascii="Arial Narrow" w:hAnsi="Arial Narrow"/>
                <w:sz w:val="20"/>
              </w:rPr>
              <w:t xml:space="preserve">That can not be directly stated like this, because every decision by central office is made in communication with PA. Also the budget is mutually agreed, the first request on what is needed to be done, what infrastructure is needed to be arranged is coming from the PA. </w:t>
            </w:r>
          </w:p>
        </w:tc>
        <w:tc>
          <w:tcPr>
            <w:tcW w:w="3017" w:type="pct"/>
            <w:tcMar>
              <w:top w:w="11" w:type="dxa"/>
              <w:left w:w="40" w:type="dxa"/>
              <w:bottom w:w="11" w:type="dxa"/>
              <w:right w:w="40" w:type="dxa"/>
            </w:tcMar>
          </w:tcPr>
          <w:p w14:paraId="3587C3D8" w14:textId="77777777" w:rsidR="00CB48FA" w:rsidRPr="00541D54" w:rsidRDefault="00CB48FA" w:rsidP="00C54825">
            <w:pPr>
              <w:tabs>
                <w:tab w:val="left" w:pos="347"/>
              </w:tabs>
              <w:rPr>
                <w:rFonts w:ascii="Arial Narrow" w:hAnsi="Arial Narrow"/>
                <w:sz w:val="20"/>
              </w:rPr>
            </w:pPr>
            <w:r w:rsidRPr="00541D54">
              <w:rPr>
                <w:rFonts w:ascii="Arial Narrow" w:hAnsi="Arial Narrow"/>
                <w:sz w:val="20"/>
              </w:rPr>
              <w:t>The sentence drafted as</w:t>
            </w:r>
            <w:r w:rsidRPr="00C54825">
              <w:rPr>
                <w:rFonts w:ascii="Arial Narrow" w:hAnsi="Arial Narrow"/>
                <w:i/>
              </w:rPr>
              <w:t>: “It is this institutional straight-jacket approach, whereby PA administrations have little or no autonomy because all decisions and approvals are centralized at national level, that stifles initiative, enthusiasm and commitment among those who actually manage PAs.”</w:t>
            </w:r>
            <w:r w:rsidRPr="00541D54">
              <w:rPr>
                <w:rFonts w:ascii="Arial Narrow" w:hAnsi="Arial Narrow"/>
                <w:sz w:val="20"/>
              </w:rPr>
              <w:t xml:space="preserve"> has been changed to:</w:t>
            </w:r>
          </w:p>
          <w:p w14:paraId="3471171A" w14:textId="77777777" w:rsidR="00CB48FA" w:rsidRPr="00C54825" w:rsidRDefault="00CB48FA" w:rsidP="00C54825">
            <w:pPr>
              <w:tabs>
                <w:tab w:val="left" w:pos="347"/>
              </w:tabs>
              <w:ind w:left="253" w:hanging="253"/>
              <w:rPr>
                <w:rFonts w:ascii="Arial Narrow" w:hAnsi="Arial Narrow"/>
                <w:i/>
                <w:sz w:val="20"/>
              </w:rPr>
            </w:pPr>
            <w:r w:rsidRPr="00541D54">
              <w:rPr>
                <w:rFonts w:ascii="Arial Narrow" w:hAnsi="Arial Narrow"/>
                <w:sz w:val="20"/>
              </w:rPr>
              <w:tab/>
            </w:r>
            <w:r w:rsidRPr="00C54825">
              <w:rPr>
                <w:rFonts w:ascii="Arial Narrow" w:hAnsi="Arial Narrow"/>
                <w:i/>
              </w:rPr>
              <w:t>It is this institutional straight-jacket approach, whereby PA administrations have little or no devolved powers, that stifles initiative, enthusiasm and commitment among those who actually manage PAs</w:t>
            </w:r>
            <w:r w:rsidRPr="00C54825">
              <w:rPr>
                <w:rFonts w:ascii="Arial Narrow" w:hAnsi="Arial Narrow"/>
                <w:i/>
                <w:sz w:val="20"/>
              </w:rPr>
              <w:t>.</w:t>
            </w:r>
          </w:p>
          <w:p w14:paraId="42212620" w14:textId="71900DEB" w:rsidR="00CB48FA" w:rsidRPr="00311480" w:rsidRDefault="00CB48FA" w:rsidP="00C54825">
            <w:pPr>
              <w:rPr>
                <w:rFonts w:ascii="Arial Narrow" w:hAnsi="Arial Narrow"/>
                <w:sz w:val="20"/>
              </w:rPr>
            </w:pPr>
            <w:r w:rsidRPr="00541D54">
              <w:rPr>
                <w:rFonts w:ascii="Arial Narrow" w:hAnsi="Arial Narrow"/>
                <w:sz w:val="20"/>
              </w:rPr>
              <w:t xml:space="preserve">Also refer to responses to Comments 3 and 7. </w:t>
            </w:r>
          </w:p>
        </w:tc>
      </w:tr>
      <w:tr w:rsidR="00CB48FA" w14:paraId="2A9CF672" w14:textId="77777777" w:rsidTr="00CB48FA">
        <w:tc>
          <w:tcPr>
            <w:tcW w:w="482" w:type="pct"/>
            <w:tcMar>
              <w:top w:w="11" w:type="dxa"/>
              <w:left w:w="40" w:type="dxa"/>
              <w:bottom w:w="11" w:type="dxa"/>
              <w:right w:w="40" w:type="dxa"/>
            </w:tcMar>
          </w:tcPr>
          <w:p w14:paraId="77535A23" w14:textId="7EA5B36E" w:rsidR="00CB48FA" w:rsidRPr="00311480" w:rsidRDefault="00CB48FA" w:rsidP="00CE3C2C">
            <w:pPr>
              <w:rPr>
                <w:rFonts w:ascii="Arial Narrow" w:hAnsi="Arial Narrow"/>
                <w:sz w:val="20"/>
              </w:rPr>
            </w:pPr>
          </w:p>
        </w:tc>
        <w:tc>
          <w:tcPr>
            <w:tcW w:w="1501" w:type="pct"/>
            <w:tcMar>
              <w:top w:w="11" w:type="dxa"/>
              <w:left w:w="40" w:type="dxa"/>
              <w:bottom w:w="11" w:type="dxa"/>
              <w:right w:w="40" w:type="dxa"/>
            </w:tcMar>
          </w:tcPr>
          <w:p w14:paraId="53B5F0FE" w14:textId="3E72E988" w:rsidR="00CB48FA" w:rsidRPr="00C5564F" w:rsidRDefault="00CB48FA" w:rsidP="00C54825">
            <w:pPr>
              <w:pStyle w:val="ListParagraph"/>
              <w:numPr>
                <w:ilvl w:val="0"/>
                <w:numId w:val="43"/>
              </w:numPr>
              <w:tabs>
                <w:tab w:val="right" w:pos="381"/>
              </w:tabs>
              <w:spacing w:after="0" w:line="240" w:lineRule="auto"/>
              <w:contextualSpacing w:val="0"/>
              <w:rPr>
                <w:rFonts w:ascii="Arial Narrow" w:hAnsi="Arial Narrow"/>
                <w:sz w:val="20"/>
              </w:rPr>
            </w:pPr>
            <w:r w:rsidRPr="00C5564F">
              <w:rPr>
                <w:rFonts w:ascii="Arial Narrow" w:hAnsi="Arial Narrow"/>
                <w:sz w:val="20"/>
              </w:rPr>
              <w:t>The document is not still elaborated, even draft is not provided at this stage, it’s not determined on what it will make emphasis.</w:t>
            </w:r>
          </w:p>
        </w:tc>
        <w:tc>
          <w:tcPr>
            <w:tcW w:w="3017" w:type="pct"/>
            <w:tcMar>
              <w:top w:w="11" w:type="dxa"/>
              <w:left w:w="40" w:type="dxa"/>
              <w:bottom w:w="11" w:type="dxa"/>
              <w:right w:w="40" w:type="dxa"/>
            </w:tcMar>
          </w:tcPr>
          <w:p w14:paraId="05EB2FFF" w14:textId="5975D54E" w:rsidR="00CB48FA" w:rsidRPr="00311480" w:rsidRDefault="00CB48FA" w:rsidP="00C54825">
            <w:pPr>
              <w:rPr>
                <w:rFonts w:ascii="Arial Narrow" w:hAnsi="Arial Narrow"/>
                <w:sz w:val="20"/>
              </w:rPr>
            </w:pPr>
            <w:r w:rsidRPr="00541D54">
              <w:rPr>
                <w:rFonts w:ascii="Arial Narrow" w:hAnsi="Arial Narrow"/>
                <w:sz w:val="20"/>
              </w:rPr>
              <w:t>Refer to (iv) in the response to Comment 3, which provides an update on the IBiS project and its current progress regarding PA policy development.</w:t>
            </w:r>
          </w:p>
        </w:tc>
      </w:tr>
      <w:tr w:rsidR="00CB48FA" w:rsidRPr="00F74021" w14:paraId="34A98255" w14:textId="77777777" w:rsidTr="00CB48FA">
        <w:tc>
          <w:tcPr>
            <w:tcW w:w="482" w:type="pct"/>
            <w:tcMar>
              <w:top w:w="11" w:type="dxa"/>
              <w:left w:w="40" w:type="dxa"/>
              <w:bottom w:w="11" w:type="dxa"/>
              <w:right w:w="40" w:type="dxa"/>
            </w:tcMar>
          </w:tcPr>
          <w:p w14:paraId="265BF31F" w14:textId="214E7ECA" w:rsidR="00CB48FA" w:rsidRPr="00F74021" w:rsidRDefault="00CB48FA" w:rsidP="00CE3C2C">
            <w:pPr>
              <w:rPr>
                <w:rFonts w:ascii="Arial Narrow" w:hAnsi="Arial Narrow"/>
                <w:sz w:val="20"/>
              </w:rPr>
            </w:pPr>
          </w:p>
        </w:tc>
        <w:tc>
          <w:tcPr>
            <w:tcW w:w="1501" w:type="pct"/>
            <w:tcMar>
              <w:top w:w="11" w:type="dxa"/>
              <w:left w:w="40" w:type="dxa"/>
              <w:bottom w:w="11" w:type="dxa"/>
              <w:right w:w="40" w:type="dxa"/>
            </w:tcMar>
          </w:tcPr>
          <w:p w14:paraId="308ABE89" w14:textId="1884F571" w:rsidR="00CB48FA" w:rsidRPr="00877C70" w:rsidRDefault="00CB48FA" w:rsidP="00C54825">
            <w:pPr>
              <w:pStyle w:val="CommentText"/>
              <w:numPr>
                <w:ilvl w:val="0"/>
                <w:numId w:val="43"/>
              </w:numPr>
              <w:tabs>
                <w:tab w:val="right" w:pos="381"/>
              </w:tabs>
              <w:spacing w:after="0" w:line="240" w:lineRule="auto"/>
              <w:jc w:val="left"/>
              <w:rPr>
                <w:rFonts w:ascii="Arial Narrow" w:hAnsi="Arial Narrow"/>
                <w:sz w:val="20"/>
              </w:rPr>
            </w:pPr>
            <w:r w:rsidRPr="00541D54">
              <w:rPr>
                <w:rFonts w:ascii="Arial Narrow" w:hAnsi="Arial Narrow"/>
                <w:sz w:val="20"/>
              </w:rPr>
              <w:t xml:space="preserve">Agree, this is the topic to be discussed afterwards. </w:t>
            </w:r>
          </w:p>
        </w:tc>
        <w:tc>
          <w:tcPr>
            <w:tcW w:w="3017" w:type="pct"/>
            <w:tcMar>
              <w:top w:w="11" w:type="dxa"/>
              <w:left w:w="40" w:type="dxa"/>
              <w:bottom w:w="11" w:type="dxa"/>
              <w:right w:w="40" w:type="dxa"/>
            </w:tcMar>
          </w:tcPr>
          <w:p w14:paraId="55BC522E" w14:textId="3FC8BD4D" w:rsidR="00CB48FA" w:rsidRPr="00F74021" w:rsidRDefault="00CB48FA" w:rsidP="00C54825">
            <w:pPr>
              <w:rPr>
                <w:rFonts w:ascii="Arial Narrow" w:hAnsi="Arial Narrow"/>
                <w:sz w:val="20"/>
              </w:rPr>
            </w:pPr>
            <w:r w:rsidRPr="00541D54">
              <w:rPr>
                <w:rFonts w:ascii="Arial Narrow" w:hAnsi="Arial Narrow"/>
                <w:sz w:val="20"/>
              </w:rPr>
              <w:t>Good, thank you.</w:t>
            </w:r>
          </w:p>
        </w:tc>
      </w:tr>
      <w:tr w:rsidR="00CB48FA" w:rsidRPr="00580E38" w14:paraId="74DAA131" w14:textId="77777777" w:rsidTr="00CB48FA">
        <w:tc>
          <w:tcPr>
            <w:tcW w:w="482" w:type="pct"/>
            <w:tcMar>
              <w:top w:w="11" w:type="dxa"/>
              <w:left w:w="40" w:type="dxa"/>
              <w:bottom w:w="11" w:type="dxa"/>
              <w:right w:w="40" w:type="dxa"/>
            </w:tcMar>
          </w:tcPr>
          <w:p w14:paraId="66A40D86" w14:textId="74A89EE4" w:rsidR="00CB48FA" w:rsidRPr="00580E38" w:rsidRDefault="00CB48FA" w:rsidP="00CE3C2C">
            <w:pPr>
              <w:rPr>
                <w:rFonts w:ascii="Arial Narrow" w:hAnsi="Arial Narrow"/>
                <w:sz w:val="20"/>
              </w:rPr>
            </w:pPr>
          </w:p>
        </w:tc>
        <w:tc>
          <w:tcPr>
            <w:tcW w:w="1501" w:type="pct"/>
            <w:tcMar>
              <w:top w:w="11" w:type="dxa"/>
              <w:left w:w="40" w:type="dxa"/>
              <w:bottom w:w="11" w:type="dxa"/>
              <w:right w:w="40" w:type="dxa"/>
            </w:tcMar>
          </w:tcPr>
          <w:p w14:paraId="3EA7B12F" w14:textId="1313173B" w:rsidR="00CB48FA" w:rsidRPr="00C5564F" w:rsidRDefault="00CB48FA" w:rsidP="00C54825">
            <w:pPr>
              <w:pStyle w:val="ListParagraph"/>
              <w:numPr>
                <w:ilvl w:val="0"/>
                <w:numId w:val="43"/>
              </w:numPr>
              <w:tabs>
                <w:tab w:val="right" w:pos="381"/>
              </w:tabs>
              <w:spacing w:after="0" w:line="240" w:lineRule="auto"/>
              <w:contextualSpacing w:val="0"/>
              <w:rPr>
                <w:rFonts w:ascii="Arial Narrow" w:hAnsi="Arial Narrow"/>
                <w:sz w:val="20"/>
              </w:rPr>
            </w:pPr>
            <w:r w:rsidRPr="00C5564F">
              <w:rPr>
                <w:rFonts w:ascii="Arial Narrow" w:hAnsi="Arial Narrow"/>
                <w:sz w:val="20"/>
              </w:rPr>
              <w:t>would suggest to give another formulation for the sentence.</w:t>
            </w:r>
          </w:p>
        </w:tc>
        <w:tc>
          <w:tcPr>
            <w:tcW w:w="3017" w:type="pct"/>
            <w:tcMar>
              <w:top w:w="11" w:type="dxa"/>
              <w:left w:w="40" w:type="dxa"/>
              <w:bottom w:w="11" w:type="dxa"/>
              <w:right w:w="40" w:type="dxa"/>
            </w:tcMar>
          </w:tcPr>
          <w:p w14:paraId="5E6EE742" w14:textId="77777777" w:rsidR="00CB48FA" w:rsidRPr="00541D54" w:rsidRDefault="00CB48FA" w:rsidP="00C54825">
            <w:pPr>
              <w:tabs>
                <w:tab w:val="left" w:pos="347"/>
              </w:tabs>
              <w:rPr>
                <w:rFonts w:ascii="Arial Narrow" w:hAnsi="Arial Narrow"/>
                <w:sz w:val="20"/>
              </w:rPr>
            </w:pPr>
            <w:r w:rsidRPr="00541D54">
              <w:rPr>
                <w:rFonts w:ascii="Arial Narrow" w:hAnsi="Arial Narrow"/>
                <w:sz w:val="20"/>
              </w:rPr>
              <w:t>The sentence: “</w:t>
            </w:r>
            <w:r w:rsidRPr="00541D54">
              <w:rPr>
                <w:rFonts w:ascii="Arial Narrow" w:hAnsi="Arial Narrow" w:cs="Corbel"/>
                <w:sz w:val="20"/>
                <w:lang w:val="en-US"/>
              </w:rPr>
              <w:t>The contradictions arises from APAs centralized institutional structure that denies any autonomy to it PAs . . .”</w:t>
            </w:r>
            <w:r w:rsidRPr="00541D54">
              <w:rPr>
                <w:rFonts w:ascii="Arial Narrow" w:hAnsi="Arial Narrow"/>
                <w:sz w:val="20"/>
              </w:rPr>
              <w:t xml:space="preserve"> has been changed to read:</w:t>
            </w:r>
          </w:p>
          <w:p w14:paraId="42453A4E" w14:textId="5FAAAAFD" w:rsidR="00CB48FA" w:rsidRPr="00580E38" w:rsidRDefault="00CB48FA" w:rsidP="00C54825">
            <w:pPr>
              <w:rPr>
                <w:rFonts w:ascii="Arial Narrow" w:hAnsi="Arial Narrow"/>
                <w:sz w:val="20"/>
              </w:rPr>
            </w:pPr>
            <w:r w:rsidRPr="00541D54">
              <w:rPr>
                <w:rFonts w:ascii="Arial Narrow" w:hAnsi="Arial Narrow"/>
                <w:i/>
                <w:sz w:val="20"/>
              </w:rPr>
              <w:tab/>
            </w:r>
            <w:r w:rsidRPr="00541D54">
              <w:rPr>
                <w:rStyle w:val="EndnoteReference"/>
                <w:rFonts w:ascii="Arial Narrow" w:hAnsi="Arial Narrow"/>
                <w:i/>
                <w:sz w:val="20"/>
              </w:rPr>
              <w:t>“The contradiction arises from APAs centralized institutional structure that limits devolvement of powers to its PA administrations . . . ”</w:t>
            </w:r>
          </w:p>
        </w:tc>
      </w:tr>
      <w:tr w:rsidR="00CB48FA" w:rsidRPr="00C6387E" w14:paraId="2EF1F6DE" w14:textId="77777777" w:rsidTr="00CB48FA">
        <w:tc>
          <w:tcPr>
            <w:tcW w:w="482" w:type="pct"/>
            <w:tcMar>
              <w:top w:w="11" w:type="dxa"/>
              <w:left w:w="40" w:type="dxa"/>
              <w:bottom w:w="11" w:type="dxa"/>
              <w:right w:w="40" w:type="dxa"/>
            </w:tcMar>
          </w:tcPr>
          <w:p w14:paraId="1A884DF1" w14:textId="69424996" w:rsidR="00CB48FA" w:rsidRPr="00C6387E" w:rsidRDefault="00CB48FA" w:rsidP="00CE3C2C">
            <w:pPr>
              <w:rPr>
                <w:rFonts w:ascii="Arial Narrow" w:hAnsi="Arial Narrow"/>
                <w:sz w:val="20"/>
              </w:rPr>
            </w:pPr>
          </w:p>
        </w:tc>
        <w:tc>
          <w:tcPr>
            <w:tcW w:w="1501" w:type="pct"/>
            <w:tcMar>
              <w:top w:w="11" w:type="dxa"/>
              <w:left w:w="40" w:type="dxa"/>
              <w:bottom w:w="11" w:type="dxa"/>
              <w:right w:w="40" w:type="dxa"/>
            </w:tcMar>
          </w:tcPr>
          <w:p w14:paraId="7A22C90D" w14:textId="316E87D9" w:rsidR="00CB48FA" w:rsidRPr="00C5564F" w:rsidRDefault="00CB48FA" w:rsidP="00C54825">
            <w:pPr>
              <w:pStyle w:val="ListParagraph"/>
              <w:numPr>
                <w:ilvl w:val="0"/>
                <w:numId w:val="43"/>
              </w:numPr>
              <w:tabs>
                <w:tab w:val="right" w:pos="381"/>
              </w:tabs>
              <w:spacing w:after="0" w:line="240" w:lineRule="auto"/>
              <w:contextualSpacing w:val="0"/>
              <w:rPr>
                <w:rFonts w:ascii="Arial Narrow" w:hAnsi="Arial Narrow"/>
                <w:sz w:val="20"/>
              </w:rPr>
            </w:pPr>
            <w:r w:rsidRPr="00C5564F">
              <w:rPr>
                <w:rFonts w:ascii="Arial Narrow" w:hAnsi="Arial Narrow"/>
                <w:sz w:val="20"/>
              </w:rPr>
              <w:t>Referring to my up-mentioned comments…</w:t>
            </w:r>
          </w:p>
        </w:tc>
        <w:tc>
          <w:tcPr>
            <w:tcW w:w="3017" w:type="pct"/>
            <w:tcMar>
              <w:top w:w="11" w:type="dxa"/>
              <w:left w:w="40" w:type="dxa"/>
              <w:bottom w:w="11" w:type="dxa"/>
              <w:right w:w="40" w:type="dxa"/>
            </w:tcMar>
          </w:tcPr>
          <w:p w14:paraId="785E64CC" w14:textId="77777777" w:rsidR="00CB48FA" w:rsidRPr="00541D54" w:rsidRDefault="00CB48FA" w:rsidP="00C54825">
            <w:pPr>
              <w:tabs>
                <w:tab w:val="left" w:pos="347"/>
              </w:tabs>
              <w:rPr>
                <w:rFonts w:ascii="Arial Narrow" w:hAnsi="Arial Narrow"/>
                <w:sz w:val="20"/>
              </w:rPr>
            </w:pPr>
            <w:r w:rsidRPr="00541D54">
              <w:rPr>
                <w:rFonts w:ascii="Arial Narrow" w:hAnsi="Arial Narrow"/>
                <w:sz w:val="20"/>
              </w:rPr>
              <w:t>The text has been modified to clarify that this is all above devolving powers to PA administrations. Thus, ”. . .</w:t>
            </w:r>
            <w:r w:rsidRPr="00541D54">
              <w:rPr>
                <w:rFonts w:ascii="Arial Narrow" w:hAnsi="Arial Narrow"/>
                <w:i/>
                <w:sz w:val="20"/>
              </w:rPr>
              <w:t xml:space="preserve"> and until such time as APA is able to de-centralise its current operations and empower its PA Administrations with the authority and financial resources to manage their respective PAs, the achievements of this and other PA projects will not be fully realised</w:t>
            </w:r>
            <w:r w:rsidRPr="00541D54">
              <w:rPr>
                <w:rFonts w:ascii="Arial Narrow" w:hAnsi="Arial Narrow"/>
                <w:sz w:val="20"/>
              </w:rPr>
              <w:t>.” now reads as:</w:t>
            </w:r>
          </w:p>
          <w:p w14:paraId="584DE590" w14:textId="77777777" w:rsidR="00CB48FA" w:rsidRPr="00C54825" w:rsidRDefault="00CB48FA" w:rsidP="00C54825">
            <w:pPr>
              <w:tabs>
                <w:tab w:val="left" w:pos="347"/>
              </w:tabs>
              <w:ind w:left="253" w:hanging="253"/>
              <w:rPr>
                <w:rFonts w:ascii="Arial Narrow" w:hAnsi="Arial Narrow"/>
                <w:i/>
                <w:sz w:val="20"/>
              </w:rPr>
            </w:pPr>
            <w:r w:rsidRPr="00541D54">
              <w:rPr>
                <w:rFonts w:ascii="Arial Narrow" w:hAnsi="Arial Narrow"/>
                <w:sz w:val="20"/>
              </w:rPr>
              <w:tab/>
            </w:r>
            <w:r w:rsidRPr="00C54825">
              <w:rPr>
                <w:rFonts w:ascii="Arial Narrow" w:hAnsi="Arial Narrow"/>
                <w:sz w:val="20"/>
              </w:rPr>
              <w:t xml:space="preserve">“. . . </w:t>
            </w:r>
            <w:r w:rsidRPr="00C54825">
              <w:rPr>
                <w:rStyle w:val="EndnoteReference"/>
                <w:rFonts w:ascii="Arial Narrow" w:hAnsi="Arial Narrow"/>
                <w:i/>
                <w:sz w:val="20"/>
                <w:vertAlign w:val="baseline"/>
              </w:rPr>
              <w:t>and until such time as APA is able to de-centralise its current operations and delegate powers to its PA Administrations to manage their respective PAs, including financial resources, the achievements of this and other PA projects will not be fully realised.”</w:t>
            </w:r>
          </w:p>
          <w:p w14:paraId="2387E1E6" w14:textId="3F6C9E1A" w:rsidR="00CB48FA" w:rsidRPr="001032E3" w:rsidRDefault="00CB48FA" w:rsidP="00C54825">
            <w:pPr>
              <w:tabs>
                <w:tab w:val="left" w:pos="37"/>
              </w:tabs>
              <w:ind w:left="37"/>
              <w:rPr>
                <w:rFonts w:ascii="Arial Narrow" w:hAnsi="Arial Narrow"/>
                <w:sz w:val="20"/>
              </w:rPr>
            </w:pPr>
            <w:r w:rsidRPr="00541D54">
              <w:rPr>
                <w:rFonts w:ascii="Arial Narrow" w:hAnsi="Arial Narrow"/>
                <w:sz w:val="20"/>
              </w:rPr>
              <w:t>Refer also to previous feedback on Comments 3, 7.</w:t>
            </w:r>
          </w:p>
        </w:tc>
      </w:tr>
      <w:tr w:rsidR="00CB48FA" w:rsidRPr="00E24DDE" w14:paraId="6C2DCF9B" w14:textId="77777777" w:rsidTr="00CB48FA">
        <w:tc>
          <w:tcPr>
            <w:tcW w:w="482" w:type="pct"/>
            <w:tcMar>
              <w:top w:w="11" w:type="dxa"/>
              <w:left w:w="40" w:type="dxa"/>
              <w:bottom w:w="11" w:type="dxa"/>
              <w:right w:w="40" w:type="dxa"/>
            </w:tcMar>
          </w:tcPr>
          <w:p w14:paraId="69CB0BE7" w14:textId="58F4DBD8" w:rsidR="00CB48FA" w:rsidRPr="00E24DDE" w:rsidRDefault="00CB48FA" w:rsidP="00CE3C2C">
            <w:pPr>
              <w:rPr>
                <w:rFonts w:ascii="Arial Narrow" w:hAnsi="Arial Narrow"/>
                <w:sz w:val="20"/>
              </w:rPr>
            </w:pPr>
          </w:p>
        </w:tc>
        <w:tc>
          <w:tcPr>
            <w:tcW w:w="1501" w:type="pct"/>
            <w:tcMar>
              <w:top w:w="11" w:type="dxa"/>
              <w:left w:w="40" w:type="dxa"/>
              <w:bottom w:w="11" w:type="dxa"/>
              <w:right w:w="40" w:type="dxa"/>
            </w:tcMar>
          </w:tcPr>
          <w:p w14:paraId="2D94884B" w14:textId="26B06A90" w:rsidR="00CB48FA" w:rsidRPr="00C5564F" w:rsidRDefault="00CB48FA" w:rsidP="00C54825">
            <w:pPr>
              <w:pStyle w:val="ListParagraph"/>
              <w:numPr>
                <w:ilvl w:val="0"/>
                <w:numId w:val="43"/>
              </w:numPr>
              <w:tabs>
                <w:tab w:val="right" w:pos="381"/>
              </w:tabs>
              <w:spacing w:after="0" w:line="240" w:lineRule="auto"/>
              <w:contextualSpacing w:val="0"/>
              <w:rPr>
                <w:rFonts w:ascii="Arial Narrow" w:hAnsi="Arial Narrow"/>
                <w:sz w:val="20"/>
              </w:rPr>
            </w:pPr>
          </w:p>
        </w:tc>
        <w:tc>
          <w:tcPr>
            <w:tcW w:w="3017" w:type="pct"/>
            <w:tcMar>
              <w:top w:w="11" w:type="dxa"/>
              <w:left w:w="40" w:type="dxa"/>
              <w:bottom w:w="11" w:type="dxa"/>
              <w:right w:w="40" w:type="dxa"/>
            </w:tcMar>
          </w:tcPr>
          <w:p w14:paraId="363D63E3" w14:textId="44FA2EA7" w:rsidR="00CB48FA" w:rsidRPr="001032E3" w:rsidRDefault="00CB48FA" w:rsidP="00C54825">
            <w:pPr>
              <w:rPr>
                <w:rFonts w:ascii="Arial Narrow" w:hAnsi="Arial Narrow"/>
                <w:sz w:val="20"/>
              </w:rPr>
            </w:pPr>
            <w:r w:rsidRPr="00541D54">
              <w:rPr>
                <w:rFonts w:ascii="Arial Narrow" w:hAnsi="Arial Narrow"/>
                <w:sz w:val="20"/>
              </w:rPr>
              <w:t>This additional information has been included.</w:t>
            </w:r>
          </w:p>
        </w:tc>
      </w:tr>
    </w:tbl>
    <w:p w14:paraId="5FFA3516" w14:textId="77777777" w:rsidR="00180C36" w:rsidRDefault="00180C36">
      <w:pPr>
        <w:jc w:val="center"/>
      </w:pPr>
    </w:p>
    <w:tbl>
      <w:tblPr>
        <w:tblStyle w:val="TableGrid"/>
        <w:tblW w:w="5000" w:type="pct"/>
        <w:tblLook w:val="04A0" w:firstRow="1" w:lastRow="0" w:firstColumn="1" w:lastColumn="0" w:noHBand="0" w:noVBand="1"/>
      </w:tblPr>
      <w:tblGrid>
        <w:gridCol w:w="880"/>
        <w:gridCol w:w="5735"/>
        <w:gridCol w:w="2491"/>
      </w:tblGrid>
      <w:tr w:rsidR="00CB48FA" w:rsidRPr="0061432F" w14:paraId="21771BF7" w14:textId="77777777" w:rsidTr="00CB48FA">
        <w:tc>
          <w:tcPr>
            <w:tcW w:w="483" w:type="pct"/>
            <w:shd w:val="clear" w:color="auto" w:fill="E0E0E0"/>
            <w:tcMar>
              <w:top w:w="11" w:type="dxa"/>
              <w:left w:w="40" w:type="dxa"/>
              <w:bottom w:w="11" w:type="dxa"/>
              <w:right w:w="40" w:type="dxa"/>
            </w:tcMar>
          </w:tcPr>
          <w:p w14:paraId="49A946A6" w14:textId="77777777" w:rsidR="00CB48FA" w:rsidRPr="0061432F" w:rsidRDefault="00CB48FA" w:rsidP="00180C36">
            <w:pPr>
              <w:rPr>
                <w:rFonts w:ascii="Arial Narrow" w:hAnsi="Arial Narrow"/>
                <w:sz w:val="19"/>
                <w:szCs w:val="19"/>
              </w:rPr>
            </w:pPr>
          </w:p>
        </w:tc>
        <w:tc>
          <w:tcPr>
            <w:tcW w:w="3149" w:type="pct"/>
            <w:tcBorders>
              <w:right w:val="single" w:sz="4" w:space="0" w:color="auto"/>
            </w:tcBorders>
            <w:shd w:val="clear" w:color="auto" w:fill="E0E0E0"/>
            <w:tcMar>
              <w:top w:w="11" w:type="dxa"/>
              <w:left w:w="40" w:type="dxa"/>
              <w:bottom w:w="11" w:type="dxa"/>
              <w:right w:w="40" w:type="dxa"/>
            </w:tcMar>
          </w:tcPr>
          <w:p w14:paraId="7E08394C" w14:textId="6B50413B" w:rsidR="00CB48FA" w:rsidRPr="00877C70" w:rsidRDefault="00CB48FA" w:rsidP="005B25B8">
            <w:pPr>
              <w:rPr>
                <w:rFonts w:ascii="Arial Narrow" w:hAnsi="Arial Narrow"/>
                <w:b/>
                <w:sz w:val="20"/>
              </w:rPr>
            </w:pPr>
            <w:r w:rsidRPr="00541D54">
              <w:rPr>
                <w:rFonts w:ascii="Calibri" w:hAnsi="Calibri"/>
                <w:b/>
                <w:sz w:val="20"/>
              </w:rPr>
              <w:t>UNDP, PMU, CTA</w:t>
            </w:r>
          </w:p>
        </w:tc>
        <w:tc>
          <w:tcPr>
            <w:tcW w:w="1368" w:type="pct"/>
            <w:tcBorders>
              <w:left w:val="single" w:sz="4" w:space="0" w:color="auto"/>
            </w:tcBorders>
            <w:shd w:val="clear" w:color="auto" w:fill="E0E0E0"/>
            <w:tcMar>
              <w:top w:w="11" w:type="dxa"/>
              <w:left w:w="40" w:type="dxa"/>
              <w:bottom w:w="11" w:type="dxa"/>
              <w:right w:w="40" w:type="dxa"/>
            </w:tcMar>
          </w:tcPr>
          <w:p w14:paraId="1C8B2780" w14:textId="6E3CC0D2" w:rsidR="00CB48FA" w:rsidRPr="0061432F" w:rsidRDefault="00CB48FA" w:rsidP="005B25B8">
            <w:pPr>
              <w:rPr>
                <w:rFonts w:ascii="Arial Narrow" w:hAnsi="Arial Narrow" w:cs="Calibri"/>
                <w:b/>
                <w:sz w:val="20"/>
                <w:lang w:val="en-US"/>
              </w:rPr>
            </w:pPr>
            <w:r w:rsidRPr="00541D54">
              <w:rPr>
                <w:rFonts w:ascii="Arial Narrow" w:hAnsi="Arial Narrow"/>
                <w:b/>
                <w:sz w:val="20"/>
              </w:rPr>
              <w:t>Responses from Evaluators</w:t>
            </w:r>
          </w:p>
        </w:tc>
      </w:tr>
      <w:tr w:rsidR="00CB48FA" w:rsidRPr="00180C36" w14:paraId="66617646" w14:textId="77777777" w:rsidTr="00CB48FA">
        <w:tc>
          <w:tcPr>
            <w:tcW w:w="483" w:type="pct"/>
            <w:tcMar>
              <w:top w:w="11" w:type="dxa"/>
              <w:left w:w="40" w:type="dxa"/>
              <w:bottom w:w="11" w:type="dxa"/>
              <w:right w:w="40" w:type="dxa"/>
            </w:tcMar>
          </w:tcPr>
          <w:p w14:paraId="6678BB13" w14:textId="0A4EDDCA" w:rsidR="00CB48FA" w:rsidRPr="00180C36" w:rsidRDefault="00CB48FA" w:rsidP="00180C36">
            <w:r w:rsidRPr="005B25B8">
              <w:rPr>
                <w:rFonts w:ascii="Arial Narrow" w:hAnsi="Arial Narrow"/>
                <w:color w:val="FF0000"/>
                <w:sz w:val="20"/>
              </w:rPr>
              <w:t xml:space="preserve">See draft TE for </w:t>
            </w:r>
            <w:r>
              <w:rPr>
                <w:rFonts w:ascii="Arial Narrow" w:hAnsi="Arial Narrow"/>
                <w:color w:val="FF0000"/>
                <w:sz w:val="20"/>
              </w:rPr>
              <w:t xml:space="preserve">location of </w:t>
            </w:r>
            <w:r w:rsidRPr="005B25B8">
              <w:rPr>
                <w:rFonts w:ascii="Arial Narrow" w:hAnsi="Arial Narrow"/>
                <w:color w:val="FF0000"/>
                <w:sz w:val="20"/>
              </w:rPr>
              <w:t>feedback comments</w:t>
            </w:r>
          </w:p>
        </w:tc>
        <w:tc>
          <w:tcPr>
            <w:tcW w:w="3149" w:type="pct"/>
            <w:tcMar>
              <w:top w:w="11" w:type="dxa"/>
              <w:left w:w="40" w:type="dxa"/>
              <w:bottom w:w="11" w:type="dxa"/>
              <w:right w:w="40" w:type="dxa"/>
            </w:tcMar>
          </w:tcPr>
          <w:p w14:paraId="40ADA663" w14:textId="18EF06A5" w:rsidR="00CB48FA" w:rsidRPr="00180C36" w:rsidRDefault="00CB48FA" w:rsidP="005B25B8">
            <w:pPr>
              <w:pStyle w:val="ListParagraph"/>
              <w:numPr>
                <w:ilvl w:val="0"/>
                <w:numId w:val="45"/>
              </w:numPr>
              <w:tabs>
                <w:tab w:val="right" w:pos="369"/>
              </w:tabs>
              <w:spacing w:after="0" w:line="240" w:lineRule="auto"/>
            </w:pPr>
            <w:r w:rsidRPr="00843F6F">
              <w:rPr>
                <w:sz w:val="20"/>
              </w:rPr>
              <w:t xml:space="preserve">I think the ecosystem valuation report, though its findings were not able to be applied in a practical way, was a new approach to understanding the wider economic and development importance of the Colchic forests and potentially a 1st step to better recognizing this in the future – perhaps worth mentioning? </w:t>
            </w:r>
          </w:p>
        </w:tc>
        <w:tc>
          <w:tcPr>
            <w:tcW w:w="1368" w:type="pct"/>
            <w:tcMar>
              <w:top w:w="11" w:type="dxa"/>
              <w:left w:w="40" w:type="dxa"/>
              <w:bottom w:w="11" w:type="dxa"/>
              <w:right w:w="40" w:type="dxa"/>
            </w:tcMar>
          </w:tcPr>
          <w:p w14:paraId="24DEA995" w14:textId="77777777" w:rsidR="00CB48FA" w:rsidRDefault="00CB48FA" w:rsidP="005B25B8">
            <w:pPr>
              <w:rPr>
                <w:rFonts w:ascii="Calibri" w:hAnsi="Calibri"/>
              </w:rPr>
            </w:pPr>
            <w:r>
              <w:rPr>
                <w:rFonts w:ascii="Calibri" w:hAnsi="Calibri"/>
                <w:sz w:val="20"/>
              </w:rPr>
              <w:t>Valid point - reference to this ecosystem valuation report has been added to highlight its significance.</w:t>
            </w:r>
          </w:p>
          <w:p w14:paraId="60D4FFAD" w14:textId="0D1C7F79" w:rsidR="00CB48FA" w:rsidRPr="00180C36" w:rsidRDefault="00CB48FA" w:rsidP="005B25B8">
            <w:r>
              <w:rPr>
                <w:rFonts w:ascii="Calibri" w:hAnsi="Calibri"/>
              </w:rPr>
              <w:t>p.iii</w:t>
            </w:r>
          </w:p>
        </w:tc>
      </w:tr>
      <w:tr w:rsidR="00CB48FA" w:rsidRPr="00180C36" w14:paraId="37E3F54D" w14:textId="77777777" w:rsidTr="00CB48FA">
        <w:tc>
          <w:tcPr>
            <w:tcW w:w="483" w:type="pct"/>
            <w:tcMar>
              <w:top w:w="11" w:type="dxa"/>
              <w:left w:w="40" w:type="dxa"/>
              <w:bottom w:w="11" w:type="dxa"/>
              <w:right w:w="40" w:type="dxa"/>
            </w:tcMar>
          </w:tcPr>
          <w:p w14:paraId="4BDCF5B1" w14:textId="77777777" w:rsidR="00CB48FA" w:rsidRPr="00180C36" w:rsidRDefault="00CB48FA" w:rsidP="00180C36"/>
        </w:tc>
        <w:tc>
          <w:tcPr>
            <w:tcW w:w="3149" w:type="pct"/>
            <w:tcMar>
              <w:top w:w="11" w:type="dxa"/>
              <w:left w:w="40" w:type="dxa"/>
              <w:bottom w:w="11" w:type="dxa"/>
              <w:right w:w="40" w:type="dxa"/>
            </w:tcMar>
          </w:tcPr>
          <w:p w14:paraId="76CA6E19" w14:textId="1952EF72" w:rsidR="00CB48FA" w:rsidRPr="00180C36" w:rsidRDefault="00CB48FA" w:rsidP="005B25B8">
            <w:pPr>
              <w:pStyle w:val="ListParagraph"/>
              <w:numPr>
                <w:ilvl w:val="0"/>
                <w:numId w:val="45"/>
              </w:numPr>
              <w:tabs>
                <w:tab w:val="right" w:pos="369"/>
              </w:tabs>
              <w:spacing w:after="0" w:line="240" w:lineRule="auto"/>
            </w:pPr>
            <w:r w:rsidRPr="00843F6F">
              <w:rPr>
                <w:sz w:val="20"/>
              </w:rPr>
              <w:t>PMU to comment on reason for this change or discrepancy please. The amount pledged by APA is given as 1,395,490 in Table 6 of MTR, which is presumably taken from p6 of the Inception Report but no reference in the IR is made to APA reducing it cofinancing commitment as recorded in the ProDoc. Maybe IR and MTR are both incorrect?</w:t>
            </w:r>
          </w:p>
        </w:tc>
        <w:tc>
          <w:tcPr>
            <w:tcW w:w="1368" w:type="pct"/>
            <w:tcMar>
              <w:top w:w="11" w:type="dxa"/>
              <w:left w:w="40" w:type="dxa"/>
              <w:bottom w:w="11" w:type="dxa"/>
              <w:right w:w="40" w:type="dxa"/>
            </w:tcMar>
          </w:tcPr>
          <w:p w14:paraId="4EEEBD60" w14:textId="77777777" w:rsidR="00CB48FA" w:rsidRPr="00180C36" w:rsidRDefault="00CB48FA" w:rsidP="005B25B8"/>
        </w:tc>
      </w:tr>
      <w:tr w:rsidR="00CB48FA" w:rsidRPr="00180C36" w14:paraId="64825FF6" w14:textId="77777777" w:rsidTr="00CB48FA">
        <w:tc>
          <w:tcPr>
            <w:tcW w:w="483" w:type="pct"/>
            <w:tcMar>
              <w:top w:w="11" w:type="dxa"/>
              <w:left w:w="40" w:type="dxa"/>
              <w:bottom w:w="11" w:type="dxa"/>
              <w:right w:w="40" w:type="dxa"/>
            </w:tcMar>
          </w:tcPr>
          <w:p w14:paraId="081B0DD2" w14:textId="77777777" w:rsidR="00CB48FA" w:rsidRPr="00180C36" w:rsidRDefault="00CB48FA" w:rsidP="00180C36"/>
        </w:tc>
        <w:tc>
          <w:tcPr>
            <w:tcW w:w="3149" w:type="pct"/>
            <w:tcMar>
              <w:top w:w="11" w:type="dxa"/>
              <w:left w:w="40" w:type="dxa"/>
              <w:bottom w:w="11" w:type="dxa"/>
              <w:right w:w="40" w:type="dxa"/>
            </w:tcMar>
          </w:tcPr>
          <w:p w14:paraId="10EDDA5A" w14:textId="1DB89B85" w:rsidR="00CB48FA" w:rsidRPr="00180C36" w:rsidRDefault="00CB48FA" w:rsidP="005B25B8">
            <w:pPr>
              <w:pStyle w:val="ListParagraph"/>
              <w:numPr>
                <w:ilvl w:val="0"/>
                <w:numId w:val="45"/>
              </w:numPr>
              <w:tabs>
                <w:tab w:val="right" w:pos="369"/>
              </w:tabs>
              <w:spacing w:after="0" w:line="240" w:lineRule="auto"/>
            </w:pPr>
            <w:r w:rsidRPr="00843F6F">
              <w:rPr>
                <w:sz w:val="20"/>
              </w:rPr>
              <w:t xml:space="preserve">I couldn’t identify any document/letter that could state or explain the reason for this change. Most likely the (typing) error was made in the IR and then in MTR. </w:t>
            </w:r>
          </w:p>
        </w:tc>
        <w:tc>
          <w:tcPr>
            <w:tcW w:w="1368" w:type="pct"/>
            <w:tcMar>
              <w:top w:w="11" w:type="dxa"/>
              <w:left w:w="40" w:type="dxa"/>
              <w:bottom w:w="11" w:type="dxa"/>
              <w:right w:w="40" w:type="dxa"/>
            </w:tcMar>
          </w:tcPr>
          <w:p w14:paraId="0FDE76DB" w14:textId="4E32EC25" w:rsidR="00CB48FA" w:rsidRPr="00180C36" w:rsidRDefault="00CB48FA" w:rsidP="005B25B8">
            <w:r w:rsidRPr="00EF5FAF">
              <w:rPr>
                <w:rFonts w:ascii="Calibri" w:hAnsi="Calibri"/>
                <w:sz w:val="20"/>
              </w:rPr>
              <w:t>Noted, thank you.</w:t>
            </w:r>
          </w:p>
        </w:tc>
      </w:tr>
      <w:tr w:rsidR="00CB48FA" w:rsidRPr="00180C36" w14:paraId="2B89892D" w14:textId="77777777" w:rsidTr="00CB48FA">
        <w:tc>
          <w:tcPr>
            <w:tcW w:w="483" w:type="pct"/>
            <w:tcMar>
              <w:top w:w="11" w:type="dxa"/>
              <w:left w:w="40" w:type="dxa"/>
              <w:bottom w:w="11" w:type="dxa"/>
              <w:right w:w="40" w:type="dxa"/>
            </w:tcMar>
          </w:tcPr>
          <w:p w14:paraId="6AC1FE6C" w14:textId="77777777" w:rsidR="00CB48FA" w:rsidRPr="00180C36" w:rsidRDefault="00CB48FA" w:rsidP="00180C36"/>
        </w:tc>
        <w:tc>
          <w:tcPr>
            <w:tcW w:w="3149" w:type="pct"/>
            <w:tcMar>
              <w:top w:w="11" w:type="dxa"/>
              <w:left w:w="40" w:type="dxa"/>
              <w:bottom w:w="11" w:type="dxa"/>
              <w:right w:w="40" w:type="dxa"/>
            </w:tcMar>
          </w:tcPr>
          <w:p w14:paraId="2F4A5A77" w14:textId="129A3570" w:rsidR="00CB48FA" w:rsidRPr="00180C36" w:rsidRDefault="00CB48FA" w:rsidP="005B25B8">
            <w:pPr>
              <w:pStyle w:val="ListParagraph"/>
              <w:numPr>
                <w:ilvl w:val="0"/>
                <w:numId w:val="45"/>
              </w:numPr>
              <w:tabs>
                <w:tab w:val="right" w:pos="369"/>
              </w:tabs>
              <w:spacing w:after="0" w:line="240" w:lineRule="auto"/>
            </w:pPr>
            <w:r w:rsidRPr="00843F6F">
              <w:rPr>
                <w:sz w:val="20"/>
              </w:rPr>
              <w:t>PMU – please indicate where sums in red are allocated – Outcome 1 or Outcome 2.</w:t>
            </w:r>
          </w:p>
        </w:tc>
        <w:tc>
          <w:tcPr>
            <w:tcW w:w="1368" w:type="pct"/>
            <w:tcMar>
              <w:top w:w="11" w:type="dxa"/>
              <w:left w:w="40" w:type="dxa"/>
              <w:bottom w:w="11" w:type="dxa"/>
              <w:right w:w="40" w:type="dxa"/>
            </w:tcMar>
          </w:tcPr>
          <w:p w14:paraId="527D49EA" w14:textId="77777777" w:rsidR="00CB48FA" w:rsidRPr="00180C36" w:rsidRDefault="00CB48FA" w:rsidP="005B25B8"/>
        </w:tc>
      </w:tr>
      <w:tr w:rsidR="00CB48FA" w:rsidRPr="00180C36" w14:paraId="4F3E3347" w14:textId="77777777" w:rsidTr="00CB48FA">
        <w:tc>
          <w:tcPr>
            <w:tcW w:w="483" w:type="pct"/>
            <w:tcMar>
              <w:top w:w="11" w:type="dxa"/>
              <w:left w:w="40" w:type="dxa"/>
              <w:bottom w:w="11" w:type="dxa"/>
              <w:right w:w="40" w:type="dxa"/>
            </w:tcMar>
          </w:tcPr>
          <w:p w14:paraId="452F624C" w14:textId="77777777" w:rsidR="00CB48FA" w:rsidRPr="00180C36" w:rsidRDefault="00CB48FA" w:rsidP="00180C36"/>
        </w:tc>
        <w:tc>
          <w:tcPr>
            <w:tcW w:w="3149" w:type="pct"/>
            <w:tcMar>
              <w:top w:w="11" w:type="dxa"/>
              <w:left w:w="40" w:type="dxa"/>
              <w:bottom w:w="11" w:type="dxa"/>
              <w:right w:w="40" w:type="dxa"/>
            </w:tcMar>
          </w:tcPr>
          <w:p w14:paraId="45DAD760" w14:textId="4100D60A" w:rsidR="00CB48FA" w:rsidRPr="00180C36" w:rsidRDefault="00CB48FA" w:rsidP="005B25B8">
            <w:pPr>
              <w:pStyle w:val="ListParagraph"/>
              <w:numPr>
                <w:ilvl w:val="0"/>
                <w:numId w:val="45"/>
              </w:numPr>
              <w:tabs>
                <w:tab w:val="right" w:pos="369"/>
              </w:tabs>
              <w:spacing w:after="0" w:line="240" w:lineRule="auto"/>
            </w:pPr>
            <w:r w:rsidRPr="00843F6F">
              <w:rPr>
                <w:sz w:val="20"/>
              </w:rPr>
              <w:t>NB Table (7 rows with incorrect totals) provided to Giorgi by Irakli but missing UNDP, DoI and CNF cofinancing. MG has reviewed and revised total that are now correct (ie they match those in Table 3.3, column 3.).</w:t>
            </w:r>
          </w:p>
        </w:tc>
        <w:tc>
          <w:tcPr>
            <w:tcW w:w="1368" w:type="pct"/>
            <w:tcMar>
              <w:top w:w="11" w:type="dxa"/>
              <w:left w:w="40" w:type="dxa"/>
              <w:bottom w:w="11" w:type="dxa"/>
              <w:right w:w="40" w:type="dxa"/>
            </w:tcMar>
          </w:tcPr>
          <w:p w14:paraId="77854893" w14:textId="77777777" w:rsidR="00CB48FA" w:rsidRPr="00180C36" w:rsidRDefault="00CB48FA" w:rsidP="005B25B8"/>
        </w:tc>
      </w:tr>
      <w:tr w:rsidR="00CB48FA" w:rsidRPr="00180C36" w14:paraId="76D0A9EA" w14:textId="77777777" w:rsidTr="00CB48FA">
        <w:tc>
          <w:tcPr>
            <w:tcW w:w="483" w:type="pct"/>
            <w:tcMar>
              <w:top w:w="11" w:type="dxa"/>
              <w:left w:w="40" w:type="dxa"/>
              <w:bottom w:w="11" w:type="dxa"/>
              <w:right w:w="40" w:type="dxa"/>
            </w:tcMar>
          </w:tcPr>
          <w:p w14:paraId="1DECA138" w14:textId="77777777" w:rsidR="00CB48FA" w:rsidRPr="00180C36" w:rsidRDefault="00CB48FA" w:rsidP="00180C36"/>
        </w:tc>
        <w:tc>
          <w:tcPr>
            <w:tcW w:w="3149" w:type="pct"/>
            <w:tcMar>
              <w:top w:w="11" w:type="dxa"/>
              <w:left w:w="40" w:type="dxa"/>
              <w:bottom w:w="11" w:type="dxa"/>
              <w:right w:w="40" w:type="dxa"/>
            </w:tcMar>
          </w:tcPr>
          <w:p w14:paraId="19F19B91" w14:textId="58201AFE" w:rsidR="00CB48FA" w:rsidRPr="00180C36" w:rsidRDefault="00CB48FA" w:rsidP="005B25B8">
            <w:pPr>
              <w:pStyle w:val="ListParagraph"/>
              <w:numPr>
                <w:ilvl w:val="0"/>
                <w:numId w:val="45"/>
              </w:numPr>
              <w:tabs>
                <w:tab w:val="right" w:pos="369"/>
              </w:tabs>
              <w:spacing w:after="0" w:line="240" w:lineRule="auto"/>
            </w:pPr>
            <w:r w:rsidRPr="00843F6F">
              <w:rPr>
                <w:sz w:val="20"/>
              </w:rPr>
              <w:t>Any reason for this? Cut in funds or resulting from lack of progress with Jamili BR in Turkey?</w:t>
            </w:r>
          </w:p>
        </w:tc>
        <w:tc>
          <w:tcPr>
            <w:tcW w:w="1368" w:type="pct"/>
            <w:tcMar>
              <w:top w:w="11" w:type="dxa"/>
              <w:left w:w="40" w:type="dxa"/>
              <w:bottom w:w="11" w:type="dxa"/>
              <w:right w:w="40" w:type="dxa"/>
            </w:tcMar>
          </w:tcPr>
          <w:p w14:paraId="64E9C252" w14:textId="77777777" w:rsidR="00CB48FA" w:rsidRPr="00180C36" w:rsidRDefault="00CB48FA" w:rsidP="005B25B8"/>
        </w:tc>
      </w:tr>
      <w:tr w:rsidR="00CB48FA" w:rsidRPr="00180C36" w14:paraId="7CC99C1D" w14:textId="77777777" w:rsidTr="00CB48FA">
        <w:tc>
          <w:tcPr>
            <w:tcW w:w="483" w:type="pct"/>
            <w:tcMar>
              <w:top w:w="11" w:type="dxa"/>
              <w:left w:w="40" w:type="dxa"/>
              <w:bottom w:w="11" w:type="dxa"/>
              <w:right w:w="40" w:type="dxa"/>
            </w:tcMar>
          </w:tcPr>
          <w:p w14:paraId="093B0382" w14:textId="77777777" w:rsidR="00CB48FA" w:rsidRPr="00180C36" w:rsidRDefault="00CB48FA" w:rsidP="00180C36"/>
        </w:tc>
        <w:tc>
          <w:tcPr>
            <w:tcW w:w="3149" w:type="pct"/>
            <w:tcMar>
              <w:top w:w="11" w:type="dxa"/>
              <w:left w:w="40" w:type="dxa"/>
              <w:bottom w:w="11" w:type="dxa"/>
              <w:right w:w="40" w:type="dxa"/>
            </w:tcMar>
          </w:tcPr>
          <w:p w14:paraId="380238BE" w14:textId="62B8688C" w:rsidR="00CB48FA" w:rsidRPr="00180C36" w:rsidRDefault="00CB48FA" w:rsidP="005B25B8">
            <w:pPr>
              <w:pStyle w:val="ListParagraph"/>
              <w:numPr>
                <w:ilvl w:val="0"/>
                <w:numId w:val="45"/>
              </w:numPr>
              <w:tabs>
                <w:tab w:val="right" w:pos="369"/>
              </w:tabs>
              <w:spacing w:after="0" w:line="240" w:lineRule="auto"/>
            </w:pPr>
            <w:r w:rsidRPr="00843F6F">
              <w:rPr>
                <w:sz w:val="20"/>
              </w:rPr>
              <w:t xml:space="preserve">The co-financing letter was prepared in May 2013 more than a year before the Achara PA project started and was referring to the 40000$ funding during the period till summer 2014, when USDOI project was due to finish. So, when Achara PA project started the USDOI project was already (or being) finalized. </w:t>
            </w:r>
          </w:p>
        </w:tc>
        <w:tc>
          <w:tcPr>
            <w:tcW w:w="1368" w:type="pct"/>
            <w:tcMar>
              <w:top w:w="11" w:type="dxa"/>
              <w:left w:w="40" w:type="dxa"/>
              <w:bottom w:w="11" w:type="dxa"/>
              <w:right w:w="40" w:type="dxa"/>
            </w:tcMar>
          </w:tcPr>
          <w:p w14:paraId="48479270" w14:textId="578FC0BD" w:rsidR="00CB48FA" w:rsidRPr="00180C36" w:rsidRDefault="00CB48FA" w:rsidP="005B25B8">
            <w:r w:rsidRPr="00A55A75">
              <w:rPr>
                <w:rFonts w:ascii="Calibri" w:hAnsi="Calibri"/>
                <w:sz w:val="20"/>
              </w:rPr>
              <w:t>This additional informational is helpful and included in the text.</w:t>
            </w:r>
          </w:p>
        </w:tc>
      </w:tr>
      <w:tr w:rsidR="00CB48FA" w:rsidRPr="00180C36" w14:paraId="1D56E5AE" w14:textId="77777777" w:rsidTr="00CB48FA">
        <w:tc>
          <w:tcPr>
            <w:tcW w:w="483" w:type="pct"/>
            <w:tcMar>
              <w:top w:w="11" w:type="dxa"/>
              <w:left w:w="40" w:type="dxa"/>
              <w:bottom w:w="11" w:type="dxa"/>
              <w:right w:w="40" w:type="dxa"/>
            </w:tcMar>
          </w:tcPr>
          <w:p w14:paraId="3A0917E4" w14:textId="77777777" w:rsidR="00CB48FA" w:rsidRPr="00180C36" w:rsidRDefault="00CB48FA" w:rsidP="00180C36"/>
        </w:tc>
        <w:tc>
          <w:tcPr>
            <w:tcW w:w="3149" w:type="pct"/>
            <w:tcMar>
              <w:top w:w="11" w:type="dxa"/>
              <w:left w:w="40" w:type="dxa"/>
              <w:bottom w:w="11" w:type="dxa"/>
              <w:right w:w="40" w:type="dxa"/>
            </w:tcMar>
          </w:tcPr>
          <w:p w14:paraId="09E655B5" w14:textId="40E1F27E" w:rsidR="00CB48FA" w:rsidRPr="00180C36" w:rsidRDefault="00CB48FA" w:rsidP="005B25B8">
            <w:pPr>
              <w:pStyle w:val="ListParagraph"/>
              <w:numPr>
                <w:ilvl w:val="0"/>
                <w:numId w:val="45"/>
              </w:numPr>
              <w:tabs>
                <w:tab w:val="right" w:pos="369"/>
              </w:tabs>
              <w:spacing w:after="0" w:line="240" w:lineRule="auto"/>
            </w:pPr>
            <w:r w:rsidRPr="00843F6F">
              <w:rPr>
                <w:sz w:val="20"/>
              </w:rPr>
              <w:t>The current Chairman of APA is the 6th one since the project start, however there was period of several months when there was no chairman and its duty was assumed by one of the Deputies. In which case it can be 7 times.  The last NPD was 4th.</w:t>
            </w:r>
          </w:p>
        </w:tc>
        <w:tc>
          <w:tcPr>
            <w:tcW w:w="1368" w:type="pct"/>
            <w:tcMar>
              <w:top w:w="11" w:type="dxa"/>
              <w:left w:w="40" w:type="dxa"/>
              <w:bottom w:w="11" w:type="dxa"/>
              <w:right w:w="40" w:type="dxa"/>
            </w:tcMar>
          </w:tcPr>
          <w:p w14:paraId="6472A5FE" w14:textId="3720B1D4" w:rsidR="00CB48FA" w:rsidRPr="00180C36" w:rsidRDefault="00CB48FA" w:rsidP="005B25B8">
            <w:r w:rsidRPr="00DE2860">
              <w:rPr>
                <w:rFonts w:ascii="Calibri" w:hAnsi="Calibri"/>
                <w:sz w:val="20"/>
              </w:rPr>
              <w:t>Thank you for this confirmation; the text has been amended to 6 Chairmen</w:t>
            </w:r>
            <w:r>
              <w:rPr>
                <w:rFonts w:ascii="Calibri" w:hAnsi="Calibri"/>
                <w:sz w:val="20"/>
              </w:rPr>
              <w:t xml:space="preserve"> and 4 NPDs</w:t>
            </w:r>
            <w:r w:rsidRPr="00DE2860">
              <w:rPr>
                <w:rFonts w:ascii="Calibri" w:hAnsi="Calibri"/>
                <w:sz w:val="20"/>
              </w:rPr>
              <w:t>.</w:t>
            </w:r>
          </w:p>
        </w:tc>
      </w:tr>
      <w:tr w:rsidR="00CB48FA" w:rsidRPr="00180C36" w14:paraId="7AB6F4A8" w14:textId="77777777" w:rsidTr="00CB48FA">
        <w:tc>
          <w:tcPr>
            <w:tcW w:w="483" w:type="pct"/>
            <w:tcMar>
              <w:top w:w="11" w:type="dxa"/>
              <w:left w:w="40" w:type="dxa"/>
              <w:bottom w:w="11" w:type="dxa"/>
              <w:right w:w="40" w:type="dxa"/>
            </w:tcMar>
          </w:tcPr>
          <w:p w14:paraId="4736523A" w14:textId="77777777" w:rsidR="00CB48FA" w:rsidRPr="00180C36" w:rsidRDefault="00CB48FA" w:rsidP="00180C36"/>
        </w:tc>
        <w:tc>
          <w:tcPr>
            <w:tcW w:w="3149" w:type="pct"/>
            <w:tcMar>
              <w:top w:w="11" w:type="dxa"/>
              <w:left w:w="40" w:type="dxa"/>
              <w:bottom w:w="11" w:type="dxa"/>
              <w:right w:w="40" w:type="dxa"/>
            </w:tcMar>
          </w:tcPr>
          <w:p w14:paraId="09FD57C3" w14:textId="7C52D4A0" w:rsidR="00CB48FA" w:rsidRPr="00180C36" w:rsidRDefault="00CB48FA" w:rsidP="005B25B8">
            <w:pPr>
              <w:pStyle w:val="ListParagraph"/>
              <w:numPr>
                <w:ilvl w:val="0"/>
                <w:numId w:val="45"/>
              </w:numPr>
              <w:tabs>
                <w:tab w:val="right" w:pos="369"/>
              </w:tabs>
              <w:spacing w:after="0" w:line="240" w:lineRule="auto"/>
            </w:pPr>
            <w:r w:rsidRPr="00843F6F">
              <w:rPr>
                <w:sz w:val="20"/>
              </w:rPr>
              <w:t xml:space="preserve">The amount of GEF grant was 1,283,636 USD so it is about 1.3 million </w:t>
            </w:r>
          </w:p>
        </w:tc>
        <w:tc>
          <w:tcPr>
            <w:tcW w:w="1368" w:type="pct"/>
            <w:tcMar>
              <w:top w:w="11" w:type="dxa"/>
              <w:left w:w="40" w:type="dxa"/>
              <w:bottom w:w="11" w:type="dxa"/>
              <w:right w:w="40" w:type="dxa"/>
            </w:tcMar>
          </w:tcPr>
          <w:p w14:paraId="571C7B67" w14:textId="10B3EA53" w:rsidR="00CB48FA" w:rsidRPr="00180C36" w:rsidRDefault="00CB48FA" w:rsidP="005B25B8">
            <w:r>
              <w:rPr>
                <w:rFonts w:ascii="Calibri" w:hAnsi="Calibri"/>
                <w:sz w:val="20"/>
              </w:rPr>
              <w:t>Corrected, thank you.</w:t>
            </w:r>
          </w:p>
        </w:tc>
      </w:tr>
      <w:tr w:rsidR="00CB48FA" w:rsidRPr="00180C36" w14:paraId="49585701" w14:textId="77777777" w:rsidTr="00CB48FA">
        <w:tc>
          <w:tcPr>
            <w:tcW w:w="483" w:type="pct"/>
            <w:tcMar>
              <w:top w:w="11" w:type="dxa"/>
              <w:left w:w="40" w:type="dxa"/>
              <w:bottom w:w="11" w:type="dxa"/>
              <w:right w:w="40" w:type="dxa"/>
            </w:tcMar>
          </w:tcPr>
          <w:p w14:paraId="1AD05818" w14:textId="77777777" w:rsidR="00CB48FA" w:rsidRPr="00180C36" w:rsidRDefault="00CB48FA" w:rsidP="00180C36"/>
        </w:tc>
        <w:tc>
          <w:tcPr>
            <w:tcW w:w="3149" w:type="pct"/>
            <w:tcMar>
              <w:top w:w="11" w:type="dxa"/>
              <w:left w:w="40" w:type="dxa"/>
              <w:bottom w:w="11" w:type="dxa"/>
              <w:right w:w="40" w:type="dxa"/>
            </w:tcMar>
          </w:tcPr>
          <w:p w14:paraId="45D05AE6" w14:textId="613130B7" w:rsidR="00CB48FA" w:rsidRPr="00180C36" w:rsidRDefault="00CB48FA" w:rsidP="005B25B8">
            <w:pPr>
              <w:pStyle w:val="ListParagraph"/>
              <w:numPr>
                <w:ilvl w:val="0"/>
                <w:numId w:val="45"/>
              </w:numPr>
              <w:tabs>
                <w:tab w:val="right" w:pos="369"/>
              </w:tabs>
              <w:spacing w:after="0" w:line="240" w:lineRule="auto"/>
            </w:pPr>
            <w:r w:rsidRPr="00843F6F">
              <w:rPr>
                <w:sz w:val="20"/>
              </w:rPr>
              <w:t xml:space="preserve">Although the future funding can not be guaranteed, I believe the project’s efforts to address this issue can be mentioned. I will separately enclose the final report (Nov.21 2018) of the consultant hired to address the future/post-project financial sustainability of the MMFA </w:t>
            </w:r>
          </w:p>
        </w:tc>
        <w:tc>
          <w:tcPr>
            <w:tcW w:w="1368" w:type="pct"/>
            <w:tcMar>
              <w:top w:w="11" w:type="dxa"/>
              <w:left w:w="40" w:type="dxa"/>
              <w:bottom w:w="11" w:type="dxa"/>
              <w:right w:w="40" w:type="dxa"/>
            </w:tcMar>
          </w:tcPr>
          <w:p w14:paraId="653BFCA6" w14:textId="3726D005" w:rsidR="00CB48FA" w:rsidRPr="00180C36" w:rsidRDefault="00CB48FA" w:rsidP="005B25B8">
            <w:r w:rsidRPr="00A55A75">
              <w:rPr>
                <w:rFonts w:ascii="Calibri" w:hAnsi="Calibri"/>
                <w:sz w:val="20"/>
              </w:rPr>
              <w:t>This information is included in a footnote.</w:t>
            </w:r>
          </w:p>
        </w:tc>
      </w:tr>
      <w:tr w:rsidR="00CB48FA" w:rsidRPr="00180C36" w14:paraId="4B9EDF35" w14:textId="77777777" w:rsidTr="00CB48FA">
        <w:tc>
          <w:tcPr>
            <w:tcW w:w="483" w:type="pct"/>
            <w:tcMar>
              <w:top w:w="11" w:type="dxa"/>
              <w:left w:w="40" w:type="dxa"/>
              <w:bottom w:w="11" w:type="dxa"/>
              <w:right w:w="40" w:type="dxa"/>
            </w:tcMar>
          </w:tcPr>
          <w:p w14:paraId="126B0254" w14:textId="77777777" w:rsidR="00CB48FA" w:rsidRPr="00180C36" w:rsidRDefault="00CB48FA" w:rsidP="00180C36"/>
        </w:tc>
        <w:tc>
          <w:tcPr>
            <w:tcW w:w="3149" w:type="pct"/>
            <w:tcMar>
              <w:top w:w="11" w:type="dxa"/>
              <w:left w:w="40" w:type="dxa"/>
              <w:bottom w:w="11" w:type="dxa"/>
              <w:right w:w="40" w:type="dxa"/>
            </w:tcMar>
          </w:tcPr>
          <w:p w14:paraId="2E44FFF2" w14:textId="67072D1A" w:rsidR="00CB48FA" w:rsidRPr="00180C36" w:rsidRDefault="00CB48FA" w:rsidP="005B25B8">
            <w:pPr>
              <w:pStyle w:val="ListParagraph"/>
              <w:numPr>
                <w:ilvl w:val="0"/>
                <w:numId w:val="45"/>
              </w:numPr>
              <w:tabs>
                <w:tab w:val="right" w:pos="369"/>
              </w:tabs>
              <w:spacing w:after="0" w:line="240" w:lineRule="auto"/>
            </w:pPr>
            <w:r w:rsidRPr="00843F6F">
              <w:rPr>
                <w:sz w:val="20"/>
              </w:rPr>
              <w:t>I am not sure how this is possible given the project has now terminated – some suggestions on how in practice APA and UNDP might implement the recommendations would be helpful.</w:t>
            </w:r>
          </w:p>
        </w:tc>
        <w:tc>
          <w:tcPr>
            <w:tcW w:w="1368" w:type="pct"/>
            <w:tcMar>
              <w:top w:w="11" w:type="dxa"/>
              <w:left w:w="40" w:type="dxa"/>
              <w:bottom w:w="11" w:type="dxa"/>
              <w:right w:w="40" w:type="dxa"/>
            </w:tcMar>
          </w:tcPr>
          <w:p w14:paraId="281BBFEE" w14:textId="195A1DC2" w:rsidR="00CB48FA" w:rsidRPr="00180C36" w:rsidRDefault="00CB48FA" w:rsidP="005B25B8">
            <w:r w:rsidRPr="00A55A75">
              <w:rPr>
                <w:rFonts w:ascii="Calibri" w:hAnsi="Calibri"/>
                <w:sz w:val="20"/>
              </w:rPr>
              <w:t>This and other recommendations has been revised I the light of this feedback.</w:t>
            </w:r>
          </w:p>
        </w:tc>
      </w:tr>
      <w:tr w:rsidR="00CB48FA" w:rsidRPr="00180C36" w14:paraId="49866965" w14:textId="77777777" w:rsidTr="00CB48FA">
        <w:tc>
          <w:tcPr>
            <w:tcW w:w="483" w:type="pct"/>
            <w:tcMar>
              <w:top w:w="11" w:type="dxa"/>
              <w:left w:w="40" w:type="dxa"/>
              <w:bottom w:w="11" w:type="dxa"/>
              <w:right w:w="40" w:type="dxa"/>
            </w:tcMar>
          </w:tcPr>
          <w:p w14:paraId="141A5524" w14:textId="77777777" w:rsidR="00CB48FA" w:rsidRPr="00180C36" w:rsidRDefault="00CB48FA" w:rsidP="00180C36"/>
        </w:tc>
        <w:tc>
          <w:tcPr>
            <w:tcW w:w="3149" w:type="pct"/>
            <w:tcMar>
              <w:top w:w="11" w:type="dxa"/>
              <w:left w:w="40" w:type="dxa"/>
              <w:bottom w:w="11" w:type="dxa"/>
              <w:right w:w="40" w:type="dxa"/>
            </w:tcMar>
          </w:tcPr>
          <w:p w14:paraId="51411234" w14:textId="313450C0" w:rsidR="00CB48FA" w:rsidRPr="00180C36" w:rsidRDefault="00CB48FA" w:rsidP="005B25B8">
            <w:pPr>
              <w:pStyle w:val="ListParagraph"/>
              <w:numPr>
                <w:ilvl w:val="0"/>
                <w:numId w:val="45"/>
              </w:numPr>
              <w:tabs>
                <w:tab w:val="right" w:pos="369"/>
              </w:tabs>
              <w:spacing w:after="0" w:line="240" w:lineRule="auto"/>
            </w:pPr>
            <w:r w:rsidRPr="00843F6F">
              <w:rPr>
                <w:sz w:val="20"/>
              </w:rPr>
              <w:t>Unsure of the details of this as there seemed to be mixed ideas about what exactly was to be developed!</w:t>
            </w:r>
          </w:p>
        </w:tc>
        <w:tc>
          <w:tcPr>
            <w:tcW w:w="1368" w:type="pct"/>
            <w:tcMar>
              <w:top w:w="11" w:type="dxa"/>
              <w:left w:w="40" w:type="dxa"/>
              <w:bottom w:w="11" w:type="dxa"/>
              <w:right w:w="40" w:type="dxa"/>
            </w:tcMar>
          </w:tcPr>
          <w:p w14:paraId="486443B6" w14:textId="77777777" w:rsidR="00CB48FA" w:rsidRPr="00180C36" w:rsidRDefault="00CB48FA" w:rsidP="005B25B8"/>
        </w:tc>
      </w:tr>
      <w:tr w:rsidR="00CB48FA" w:rsidRPr="00180C36" w14:paraId="0D6CB3C2" w14:textId="77777777" w:rsidTr="00CB48FA">
        <w:tc>
          <w:tcPr>
            <w:tcW w:w="483" w:type="pct"/>
            <w:tcMar>
              <w:top w:w="11" w:type="dxa"/>
              <w:left w:w="40" w:type="dxa"/>
              <w:bottom w:w="11" w:type="dxa"/>
              <w:right w:w="40" w:type="dxa"/>
            </w:tcMar>
          </w:tcPr>
          <w:p w14:paraId="683CF606" w14:textId="77777777" w:rsidR="00CB48FA" w:rsidRPr="00180C36" w:rsidRDefault="00CB48FA" w:rsidP="00180C36"/>
        </w:tc>
        <w:tc>
          <w:tcPr>
            <w:tcW w:w="3149" w:type="pct"/>
            <w:tcMar>
              <w:top w:w="11" w:type="dxa"/>
              <w:left w:w="40" w:type="dxa"/>
              <w:bottom w:w="11" w:type="dxa"/>
              <w:right w:w="40" w:type="dxa"/>
            </w:tcMar>
          </w:tcPr>
          <w:p w14:paraId="05B741B0" w14:textId="3F0AB536" w:rsidR="00CB48FA" w:rsidRPr="00180C36" w:rsidRDefault="00CB48FA" w:rsidP="005B25B8">
            <w:pPr>
              <w:pStyle w:val="ListParagraph"/>
              <w:numPr>
                <w:ilvl w:val="0"/>
                <w:numId w:val="45"/>
              </w:numPr>
              <w:tabs>
                <w:tab w:val="right" w:pos="369"/>
              </w:tabs>
              <w:spacing w:after="0" w:line="240" w:lineRule="auto"/>
            </w:pPr>
            <w:r w:rsidRPr="00843F6F">
              <w:rPr>
                <w:sz w:val="20"/>
              </w:rPr>
              <w:t>It is still being discussed and under development. So we can leave the wording like this</w:t>
            </w:r>
          </w:p>
        </w:tc>
        <w:tc>
          <w:tcPr>
            <w:tcW w:w="1368" w:type="pct"/>
            <w:tcMar>
              <w:top w:w="11" w:type="dxa"/>
              <w:left w:w="40" w:type="dxa"/>
              <w:bottom w:w="11" w:type="dxa"/>
              <w:right w:w="40" w:type="dxa"/>
            </w:tcMar>
          </w:tcPr>
          <w:p w14:paraId="625FB9ED" w14:textId="18D69BD5" w:rsidR="00CB48FA" w:rsidRPr="00180C36" w:rsidRDefault="00CB48FA" w:rsidP="005B25B8">
            <w:r w:rsidRPr="00DC13A0">
              <w:rPr>
                <w:rFonts w:ascii="Calibri" w:hAnsi="Calibri"/>
                <w:szCs w:val="22"/>
              </w:rPr>
              <w:t xml:space="preserve">Wording modified slightly: </w:t>
            </w:r>
            <w:r>
              <w:rPr>
                <w:rFonts w:ascii="Calibri" w:hAnsi="Calibri"/>
                <w:szCs w:val="22"/>
              </w:rPr>
              <w:t>“</w:t>
            </w:r>
            <w:r w:rsidRPr="00DC13A0">
              <w:rPr>
                <w:rFonts w:ascii="Calibri" w:hAnsi="Calibri"/>
                <w:i/>
                <w:szCs w:val="22"/>
              </w:rPr>
              <w:t>Implementation, in the case of Machakhela, is aligned with the cultural village/ semi-natural landscape concept that is under development by Achara A.R. governmen</w:t>
            </w:r>
            <w:r w:rsidRPr="00DC13A0">
              <w:rPr>
                <w:rFonts w:ascii="Calibri" w:hAnsi="Calibri"/>
                <w:szCs w:val="22"/>
              </w:rPr>
              <w:t>t;</w:t>
            </w:r>
            <w:r>
              <w:rPr>
                <w:rFonts w:ascii="Calibri" w:hAnsi="Calibri"/>
                <w:szCs w:val="22"/>
              </w:rPr>
              <w:t>”</w:t>
            </w:r>
          </w:p>
        </w:tc>
      </w:tr>
      <w:tr w:rsidR="00CB48FA" w:rsidRPr="00180C36" w14:paraId="34DEB64A" w14:textId="77777777" w:rsidTr="00CB48FA">
        <w:tc>
          <w:tcPr>
            <w:tcW w:w="483" w:type="pct"/>
            <w:tcMar>
              <w:top w:w="11" w:type="dxa"/>
              <w:left w:w="40" w:type="dxa"/>
              <w:bottom w:w="11" w:type="dxa"/>
              <w:right w:w="40" w:type="dxa"/>
            </w:tcMar>
          </w:tcPr>
          <w:p w14:paraId="0618476D" w14:textId="77777777" w:rsidR="00CB48FA" w:rsidRPr="00180C36" w:rsidRDefault="00CB48FA" w:rsidP="00180C36"/>
        </w:tc>
        <w:tc>
          <w:tcPr>
            <w:tcW w:w="3149" w:type="pct"/>
            <w:tcMar>
              <w:top w:w="11" w:type="dxa"/>
              <w:left w:w="40" w:type="dxa"/>
              <w:bottom w:w="11" w:type="dxa"/>
              <w:right w:w="40" w:type="dxa"/>
            </w:tcMar>
          </w:tcPr>
          <w:p w14:paraId="6C78D319" w14:textId="7C24EB3B" w:rsidR="00CB48FA" w:rsidRPr="00180C36" w:rsidRDefault="00CB48FA" w:rsidP="005B25B8">
            <w:pPr>
              <w:pStyle w:val="ListParagraph"/>
              <w:numPr>
                <w:ilvl w:val="0"/>
                <w:numId w:val="45"/>
              </w:numPr>
              <w:tabs>
                <w:tab w:val="right" w:pos="369"/>
              </w:tabs>
              <w:spacing w:after="0" w:line="240" w:lineRule="auto"/>
            </w:pPr>
            <w:r w:rsidRPr="00843F6F">
              <w:rPr>
                <w:sz w:val="20"/>
              </w:rPr>
              <w:t>Most of this 6 km gap is designated Forestry Agency territory so is reasonably secure though perhaps a need to explicitly include something to the local forestry 10 year plan about its importance in this regard and management to reflect. Main barrier is the highway but this is mainly a larger mammal connectivity issue not forest.</w:t>
            </w:r>
          </w:p>
        </w:tc>
        <w:tc>
          <w:tcPr>
            <w:tcW w:w="1368" w:type="pct"/>
            <w:tcMar>
              <w:top w:w="11" w:type="dxa"/>
              <w:left w:w="40" w:type="dxa"/>
              <w:bottom w:w="11" w:type="dxa"/>
              <w:right w:w="40" w:type="dxa"/>
            </w:tcMar>
          </w:tcPr>
          <w:p w14:paraId="72475041" w14:textId="2F6120C2" w:rsidR="00CB48FA" w:rsidRPr="00180C36" w:rsidRDefault="00CB48FA" w:rsidP="005B25B8">
            <w:r>
              <w:rPr>
                <w:rFonts w:ascii="Calibri" w:hAnsi="Calibri"/>
                <w:sz w:val="20"/>
              </w:rPr>
              <w:t>This additional informational is helpful and has been incorporated into the recommendation.</w:t>
            </w:r>
          </w:p>
        </w:tc>
      </w:tr>
      <w:tr w:rsidR="00CB48FA" w:rsidRPr="00180C36" w14:paraId="1D06C23E" w14:textId="77777777" w:rsidTr="00CB48FA">
        <w:tc>
          <w:tcPr>
            <w:tcW w:w="483" w:type="pct"/>
            <w:tcMar>
              <w:top w:w="11" w:type="dxa"/>
              <w:left w:w="40" w:type="dxa"/>
              <w:bottom w:w="11" w:type="dxa"/>
              <w:right w:w="40" w:type="dxa"/>
            </w:tcMar>
          </w:tcPr>
          <w:p w14:paraId="384B712D" w14:textId="77777777" w:rsidR="00CB48FA" w:rsidRPr="00180C36" w:rsidRDefault="00CB48FA" w:rsidP="00180C36"/>
        </w:tc>
        <w:tc>
          <w:tcPr>
            <w:tcW w:w="3149" w:type="pct"/>
            <w:tcMar>
              <w:top w:w="11" w:type="dxa"/>
              <w:left w:w="40" w:type="dxa"/>
              <w:bottom w:w="11" w:type="dxa"/>
              <w:right w:w="40" w:type="dxa"/>
            </w:tcMar>
          </w:tcPr>
          <w:p w14:paraId="414192E8" w14:textId="3C3282BA" w:rsidR="00CB48FA" w:rsidRPr="00180C36" w:rsidRDefault="00CB48FA" w:rsidP="005B25B8">
            <w:pPr>
              <w:pStyle w:val="ListParagraph"/>
              <w:numPr>
                <w:ilvl w:val="0"/>
                <w:numId w:val="45"/>
              </w:numPr>
              <w:tabs>
                <w:tab w:val="right" w:pos="369"/>
              </w:tabs>
              <w:spacing w:after="0" w:line="240" w:lineRule="auto"/>
            </w:pPr>
            <w:r w:rsidRPr="00843F6F">
              <w:rPr>
                <w:sz w:val="20"/>
              </w:rPr>
              <w:t>I am a confused, maybe I misunderstand something. The Achara PA project PIF (at least the version I have) doesn’t mention anything about financial sustainability and effective management of 12 out of 20 priority PA’s. ??? I will enclose the 4732 PIF separately.</w:t>
            </w:r>
          </w:p>
        </w:tc>
        <w:tc>
          <w:tcPr>
            <w:tcW w:w="1368" w:type="pct"/>
            <w:tcMar>
              <w:top w:w="11" w:type="dxa"/>
              <w:left w:w="40" w:type="dxa"/>
              <w:bottom w:w="11" w:type="dxa"/>
              <w:right w:w="40" w:type="dxa"/>
            </w:tcMar>
          </w:tcPr>
          <w:p w14:paraId="0BAD93AB" w14:textId="78CDE1A6" w:rsidR="00CB48FA" w:rsidRPr="00180C36" w:rsidRDefault="00CB48FA" w:rsidP="005B25B8">
            <w:r w:rsidRPr="00CC42BD">
              <w:rPr>
                <w:rFonts w:ascii="Calibri" w:hAnsi="Calibri"/>
                <w:sz w:val="20"/>
              </w:rPr>
              <w:t>This paragraph has been deleted from Section 3.1.1 as the evidence (PIF document) from where this information was taken cannot be traced, maybe it was an early version.  Certainly, it stacks up with paragraph 35 of the MTR and could ha</w:t>
            </w:r>
            <w:r>
              <w:rPr>
                <w:rFonts w:ascii="Calibri" w:hAnsi="Calibri"/>
                <w:sz w:val="20"/>
              </w:rPr>
              <w:t>ve been an early version. Clearly</w:t>
            </w:r>
            <w:r w:rsidRPr="00CC42BD">
              <w:rPr>
                <w:rFonts w:ascii="Calibri" w:hAnsi="Calibri"/>
                <w:sz w:val="20"/>
              </w:rPr>
              <w:t>, it is not the approved version.</w:t>
            </w:r>
          </w:p>
        </w:tc>
      </w:tr>
      <w:tr w:rsidR="00CB48FA" w:rsidRPr="00180C36" w14:paraId="335BB92F" w14:textId="77777777" w:rsidTr="00CB48FA">
        <w:tc>
          <w:tcPr>
            <w:tcW w:w="483" w:type="pct"/>
            <w:tcMar>
              <w:top w:w="11" w:type="dxa"/>
              <w:left w:w="40" w:type="dxa"/>
              <w:bottom w:w="11" w:type="dxa"/>
              <w:right w:w="40" w:type="dxa"/>
            </w:tcMar>
          </w:tcPr>
          <w:p w14:paraId="3D1534DA" w14:textId="77777777" w:rsidR="00CB48FA" w:rsidRPr="00180C36" w:rsidRDefault="00CB48FA" w:rsidP="00180C36"/>
        </w:tc>
        <w:tc>
          <w:tcPr>
            <w:tcW w:w="3149" w:type="pct"/>
            <w:tcMar>
              <w:top w:w="11" w:type="dxa"/>
              <w:left w:w="40" w:type="dxa"/>
              <w:bottom w:w="11" w:type="dxa"/>
              <w:right w:w="40" w:type="dxa"/>
            </w:tcMar>
          </w:tcPr>
          <w:p w14:paraId="71995D45" w14:textId="0D569378" w:rsidR="00CB48FA" w:rsidRPr="00180C36" w:rsidRDefault="00CB48FA" w:rsidP="005B25B8">
            <w:pPr>
              <w:pStyle w:val="ListParagraph"/>
              <w:numPr>
                <w:ilvl w:val="0"/>
                <w:numId w:val="45"/>
              </w:numPr>
              <w:tabs>
                <w:tab w:val="right" w:pos="369"/>
              </w:tabs>
              <w:spacing w:after="0" w:line="240" w:lineRule="auto"/>
            </w:pPr>
            <w:r w:rsidRPr="00843F6F">
              <w:rPr>
                <w:sz w:val="20"/>
              </w:rPr>
              <w:t>Question for APA/UNDP or PMU – is this accurate/correct?</w:t>
            </w:r>
          </w:p>
        </w:tc>
        <w:tc>
          <w:tcPr>
            <w:tcW w:w="1368" w:type="pct"/>
            <w:tcMar>
              <w:top w:w="11" w:type="dxa"/>
              <w:left w:w="40" w:type="dxa"/>
              <w:bottom w:w="11" w:type="dxa"/>
              <w:right w:w="40" w:type="dxa"/>
            </w:tcMar>
          </w:tcPr>
          <w:p w14:paraId="239C043F" w14:textId="77777777" w:rsidR="00CB48FA" w:rsidRPr="00180C36" w:rsidRDefault="00CB48FA" w:rsidP="005B25B8"/>
        </w:tc>
      </w:tr>
      <w:tr w:rsidR="00CB48FA" w:rsidRPr="00180C36" w14:paraId="763ADFDC" w14:textId="77777777" w:rsidTr="00CB48FA">
        <w:tc>
          <w:tcPr>
            <w:tcW w:w="483" w:type="pct"/>
            <w:tcMar>
              <w:top w:w="11" w:type="dxa"/>
              <w:left w:w="40" w:type="dxa"/>
              <w:bottom w:w="11" w:type="dxa"/>
              <w:right w:w="40" w:type="dxa"/>
            </w:tcMar>
          </w:tcPr>
          <w:p w14:paraId="3E5F4675" w14:textId="0908128B" w:rsidR="00CB48FA" w:rsidRPr="00180C36" w:rsidRDefault="00CB48FA" w:rsidP="00180C36"/>
        </w:tc>
        <w:tc>
          <w:tcPr>
            <w:tcW w:w="3149" w:type="pct"/>
            <w:tcMar>
              <w:top w:w="11" w:type="dxa"/>
              <w:left w:w="40" w:type="dxa"/>
              <w:bottom w:w="11" w:type="dxa"/>
              <w:right w:w="40" w:type="dxa"/>
            </w:tcMar>
          </w:tcPr>
          <w:p w14:paraId="681EB91D" w14:textId="4D64274D" w:rsidR="00CB48FA" w:rsidRPr="00180C36" w:rsidRDefault="00CB48FA" w:rsidP="005B25B8">
            <w:pPr>
              <w:pStyle w:val="ListParagraph"/>
              <w:numPr>
                <w:ilvl w:val="0"/>
                <w:numId w:val="45"/>
              </w:numPr>
              <w:tabs>
                <w:tab w:val="right" w:pos="369"/>
              </w:tabs>
              <w:spacing w:after="0" w:line="240" w:lineRule="auto"/>
            </w:pPr>
            <w:r w:rsidRPr="00843F6F">
              <w:rPr>
                <w:sz w:val="20"/>
              </w:rPr>
              <w:t>Yes</w:t>
            </w:r>
          </w:p>
        </w:tc>
        <w:tc>
          <w:tcPr>
            <w:tcW w:w="1368" w:type="pct"/>
            <w:tcMar>
              <w:top w:w="11" w:type="dxa"/>
              <w:left w:w="40" w:type="dxa"/>
              <w:bottom w:w="11" w:type="dxa"/>
              <w:right w:w="40" w:type="dxa"/>
            </w:tcMar>
          </w:tcPr>
          <w:p w14:paraId="7DB079BA" w14:textId="3700CE20" w:rsidR="00CB48FA" w:rsidRPr="00180C36" w:rsidRDefault="00CB48FA" w:rsidP="005B25B8"/>
        </w:tc>
      </w:tr>
      <w:tr w:rsidR="00CB48FA" w:rsidRPr="00180C36" w14:paraId="0A130044" w14:textId="77777777" w:rsidTr="00CB48FA">
        <w:tc>
          <w:tcPr>
            <w:tcW w:w="483" w:type="pct"/>
            <w:tcMar>
              <w:top w:w="11" w:type="dxa"/>
              <w:left w:w="40" w:type="dxa"/>
              <w:bottom w:w="11" w:type="dxa"/>
              <w:right w:w="40" w:type="dxa"/>
            </w:tcMar>
          </w:tcPr>
          <w:p w14:paraId="1A09381A" w14:textId="5CAA9FDF" w:rsidR="00CB48FA" w:rsidRPr="00180C36" w:rsidRDefault="00CB48FA" w:rsidP="00180C36"/>
        </w:tc>
        <w:tc>
          <w:tcPr>
            <w:tcW w:w="3149" w:type="pct"/>
            <w:tcMar>
              <w:top w:w="11" w:type="dxa"/>
              <w:left w:w="40" w:type="dxa"/>
              <w:bottom w:w="11" w:type="dxa"/>
              <w:right w:w="40" w:type="dxa"/>
            </w:tcMar>
          </w:tcPr>
          <w:p w14:paraId="6EB9F7D0" w14:textId="1644A478" w:rsidR="00CB48FA" w:rsidRPr="00180C36" w:rsidRDefault="00CB48FA" w:rsidP="005B25B8">
            <w:pPr>
              <w:pStyle w:val="ListParagraph"/>
              <w:numPr>
                <w:ilvl w:val="0"/>
                <w:numId w:val="45"/>
              </w:numPr>
              <w:tabs>
                <w:tab w:val="right" w:pos="369"/>
              </w:tabs>
              <w:spacing w:after="0" w:line="240" w:lineRule="auto"/>
            </w:pPr>
            <w:r w:rsidRPr="00843F6F">
              <w:rPr>
                <w:sz w:val="20"/>
              </w:rPr>
              <w:t>Not sure from my notes if this statement is correct - noted during one of our interviews but may have misunderstood?.</w:t>
            </w:r>
          </w:p>
        </w:tc>
        <w:tc>
          <w:tcPr>
            <w:tcW w:w="1368" w:type="pct"/>
            <w:tcMar>
              <w:top w:w="11" w:type="dxa"/>
              <w:left w:w="40" w:type="dxa"/>
              <w:bottom w:w="11" w:type="dxa"/>
              <w:right w:w="40" w:type="dxa"/>
            </w:tcMar>
          </w:tcPr>
          <w:p w14:paraId="6F64D381" w14:textId="19EC4D92" w:rsidR="00CB48FA" w:rsidRPr="00180C36" w:rsidRDefault="00CB48FA" w:rsidP="005B25B8"/>
        </w:tc>
      </w:tr>
      <w:tr w:rsidR="00CB48FA" w:rsidRPr="00180C36" w14:paraId="4A40C176" w14:textId="77777777" w:rsidTr="00CB48FA">
        <w:tc>
          <w:tcPr>
            <w:tcW w:w="483" w:type="pct"/>
            <w:tcMar>
              <w:top w:w="11" w:type="dxa"/>
              <w:left w:w="40" w:type="dxa"/>
              <w:bottom w:w="11" w:type="dxa"/>
              <w:right w:w="40" w:type="dxa"/>
            </w:tcMar>
          </w:tcPr>
          <w:p w14:paraId="1274652E" w14:textId="60B7CDA4" w:rsidR="00CB48FA" w:rsidRPr="00180C36" w:rsidRDefault="00CB48FA" w:rsidP="00180C36"/>
        </w:tc>
        <w:tc>
          <w:tcPr>
            <w:tcW w:w="3149" w:type="pct"/>
            <w:tcMar>
              <w:top w:w="11" w:type="dxa"/>
              <w:left w:w="40" w:type="dxa"/>
              <w:bottom w:w="11" w:type="dxa"/>
              <w:right w:w="40" w:type="dxa"/>
            </w:tcMar>
          </w:tcPr>
          <w:p w14:paraId="165A5C72" w14:textId="62664DDB" w:rsidR="00CB48FA" w:rsidRPr="00180C36" w:rsidRDefault="00CB48FA" w:rsidP="005B25B8">
            <w:pPr>
              <w:pStyle w:val="ListParagraph"/>
              <w:numPr>
                <w:ilvl w:val="0"/>
                <w:numId w:val="45"/>
              </w:numPr>
              <w:tabs>
                <w:tab w:val="right" w:pos="369"/>
              </w:tabs>
              <w:spacing w:after="0" w:line="240" w:lineRule="auto"/>
            </w:pPr>
            <w:r w:rsidRPr="00843F6F">
              <w:rPr>
                <w:sz w:val="20"/>
              </w:rPr>
              <w:t xml:space="preserve">In principle it is correct. Maybe is better to state that Municipality will allocate funds, without specifying the source (be it Achara Govt, National Govt, own income etc). </w:t>
            </w:r>
          </w:p>
        </w:tc>
        <w:tc>
          <w:tcPr>
            <w:tcW w:w="1368" w:type="pct"/>
            <w:tcMar>
              <w:top w:w="11" w:type="dxa"/>
              <w:left w:w="40" w:type="dxa"/>
              <w:bottom w:w="11" w:type="dxa"/>
              <w:right w:w="40" w:type="dxa"/>
            </w:tcMar>
          </w:tcPr>
          <w:p w14:paraId="239946E0" w14:textId="09C5C897" w:rsidR="00CB48FA" w:rsidRPr="00180C36" w:rsidRDefault="00CB48FA" w:rsidP="005B25B8">
            <w:r w:rsidRPr="004D6148">
              <w:rPr>
                <w:rFonts w:ascii="Calibri" w:hAnsi="Calibri"/>
                <w:sz w:val="20"/>
              </w:rPr>
              <w:t>This advice has been taken and text amended accordingly</w:t>
            </w:r>
            <w:r>
              <w:rPr>
                <w:rFonts w:ascii="Calibri" w:hAnsi="Calibri"/>
              </w:rPr>
              <w:t>.</w:t>
            </w:r>
          </w:p>
        </w:tc>
      </w:tr>
      <w:tr w:rsidR="00CB48FA" w:rsidRPr="00180C36" w14:paraId="0593FE2B" w14:textId="77777777" w:rsidTr="00CB48FA">
        <w:tc>
          <w:tcPr>
            <w:tcW w:w="483" w:type="pct"/>
            <w:tcMar>
              <w:top w:w="11" w:type="dxa"/>
              <w:left w:w="40" w:type="dxa"/>
              <w:bottom w:w="11" w:type="dxa"/>
              <w:right w:w="40" w:type="dxa"/>
            </w:tcMar>
          </w:tcPr>
          <w:p w14:paraId="5736DB77" w14:textId="77777777" w:rsidR="00CB48FA" w:rsidRPr="00180C36" w:rsidRDefault="00CB48FA" w:rsidP="00180C36"/>
        </w:tc>
        <w:tc>
          <w:tcPr>
            <w:tcW w:w="3149" w:type="pct"/>
            <w:tcMar>
              <w:top w:w="11" w:type="dxa"/>
              <w:left w:w="40" w:type="dxa"/>
              <w:bottom w:w="11" w:type="dxa"/>
              <w:right w:w="40" w:type="dxa"/>
            </w:tcMar>
          </w:tcPr>
          <w:p w14:paraId="6E8E4C74" w14:textId="03AD1044" w:rsidR="00CB48FA" w:rsidRPr="00180C36" w:rsidRDefault="00CB48FA" w:rsidP="005B25B8">
            <w:pPr>
              <w:pStyle w:val="ListParagraph"/>
              <w:numPr>
                <w:ilvl w:val="0"/>
                <w:numId w:val="45"/>
              </w:numPr>
              <w:tabs>
                <w:tab w:val="right" w:pos="369"/>
              </w:tabs>
              <w:spacing w:after="0" w:line="240" w:lineRule="auto"/>
            </w:pPr>
            <w:r w:rsidRPr="00843F6F">
              <w:rPr>
                <w:sz w:val="20"/>
              </w:rPr>
              <w:t xml:space="preserve">The “community ranger” and “junior ranger” programs were designed and implemented under Achara PA project in Mtirala (both) and Machakhela (Junior rangers only). No such projects were implemented by Kintrishi FA in Kintrishi PA support zone (under KfW SPPA project). The experience that was used from the Kintrishi FA was only related to the process fo establishment of FA (structure, charter etc) which was similar to establishment of other FA’s under the KfW SPPA project. </w:t>
            </w:r>
          </w:p>
        </w:tc>
        <w:tc>
          <w:tcPr>
            <w:tcW w:w="1368" w:type="pct"/>
            <w:tcMar>
              <w:top w:w="11" w:type="dxa"/>
              <w:left w:w="40" w:type="dxa"/>
              <w:bottom w:w="11" w:type="dxa"/>
              <w:right w:w="40" w:type="dxa"/>
            </w:tcMar>
          </w:tcPr>
          <w:p w14:paraId="6417F161" w14:textId="2155B827" w:rsidR="00CB48FA" w:rsidRPr="00180C36" w:rsidRDefault="00CB48FA" w:rsidP="005B25B8">
            <w:r w:rsidRPr="007F71DA">
              <w:rPr>
                <w:rFonts w:ascii="Calibri" w:hAnsi="Calibri"/>
                <w:sz w:val="20"/>
              </w:rPr>
              <w:t xml:space="preserve">Thank you </w:t>
            </w:r>
            <w:r>
              <w:rPr>
                <w:rFonts w:ascii="Calibri" w:hAnsi="Calibri"/>
                <w:sz w:val="20"/>
              </w:rPr>
              <w:t>spotting this anomaly.</w:t>
            </w:r>
            <w:r w:rsidRPr="007F71DA">
              <w:rPr>
                <w:rFonts w:ascii="Calibri" w:hAnsi="Calibri"/>
                <w:sz w:val="20"/>
              </w:rPr>
              <w:t xml:space="preserve"> The apparent confusion arises from the words: “Experience from Kintrishi PAs’ Friends Association” – which </w:t>
            </w:r>
            <w:r>
              <w:rPr>
                <w:rFonts w:ascii="Calibri" w:hAnsi="Calibri"/>
                <w:sz w:val="20"/>
              </w:rPr>
              <w:t>should have been picked up in the proof reading. They have been deleted.</w:t>
            </w:r>
          </w:p>
        </w:tc>
      </w:tr>
      <w:tr w:rsidR="00CB48FA" w:rsidRPr="00180C36" w14:paraId="185109EF" w14:textId="77777777" w:rsidTr="00CB48FA">
        <w:tc>
          <w:tcPr>
            <w:tcW w:w="483" w:type="pct"/>
            <w:tcMar>
              <w:top w:w="11" w:type="dxa"/>
              <w:left w:w="40" w:type="dxa"/>
              <w:bottom w:w="11" w:type="dxa"/>
              <w:right w:w="40" w:type="dxa"/>
            </w:tcMar>
          </w:tcPr>
          <w:p w14:paraId="6DDC9405" w14:textId="77777777" w:rsidR="00CB48FA" w:rsidRPr="00180C36" w:rsidRDefault="00CB48FA" w:rsidP="00180C36"/>
        </w:tc>
        <w:tc>
          <w:tcPr>
            <w:tcW w:w="3149" w:type="pct"/>
            <w:tcMar>
              <w:top w:w="11" w:type="dxa"/>
              <w:left w:w="40" w:type="dxa"/>
              <w:bottom w:w="11" w:type="dxa"/>
              <w:right w:w="40" w:type="dxa"/>
            </w:tcMar>
          </w:tcPr>
          <w:p w14:paraId="4227721C" w14:textId="70867387" w:rsidR="00CB48FA" w:rsidRPr="00180C36" w:rsidRDefault="00CB48FA" w:rsidP="005B25B8">
            <w:pPr>
              <w:pStyle w:val="ListParagraph"/>
              <w:numPr>
                <w:ilvl w:val="0"/>
                <w:numId w:val="45"/>
              </w:numPr>
              <w:tabs>
                <w:tab w:val="right" w:pos="369"/>
              </w:tabs>
              <w:spacing w:after="0" w:line="240" w:lineRule="auto"/>
            </w:pPr>
            <w:r w:rsidRPr="00843F6F">
              <w:rPr>
                <w:sz w:val="20"/>
              </w:rPr>
              <w:t>Were the officially termed councils or boards? Both terms appear to be used!</w:t>
            </w:r>
          </w:p>
        </w:tc>
        <w:tc>
          <w:tcPr>
            <w:tcW w:w="1368" w:type="pct"/>
            <w:tcMar>
              <w:top w:w="11" w:type="dxa"/>
              <w:left w:w="40" w:type="dxa"/>
              <w:bottom w:w="11" w:type="dxa"/>
              <w:right w:w="40" w:type="dxa"/>
            </w:tcMar>
          </w:tcPr>
          <w:p w14:paraId="7E518465" w14:textId="77777777" w:rsidR="00CB48FA" w:rsidRPr="00180C36" w:rsidRDefault="00CB48FA" w:rsidP="005B25B8"/>
        </w:tc>
      </w:tr>
      <w:tr w:rsidR="00CB48FA" w:rsidRPr="00180C36" w14:paraId="1E979EB7" w14:textId="77777777" w:rsidTr="00CB48FA">
        <w:tc>
          <w:tcPr>
            <w:tcW w:w="483" w:type="pct"/>
            <w:tcMar>
              <w:top w:w="11" w:type="dxa"/>
              <w:left w:w="40" w:type="dxa"/>
              <w:bottom w:w="11" w:type="dxa"/>
              <w:right w:w="40" w:type="dxa"/>
            </w:tcMar>
          </w:tcPr>
          <w:p w14:paraId="53B1C855" w14:textId="77777777" w:rsidR="00CB48FA" w:rsidRPr="00180C36" w:rsidRDefault="00CB48FA" w:rsidP="00180C36"/>
        </w:tc>
        <w:tc>
          <w:tcPr>
            <w:tcW w:w="3149" w:type="pct"/>
            <w:tcMar>
              <w:top w:w="11" w:type="dxa"/>
              <w:left w:w="40" w:type="dxa"/>
              <w:bottom w:w="11" w:type="dxa"/>
              <w:right w:w="40" w:type="dxa"/>
            </w:tcMar>
          </w:tcPr>
          <w:p w14:paraId="665F36EC" w14:textId="710AE732" w:rsidR="00CB48FA" w:rsidRPr="00180C36" w:rsidRDefault="00CB48FA" w:rsidP="005B25B8">
            <w:pPr>
              <w:pStyle w:val="ListParagraph"/>
              <w:numPr>
                <w:ilvl w:val="0"/>
                <w:numId w:val="45"/>
              </w:numPr>
              <w:tabs>
                <w:tab w:val="right" w:pos="369"/>
              </w:tabs>
              <w:spacing w:after="0" w:line="240" w:lineRule="auto"/>
            </w:pPr>
            <w:r w:rsidRPr="00843F6F">
              <w:rPr>
                <w:sz w:val="20"/>
              </w:rPr>
              <w:t xml:space="preserve">Both terms correspond to the Georgian word/definition. However, these structure in English were commonly called “Scientific Advisory Councils” </w:t>
            </w:r>
          </w:p>
        </w:tc>
        <w:tc>
          <w:tcPr>
            <w:tcW w:w="1368" w:type="pct"/>
            <w:tcMar>
              <w:top w:w="11" w:type="dxa"/>
              <w:left w:w="40" w:type="dxa"/>
              <w:bottom w:w="11" w:type="dxa"/>
              <w:right w:w="40" w:type="dxa"/>
            </w:tcMar>
          </w:tcPr>
          <w:p w14:paraId="6DCAF7F7" w14:textId="4A544B65" w:rsidR="00CB48FA" w:rsidRPr="00180C36" w:rsidRDefault="00CB48FA" w:rsidP="005B25B8">
            <w:r w:rsidRPr="00EF5FAF">
              <w:rPr>
                <w:rFonts w:ascii="Calibri" w:hAnsi="Calibri"/>
                <w:sz w:val="20"/>
              </w:rPr>
              <w:t>Noted, thank you.</w:t>
            </w:r>
          </w:p>
        </w:tc>
      </w:tr>
      <w:tr w:rsidR="00CB48FA" w:rsidRPr="00180C36" w14:paraId="005DB205" w14:textId="77777777" w:rsidTr="00CB48FA">
        <w:tc>
          <w:tcPr>
            <w:tcW w:w="483" w:type="pct"/>
            <w:tcMar>
              <w:top w:w="11" w:type="dxa"/>
              <w:left w:w="40" w:type="dxa"/>
              <w:bottom w:w="11" w:type="dxa"/>
              <w:right w:w="40" w:type="dxa"/>
            </w:tcMar>
          </w:tcPr>
          <w:p w14:paraId="47FDEC69" w14:textId="77777777" w:rsidR="00CB48FA" w:rsidRPr="00180C36" w:rsidRDefault="00CB48FA" w:rsidP="00180C36"/>
        </w:tc>
        <w:tc>
          <w:tcPr>
            <w:tcW w:w="3149" w:type="pct"/>
            <w:tcMar>
              <w:top w:w="11" w:type="dxa"/>
              <w:left w:w="40" w:type="dxa"/>
              <w:bottom w:w="11" w:type="dxa"/>
              <w:right w:w="40" w:type="dxa"/>
            </w:tcMar>
          </w:tcPr>
          <w:p w14:paraId="736360F7" w14:textId="1EDD40A1" w:rsidR="00CB48FA" w:rsidRPr="00180C36" w:rsidRDefault="00CB48FA" w:rsidP="005B25B8">
            <w:pPr>
              <w:pStyle w:val="ListParagraph"/>
              <w:numPr>
                <w:ilvl w:val="0"/>
                <w:numId w:val="45"/>
              </w:numPr>
              <w:tabs>
                <w:tab w:val="right" w:pos="369"/>
              </w:tabs>
              <w:spacing w:after="0" w:line="240" w:lineRule="auto"/>
            </w:pPr>
            <w:r w:rsidRPr="00843F6F">
              <w:rPr>
                <w:sz w:val="20"/>
              </w:rPr>
              <w:t>Or revise the existing instrument under which the Association operates.</w:t>
            </w:r>
          </w:p>
        </w:tc>
        <w:tc>
          <w:tcPr>
            <w:tcW w:w="1368" w:type="pct"/>
            <w:tcMar>
              <w:top w:w="11" w:type="dxa"/>
              <w:left w:w="40" w:type="dxa"/>
              <w:bottom w:w="11" w:type="dxa"/>
              <w:right w:w="40" w:type="dxa"/>
            </w:tcMar>
          </w:tcPr>
          <w:p w14:paraId="468BE85A" w14:textId="77777777" w:rsidR="00CB48FA" w:rsidRPr="00180C36" w:rsidRDefault="00CB48FA" w:rsidP="005B25B8"/>
        </w:tc>
      </w:tr>
      <w:tr w:rsidR="00CB48FA" w:rsidRPr="00180C36" w14:paraId="3B3DB498" w14:textId="77777777" w:rsidTr="00CB48FA">
        <w:tc>
          <w:tcPr>
            <w:tcW w:w="483" w:type="pct"/>
            <w:tcMar>
              <w:top w:w="11" w:type="dxa"/>
              <w:left w:w="40" w:type="dxa"/>
              <w:bottom w:w="11" w:type="dxa"/>
              <w:right w:w="40" w:type="dxa"/>
            </w:tcMar>
          </w:tcPr>
          <w:p w14:paraId="321BB704" w14:textId="77777777" w:rsidR="00CB48FA" w:rsidRPr="00180C36" w:rsidRDefault="00CB48FA" w:rsidP="00180C36"/>
        </w:tc>
        <w:tc>
          <w:tcPr>
            <w:tcW w:w="3149" w:type="pct"/>
            <w:tcMar>
              <w:top w:w="11" w:type="dxa"/>
              <w:left w:w="40" w:type="dxa"/>
              <w:bottom w:w="11" w:type="dxa"/>
              <w:right w:w="40" w:type="dxa"/>
            </w:tcMar>
          </w:tcPr>
          <w:p w14:paraId="6C48DF61" w14:textId="29051949" w:rsidR="00CB48FA" w:rsidRPr="00180C36" w:rsidRDefault="00CB48FA" w:rsidP="005B25B8">
            <w:pPr>
              <w:pStyle w:val="ListParagraph"/>
              <w:numPr>
                <w:ilvl w:val="0"/>
                <w:numId w:val="45"/>
              </w:numPr>
              <w:tabs>
                <w:tab w:val="right" w:pos="369"/>
              </w:tabs>
              <w:spacing w:after="0" w:line="240" w:lineRule="auto"/>
            </w:pPr>
            <w:r w:rsidRPr="00843F6F">
              <w:rPr>
                <w:sz w:val="20"/>
              </w:rPr>
              <w:t>I think this already exists and the strategy document also clarifies the role, scope of activities, etc. The FA is committed to implementing the strategy – so I think much of this recommendation is perhaps unnecessary.</w:t>
            </w:r>
          </w:p>
        </w:tc>
        <w:tc>
          <w:tcPr>
            <w:tcW w:w="1368" w:type="pct"/>
            <w:tcMar>
              <w:top w:w="11" w:type="dxa"/>
              <w:left w:w="40" w:type="dxa"/>
              <w:bottom w:w="11" w:type="dxa"/>
              <w:right w:w="40" w:type="dxa"/>
            </w:tcMar>
          </w:tcPr>
          <w:p w14:paraId="42AE7EA7" w14:textId="43A7D338" w:rsidR="00CB48FA" w:rsidRPr="00180C36" w:rsidRDefault="00CB48FA" w:rsidP="005B25B8">
            <w:r w:rsidRPr="00A55A75">
              <w:rPr>
                <w:rFonts w:ascii="Calibri" w:hAnsi="Calibri"/>
                <w:sz w:val="20"/>
              </w:rPr>
              <w:t>The recommendation has been modified in the light of this feedback.</w:t>
            </w:r>
          </w:p>
        </w:tc>
      </w:tr>
      <w:tr w:rsidR="00CB48FA" w:rsidRPr="00180C36" w14:paraId="552BB5C4" w14:textId="77777777" w:rsidTr="00CB48FA">
        <w:tc>
          <w:tcPr>
            <w:tcW w:w="483" w:type="pct"/>
            <w:tcMar>
              <w:top w:w="11" w:type="dxa"/>
              <w:left w:w="40" w:type="dxa"/>
              <w:bottom w:w="11" w:type="dxa"/>
              <w:right w:w="40" w:type="dxa"/>
            </w:tcMar>
          </w:tcPr>
          <w:p w14:paraId="1DDE0664" w14:textId="77777777" w:rsidR="00CB48FA" w:rsidRPr="00180C36" w:rsidRDefault="00CB48FA" w:rsidP="00180C36"/>
        </w:tc>
        <w:tc>
          <w:tcPr>
            <w:tcW w:w="3149" w:type="pct"/>
            <w:tcMar>
              <w:top w:w="11" w:type="dxa"/>
              <w:left w:w="40" w:type="dxa"/>
              <w:bottom w:w="11" w:type="dxa"/>
              <w:right w:w="40" w:type="dxa"/>
            </w:tcMar>
          </w:tcPr>
          <w:p w14:paraId="69A7F242" w14:textId="29870693" w:rsidR="00CB48FA" w:rsidRPr="00180C36" w:rsidRDefault="00CB48FA" w:rsidP="005B25B8">
            <w:pPr>
              <w:pStyle w:val="ListParagraph"/>
              <w:numPr>
                <w:ilvl w:val="0"/>
                <w:numId w:val="45"/>
              </w:numPr>
              <w:tabs>
                <w:tab w:val="right" w:pos="369"/>
              </w:tabs>
              <w:spacing w:after="0" w:line="240" w:lineRule="auto"/>
            </w:pPr>
            <w:r w:rsidRPr="00843F6F">
              <w:rPr>
                <w:sz w:val="20"/>
              </w:rPr>
              <w:t xml:space="preserve">In brief, the assessment concluded that due to the highly centralized financial control mechanisms in place, and that all income generated (from fines. Resource use or tourism services, </w:t>
            </w:r>
            <w:r>
              <w:rPr>
                <w:sz w:val="20"/>
              </w:rPr>
              <w:t xml:space="preserve">etc) reverted directly to APA, </w:t>
            </w:r>
            <w:r w:rsidRPr="00843F6F">
              <w:rPr>
                <w:sz w:val="20"/>
              </w:rPr>
              <w:t>individual protected areas did not have sufficient control or delegation of authority to develop PA specific Business Plans. Based on this it was decided the best option would be to introduce some level of financial planning into the 3 year OP (including identification of likely funding gaps and opportunities for filling them) – this would provide some basis for systematic action and build the basics for future extension of financial planning if/when greater decentralization of financing to PAs id implemented by APA.</w:t>
            </w:r>
          </w:p>
        </w:tc>
        <w:tc>
          <w:tcPr>
            <w:tcW w:w="1368" w:type="pct"/>
            <w:tcMar>
              <w:top w:w="11" w:type="dxa"/>
              <w:left w:w="40" w:type="dxa"/>
              <w:bottom w:w="11" w:type="dxa"/>
              <w:right w:w="40" w:type="dxa"/>
            </w:tcMar>
          </w:tcPr>
          <w:p w14:paraId="6B05B633" w14:textId="0D9ED5D3" w:rsidR="00CB48FA" w:rsidRPr="00180C36" w:rsidRDefault="00CB48FA" w:rsidP="005B25B8">
            <w:r w:rsidRPr="00A55A75">
              <w:rPr>
                <w:rFonts w:ascii="Calibri" w:hAnsi="Calibri"/>
                <w:sz w:val="20"/>
              </w:rPr>
              <w:t xml:space="preserve">This </w:t>
            </w:r>
            <w:r>
              <w:rPr>
                <w:rFonts w:ascii="Calibri" w:hAnsi="Calibri"/>
                <w:sz w:val="20"/>
              </w:rPr>
              <w:t xml:space="preserve">additional </w:t>
            </w:r>
            <w:r w:rsidRPr="00A55A75">
              <w:rPr>
                <w:rFonts w:ascii="Calibri" w:hAnsi="Calibri"/>
                <w:sz w:val="20"/>
              </w:rPr>
              <w:t>information has been incorporated into the Annex 7.</w:t>
            </w:r>
          </w:p>
        </w:tc>
      </w:tr>
    </w:tbl>
    <w:p w14:paraId="3226F37E" w14:textId="77777777" w:rsidR="009E26E4" w:rsidRDefault="009E26E4" w:rsidP="00CE3C2C">
      <w:pPr>
        <w:overflowPunct/>
        <w:autoSpaceDE/>
        <w:autoSpaceDN/>
        <w:adjustRightInd/>
        <w:textAlignment w:val="auto"/>
        <w:rPr>
          <w:rFonts w:ascii="Times New Roman" w:hAnsi="Times New Roman"/>
          <w:sz w:val="24"/>
          <w:lang w:val="en-US"/>
        </w:rPr>
      </w:pPr>
    </w:p>
    <w:p w14:paraId="2252404D" w14:textId="77777777" w:rsidR="009C5938" w:rsidRDefault="009C5938">
      <w:pPr>
        <w:overflowPunct/>
        <w:autoSpaceDE/>
        <w:autoSpaceDN/>
        <w:adjustRightInd/>
        <w:textAlignment w:val="auto"/>
        <w:rPr>
          <w:rFonts w:ascii="Times New Roman" w:hAnsi="Times New Roman"/>
          <w:sz w:val="24"/>
          <w:lang w:val="en-US"/>
        </w:rPr>
        <w:sectPr w:rsidR="009C5938" w:rsidSect="001B651D">
          <w:footnotePr>
            <w:numRestart w:val="eachPage"/>
          </w:footnotePr>
          <w:pgSz w:w="11906" w:h="16838" w:code="1"/>
          <w:pgMar w:top="1440" w:right="1440" w:bottom="1440" w:left="1440" w:header="288" w:footer="288" w:gutter="0"/>
          <w:pgNumType w:start="1"/>
          <w:cols w:space="708"/>
          <w:docGrid w:linePitch="299"/>
        </w:sectPr>
      </w:pPr>
    </w:p>
    <w:p w14:paraId="22D101B5" w14:textId="556B17B4" w:rsidR="009B0E13" w:rsidRDefault="009B0E13" w:rsidP="009B0E13">
      <w:pPr>
        <w:pStyle w:val="Heading2"/>
        <w:spacing w:after="120" w:line="240" w:lineRule="auto"/>
        <w:rPr>
          <w:rFonts w:asciiTheme="minorHAnsi" w:hAnsiTheme="minorHAnsi"/>
          <w:b/>
          <w:caps w:val="0"/>
        </w:rPr>
      </w:pPr>
      <w:bookmarkStart w:id="254" w:name="_Toc414745356"/>
      <w:r w:rsidRPr="00E22EBA">
        <w:rPr>
          <w:rFonts w:asciiTheme="minorHAnsi" w:hAnsiTheme="minorHAnsi"/>
          <w:b/>
          <w:caps w:val="0"/>
        </w:rPr>
        <w:lastRenderedPageBreak/>
        <w:t xml:space="preserve">Annex </w:t>
      </w:r>
      <w:r>
        <w:rPr>
          <w:rFonts w:asciiTheme="minorHAnsi" w:hAnsiTheme="minorHAnsi"/>
          <w:b/>
          <w:caps w:val="0"/>
        </w:rPr>
        <w:t>10</w:t>
      </w:r>
      <w:r w:rsidRPr="00E22EBA">
        <w:rPr>
          <w:rFonts w:asciiTheme="minorHAnsi" w:hAnsiTheme="minorHAnsi"/>
          <w:b/>
          <w:caps w:val="0"/>
        </w:rPr>
        <w:t xml:space="preserve">: </w:t>
      </w:r>
      <w:r>
        <w:rPr>
          <w:rFonts w:asciiTheme="minorHAnsi" w:hAnsiTheme="minorHAnsi"/>
          <w:b/>
          <w:caps w:val="0"/>
        </w:rPr>
        <w:t>Evaluation Report Clearance Form</w:t>
      </w:r>
      <w:bookmarkEnd w:id="254"/>
    </w:p>
    <w:p w14:paraId="050C846D" w14:textId="77777777" w:rsidR="009B0E13" w:rsidRPr="009B0E13" w:rsidRDefault="009B0E13" w:rsidP="009B0E13">
      <w:pPr>
        <w:pStyle w:val="BodyText"/>
      </w:pPr>
    </w:p>
    <w:p w14:paraId="5D404204" w14:textId="6529E340" w:rsidR="00136377" w:rsidRPr="009B0E13" w:rsidRDefault="009B0E13" w:rsidP="00CE3C2C">
      <w:pPr>
        <w:overflowPunct/>
        <w:autoSpaceDE/>
        <w:autoSpaceDN/>
        <w:adjustRightInd/>
        <w:textAlignment w:val="auto"/>
        <w:rPr>
          <w:rFonts w:ascii="Times New Roman" w:hAnsi="Times New Roman"/>
          <w:sz w:val="19"/>
          <w:szCs w:val="19"/>
          <w:lang w:val="en-US"/>
        </w:rPr>
      </w:pPr>
      <w:r w:rsidRPr="009B0E13">
        <w:rPr>
          <w:rFonts w:ascii="Calibri" w:hAnsi="Calibri"/>
          <w:i/>
          <w:sz w:val="19"/>
          <w:szCs w:val="19"/>
          <w:highlight w:val="lightGray"/>
        </w:rPr>
        <w:t>(to be completed by CO and UNDP GEF Technical Adviser based in the region and included in the final document)</w:t>
      </w:r>
      <w:r w:rsidRPr="009B0E13">
        <w:rPr>
          <w:rFonts w:ascii="Calibri" w:hAnsi="Calibri"/>
          <w:noProof/>
          <w:sz w:val="19"/>
          <w:szCs w:val="19"/>
        </w:rPr>
        <mc:AlternateContent>
          <mc:Choice Requires="wps">
            <w:drawing>
              <wp:anchor distT="0" distB="0" distL="114300" distR="114300" simplePos="0" relativeHeight="251729408" behindDoc="0" locked="0" layoutInCell="1" allowOverlap="1" wp14:anchorId="25B75DAC" wp14:editId="069145A9">
                <wp:simplePos x="0" y="0"/>
                <wp:positionH relativeFrom="column">
                  <wp:posOffset>-99060</wp:posOffset>
                </wp:positionH>
                <wp:positionV relativeFrom="paragraph">
                  <wp:posOffset>599440</wp:posOffset>
                </wp:positionV>
                <wp:extent cx="5835015" cy="1891030"/>
                <wp:effectExtent l="0" t="0" r="13335" b="139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1891030"/>
                        </a:xfrm>
                        <a:prstGeom prst="rect">
                          <a:avLst/>
                        </a:prstGeom>
                        <a:solidFill>
                          <a:srgbClr val="FFFFFF"/>
                        </a:solidFill>
                        <a:ln w="9525">
                          <a:solidFill>
                            <a:srgbClr val="000000"/>
                          </a:solidFill>
                          <a:miter lim="800000"/>
                          <a:headEnd/>
                          <a:tailEnd/>
                        </a:ln>
                      </wps:spPr>
                      <wps:txbx>
                        <w:txbxContent>
                          <w:p w14:paraId="05316AAC" w14:textId="77777777" w:rsidR="005301E8" w:rsidRPr="009B0E13" w:rsidRDefault="005301E8" w:rsidP="009B0E13">
                            <w:pPr>
                              <w:spacing w:line="360" w:lineRule="auto"/>
                              <w:rPr>
                                <w:rFonts w:ascii="Calibri" w:eastAsia="Batang" w:hAnsi="Calibri"/>
                              </w:rPr>
                            </w:pPr>
                            <w:r w:rsidRPr="009B0E13">
                              <w:rPr>
                                <w:rFonts w:ascii="Calibri" w:eastAsia="Batang" w:hAnsi="Calibri"/>
                              </w:rPr>
                              <w:t>Evaluation Report Reviewed and Cleared by</w:t>
                            </w:r>
                          </w:p>
                          <w:p w14:paraId="53D60C72" w14:textId="77777777" w:rsidR="005301E8" w:rsidRPr="009B0E13" w:rsidRDefault="005301E8" w:rsidP="009B0E13">
                            <w:pPr>
                              <w:spacing w:line="360" w:lineRule="auto"/>
                              <w:rPr>
                                <w:rFonts w:ascii="Calibri" w:hAnsi="Calibri"/>
                              </w:rPr>
                            </w:pPr>
                            <w:r w:rsidRPr="009B0E13">
                              <w:rPr>
                                <w:rFonts w:ascii="Calibri" w:hAnsi="Calibri"/>
                              </w:rPr>
                              <w:t>UNDP Country Office</w:t>
                            </w:r>
                          </w:p>
                          <w:p w14:paraId="55A84196" w14:textId="77777777" w:rsidR="005301E8" w:rsidRPr="009B0E13" w:rsidRDefault="005301E8" w:rsidP="009B0E13">
                            <w:pPr>
                              <w:spacing w:line="360" w:lineRule="auto"/>
                              <w:rPr>
                                <w:rFonts w:ascii="Calibri" w:hAnsi="Calibri"/>
                              </w:rPr>
                            </w:pPr>
                            <w:r w:rsidRPr="009B0E13">
                              <w:rPr>
                                <w:rFonts w:ascii="Calibri" w:hAnsi="Calibri"/>
                              </w:rPr>
                              <w:t>Name:  ___________________________________________________</w:t>
                            </w:r>
                          </w:p>
                          <w:p w14:paraId="32E8FEF8" w14:textId="77777777" w:rsidR="005301E8" w:rsidRPr="009B0E13" w:rsidRDefault="005301E8" w:rsidP="009B0E13">
                            <w:pPr>
                              <w:spacing w:line="360" w:lineRule="auto"/>
                              <w:rPr>
                                <w:rFonts w:ascii="Calibri" w:hAnsi="Calibri"/>
                              </w:rPr>
                            </w:pPr>
                            <w:r w:rsidRPr="009B0E13">
                              <w:rPr>
                                <w:rFonts w:ascii="Calibri" w:hAnsi="Calibri"/>
                              </w:rPr>
                              <w:t>Signature: ______________________________       Date: _________________________________</w:t>
                            </w:r>
                          </w:p>
                          <w:p w14:paraId="2F8A4404" w14:textId="77777777" w:rsidR="005301E8" w:rsidRPr="009B0E13" w:rsidRDefault="005301E8" w:rsidP="009B0E13">
                            <w:pPr>
                              <w:spacing w:line="360" w:lineRule="auto"/>
                              <w:rPr>
                                <w:rFonts w:ascii="Calibri" w:hAnsi="Calibri"/>
                              </w:rPr>
                            </w:pPr>
                            <w:r w:rsidRPr="009B0E13">
                              <w:rPr>
                                <w:rFonts w:ascii="Calibri" w:hAnsi="Calibri"/>
                              </w:rPr>
                              <w:t>UNDP GEF RTA</w:t>
                            </w:r>
                          </w:p>
                          <w:p w14:paraId="666011B6" w14:textId="77777777" w:rsidR="005301E8" w:rsidRPr="009B0E13" w:rsidRDefault="005301E8" w:rsidP="009B0E13">
                            <w:pPr>
                              <w:spacing w:line="360" w:lineRule="auto"/>
                              <w:rPr>
                                <w:rFonts w:ascii="Calibri" w:hAnsi="Calibri"/>
                              </w:rPr>
                            </w:pPr>
                            <w:r w:rsidRPr="009B0E13">
                              <w:rPr>
                                <w:rFonts w:ascii="Calibri" w:hAnsi="Calibri"/>
                              </w:rPr>
                              <w:t>Name:  ___________________________________________________</w:t>
                            </w:r>
                          </w:p>
                          <w:p w14:paraId="0E945F2B" w14:textId="77777777" w:rsidR="005301E8" w:rsidRPr="009B0E13" w:rsidRDefault="005301E8" w:rsidP="009B0E13">
                            <w:pPr>
                              <w:spacing w:line="360" w:lineRule="auto"/>
                              <w:rPr>
                                <w:rFonts w:ascii="Calibri" w:hAnsi="Calibri"/>
                              </w:rPr>
                            </w:pPr>
                            <w:r w:rsidRPr="009B0E13">
                              <w:rPr>
                                <w:rFonts w:ascii="Calibri" w:hAnsi="Calibri"/>
                              </w:rPr>
                              <w:t>Signature: ______________________________       Date: _________________________________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B75DAC" id="Text Box 11" o:spid="_x0000_s1028" type="#_x0000_t202" style="position:absolute;margin-left:-7.8pt;margin-top:47.2pt;width:459.45pt;height:148.9pt;z-index:251729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">
                <v:textbox style="mso-fit-shape-to-text:t">
                  <w:txbxContent>
                    <w:p w14:paraId="05316AAC" w14:textId="77777777" w:rsidR="005301E8" w:rsidRPr="009B0E13" w:rsidRDefault="005301E8" w:rsidP="009B0E13">
                      <w:pPr>
                        <w:spacing w:line="360" w:lineRule="auto"/>
                        <w:rPr>
                          <w:rFonts w:ascii="Calibri" w:eastAsia="Batang" w:hAnsi="Calibri"/>
                        </w:rPr>
                      </w:pPr>
                      <w:r w:rsidRPr="009B0E13">
                        <w:rPr>
                          <w:rFonts w:ascii="Calibri" w:eastAsia="Batang" w:hAnsi="Calibri"/>
                        </w:rPr>
                        <w:t>Evaluation Report Reviewed and Cleared by</w:t>
                      </w:r>
                    </w:p>
                    <w:p w14:paraId="53D60C72" w14:textId="77777777" w:rsidR="005301E8" w:rsidRPr="009B0E13" w:rsidRDefault="005301E8" w:rsidP="009B0E13">
                      <w:pPr>
                        <w:spacing w:line="360" w:lineRule="auto"/>
                        <w:rPr>
                          <w:rFonts w:ascii="Calibri" w:hAnsi="Calibri"/>
                        </w:rPr>
                      </w:pPr>
                      <w:r w:rsidRPr="009B0E13">
                        <w:rPr>
                          <w:rFonts w:ascii="Calibri" w:hAnsi="Calibri"/>
                        </w:rPr>
                        <w:t>UNDP Country Office</w:t>
                      </w:r>
                    </w:p>
                    <w:p w14:paraId="55A84196" w14:textId="77777777" w:rsidR="005301E8" w:rsidRPr="009B0E13" w:rsidRDefault="005301E8" w:rsidP="009B0E13">
                      <w:pPr>
                        <w:spacing w:line="360" w:lineRule="auto"/>
                        <w:rPr>
                          <w:rFonts w:ascii="Calibri" w:hAnsi="Calibri"/>
                        </w:rPr>
                      </w:pPr>
                      <w:r w:rsidRPr="009B0E13">
                        <w:rPr>
                          <w:rFonts w:ascii="Calibri" w:hAnsi="Calibri"/>
                        </w:rPr>
                        <w:t>Name:  ___________________________________________________</w:t>
                      </w:r>
                    </w:p>
                    <w:p w14:paraId="32E8FEF8" w14:textId="77777777" w:rsidR="005301E8" w:rsidRPr="009B0E13" w:rsidRDefault="005301E8" w:rsidP="009B0E13">
                      <w:pPr>
                        <w:spacing w:line="360" w:lineRule="auto"/>
                        <w:rPr>
                          <w:rFonts w:ascii="Calibri" w:hAnsi="Calibri"/>
                        </w:rPr>
                      </w:pPr>
                      <w:r w:rsidRPr="009B0E13">
                        <w:rPr>
                          <w:rFonts w:ascii="Calibri" w:hAnsi="Calibri"/>
                        </w:rPr>
                        <w:t>Signature: ______________________________       Date: _________________________________</w:t>
                      </w:r>
                    </w:p>
                    <w:p w14:paraId="2F8A4404" w14:textId="77777777" w:rsidR="005301E8" w:rsidRPr="009B0E13" w:rsidRDefault="005301E8" w:rsidP="009B0E13">
                      <w:pPr>
                        <w:spacing w:line="360" w:lineRule="auto"/>
                        <w:rPr>
                          <w:rFonts w:ascii="Calibri" w:hAnsi="Calibri"/>
                        </w:rPr>
                      </w:pPr>
                      <w:r w:rsidRPr="009B0E13">
                        <w:rPr>
                          <w:rFonts w:ascii="Calibri" w:hAnsi="Calibri"/>
                        </w:rPr>
                        <w:t>UNDP GEF RTA</w:t>
                      </w:r>
                    </w:p>
                    <w:p w14:paraId="666011B6" w14:textId="77777777" w:rsidR="005301E8" w:rsidRPr="009B0E13" w:rsidRDefault="005301E8" w:rsidP="009B0E13">
                      <w:pPr>
                        <w:spacing w:line="360" w:lineRule="auto"/>
                        <w:rPr>
                          <w:rFonts w:ascii="Calibri" w:hAnsi="Calibri"/>
                        </w:rPr>
                      </w:pPr>
                      <w:r w:rsidRPr="009B0E13">
                        <w:rPr>
                          <w:rFonts w:ascii="Calibri" w:hAnsi="Calibri"/>
                        </w:rPr>
                        <w:t>Name:  ___________________________________________________</w:t>
                      </w:r>
                    </w:p>
                    <w:p w14:paraId="0E945F2B" w14:textId="77777777" w:rsidR="005301E8" w:rsidRPr="009B0E13" w:rsidRDefault="005301E8" w:rsidP="009B0E13">
                      <w:pPr>
                        <w:spacing w:line="360" w:lineRule="auto"/>
                        <w:rPr>
                          <w:rFonts w:ascii="Calibri" w:hAnsi="Calibri"/>
                        </w:rPr>
                      </w:pPr>
                      <w:r w:rsidRPr="009B0E13">
                        <w:rPr>
                          <w:rFonts w:ascii="Calibri" w:hAnsi="Calibri"/>
                        </w:rPr>
                        <w:t>Signature: ______________________________       Date: _________________________________</w:t>
                      </w:r>
                    </w:p>
                  </w:txbxContent>
                </v:textbox>
              </v:shape>
            </w:pict>
          </mc:Fallback>
        </mc:AlternateContent>
      </w:r>
    </w:p>
    <w:sectPr w:rsidR="00136377" w:rsidRPr="009B0E13" w:rsidSect="001B651D">
      <w:footnotePr>
        <w:numRestart w:val="eachPage"/>
      </w:footnotePr>
      <w:pgSz w:w="11906" w:h="16838" w:code="1"/>
      <w:pgMar w:top="1440" w:right="1440" w:bottom="1440" w:left="1440" w:header="288" w:footer="288"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D3645" w14:textId="77777777" w:rsidR="00830402" w:rsidRDefault="00830402">
      <w:r>
        <w:separator/>
      </w:r>
    </w:p>
  </w:endnote>
  <w:endnote w:type="continuationSeparator" w:id="0">
    <w:p w14:paraId="3556B5D8" w14:textId="77777777" w:rsidR="00830402" w:rsidRDefault="00830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yriad Pro">
    <w:altName w:val="Arial"/>
    <w:panose1 w:val="020B0503030403020204"/>
    <w:charset w:val="00"/>
    <w:family w:val="swiss"/>
    <w:notTrueType/>
    <w:pitch w:val="variable"/>
    <w:sig w:usb0="A00002AF" w:usb1="5000204B"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Dutch Roman 10.20p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4D"/>
    <w:family w:val="roman"/>
    <w:notTrueType/>
    <w:pitch w:val="variable"/>
    <w:sig w:usb0="00000003" w:usb1="00000000" w:usb2="00000000" w:usb3="00000000" w:csb0="00000001" w:csb1="00000000"/>
  </w:font>
  <w:font w:name="DJAIAN+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Roman"/>
    <w:panose1 w:val="02020603050405020304"/>
    <w:charset w:val="4D"/>
    <w:family w:val="roman"/>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Avenir LT Std 45 Book">
    <w:altName w:val="Cambria"/>
    <w:panose1 w:val="00000000000000000000"/>
    <w:charset w:val="00"/>
    <w:family w:val="swiss"/>
    <w:notTrueType/>
    <w:pitch w:val="default"/>
    <w:sig w:usb0="00000003" w:usb1="00000000" w:usb2="00000000" w:usb3="00000000" w:csb0="00000001" w:csb1="00000000"/>
  </w:font>
  <w:font w:name="Myriad Pro Light">
    <w:panose1 w:val="00000000000000000000"/>
    <w:charset w:val="00"/>
    <w:family w:val="swiss"/>
    <w:notTrueType/>
    <w:pitch w:val="variable"/>
    <w:sig w:usb0="A00002AF" w:usb1="5000204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PSMT">
    <w:altName w:val="Cambria"/>
    <w:panose1 w:val="00000000000000000000"/>
    <w:charset w:val="4D"/>
    <w:family w:val="roman"/>
    <w:notTrueType/>
    <w:pitch w:val="default"/>
    <w:sig w:usb0="00000003" w:usb1="00000000" w:usb2="00000000" w:usb3="00000000" w:csb0="00000001" w:csb1="00000000"/>
  </w:font>
  <w:font w:name="Menlo Bold">
    <w:altName w:val="DokChampa"/>
    <w:charset w:val="00"/>
    <w:family w:val="auto"/>
    <w:pitch w:val="variable"/>
    <w:sig w:usb0="E60022FF" w:usb1="D000F1FB" w:usb2="00000028" w:usb3="00000000" w:csb0="000001DF" w:csb1="00000000"/>
  </w:font>
  <w:font w:name="Corbel">
    <w:panose1 w:val="020B0503020204020204"/>
    <w:charset w:val="00"/>
    <w:family w:val="swiss"/>
    <w:pitch w:val="variable"/>
    <w:sig w:usb0="A00002EF" w:usb1="4000A44B" w:usb2="00000000" w:usb3="00000000" w:csb0="0000019F" w:csb1="00000000"/>
  </w:font>
  <w:font w:name="Zapf Dingbats">
    <w:altName w:val="Wingdings"/>
    <w:charset w:val="02"/>
    <w:family w:val="auto"/>
    <w:pitch w:val="variable"/>
    <w:sig w:usb0="00000000" w:usb1="10000000" w:usb2="00000000" w:usb3="00000000" w:csb0="80000000" w:csb1="00000000"/>
  </w:font>
  <w:font w:name="Times Roman">
    <w:altName w:val="Times New Roman"/>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Calibri,Bold">
    <w:altName w:val="Calibri"/>
    <w:panose1 w:val="00000000000000000000"/>
    <w:charset w:val="00"/>
    <w:family w:val="auto"/>
    <w:notTrueType/>
    <w:pitch w:val="default"/>
    <w:sig w:usb0="00000003" w:usb1="00000000" w:usb2="00000000" w:usb3="00000000" w:csb0="00000001" w:csb1="00000000"/>
  </w:font>
  <w:font w:name="DaunPenh">
    <w:altName w:val="Times New Roman"/>
    <w:panose1 w:val="01010101010101010101"/>
    <w:charset w:val="00"/>
    <w:family w:val="auto"/>
    <w:pitch w:val="variable"/>
    <w:sig w:usb0="00000003" w:usb1="00000000" w:usb2="00010000" w:usb3="00000000" w:csb0="00000001" w:csb1="00000000"/>
  </w:font>
  <w:font w:name="ACaslon-Regular">
    <w:altName w:val="MS Mincho"/>
    <w:panose1 w:val="00000000000000000000"/>
    <w:charset w:val="80"/>
    <w:family w:val="roman"/>
    <w:notTrueType/>
    <w:pitch w:val="default"/>
    <w:sig w:usb0="00000001" w:usb1="08070000" w:usb2="00000010" w:usb3="00000000" w:csb0="00020000" w:csb1="00000000"/>
  </w:font>
  <w:font w:name="Archy EDT Bold">
    <w:charset w:val="00"/>
    <w:family w:val="auto"/>
    <w:pitch w:val="variable"/>
    <w:sig w:usb0="A40000AF" w:usb1="4000204A" w:usb2="00000000" w:usb3="00000000" w:csb0="00000093" w:csb1="00000000"/>
  </w:font>
  <w:font w:name="Menlo Bold Italic">
    <w:charset w:val="00"/>
    <w:family w:val="auto"/>
    <w:pitch w:val="variable"/>
    <w:sig w:usb0="E60002FF" w:usb1="500071FB" w:usb2="0000002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B9BD0" w14:textId="77777777" w:rsidR="005301E8" w:rsidRDefault="005301E8">
    <w:pPr>
      <w:pStyle w:val="Footer"/>
      <w:framePr w:wrap="around" w:vAnchor="text" w:hAnchor="margin" w:xAlign="right" w:y="1"/>
      <w:rPr>
        <w:rStyle w:val="PageNumber"/>
        <w:rFonts w:ascii="Garamond" w:hAnsi="Garamond"/>
        <w:kern w:val="0"/>
        <w:sz w:val="22"/>
        <w:lang w:val="en-GB" w:eastAsia="x-none"/>
      </w:rPr>
    </w:pPr>
  </w:p>
  <w:p w14:paraId="5115620A" w14:textId="77777777" w:rsidR="005301E8" w:rsidRDefault="005301E8">
    <w:pPr>
      <w:pStyle w:val="Footer"/>
      <w:framePr w:wrap="auto" w:vAnchor="text" w:hAnchor="margin" w:xAlign="center" w:y="1"/>
      <w:ind w:right="360"/>
      <w:rPr>
        <w:rStyle w:val="PageNumber"/>
      </w:rPr>
    </w:pPr>
  </w:p>
  <w:p w14:paraId="3C5EEDA1" w14:textId="77777777" w:rsidR="005301E8" w:rsidRPr="00476878" w:rsidRDefault="005301E8" w:rsidP="00DE3E19">
    <w:pPr>
      <w:pStyle w:val="Footer"/>
      <w:tabs>
        <w:tab w:val="clear" w:pos="4320"/>
        <w:tab w:val="clear" w:pos="8640"/>
        <w:tab w:val="left" w:pos="2367"/>
      </w:tabs>
      <w:ind w:right="-185"/>
      <w:jc w:val="left"/>
      <w:rPr>
        <w:rFonts w:asciiTheme="minorHAnsi" w:hAnsiTheme="minorHAnsi"/>
        <w:sz w:val="18"/>
      </w:rPr>
    </w:pPr>
    <w:r>
      <w:rPr>
        <w:rFonts w:asciiTheme="minorHAnsi" w:hAnsiTheme="minorHAnsi"/>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2F74A" w14:textId="77777777" w:rsidR="005301E8" w:rsidRDefault="005301E8">
    <w:pPr>
      <w:pStyle w:val="Footer"/>
      <w:framePr w:wrap="around" w:vAnchor="text" w:hAnchor="margin" w:xAlign="right" w:y="1"/>
      <w:rPr>
        <w:rStyle w:val="PageNumber"/>
        <w:rFonts w:ascii="Garamond" w:hAnsi="Garamond"/>
        <w:kern w:val="0"/>
        <w:sz w:val="22"/>
        <w:lang w:val="en-GB" w:eastAsia="x-none"/>
      </w:rPr>
    </w:pPr>
  </w:p>
  <w:p w14:paraId="1E05C1AE" w14:textId="77777777" w:rsidR="005301E8" w:rsidRDefault="005301E8">
    <w:pPr>
      <w:pStyle w:val="Footer"/>
      <w:framePr w:wrap="auto" w:vAnchor="text" w:hAnchor="margin" w:xAlign="center" w:y="1"/>
      <w:ind w:right="360"/>
      <w:rPr>
        <w:rStyle w:val="PageNumber"/>
      </w:rPr>
    </w:pPr>
  </w:p>
  <w:p w14:paraId="5DE3E3FC" w14:textId="2BB62B0A" w:rsidR="005301E8" w:rsidRPr="00342FD1" w:rsidRDefault="005301E8" w:rsidP="00A949E8">
    <w:pPr>
      <w:pStyle w:val="Footer"/>
      <w:pBdr>
        <w:top w:val="single" w:sz="12" w:space="4" w:color="1F497D" w:themeColor="text2"/>
      </w:pBdr>
      <w:tabs>
        <w:tab w:val="clear" w:pos="8640"/>
      </w:tabs>
      <w:ind w:right="-2"/>
      <w:jc w:val="left"/>
      <w:rPr>
        <w:rFonts w:asciiTheme="minorHAnsi" w:hAnsiTheme="minorHAnsi"/>
        <w:sz w:val="18"/>
        <w:lang w:val="es-PA"/>
      </w:rPr>
    </w:pPr>
    <w:r w:rsidRPr="00BF3D40">
      <w:rPr>
        <w:rFonts w:asciiTheme="minorHAnsi" w:hAnsiTheme="minorHAnsi"/>
        <w:sz w:val="20"/>
      </w:rPr>
      <w:fldChar w:fldCharType="begin"/>
    </w:r>
    <w:r w:rsidRPr="00342FD1">
      <w:rPr>
        <w:rFonts w:asciiTheme="minorHAnsi" w:hAnsiTheme="minorHAnsi"/>
        <w:sz w:val="20"/>
        <w:lang w:val="es-PA"/>
      </w:rPr>
      <w:instrText xml:space="preserve"> FILENAME </w:instrText>
    </w:r>
    <w:r w:rsidRPr="00BF3D40">
      <w:rPr>
        <w:rFonts w:asciiTheme="minorHAnsi" w:hAnsiTheme="minorHAnsi"/>
        <w:sz w:val="20"/>
      </w:rPr>
      <w:fldChar w:fldCharType="separate"/>
    </w:r>
    <w:r w:rsidR="001E2C7B">
      <w:rPr>
        <w:rFonts w:asciiTheme="minorHAnsi" w:hAnsiTheme="minorHAnsi"/>
        <w:noProof/>
        <w:sz w:val="20"/>
        <w:lang w:val="es-PA"/>
      </w:rPr>
      <w:t>Ge PIMS 4732 Colchic PAs TE final with annexes.docx</w:t>
    </w:r>
    <w:r w:rsidRPr="00BF3D40">
      <w:rPr>
        <w:rFonts w:asciiTheme="minorHAnsi" w:hAnsiTheme="minorHAnsi"/>
        <w:sz w:val="20"/>
      </w:rPr>
      <w:fldChar w:fldCharType="end"/>
    </w:r>
    <w:r w:rsidRPr="00342FD1">
      <w:rPr>
        <w:rFonts w:asciiTheme="minorHAnsi" w:hAnsiTheme="minorHAnsi"/>
        <w:sz w:val="18"/>
        <w:lang w:val="es-PA"/>
      </w:rPr>
      <w:tab/>
    </w:r>
    <w:r w:rsidRPr="00342FD1">
      <w:rPr>
        <w:rFonts w:asciiTheme="minorHAnsi" w:hAnsiTheme="minorHAnsi"/>
        <w:sz w:val="18"/>
        <w:lang w:val="es-P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4E99F" w14:textId="77777777" w:rsidR="005301E8" w:rsidRDefault="005301E8">
    <w:pPr>
      <w:pStyle w:val="Footer"/>
      <w:framePr w:wrap="around" w:vAnchor="text" w:hAnchor="margin" w:xAlign="right" w:y="1"/>
      <w:rPr>
        <w:rStyle w:val="PageNumber"/>
        <w:rFonts w:ascii="Garamond" w:hAnsi="Garamond"/>
        <w:kern w:val="0"/>
        <w:sz w:val="22"/>
        <w:lang w:val="en-GB" w:eastAsia="x-none"/>
      </w:rPr>
    </w:pPr>
  </w:p>
  <w:p w14:paraId="2CC36EDA" w14:textId="77777777" w:rsidR="005301E8" w:rsidRDefault="005301E8">
    <w:pPr>
      <w:pStyle w:val="Footer"/>
      <w:framePr w:wrap="auto" w:vAnchor="text" w:hAnchor="margin" w:xAlign="center" w:y="1"/>
      <w:ind w:right="360"/>
      <w:rPr>
        <w:rStyle w:val="PageNumber"/>
      </w:rPr>
    </w:pPr>
  </w:p>
  <w:p w14:paraId="60805EDC" w14:textId="1C443486" w:rsidR="005301E8" w:rsidRPr="00342FD1" w:rsidRDefault="005301E8" w:rsidP="00447CE7">
    <w:pPr>
      <w:pStyle w:val="Footer"/>
      <w:pBdr>
        <w:top w:val="single" w:sz="12" w:space="4" w:color="1F497D" w:themeColor="text2"/>
      </w:pBdr>
      <w:tabs>
        <w:tab w:val="clear" w:pos="8640"/>
        <w:tab w:val="right" w:pos="9900"/>
      </w:tabs>
      <w:ind w:right="-2"/>
      <w:jc w:val="left"/>
      <w:rPr>
        <w:rFonts w:asciiTheme="minorHAnsi" w:hAnsiTheme="minorHAnsi"/>
        <w:sz w:val="18"/>
        <w:lang w:val="es-PA"/>
      </w:rPr>
    </w:pPr>
    <w:r w:rsidRPr="007439F1">
      <w:rPr>
        <w:rFonts w:ascii="Calibri" w:hAnsi="Calibri"/>
        <w:sz w:val="20"/>
      </w:rPr>
      <w:fldChar w:fldCharType="begin"/>
    </w:r>
    <w:r w:rsidRPr="000F6A26">
      <w:rPr>
        <w:rFonts w:ascii="Calibri" w:hAnsi="Calibri"/>
        <w:sz w:val="20"/>
        <w:lang w:val="fr-FR"/>
      </w:rPr>
      <w:instrText xml:space="preserve"> FILENAME   \* MERGEFORMAT </w:instrText>
    </w:r>
    <w:r w:rsidRPr="007439F1">
      <w:rPr>
        <w:rFonts w:ascii="Calibri" w:hAnsi="Calibri"/>
        <w:sz w:val="20"/>
      </w:rPr>
      <w:fldChar w:fldCharType="separate"/>
    </w:r>
    <w:r w:rsidR="001E2C7B">
      <w:rPr>
        <w:rFonts w:ascii="Calibri" w:hAnsi="Calibri"/>
        <w:noProof/>
        <w:sz w:val="20"/>
        <w:lang w:val="fr-FR"/>
      </w:rPr>
      <w:t>Ge PIMS 4732 Colchic PAs TE final with annexes.docx</w:t>
    </w:r>
    <w:r w:rsidRPr="007439F1">
      <w:rPr>
        <w:rFonts w:ascii="Calibri" w:hAnsi="Calibri"/>
        <w:sz w:val="20"/>
      </w:rPr>
      <w:fldChar w:fldCharType="end"/>
    </w:r>
    <w:r w:rsidRPr="00342FD1">
      <w:rPr>
        <w:rFonts w:asciiTheme="minorHAnsi" w:hAnsiTheme="minorHAnsi"/>
        <w:sz w:val="18"/>
        <w:lang w:val="es-PA"/>
      </w:rPr>
      <w:tab/>
    </w:r>
    <w:r w:rsidRPr="00342FD1">
      <w:rPr>
        <w:rFonts w:asciiTheme="minorHAnsi" w:hAnsiTheme="minorHAnsi"/>
        <w:sz w:val="18"/>
        <w:lang w:val="es-PA"/>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6450C" w14:textId="77777777" w:rsidR="005301E8" w:rsidRDefault="005301E8">
    <w:pPr>
      <w:pStyle w:val="Footer"/>
      <w:framePr w:wrap="auto" w:vAnchor="text" w:hAnchor="margin" w:xAlign="center" w:y="1"/>
      <w:ind w:right="360"/>
      <w:rPr>
        <w:rStyle w:val="PageNumber"/>
      </w:rPr>
    </w:pPr>
  </w:p>
  <w:p w14:paraId="1523DE8A" w14:textId="59A55FE6" w:rsidR="005301E8" w:rsidRPr="00342FD1" w:rsidRDefault="005301E8" w:rsidP="00447CE7">
    <w:pPr>
      <w:pStyle w:val="Footer"/>
      <w:pBdr>
        <w:top w:val="single" w:sz="12" w:space="4" w:color="1F497D" w:themeColor="text2"/>
      </w:pBdr>
      <w:tabs>
        <w:tab w:val="clear" w:pos="8640"/>
        <w:tab w:val="right" w:pos="9900"/>
      </w:tabs>
      <w:ind w:right="-2"/>
      <w:jc w:val="left"/>
      <w:rPr>
        <w:rFonts w:asciiTheme="minorHAnsi" w:hAnsiTheme="minorHAnsi"/>
        <w:sz w:val="18"/>
        <w:lang w:val="es-PA"/>
      </w:rPr>
    </w:pPr>
    <w:r w:rsidRPr="007439F1">
      <w:rPr>
        <w:rFonts w:ascii="Calibri" w:hAnsi="Calibri"/>
        <w:sz w:val="20"/>
      </w:rPr>
      <w:fldChar w:fldCharType="begin"/>
    </w:r>
    <w:r w:rsidRPr="000F6A26">
      <w:rPr>
        <w:rFonts w:ascii="Calibri" w:hAnsi="Calibri"/>
        <w:sz w:val="20"/>
        <w:lang w:val="fr-FR"/>
      </w:rPr>
      <w:instrText xml:space="preserve"> FILENAME   \* MERGEFORMAT </w:instrText>
    </w:r>
    <w:r w:rsidRPr="007439F1">
      <w:rPr>
        <w:rFonts w:ascii="Calibri" w:hAnsi="Calibri"/>
        <w:sz w:val="20"/>
      </w:rPr>
      <w:fldChar w:fldCharType="separate"/>
    </w:r>
    <w:r w:rsidR="001E2C7B">
      <w:rPr>
        <w:rFonts w:ascii="Calibri" w:hAnsi="Calibri"/>
        <w:noProof/>
        <w:sz w:val="20"/>
        <w:lang w:val="fr-FR"/>
      </w:rPr>
      <w:t>Ge PIMS 4732 Colchic PAs TE final with annexes.docx</w:t>
    </w:r>
    <w:r w:rsidRPr="007439F1">
      <w:rPr>
        <w:rFonts w:ascii="Calibri" w:hAnsi="Calibri"/>
        <w:sz w:val="20"/>
      </w:rPr>
      <w:fldChar w:fldCharType="end"/>
    </w:r>
    <w:r w:rsidRPr="00342FD1">
      <w:rPr>
        <w:rFonts w:asciiTheme="minorHAnsi" w:hAnsiTheme="minorHAnsi"/>
        <w:sz w:val="18"/>
        <w:lang w:val="es-PA"/>
      </w:rPr>
      <w:tab/>
    </w:r>
    <w:r w:rsidRPr="00342FD1">
      <w:rPr>
        <w:rFonts w:asciiTheme="minorHAnsi" w:hAnsiTheme="minorHAnsi"/>
        <w:sz w:val="18"/>
        <w:lang w:val="es-PA"/>
      </w:rPr>
      <w:tab/>
    </w:r>
    <w:r>
      <w:rPr>
        <w:rFonts w:asciiTheme="minorHAnsi" w:hAnsiTheme="minorHAnsi"/>
        <w:sz w:val="18"/>
      </w:rPr>
      <w:fldChar w:fldCharType="begin"/>
    </w:r>
    <w:r w:rsidRPr="00342FD1">
      <w:rPr>
        <w:rFonts w:asciiTheme="minorHAnsi" w:hAnsiTheme="minorHAnsi"/>
        <w:sz w:val="18"/>
        <w:lang w:val="es-PA"/>
      </w:rPr>
      <w:instrText xml:space="preserve"> PAGE  \* roman  \* MERGEFORMAT </w:instrText>
    </w:r>
    <w:r>
      <w:rPr>
        <w:rFonts w:asciiTheme="minorHAnsi" w:hAnsiTheme="minorHAnsi"/>
        <w:sz w:val="18"/>
      </w:rPr>
      <w:fldChar w:fldCharType="separate"/>
    </w:r>
    <w:r w:rsidR="001E2C7B">
      <w:rPr>
        <w:rFonts w:asciiTheme="minorHAnsi" w:hAnsiTheme="minorHAnsi"/>
        <w:noProof/>
        <w:sz w:val="18"/>
        <w:lang w:val="es-PA"/>
      </w:rPr>
      <w:t>vi</w:t>
    </w:r>
    <w:r>
      <w:rPr>
        <w:rFonts w:asciiTheme="minorHAnsi" w:hAnsiTheme="minorHAnsi"/>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43384" w14:textId="77777777" w:rsidR="005301E8" w:rsidRPr="000F6A26" w:rsidRDefault="005301E8" w:rsidP="00CD0F2F">
    <w:pPr>
      <w:pStyle w:val="Footer"/>
      <w:pBdr>
        <w:top w:val="single" w:sz="12" w:space="4" w:color="215868" w:themeColor="accent5" w:themeShade="80"/>
      </w:pBdr>
      <w:tabs>
        <w:tab w:val="clear" w:pos="8640"/>
        <w:tab w:val="right" w:pos="9990"/>
      </w:tabs>
      <w:ind w:right="-27"/>
      <w:jc w:val="left"/>
      <w:rPr>
        <w:rFonts w:ascii="Calibri" w:hAnsi="Calibri"/>
        <w:sz w:val="20"/>
        <w:lang w:val="fr-FR"/>
      </w:rPr>
    </w:pPr>
    <w:r w:rsidRPr="007439F1">
      <w:rPr>
        <w:rFonts w:ascii="Calibri" w:hAnsi="Calibri"/>
        <w:sz w:val="20"/>
      </w:rPr>
      <w:fldChar w:fldCharType="begin"/>
    </w:r>
    <w:r w:rsidRPr="000F6A26">
      <w:rPr>
        <w:rFonts w:ascii="Calibri" w:hAnsi="Calibri"/>
        <w:sz w:val="20"/>
        <w:lang w:val="fr-FR"/>
      </w:rPr>
      <w:instrText xml:space="preserve"> FILENAME   \* MERGEFORMAT </w:instrText>
    </w:r>
    <w:r w:rsidRPr="007439F1">
      <w:rPr>
        <w:rFonts w:ascii="Calibri" w:hAnsi="Calibri"/>
        <w:sz w:val="20"/>
      </w:rPr>
      <w:fldChar w:fldCharType="separate"/>
    </w:r>
    <w:r w:rsidR="001E2C7B">
      <w:rPr>
        <w:rFonts w:ascii="Calibri" w:hAnsi="Calibri"/>
        <w:noProof/>
        <w:sz w:val="20"/>
        <w:lang w:val="fr-FR"/>
      </w:rPr>
      <w:t>Ge PIMS 4732 Colchic PAs TE final with annexes.docx</w:t>
    </w:r>
    <w:r w:rsidRPr="007439F1">
      <w:rPr>
        <w:rFonts w:ascii="Calibri" w:hAnsi="Calibri"/>
        <w:sz w:val="20"/>
      </w:rPr>
      <w:fldChar w:fldCharType="end"/>
    </w:r>
    <w:r w:rsidRPr="000F6A26">
      <w:rPr>
        <w:rFonts w:ascii="Calibri" w:hAnsi="Calibri"/>
        <w:sz w:val="20"/>
        <w:lang w:val="fr-FR" w:eastAsia="x-none"/>
      </w:rPr>
      <w:tab/>
    </w:r>
    <w:r w:rsidRPr="000F6A26">
      <w:rPr>
        <w:rFonts w:ascii="Calibri" w:hAnsi="Calibri"/>
        <w:sz w:val="20"/>
        <w:lang w:val="fr-FR" w:eastAsia="x-none"/>
      </w:rPr>
      <w:tab/>
      <w:t xml:space="preserve">Page </w:t>
    </w:r>
    <w:r>
      <w:rPr>
        <w:rFonts w:ascii="Calibri" w:hAnsi="Calibri"/>
        <w:sz w:val="20"/>
        <w:lang w:eastAsia="x-none"/>
      </w:rPr>
      <w:fldChar w:fldCharType="begin"/>
    </w:r>
    <w:r w:rsidRPr="000F6A26">
      <w:rPr>
        <w:rFonts w:ascii="Calibri" w:hAnsi="Calibri"/>
        <w:sz w:val="20"/>
        <w:lang w:val="fr-FR" w:eastAsia="x-none"/>
      </w:rPr>
      <w:instrText xml:space="preserve"> PAGE   \* MERGEFORMAT </w:instrText>
    </w:r>
    <w:r>
      <w:rPr>
        <w:rFonts w:ascii="Calibri" w:hAnsi="Calibri"/>
        <w:sz w:val="20"/>
        <w:lang w:eastAsia="x-none"/>
      </w:rPr>
      <w:fldChar w:fldCharType="separate"/>
    </w:r>
    <w:r w:rsidR="001E2C7B">
      <w:rPr>
        <w:rFonts w:ascii="Calibri" w:hAnsi="Calibri"/>
        <w:noProof/>
        <w:sz w:val="20"/>
        <w:lang w:val="fr-FR" w:eastAsia="x-none"/>
      </w:rPr>
      <w:t>xvi</w:t>
    </w:r>
    <w:r>
      <w:rPr>
        <w:rFonts w:ascii="Calibri" w:hAnsi="Calibri"/>
        <w:sz w:val="20"/>
        <w:lang w:eastAsia="x-none"/>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C110F" w14:textId="282092AE" w:rsidR="005301E8" w:rsidRPr="000F6A26" w:rsidRDefault="005301E8" w:rsidP="00CD0F2F">
    <w:pPr>
      <w:pStyle w:val="Footer"/>
      <w:pBdr>
        <w:top w:val="single" w:sz="12" w:space="4" w:color="215868" w:themeColor="accent5" w:themeShade="80"/>
      </w:pBdr>
      <w:tabs>
        <w:tab w:val="clear" w:pos="8640"/>
        <w:tab w:val="right" w:pos="9900"/>
      </w:tabs>
      <w:ind w:right="-2"/>
      <w:jc w:val="left"/>
      <w:rPr>
        <w:rFonts w:ascii="Calibri" w:hAnsi="Calibri"/>
        <w:sz w:val="20"/>
        <w:lang w:val="fr-FR"/>
      </w:rPr>
    </w:pPr>
    <w:r w:rsidRPr="007439F1">
      <w:rPr>
        <w:rFonts w:ascii="Calibri" w:hAnsi="Calibri"/>
        <w:sz w:val="20"/>
      </w:rPr>
      <w:fldChar w:fldCharType="begin"/>
    </w:r>
    <w:r w:rsidRPr="000F6A26">
      <w:rPr>
        <w:rFonts w:ascii="Calibri" w:hAnsi="Calibri"/>
        <w:sz w:val="20"/>
        <w:lang w:val="fr-FR"/>
      </w:rPr>
      <w:instrText xml:space="preserve"> FILENAME   \* MERGEFORMAT </w:instrText>
    </w:r>
    <w:r w:rsidRPr="007439F1">
      <w:rPr>
        <w:rFonts w:ascii="Calibri" w:hAnsi="Calibri"/>
        <w:sz w:val="20"/>
      </w:rPr>
      <w:fldChar w:fldCharType="separate"/>
    </w:r>
    <w:r w:rsidR="001E2C7B">
      <w:rPr>
        <w:rFonts w:ascii="Calibri" w:hAnsi="Calibri"/>
        <w:noProof/>
        <w:sz w:val="20"/>
        <w:lang w:val="fr-FR"/>
      </w:rPr>
      <w:t>Ge PIMS 4732 Colchic PAs TE final with annexes.docx</w:t>
    </w:r>
    <w:r w:rsidRPr="007439F1">
      <w:rPr>
        <w:rFonts w:ascii="Calibri" w:hAnsi="Calibri"/>
        <w:sz w:val="20"/>
      </w:rPr>
      <w:fldChar w:fldCharType="end"/>
    </w:r>
    <w:r w:rsidRPr="000F6A26">
      <w:rPr>
        <w:rFonts w:ascii="Calibri" w:hAnsi="Calibri"/>
        <w:sz w:val="20"/>
        <w:lang w:val="fr-FR" w:eastAsia="x-none"/>
      </w:rPr>
      <w:tab/>
    </w:r>
    <w:r w:rsidRPr="000F6A26">
      <w:rPr>
        <w:rFonts w:ascii="Calibri" w:hAnsi="Calibri"/>
        <w:sz w:val="20"/>
        <w:lang w:val="fr-FR" w:eastAsia="x-none"/>
      </w:rPr>
      <w:tab/>
      <w:t xml:space="preserve">Page </w:t>
    </w:r>
    <w:r>
      <w:rPr>
        <w:rFonts w:ascii="Calibri" w:hAnsi="Calibri"/>
        <w:sz w:val="20"/>
        <w:lang w:eastAsia="x-none"/>
      </w:rPr>
      <w:fldChar w:fldCharType="begin"/>
    </w:r>
    <w:r w:rsidRPr="000F6A26">
      <w:rPr>
        <w:rFonts w:ascii="Calibri" w:hAnsi="Calibri"/>
        <w:sz w:val="20"/>
        <w:lang w:val="fr-FR" w:eastAsia="x-none"/>
      </w:rPr>
      <w:instrText xml:space="preserve"> PAGE  \* Arabic  \* MERGEFORMAT </w:instrText>
    </w:r>
    <w:r>
      <w:rPr>
        <w:rFonts w:ascii="Calibri" w:hAnsi="Calibri"/>
        <w:sz w:val="20"/>
        <w:lang w:eastAsia="x-none"/>
      </w:rPr>
      <w:fldChar w:fldCharType="separate"/>
    </w:r>
    <w:r w:rsidR="001E2C7B">
      <w:rPr>
        <w:rFonts w:ascii="Calibri" w:hAnsi="Calibri"/>
        <w:noProof/>
        <w:sz w:val="20"/>
        <w:lang w:val="fr-FR" w:eastAsia="x-none"/>
      </w:rPr>
      <w:t>1</w:t>
    </w:r>
    <w:r>
      <w:rPr>
        <w:rFonts w:ascii="Calibri" w:hAnsi="Calibri"/>
        <w:sz w:val="20"/>
        <w:lang w:eastAsia="x-no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4282A2" w14:textId="77777777" w:rsidR="00830402" w:rsidRDefault="00830402">
      <w:r>
        <w:separator/>
      </w:r>
    </w:p>
  </w:footnote>
  <w:footnote w:type="continuationSeparator" w:id="0">
    <w:p w14:paraId="70678484" w14:textId="77777777" w:rsidR="00830402" w:rsidRDefault="00830402">
      <w:r>
        <w:continuationSeparator/>
      </w:r>
    </w:p>
  </w:footnote>
  <w:footnote w:id="1">
    <w:p w14:paraId="70B91B2B" w14:textId="79899CF2" w:rsidR="005301E8" w:rsidRPr="00E94EFC" w:rsidRDefault="005301E8">
      <w:pPr>
        <w:pStyle w:val="FootnoteText"/>
        <w:rPr>
          <w:rFonts w:ascii="Calibri" w:hAnsi="Calibri"/>
          <w:sz w:val="18"/>
          <w:szCs w:val="18"/>
        </w:rPr>
      </w:pPr>
      <w:r w:rsidRPr="00E94EFC">
        <w:rPr>
          <w:rStyle w:val="FootnoteReference"/>
          <w:rFonts w:ascii="Calibri" w:hAnsi="Calibri"/>
          <w:sz w:val="18"/>
          <w:szCs w:val="18"/>
        </w:rPr>
        <w:footnoteRef/>
      </w:r>
      <w:r w:rsidRPr="00E94EFC">
        <w:rPr>
          <w:rFonts w:ascii="Calibri" w:hAnsi="Calibri"/>
          <w:sz w:val="18"/>
          <w:szCs w:val="18"/>
        </w:rPr>
        <w:t xml:space="preserve"> At the time of finalizing this report in February 2019, it is noted that the nomination for World Heritage listing included just Mtirala and Kintrishi PAs. While this may be disappointing for many Machakhela stakeholders,  they should know that (i) the process of evaluating the nomination is only just begun and IUCN, adviser to the World Heritage Committee on natural heritage, could recommend that the government be asked to consider including a core fragment of Machakhela’s Colchic Forest in the nomination; and (ii) World Heritage sites can always be extended, subject to meeting such criteria as adding ‘universal value’ and/or increasing connectivity and integrity.</w:t>
      </w:r>
    </w:p>
  </w:footnote>
  <w:footnote w:id="2">
    <w:p w14:paraId="41C1B8CF" w14:textId="05B7C957" w:rsidR="005301E8" w:rsidRPr="00E94EFC" w:rsidRDefault="005301E8" w:rsidP="00E94EFC">
      <w:pPr>
        <w:pStyle w:val="BodyText"/>
        <w:spacing w:after="0" w:line="240" w:lineRule="auto"/>
        <w:rPr>
          <w:rFonts w:ascii="Calibri" w:hAnsi="Calibri" w:cs="Corbel"/>
          <w:b/>
          <w:sz w:val="18"/>
          <w:szCs w:val="18"/>
        </w:rPr>
      </w:pPr>
      <w:r w:rsidRPr="00E94EFC">
        <w:rPr>
          <w:rStyle w:val="FootnoteReference"/>
          <w:rFonts w:ascii="Calibri" w:hAnsi="Calibri"/>
        </w:rPr>
        <w:footnoteRef/>
      </w:r>
      <w:r w:rsidRPr="00E94EFC">
        <w:rPr>
          <w:rFonts w:ascii="Calibri" w:hAnsi="Calibri"/>
        </w:rPr>
        <w:t xml:space="preserve"> </w:t>
      </w:r>
      <w:r w:rsidRPr="00E94EFC">
        <w:rPr>
          <w:rFonts w:ascii="Calibri" w:hAnsi="Calibri" w:cs="Corbel"/>
          <w:b/>
          <w:sz w:val="18"/>
          <w:szCs w:val="18"/>
        </w:rPr>
        <w:t>Note:</w:t>
      </w:r>
      <w:r w:rsidRPr="00E94EFC">
        <w:rPr>
          <w:rFonts w:ascii="Calibri" w:hAnsi="Calibri" w:cs="Corbel"/>
          <w:sz w:val="18"/>
          <w:szCs w:val="18"/>
        </w:rPr>
        <w:t xml:space="preserve"> APA comments that</w:t>
      </w:r>
      <w:r w:rsidRPr="00E94EFC">
        <w:rPr>
          <w:rFonts w:ascii="Calibri" w:hAnsi="Calibri"/>
          <w:sz w:val="18"/>
          <w:szCs w:val="18"/>
        </w:rPr>
        <w:t xml:space="preserve"> “This paragraph is not clear for me. I don’t think that PA policy and legislation is main challenge for the administrations.” Refer to response to this comment in </w:t>
      </w:r>
      <w:r w:rsidRPr="00E94EFC">
        <w:rPr>
          <w:rFonts w:ascii="Calibri" w:hAnsi="Calibri"/>
          <w:b/>
          <w:sz w:val="18"/>
          <w:szCs w:val="18"/>
        </w:rPr>
        <w:t>Annex 9</w:t>
      </w:r>
      <w:r w:rsidRPr="00E94EFC">
        <w:rPr>
          <w:rFonts w:ascii="Calibri" w:hAnsi="Calibri"/>
          <w:sz w:val="18"/>
          <w:szCs w:val="18"/>
        </w:rPr>
        <w:t>.</w:t>
      </w:r>
    </w:p>
  </w:footnote>
  <w:footnote w:id="3">
    <w:p w14:paraId="2CE576E0" w14:textId="15B85FAB" w:rsidR="005301E8" w:rsidRPr="007B41E2" w:rsidRDefault="005301E8" w:rsidP="007B41E2">
      <w:pPr>
        <w:pStyle w:val="FootnoteText"/>
        <w:spacing w:after="0" w:line="240" w:lineRule="auto"/>
        <w:rPr>
          <w:rFonts w:ascii="Calibri" w:hAnsi="Calibri"/>
          <w:sz w:val="18"/>
          <w:szCs w:val="18"/>
        </w:rPr>
      </w:pPr>
      <w:r w:rsidRPr="007B41E2">
        <w:rPr>
          <w:rStyle w:val="FootnoteReference"/>
          <w:rFonts w:ascii="Calibri" w:hAnsi="Calibri"/>
          <w:sz w:val="18"/>
          <w:szCs w:val="18"/>
        </w:rPr>
        <w:footnoteRef/>
      </w:r>
      <w:r w:rsidRPr="007B41E2">
        <w:rPr>
          <w:rFonts w:ascii="Calibri" w:hAnsi="Calibri"/>
          <w:sz w:val="18"/>
          <w:szCs w:val="18"/>
        </w:rPr>
        <w:t xml:space="preserve"> </w:t>
      </w:r>
      <w:r w:rsidRPr="007B41E2">
        <w:rPr>
          <w:rFonts w:ascii="Calibri" w:hAnsi="Calibri"/>
          <w:b/>
          <w:sz w:val="18"/>
          <w:szCs w:val="18"/>
        </w:rPr>
        <w:t>Note:</w:t>
      </w:r>
      <w:r w:rsidRPr="007B41E2">
        <w:rPr>
          <w:rFonts w:ascii="Calibri" w:hAnsi="Calibri"/>
          <w:sz w:val="18"/>
          <w:szCs w:val="18"/>
        </w:rPr>
        <w:t xml:space="preserve"> As commented by APA there was relative stability at PA Administration Director level, with no changes in Kintrishi or Mtirala and only one change in Machakhela dur</w:t>
      </w:r>
      <w:r>
        <w:rPr>
          <w:rFonts w:ascii="Calibri" w:hAnsi="Calibri"/>
          <w:sz w:val="18"/>
          <w:szCs w:val="18"/>
        </w:rPr>
        <w:t>i</w:t>
      </w:r>
      <w:r w:rsidRPr="007B41E2">
        <w:rPr>
          <w:rFonts w:ascii="Calibri" w:hAnsi="Calibri"/>
          <w:sz w:val="18"/>
          <w:szCs w:val="18"/>
        </w:rPr>
        <w:t>ng the project period.</w:t>
      </w:r>
    </w:p>
  </w:footnote>
  <w:footnote w:id="4">
    <w:p w14:paraId="1F331521" w14:textId="1E43D662" w:rsidR="005301E8" w:rsidRPr="00F15B4D" w:rsidRDefault="005301E8" w:rsidP="00A664E2">
      <w:pPr>
        <w:pStyle w:val="FootnoteText"/>
        <w:spacing w:after="0" w:line="240" w:lineRule="auto"/>
        <w:rPr>
          <w:rFonts w:asciiTheme="minorHAnsi" w:hAnsiTheme="minorHAnsi"/>
          <w:sz w:val="18"/>
          <w:szCs w:val="18"/>
        </w:rPr>
      </w:pPr>
      <w:r w:rsidRPr="00F15B4D">
        <w:rPr>
          <w:rStyle w:val="FootnoteReference"/>
          <w:rFonts w:asciiTheme="minorHAnsi" w:hAnsiTheme="minorHAnsi"/>
          <w:sz w:val="18"/>
          <w:szCs w:val="18"/>
        </w:rPr>
        <w:footnoteRef/>
      </w:r>
      <w:r w:rsidRPr="00F15B4D">
        <w:rPr>
          <w:rFonts w:asciiTheme="minorHAnsi" w:hAnsiTheme="minorHAnsi"/>
          <w:sz w:val="18"/>
          <w:szCs w:val="18"/>
        </w:rPr>
        <w:t xml:space="preserve"> </w:t>
      </w:r>
      <w:r>
        <w:rPr>
          <w:rFonts w:asciiTheme="minorHAnsi" w:hAnsiTheme="minorHAnsi"/>
          <w:sz w:val="18"/>
          <w:szCs w:val="18"/>
        </w:rPr>
        <w:t>APA comments: “</w:t>
      </w:r>
      <w:r w:rsidRPr="00A664E2">
        <w:rPr>
          <w:rFonts w:asciiTheme="minorHAnsi" w:hAnsiTheme="minorHAnsi"/>
          <w:i/>
          <w:sz w:val="18"/>
          <w:szCs w:val="18"/>
        </w:rPr>
        <w:t>In regard to the point it should be stressed that at the current stage, the mentioned parks have no enough facilities/infrastructure or resources/possibilities to generate own revenues that will be enable them to work independently. Due to this fact APA is obliged to use budget or own revenues generated by other parks for maintaining these parks. Without centralization these parks won’t be able to cover at least its operational costs.”</w:t>
      </w:r>
      <w:r>
        <w:rPr>
          <w:rFonts w:asciiTheme="minorHAnsi" w:hAnsiTheme="minorHAnsi"/>
          <w:sz w:val="18"/>
          <w:szCs w:val="18"/>
        </w:rPr>
        <w:t xml:space="preserve"> The view of the Evaluators is that devolved powers can and should be divorced from the funding issue, which clearly does need to be managed centrally by APA, as in the case of many national parks around the world. In such cases, the NP is given a budget and empowered to deliver the management plan in a transparent and accountable manner, without continual recourse to central government for approvals. Often such NPs have their own Boards to which its director reports.[Also see </w:t>
      </w:r>
      <w:r w:rsidRPr="00A664E2">
        <w:rPr>
          <w:rFonts w:asciiTheme="minorHAnsi" w:hAnsiTheme="minorHAnsi"/>
          <w:b/>
          <w:sz w:val="18"/>
          <w:szCs w:val="18"/>
        </w:rPr>
        <w:t>Annex 9</w:t>
      </w:r>
      <w:r>
        <w:rPr>
          <w:rFonts w:asciiTheme="minorHAnsi" w:hAnsiTheme="minorHAnsi"/>
          <w:sz w:val="18"/>
          <w:szCs w:val="18"/>
        </w:rPr>
        <w:t>]</w:t>
      </w:r>
    </w:p>
  </w:footnote>
  <w:footnote w:id="5">
    <w:p w14:paraId="2E074159" w14:textId="77777777" w:rsidR="005301E8" w:rsidRDefault="005301E8" w:rsidP="0066350C">
      <w:pPr>
        <w:pStyle w:val="FootnoteText"/>
        <w:spacing w:after="0" w:line="240" w:lineRule="auto"/>
        <w:ind w:left="142" w:hanging="142"/>
        <w:rPr>
          <w:rFonts w:ascii="Calibri" w:hAnsi="Calibri"/>
        </w:rPr>
      </w:pPr>
      <w:r>
        <w:rPr>
          <w:rStyle w:val="FootnoteReference"/>
        </w:rPr>
        <w:footnoteRef/>
      </w:r>
      <w:r>
        <w:rPr>
          <w:rFonts w:ascii="Calibri" w:hAnsi="Calibri"/>
          <w:sz w:val="18"/>
          <w:szCs w:val="18"/>
        </w:rPr>
        <w:tab/>
        <w:t>According to the ProDoc, the Government and ARA were investing US$ 12.5 million and US$ 3 million, respectively, during the project period in biodiversity management outside PAs, including EIA to ensure biodiversity is included in development plans. At that time the Ministry of Environment’s Ecological Expertise and Inspection Department was investing US$ 100,000 annually in support of EIA. r</w:t>
      </w:r>
    </w:p>
  </w:footnote>
  <w:footnote w:id="6">
    <w:p w14:paraId="50FEE9D7" w14:textId="77777777" w:rsidR="005301E8" w:rsidRPr="0001221E" w:rsidRDefault="005301E8" w:rsidP="0066350C">
      <w:pPr>
        <w:pStyle w:val="FootnoteText"/>
        <w:ind w:left="142" w:hanging="142"/>
      </w:pPr>
      <w:r w:rsidRPr="00F65AA3">
        <w:rPr>
          <w:rStyle w:val="FootnoteReference"/>
          <w:rFonts w:ascii="Calibri" w:hAnsi="Calibri"/>
          <w:sz w:val="18"/>
          <w:szCs w:val="18"/>
        </w:rPr>
        <w:footnoteRef/>
      </w:r>
      <w:r w:rsidRPr="00F65AA3">
        <w:rPr>
          <w:rFonts w:ascii="Calibri" w:hAnsi="Calibri"/>
          <w:sz w:val="18"/>
          <w:szCs w:val="18"/>
        </w:rPr>
        <w:tab/>
        <w:t>The project has already disseminated and published some of this material, available as maps and brochures from the tourism sector and via the Internet. Project information is held by UNDP Geo</w:t>
      </w:r>
      <w:r>
        <w:rPr>
          <w:rFonts w:ascii="Calibri" w:hAnsi="Calibri"/>
          <w:sz w:val="18"/>
          <w:szCs w:val="18"/>
        </w:rPr>
        <w:t>r</w:t>
      </w:r>
      <w:r w:rsidRPr="00F65AA3">
        <w:rPr>
          <w:rFonts w:ascii="Calibri" w:hAnsi="Calibri"/>
          <w:sz w:val="18"/>
          <w:szCs w:val="18"/>
        </w:rPr>
        <w:t>gia  (</w:t>
      </w:r>
      <w:hyperlink r:id="rId1" w:history="1">
        <w:r w:rsidRPr="005E7B72">
          <w:rPr>
            <w:rStyle w:val="Hyperlink"/>
            <w:rFonts w:ascii="Calibri" w:hAnsi="Calibri"/>
            <w:sz w:val="18"/>
            <w:szCs w:val="18"/>
          </w:rPr>
          <w:t>http://www.ge.undp.org/content/ georgia/en/home/projects/ajara-protected-areas.html</w:t>
        </w:r>
      </w:hyperlink>
      <w:r w:rsidRPr="00F65AA3">
        <w:rPr>
          <w:rFonts w:ascii="Calibri" w:hAnsi="Calibri"/>
          <w:sz w:val="18"/>
          <w:szCs w:val="18"/>
        </w:rPr>
        <w:t>) and a limited amount of visitor information is available via APA (</w:t>
      </w:r>
      <w:hyperlink r:id="rId2" w:history="1">
        <w:r w:rsidRPr="00F65AA3">
          <w:rPr>
            <w:rStyle w:val="Hyperlink"/>
            <w:rFonts w:ascii="Calibri" w:hAnsi="Calibri"/>
            <w:sz w:val="18"/>
            <w:szCs w:val="18"/>
          </w:rPr>
          <w:t>http://apa.gov.ge/en/protected-areas/cattestone/mtiralas-erovnuli-parkis-administracia</w:t>
        </w:r>
      </w:hyperlink>
      <w:r>
        <w:rPr>
          <w:rFonts w:ascii="Calibri" w:hAnsi="Calibri"/>
          <w:sz w:val="18"/>
          <w:szCs w:val="18"/>
        </w:rPr>
        <w:t>)</w:t>
      </w:r>
      <w:r w:rsidRPr="00F65AA3">
        <w:rPr>
          <w:rFonts w:ascii="Calibri" w:hAnsi="Calibri"/>
          <w:sz w:val="18"/>
          <w:szCs w:val="18"/>
        </w:rPr>
        <w:t>, though the site for Machakhela is under development and the ecotourism trails and guides for Kintrishi and Mtirala are poor by comparison</w:t>
      </w:r>
      <w:r>
        <w:rPr>
          <w:rFonts w:ascii="Calibri" w:hAnsi="Calibri"/>
          <w:sz w:val="18"/>
          <w:szCs w:val="18"/>
        </w:rPr>
        <w:t xml:space="preserve"> with the information and maps in the Sustainable Tourism Strategies for Mtirala and Kintrishi. Mtirala and Machakhela Friends Association also has a website (</w:t>
      </w:r>
      <w:hyperlink r:id="rId3" w:history="1">
        <w:r w:rsidRPr="005E7B72">
          <w:rPr>
            <w:rStyle w:val="Hyperlink"/>
            <w:rFonts w:ascii="Calibri" w:hAnsi="Calibri"/>
            <w:sz w:val="18"/>
            <w:szCs w:val="18"/>
          </w:rPr>
          <w:t>http://mmpafa.ge</w:t>
        </w:r>
      </w:hyperlink>
      <w:r>
        <w:rPr>
          <w:rFonts w:ascii="Calibri" w:hAnsi="Calibri"/>
          <w:sz w:val="18"/>
          <w:szCs w:val="18"/>
        </w:rPr>
        <w:t>) that would benefit from some of this material. Language is also an issue for foreign nationals visiting Georgia, as most PAs information accessible via the web is only in Georgian.</w:t>
      </w:r>
    </w:p>
  </w:footnote>
  <w:footnote w:id="7">
    <w:p w14:paraId="5E5DCB8C" w14:textId="77777777" w:rsidR="005301E8" w:rsidRDefault="005301E8" w:rsidP="0066350C">
      <w:pPr>
        <w:pStyle w:val="FootnoteText"/>
        <w:spacing w:after="0" w:line="240" w:lineRule="auto"/>
        <w:ind w:left="284" w:hanging="284"/>
        <w:rPr>
          <w:rFonts w:ascii="Calibri" w:hAnsi="Calibri" w:cs="Times Roman"/>
          <w:sz w:val="18"/>
          <w:szCs w:val="18"/>
        </w:rPr>
      </w:pPr>
      <w:r>
        <w:rPr>
          <w:rStyle w:val="FootnoteReference"/>
        </w:rPr>
        <w:footnoteRef/>
      </w:r>
      <w:r>
        <w:tab/>
      </w:r>
      <w:r>
        <w:rPr>
          <w:rFonts w:ascii="Calibri" w:hAnsi="Calibri"/>
          <w:sz w:val="18"/>
          <w:szCs w:val="18"/>
        </w:rPr>
        <w:t xml:space="preserve">The biosphere reserve concept addresses the need to reconcile preservation of biodiversity within protected areas, often at a level larger than a single ecosystem, with the human development needs of the local and wider community. As such it represents an innovative approach to conservation: </w:t>
      </w:r>
      <w:r>
        <w:rPr>
          <w:rFonts w:ascii="Calibri" w:hAnsi="Calibri"/>
          <w:i/>
          <w:iCs/>
          <w:sz w:val="18"/>
          <w:szCs w:val="18"/>
        </w:rPr>
        <w:t xml:space="preserve">“Biosphere reserves are much like laboratories where new and optimal practices to manage nature and human activities are tested and demonstrated. They outpace traditional confined conservation zones, combining core protected areas with zones where sustainable development is fostered by local dwellers and enterprises. Their governance systems are often highly innovative. In some cases, new legislation can be introduced.” </w:t>
      </w:r>
    </w:p>
    <w:p w14:paraId="4F56B005" w14:textId="77777777" w:rsidR="005301E8" w:rsidRDefault="005301E8" w:rsidP="0066350C">
      <w:pPr>
        <w:pStyle w:val="FootnoteText"/>
        <w:spacing w:after="0" w:line="240" w:lineRule="auto"/>
        <w:ind w:left="284"/>
        <w:rPr>
          <w:rFonts w:ascii="Calibri" w:hAnsi="Calibri" w:cs="Times Roman"/>
          <w:sz w:val="18"/>
          <w:szCs w:val="18"/>
        </w:rPr>
      </w:pPr>
      <w:r>
        <w:rPr>
          <w:rFonts w:ascii="Calibri" w:hAnsi="Calibri"/>
          <w:sz w:val="18"/>
          <w:szCs w:val="18"/>
        </w:rPr>
        <w:t xml:space="preserve">In accordance with the </w:t>
      </w:r>
      <w:r>
        <w:rPr>
          <w:rFonts w:ascii="Calibri" w:hAnsi="Calibri"/>
          <w:i/>
          <w:iCs/>
          <w:sz w:val="18"/>
          <w:szCs w:val="18"/>
        </w:rPr>
        <w:t>Statutory Framework of the World Network of Biosphere Reserves</w:t>
      </w:r>
      <w:r>
        <w:rPr>
          <w:rFonts w:ascii="Calibri" w:hAnsi="Calibri"/>
          <w:sz w:val="18"/>
          <w:szCs w:val="18"/>
        </w:rPr>
        <w:t xml:space="preserve">: </w:t>
      </w:r>
      <w:r>
        <w:rPr>
          <w:rFonts w:ascii="Calibri" w:hAnsi="Calibri"/>
          <w:i/>
          <w:iCs/>
          <w:sz w:val="18"/>
          <w:szCs w:val="18"/>
        </w:rPr>
        <w:t xml:space="preserve">Individual biosphere reserves remain under the sovereign jurisdiction of the States where they are situated. Under the present Statutory Framework, States take the measures which they deems necessary according to their national legislation. </w:t>
      </w:r>
      <w:r>
        <w:rPr>
          <w:rFonts w:ascii="Calibri" w:hAnsi="Calibri"/>
          <w:sz w:val="18"/>
          <w:szCs w:val="18"/>
        </w:rPr>
        <w:t xml:space="preserve">(Article 2.3) </w:t>
      </w:r>
    </w:p>
  </w:footnote>
  <w:footnote w:id="8">
    <w:p w14:paraId="5F5BDA42" w14:textId="1F4953A1" w:rsidR="005301E8" w:rsidRPr="000D4561" w:rsidRDefault="005301E8" w:rsidP="000D4561">
      <w:pPr>
        <w:pStyle w:val="FootnoteText"/>
        <w:tabs>
          <w:tab w:val="left" w:pos="142"/>
        </w:tabs>
        <w:spacing w:after="0" w:line="240" w:lineRule="auto"/>
        <w:contextualSpacing/>
        <w:rPr>
          <w:rFonts w:ascii="Calibri" w:hAnsi="Calibri" w:cs="Arial"/>
          <w:sz w:val="18"/>
          <w:szCs w:val="18"/>
        </w:rPr>
      </w:pPr>
      <w:r w:rsidRPr="000D4561">
        <w:rPr>
          <w:rStyle w:val="FootnoteReference"/>
          <w:rFonts w:ascii="Calibri" w:hAnsi="Calibri" w:cs="Arial"/>
          <w:sz w:val="18"/>
          <w:szCs w:val="18"/>
        </w:rPr>
        <w:footnoteRef/>
      </w:r>
      <w:r>
        <w:rPr>
          <w:rFonts w:ascii="Calibri" w:hAnsi="Calibri" w:cs="Arial"/>
          <w:sz w:val="18"/>
          <w:szCs w:val="18"/>
        </w:rPr>
        <w:tab/>
      </w:r>
      <w:r w:rsidRPr="000D4561">
        <w:rPr>
          <w:rFonts w:ascii="Calibri" w:hAnsi="Calibri" w:cs="Arial"/>
          <w:i/>
          <w:sz w:val="18"/>
          <w:szCs w:val="18"/>
        </w:rPr>
        <w:t>The GEF Monitoring and Evaluation Policy 2010</w:t>
      </w:r>
      <w:r w:rsidRPr="000D4561">
        <w:rPr>
          <w:rFonts w:ascii="Calibri" w:hAnsi="Calibri" w:cs="Arial"/>
          <w:sz w:val="18"/>
          <w:szCs w:val="18"/>
        </w:rPr>
        <w:t>, Evaluation Document November 2010, No. 4. 32 pp.</w:t>
      </w:r>
    </w:p>
  </w:footnote>
  <w:footnote w:id="9">
    <w:p w14:paraId="53F39542" w14:textId="5B1A181C" w:rsidR="005301E8" w:rsidRPr="00961852" w:rsidRDefault="005301E8" w:rsidP="000D4561">
      <w:pPr>
        <w:pStyle w:val="FootnoteText"/>
        <w:spacing w:after="0" w:line="240" w:lineRule="auto"/>
        <w:ind w:left="142" w:hanging="142"/>
        <w:contextualSpacing/>
        <w:rPr>
          <w:rFonts w:ascii="Calibri" w:hAnsi="Calibri"/>
          <w:sz w:val="20"/>
        </w:rPr>
      </w:pPr>
      <w:r w:rsidRPr="000D4561">
        <w:rPr>
          <w:rStyle w:val="FootnoteReference"/>
          <w:rFonts w:ascii="Calibri" w:hAnsi="Calibri"/>
          <w:sz w:val="18"/>
          <w:szCs w:val="18"/>
        </w:rPr>
        <w:footnoteRef/>
      </w:r>
      <w:r w:rsidRPr="000D4561">
        <w:rPr>
          <w:rFonts w:ascii="Calibri" w:hAnsi="Calibri"/>
          <w:sz w:val="18"/>
          <w:szCs w:val="18"/>
        </w:rPr>
        <w:t xml:space="preserve"> </w:t>
      </w:r>
      <w:r>
        <w:rPr>
          <w:rFonts w:ascii="Calibri" w:hAnsi="Calibri"/>
          <w:sz w:val="18"/>
          <w:szCs w:val="18"/>
        </w:rPr>
        <w:tab/>
      </w:r>
      <w:r w:rsidRPr="000D4561">
        <w:rPr>
          <w:rFonts w:ascii="Calibri" w:hAnsi="Calibri"/>
          <w:i/>
          <w:sz w:val="18"/>
          <w:szCs w:val="18"/>
        </w:rPr>
        <w:t>Project-Level Evaluation: Guidance for conducting terminal evaluations of UNDP-supported, GEF-financed projects</w:t>
      </w:r>
      <w:r w:rsidRPr="000D4561">
        <w:rPr>
          <w:rFonts w:ascii="Calibri" w:hAnsi="Calibri"/>
          <w:sz w:val="18"/>
          <w:szCs w:val="18"/>
        </w:rPr>
        <w:t>, UNDP Evaluation Office, New York, 2012. 53 pp.</w:t>
      </w:r>
    </w:p>
  </w:footnote>
  <w:footnote w:id="10">
    <w:p w14:paraId="051ABE78" w14:textId="77777777" w:rsidR="005301E8" w:rsidRPr="00213933" w:rsidRDefault="005301E8" w:rsidP="00213933">
      <w:pPr>
        <w:pStyle w:val="FootnoteText"/>
        <w:spacing w:after="0" w:line="240" w:lineRule="auto"/>
        <w:ind w:left="142" w:hanging="142"/>
        <w:rPr>
          <w:rFonts w:ascii="Calibri" w:hAnsi="Calibri" w:cs="Arial"/>
          <w:sz w:val="18"/>
          <w:szCs w:val="18"/>
        </w:rPr>
      </w:pPr>
      <w:r w:rsidRPr="00213933">
        <w:rPr>
          <w:rStyle w:val="FootnoteReference"/>
          <w:rFonts w:ascii="Calibri" w:hAnsi="Calibri"/>
          <w:sz w:val="18"/>
          <w:szCs w:val="18"/>
        </w:rPr>
        <w:footnoteRef/>
      </w:r>
      <w:r w:rsidRPr="00213933">
        <w:rPr>
          <w:rFonts w:ascii="Calibri" w:hAnsi="Calibri"/>
          <w:sz w:val="18"/>
          <w:szCs w:val="18"/>
        </w:rPr>
        <w:tab/>
        <w:t xml:space="preserve">Refer to </w:t>
      </w:r>
      <w:r w:rsidRPr="00213933">
        <w:rPr>
          <w:rFonts w:ascii="Calibri" w:hAnsi="Calibri" w:cs="Arial"/>
          <w:i/>
          <w:sz w:val="18"/>
          <w:szCs w:val="18"/>
        </w:rPr>
        <w:t xml:space="preserve">Guidance for Conducting Terminal Evaluations of UNDP-supported, GEF-Financed Projects, </w:t>
      </w:r>
      <w:r w:rsidRPr="00213933">
        <w:rPr>
          <w:rFonts w:ascii="Calibri" w:hAnsi="Calibri" w:cs="Arial"/>
          <w:sz w:val="18"/>
          <w:szCs w:val="18"/>
        </w:rPr>
        <w:t>UNDP Evaluation Office (2012) for full definitions of ‘satisfactory’, ‘likelihood’ and ‘impact’ scales.</w:t>
      </w:r>
    </w:p>
  </w:footnote>
  <w:footnote w:id="11">
    <w:p w14:paraId="4B45D081" w14:textId="5B421F41" w:rsidR="005301E8" w:rsidRPr="00213933" w:rsidRDefault="005301E8" w:rsidP="00F2052E">
      <w:pPr>
        <w:pStyle w:val="FootnoteText"/>
        <w:spacing w:after="0" w:line="240" w:lineRule="auto"/>
        <w:ind w:left="142" w:hanging="142"/>
        <w:rPr>
          <w:rFonts w:ascii="Calibri" w:hAnsi="Calibri"/>
          <w:sz w:val="18"/>
          <w:szCs w:val="18"/>
        </w:rPr>
      </w:pPr>
      <w:r w:rsidRPr="00213933">
        <w:rPr>
          <w:rStyle w:val="FootnoteReference"/>
          <w:rFonts w:ascii="Calibri" w:hAnsi="Calibri"/>
          <w:sz w:val="18"/>
          <w:szCs w:val="18"/>
        </w:rPr>
        <w:footnoteRef/>
      </w:r>
      <w:r w:rsidRPr="00213933">
        <w:rPr>
          <w:rFonts w:ascii="Calibri" w:hAnsi="Calibri"/>
          <w:sz w:val="18"/>
          <w:szCs w:val="18"/>
        </w:rPr>
        <w:tab/>
        <w:t>Sustainability concerns the extent to which environmental, social and economic benefits are likely to continue after GEF/external assistance has ended</w:t>
      </w:r>
    </w:p>
  </w:footnote>
  <w:footnote w:id="12">
    <w:p w14:paraId="73714B21" w14:textId="76073DDB" w:rsidR="005301E8" w:rsidRPr="000436E6" w:rsidRDefault="005301E8" w:rsidP="00213933">
      <w:pPr>
        <w:pStyle w:val="FootnoteText"/>
        <w:tabs>
          <w:tab w:val="left" w:pos="142"/>
        </w:tabs>
        <w:spacing w:after="0"/>
        <w:rPr>
          <w:rFonts w:ascii="Calibri" w:hAnsi="Calibri"/>
          <w:sz w:val="20"/>
        </w:rPr>
      </w:pPr>
      <w:r w:rsidRPr="000436E6">
        <w:rPr>
          <w:rStyle w:val="FootnoteReference"/>
          <w:rFonts w:ascii="Calibri" w:hAnsi="Calibri"/>
          <w:sz w:val="20"/>
        </w:rPr>
        <w:footnoteRef/>
      </w:r>
      <w:r>
        <w:rPr>
          <w:rFonts w:ascii="Calibri" w:hAnsi="Calibri"/>
          <w:sz w:val="20"/>
        </w:rPr>
        <w:tab/>
      </w:r>
      <w:r w:rsidRPr="00213933">
        <w:rPr>
          <w:rFonts w:ascii="Calibri" w:hAnsi="Calibri"/>
          <w:b/>
          <w:sz w:val="18"/>
          <w:szCs w:val="18"/>
        </w:rPr>
        <w:t>S</w:t>
      </w:r>
      <w:r w:rsidRPr="00213933">
        <w:rPr>
          <w:rFonts w:ascii="Calibri" w:hAnsi="Calibri"/>
          <w:sz w:val="18"/>
          <w:szCs w:val="18"/>
        </w:rPr>
        <w:t xml:space="preserve">pecific, </w:t>
      </w:r>
      <w:r w:rsidRPr="00213933">
        <w:rPr>
          <w:rFonts w:ascii="Calibri" w:hAnsi="Calibri"/>
          <w:b/>
          <w:sz w:val="18"/>
          <w:szCs w:val="18"/>
        </w:rPr>
        <w:t>M</w:t>
      </w:r>
      <w:r w:rsidRPr="00213933">
        <w:rPr>
          <w:rFonts w:ascii="Calibri" w:hAnsi="Calibri"/>
          <w:sz w:val="18"/>
          <w:szCs w:val="18"/>
        </w:rPr>
        <w:t xml:space="preserve">easurable, </w:t>
      </w:r>
      <w:r w:rsidRPr="00213933">
        <w:rPr>
          <w:rFonts w:ascii="Calibri" w:hAnsi="Calibri"/>
          <w:b/>
          <w:sz w:val="18"/>
          <w:szCs w:val="18"/>
        </w:rPr>
        <w:t>A</w:t>
      </w:r>
      <w:r w:rsidRPr="00213933">
        <w:rPr>
          <w:rFonts w:ascii="Calibri" w:hAnsi="Calibri"/>
          <w:sz w:val="18"/>
          <w:szCs w:val="18"/>
        </w:rPr>
        <w:t xml:space="preserve">chievable, </w:t>
      </w:r>
      <w:r w:rsidRPr="00213933">
        <w:rPr>
          <w:rFonts w:ascii="Calibri" w:hAnsi="Calibri"/>
          <w:b/>
          <w:sz w:val="18"/>
          <w:szCs w:val="18"/>
        </w:rPr>
        <w:t>R</w:t>
      </w:r>
      <w:r w:rsidRPr="00213933">
        <w:rPr>
          <w:rFonts w:ascii="Calibri" w:hAnsi="Calibri"/>
          <w:sz w:val="18"/>
          <w:szCs w:val="18"/>
        </w:rPr>
        <w:t xml:space="preserve">elevant and </w:t>
      </w:r>
      <w:r w:rsidRPr="00213933">
        <w:rPr>
          <w:rFonts w:ascii="Calibri" w:hAnsi="Calibri"/>
          <w:b/>
          <w:sz w:val="18"/>
          <w:szCs w:val="18"/>
        </w:rPr>
        <w:t>T</w:t>
      </w:r>
      <w:r w:rsidRPr="00213933">
        <w:rPr>
          <w:rFonts w:ascii="Calibri" w:hAnsi="Calibri"/>
          <w:sz w:val="18"/>
          <w:szCs w:val="18"/>
        </w:rPr>
        <w:t>ime-bound, as defined in the UNDP Guidance for TEs (2012).</w:t>
      </w:r>
    </w:p>
  </w:footnote>
  <w:footnote w:id="13">
    <w:p w14:paraId="2E6B5CB8" w14:textId="4B1A6437" w:rsidR="005301E8" w:rsidRPr="00493CE3" w:rsidRDefault="005301E8" w:rsidP="00213933">
      <w:pPr>
        <w:pStyle w:val="FootnoteText"/>
        <w:tabs>
          <w:tab w:val="left" w:pos="142"/>
        </w:tabs>
        <w:spacing w:after="0" w:line="240" w:lineRule="auto"/>
        <w:rPr>
          <w:rFonts w:ascii="Calibri" w:hAnsi="Calibri"/>
          <w:sz w:val="18"/>
          <w:szCs w:val="18"/>
        </w:rPr>
      </w:pPr>
      <w:r w:rsidRPr="00493CE3">
        <w:rPr>
          <w:rStyle w:val="FootnoteReference"/>
          <w:rFonts w:ascii="Calibri" w:hAnsi="Calibri"/>
          <w:sz w:val="18"/>
          <w:szCs w:val="18"/>
        </w:rPr>
        <w:footnoteRef/>
      </w:r>
      <w:r>
        <w:rPr>
          <w:rFonts w:ascii="Calibri" w:hAnsi="Calibri"/>
          <w:sz w:val="18"/>
          <w:szCs w:val="18"/>
        </w:rPr>
        <w:tab/>
      </w:r>
      <w:r w:rsidRPr="00493CE3">
        <w:rPr>
          <w:rFonts w:ascii="Calibri" w:hAnsi="Calibri"/>
          <w:sz w:val="18"/>
          <w:szCs w:val="18"/>
        </w:rPr>
        <w:t>The PIF was approved by GEF Council on 7 June 2012</w:t>
      </w:r>
      <w:r>
        <w:rPr>
          <w:rFonts w:ascii="Calibri" w:hAnsi="Calibri"/>
          <w:sz w:val="18"/>
          <w:szCs w:val="18"/>
        </w:rPr>
        <w:t>, not</w:t>
      </w:r>
      <w:r w:rsidRPr="00493CE3">
        <w:rPr>
          <w:rFonts w:ascii="Calibri" w:hAnsi="Calibri"/>
          <w:sz w:val="18"/>
          <w:szCs w:val="18"/>
        </w:rPr>
        <w:t xml:space="preserve"> 21 March 2012 as incorrectly cited in the MTR report (p. 20). </w:t>
      </w:r>
    </w:p>
  </w:footnote>
  <w:footnote w:id="14">
    <w:p w14:paraId="7290A8EE" w14:textId="1C7627BD" w:rsidR="005301E8" w:rsidRPr="00213933" w:rsidRDefault="005301E8" w:rsidP="00DA2AB6">
      <w:pPr>
        <w:pStyle w:val="FootnoteText"/>
        <w:tabs>
          <w:tab w:val="left" w:pos="142"/>
        </w:tabs>
        <w:spacing w:after="0" w:line="240" w:lineRule="auto"/>
        <w:ind w:left="142" w:hanging="142"/>
        <w:rPr>
          <w:rFonts w:ascii="Calibri" w:hAnsi="Calibri"/>
          <w:sz w:val="18"/>
          <w:szCs w:val="18"/>
        </w:rPr>
      </w:pPr>
      <w:r w:rsidRPr="00213933">
        <w:rPr>
          <w:rStyle w:val="FootnoteReference"/>
          <w:rFonts w:ascii="Calibri" w:hAnsi="Calibri"/>
          <w:sz w:val="18"/>
          <w:szCs w:val="18"/>
        </w:rPr>
        <w:footnoteRef/>
      </w:r>
      <w:r w:rsidRPr="00213933">
        <w:rPr>
          <w:rFonts w:ascii="Calibri" w:hAnsi="Calibri"/>
          <w:sz w:val="18"/>
          <w:szCs w:val="18"/>
        </w:rPr>
        <w:tab/>
        <w:t xml:space="preserve">Ispani Mire (770 ha) is listed as an internationally important wetland under the Ramsar Convention since 1997. It comprises Kobuleti Nature Reserve (331.25 ha) and Kobuleti Managed Reserve (438.75), designated in 1998 under the national Law on the System of Protected </w:t>
      </w:r>
      <w:r>
        <w:rPr>
          <w:rFonts w:ascii="Calibri" w:hAnsi="Calibri"/>
          <w:sz w:val="18"/>
          <w:szCs w:val="18"/>
        </w:rPr>
        <w:t>Territories</w:t>
      </w:r>
      <w:r w:rsidRPr="00213933">
        <w:rPr>
          <w:rFonts w:ascii="Calibri" w:hAnsi="Calibri"/>
          <w:sz w:val="18"/>
          <w:szCs w:val="18"/>
        </w:rPr>
        <w:t xml:space="preserve"> (1996). </w:t>
      </w:r>
    </w:p>
  </w:footnote>
  <w:footnote w:id="15">
    <w:p w14:paraId="4CB34656" w14:textId="229B4B29" w:rsidR="005301E8" w:rsidRPr="00B21B8F" w:rsidRDefault="005301E8" w:rsidP="00213933">
      <w:pPr>
        <w:pStyle w:val="FootnoteText"/>
        <w:tabs>
          <w:tab w:val="left" w:pos="142"/>
        </w:tabs>
        <w:spacing w:after="0" w:line="240" w:lineRule="auto"/>
        <w:rPr>
          <w:rFonts w:ascii="Calibri" w:hAnsi="Calibri"/>
          <w:sz w:val="18"/>
          <w:szCs w:val="18"/>
        </w:rPr>
      </w:pPr>
      <w:r w:rsidRPr="00B21B8F">
        <w:rPr>
          <w:rStyle w:val="FootnoteReference"/>
          <w:rFonts w:ascii="Calibri" w:hAnsi="Calibri"/>
          <w:sz w:val="18"/>
          <w:szCs w:val="18"/>
        </w:rPr>
        <w:footnoteRef/>
      </w:r>
      <w:r>
        <w:rPr>
          <w:rFonts w:ascii="Calibri" w:hAnsi="Calibri"/>
          <w:sz w:val="18"/>
          <w:szCs w:val="18"/>
        </w:rPr>
        <w:tab/>
      </w:r>
      <w:r w:rsidRPr="00B21B8F">
        <w:rPr>
          <w:rFonts w:ascii="Calibri" w:hAnsi="Calibri"/>
          <w:sz w:val="18"/>
          <w:szCs w:val="18"/>
          <w:lang w:val="en-GB"/>
        </w:rPr>
        <w:t>Framework Report on Georgia’s Biodiversity, 2009</w:t>
      </w:r>
    </w:p>
  </w:footnote>
  <w:footnote w:id="16">
    <w:p w14:paraId="6DECE5F6" w14:textId="3C9285DF" w:rsidR="005301E8" w:rsidRPr="00213933" w:rsidRDefault="005301E8" w:rsidP="00213933">
      <w:pPr>
        <w:pStyle w:val="FootnoteText"/>
        <w:tabs>
          <w:tab w:val="left" w:pos="142"/>
        </w:tabs>
        <w:spacing w:after="0" w:line="240" w:lineRule="auto"/>
        <w:rPr>
          <w:rFonts w:ascii="Calibri" w:hAnsi="Calibri" w:cs="Arial"/>
          <w:sz w:val="18"/>
          <w:szCs w:val="18"/>
        </w:rPr>
      </w:pPr>
      <w:r w:rsidRPr="00213933">
        <w:rPr>
          <w:rStyle w:val="FootnoteReference"/>
          <w:rFonts w:ascii="Calibri" w:hAnsi="Calibri" w:cs="Arial"/>
          <w:sz w:val="18"/>
          <w:szCs w:val="18"/>
        </w:rPr>
        <w:footnoteRef/>
      </w:r>
      <w:r w:rsidRPr="00213933">
        <w:rPr>
          <w:rFonts w:ascii="Calibri" w:hAnsi="Calibri" w:cs="Arial"/>
          <w:sz w:val="18"/>
          <w:szCs w:val="18"/>
        </w:rPr>
        <w:tab/>
        <w:t xml:space="preserve">This measures records of illegal activity incidents as a proportion of patrol effort. </w:t>
      </w:r>
    </w:p>
  </w:footnote>
  <w:footnote w:id="17">
    <w:p w14:paraId="1BD9B226" w14:textId="094AD5E5" w:rsidR="005301E8" w:rsidRPr="00952F6A" w:rsidRDefault="005301E8" w:rsidP="00213933">
      <w:pPr>
        <w:pStyle w:val="FootnoteText"/>
        <w:tabs>
          <w:tab w:val="left" w:pos="142"/>
        </w:tabs>
        <w:spacing w:after="0" w:line="240" w:lineRule="auto"/>
        <w:ind w:left="142" w:hanging="142"/>
        <w:rPr>
          <w:rFonts w:ascii="Calibri" w:hAnsi="Calibri"/>
          <w:sz w:val="18"/>
          <w:szCs w:val="18"/>
        </w:rPr>
      </w:pPr>
      <w:r w:rsidRPr="00952F6A">
        <w:rPr>
          <w:rStyle w:val="FootnoteReference"/>
          <w:rFonts w:ascii="Calibri" w:hAnsi="Calibri"/>
          <w:sz w:val="18"/>
          <w:szCs w:val="18"/>
        </w:rPr>
        <w:footnoteRef/>
      </w:r>
      <w:r>
        <w:rPr>
          <w:rFonts w:ascii="Calibri" w:hAnsi="Calibri"/>
          <w:sz w:val="18"/>
          <w:szCs w:val="18"/>
        </w:rPr>
        <w:tab/>
      </w:r>
      <w:r w:rsidRPr="00952F6A">
        <w:rPr>
          <w:rFonts w:ascii="Calibri" w:hAnsi="Calibri"/>
          <w:sz w:val="18"/>
          <w:szCs w:val="18"/>
        </w:rPr>
        <w:t xml:space="preserve">“De-concentration” is the accepted </w:t>
      </w:r>
      <w:r>
        <w:rPr>
          <w:rFonts w:ascii="Calibri" w:hAnsi="Calibri"/>
          <w:sz w:val="18"/>
          <w:szCs w:val="18"/>
        </w:rPr>
        <w:t>term</w:t>
      </w:r>
      <w:r w:rsidRPr="00952F6A">
        <w:rPr>
          <w:rFonts w:ascii="Calibri" w:hAnsi="Calibri"/>
          <w:sz w:val="18"/>
          <w:szCs w:val="18"/>
        </w:rPr>
        <w:t xml:space="preserve"> used in Georgia to refer to decentralization (devolution of resources and management control from centre to regional, district, field levels)</w:t>
      </w:r>
      <w:r>
        <w:rPr>
          <w:rFonts w:ascii="Calibri" w:hAnsi="Calibri"/>
          <w:sz w:val="18"/>
          <w:szCs w:val="18"/>
        </w:rPr>
        <w:t>.</w:t>
      </w:r>
    </w:p>
  </w:footnote>
  <w:footnote w:id="18">
    <w:p w14:paraId="4710396B" w14:textId="6A203673" w:rsidR="005301E8" w:rsidRPr="00213933" w:rsidRDefault="005301E8" w:rsidP="00213933">
      <w:pPr>
        <w:pStyle w:val="FootnoteText"/>
        <w:tabs>
          <w:tab w:val="left" w:pos="142"/>
        </w:tabs>
        <w:spacing w:after="0" w:line="240" w:lineRule="auto"/>
        <w:rPr>
          <w:rFonts w:ascii="Calibri" w:hAnsi="Calibri"/>
          <w:sz w:val="18"/>
          <w:szCs w:val="18"/>
        </w:rPr>
      </w:pPr>
      <w:r w:rsidRPr="00213933">
        <w:rPr>
          <w:rStyle w:val="FootnoteReference"/>
          <w:rFonts w:ascii="Calibri" w:hAnsi="Calibri"/>
          <w:sz w:val="18"/>
          <w:szCs w:val="18"/>
        </w:rPr>
        <w:footnoteRef/>
      </w:r>
      <w:r>
        <w:rPr>
          <w:rFonts w:ascii="Calibri" w:hAnsi="Calibri"/>
          <w:sz w:val="18"/>
          <w:szCs w:val="18"/>
        </w:rPr>
        <w:tab/>
      </w:r>
      <w:r w:rsidRPr="00213933">
        <w:rPr>
          <w:rFonts w:ascii="Calibri" w:hAnsi="Calibri"/>
          <w:sz w:val="18"/>
          <w:szCs w:val="18"/>
        </w:rPr>
        <w:t>Note that this ‘high’ risk was marked as ‘moderate’ in the Atlas risk log.</w:t>
      </w:r>
    </w:p>
  </w:footnote>
  <w:footnote w:id="19">
    <w:p w14:paraId="745A7690" w14:textId="532A311E" w:rsidR="005301E8" w:rsidRPr="006E3569" w:rsidRDefault="005301E8" w:rsidP="000D4561">
      <w:pPr>
        <w:pStyle w:val="FootnoteText"/>
        <w:tabs>
          <w:tab w:val="left" w:pos="142"/>
        </w:tabs>
        <w:spacing w:after="0" w:line="240" w:lineRule="auto"/>
        <w:rPr>
          <w:rFonts w:ascii="Calibri" w:hAnsi="Calibri"/>
          <w:sz w:val="18"/>
          <w:szCs w:val="18"/>
        </w:rPr>
      </w:pPr>
      <w:r w:rsidRPr="006E3569">
        <w:rPr>
          <w:rStyle w:val="FootnoteReference"/>
          <w:rFonts w:ascii="Calibri" w:hAnsi="Calibri"/>
          <w:sz w:val="18"/>
          <w:szCs w:val="18"/>
        </w:rPr>
        <w:footnoteRef/>
      </w:r>
      <w:r w:rsidRPr="006E3569">
        <w:rPr>
          <w:rFonts w:ascii="Calibri" w:hAnsi="Calibri"/>
          <w:sz w:val="18"/>
          <w:szCs w:val="18"/>
        </w:rPr>
        <w:tab/>
        <w:t>Board members comprise: APA, UNDP, Directors of the three NPs, KfW and WWF, with consultants invited as needed.</w:t>
      </w:r>
    </w:p>
  </w:footnote>
  <w:footnote w:id="20">
    <w:p w14:paraId="4871DF64" w14:textId="77777777" w:rsidR="005301E8" w:rsidRPr="00B758AC" w:rsidRDefault="005301E8" w:rsidP="00195D6F">
      <w:pPr>
        <w:widowControl w:val="0"/>
        <w:overflowPunct/>
        <w:textAlignment w:val="auto"/>
        <w:rPr>
          <w:rFonts w:ascii="Times Roman" w:hAnsi="Times Roman" w:cs="Times Roman"/>
          <w:color w:val="000000"/>
          <w:sz w:val="18"/>
          <w:szCs w:val="18"/>
          <w:lang w:val="en-US"/>
        </w:rPr>
      </w:pPr>
      <w:r w:rsidRPr="006E3569">
        <w:rPr>
          <w:rStyle w:val="FootnoteReference"/>
          <w:rFonts w:ascii="Calibri" w:hAnsi="Calibri"/>
          <w:sz w:val="18"/>
          <w:szCs w:val="18"/>
        </w:rPr>
        <w:footnoteRef/>
      </w:r>
      <w:r w:rsidRPr="006E3569">
        <w:rPr>
          <w:rFonts w:ascii="Calibri" w:hAnsi="Calibri"/>
          <w:sz w:val="18"/>
          <w:szCs w:val="18"/>
        </w:rPr>
        <w:t xml:space="preserve"> </w:t>
      </w:r>
      <w:r w:rsidRPr="00C9415A">
        <w:rPr>
          <w:rFonts w:ascii="Calibri" w:hAnsi="Calibri" w:cs="Times Roman"/>
          <w:color w:val="000000"/>
          <w:sz w:val="18"/>
          <w:szCs w:val="18"/>
          <w:lang w:val="en-US"/>
        </w:rPr>
        <w:t>The EU Twinning project “</w:t>
      </w:r>
      <w:r w:rsidRPr="00C9415A">
        <w:rPr>
          <w:rFonts w:ascii="Calibri" w:hAnsi="Calibri" w:cs="Times Roman"/>
          <w:i/>
          <w:color w:val="000000"/>
          <w:sz w:val="18"/>
          <w:szCs w:val="18"/>
          <w:lang w:val="en-US"/>
        </w:rPr>
        <w:t>Strengthening Management of Protected Areas of Georgia</w:t>
      </w:r>
      <w:r w:rsidRPr="00C9415A">
        <w:rPr>
          <w:rFonts w:ascii="Calibri" w:hAnsi="Calibri" w:cs="Times Roman"/>
          <w:color w:val="000000"/>
          <w:sz w:val="18"/>
          <w:szCs w:val="18"/>
          <w:lang w:val="en-US"/>
        </w:rPr>
        <w:t>”</w:t>
      </w:r>
      <w:r>
        <w:rPr>
          <w:rFonts w:ascii="Calibri" w:hAnsi="Calibri" w:cs="Times Roman"/>
          <w:color w:val="000000"/>
          <w:sz w:val="18"/>
          <w:szCs w:val="18"/>
          <w:lang w:val="en-US"/>
        </w:rPr>
        <w:t>,</w:t>
      </w:r>
      <w:r w:rsidRPr="00C9415A">
        <w:rPr>
          <w:rFonts w:ascii="Calibri" w:hAnsi="Calibri" w:cs="Times Roman"/>
          <w:color w:val="000000"/>
          <w:sz w:val="18"/>
          <w:szCs w:val="18"/>
          <w:lang w:val="en-US"/>
        </w:rPr>
        <w:t xml:space="preserve"> ended in 20</w:t>
      </w:r>
      <w:r>
        <w:rPr>
          <w:rFonts w:ascii="Calibri" w:hAnsi="Calibri" w:cs="Times Roman"/>
          <w:color w:val="000000"/>
          <w:sz w:val="18"/>
          <w:szCs w:val="18"/>
          <w:lang w:val="en-US"/>
        </w:rPr>
        <w:t>15,</w:t>
      </w:r>
      <w:r w:rsidRPr="00C9415A">
        <w:rPr>
          <w:rFonts w:ascii="Calibri" w:hAnsi="Calibri" w:cs="Times Roman"/>
          <w:color w:val="000000"/>
          <w:sz w:val="18"/>
          <w:szCs w:val="18"/>
          <w:lang w:val="en-US"/>
        </w:rPr>
        <w:t xml:space="preserve"> </w:t>
      </w:r>
      <w:r>
        <w:rPr>
          <w:rFonts w:ascii="Calibri" w:hAnsi="Calibri" w:cs="Times Roman"/>
          <w:color w:val="000000"/>
          <w:sz w:val="18"/>
          <w:szCs w:val="18"/>
          <w:lang w:val="en-US"/>
        </w:rPr>
        <w:t>developed the management plan for</w:t>
      </w:r>
      <w:r w:rsidRPr="00C9415A">
        <w:rPr>
          <w:rFonts w:ascii="Calibri" w:hAnsi="Calibri" w:cs="Times Roman"/>
          <w:color w:val="000000"/>
          <w:sz w:val="18"/>
          <w:szCs w:val="18"/>
          <w:lang w:val="en-US"/>
        </w:rPr>
        <w:t xml:space="preserve"> Mtirala </w:t>
      </w:r>
      <w:r w:rsidRPr="00B758AC">
        <w:rPr>
          <w:rFonts w:ascii="Calibri" w:hAnsi="Calibri" w:cs="Times Roman"/>
          <w:color w:val="000000"/>
          <w:sz w:val="18"/>
          <w:szCs w:val="18"/>
          <w:lang w:val="en-US"/>
        </w:rPr>
        <w:t xml:space="preserve">NP. KfW is </w:t>
      </w:r>
      <w:r w:rsidRPr="00B758AC">
        <w:rPr>
          <w:rFonts w:ascii="Calibri" w:hAnsi="Calibri"/>
          <w:sz w:val="18"/>
          <w:szCs w:val="18"/>
        </w:rPr>
        <w:t>focused on Kintrishi PAs</w:t>
      </w:r>
      <w:r>
        <w:rPr>
          <w:rFonts w:ascii="Calibri" w:hAnsi="Calibri"/>
          <w:sz w:val="18"/>
          <w:szCs w:val="18"/>
        </w:rPr>
        <w:t>.</w:t>
      </w:r>
    </w:p>
  </w:footnote>
  <w:footnote w:id="21">
    <w:p w14:paraId="5D864F4A" w14:textId="23138256" w:rsidR="005301E8" w:rsidRPr="000C1C0D" w:rsidRDefault="005301E8" w:rsidP="006A7AD6">
      <w:pPr>
        <w:pStyle w:val="FootnoteText"/>
        <w:tabs>
          <w:tab w:val="left" w:pos="142"/>
        </w:tabs>
        <w:spacing w:after="0" w:line="240" w:lineRule="auto"/>
        <w:ind w:left="142" w:hanging="142"/>
        <w:rPr>
          <w:rFonts w:ascii="Calibri" w:hAnsi="Calibri"/>
          <w:sz w:val="18"/>
          <w:szCs w:val="18"/>
          <w:lang w:val="en-GB"/>
        </w:rPr>
      </w:pPr>
      <w:r w:rsidRPr="000C1C0D">
        <w:rPr>
          <w:rStyle w:val="FootnoteReference"/>
          <w:rFonts w:ascii="Calibri" w:hAnsi="Calibri"/>
          <w:sz w:val="18"/>
          <w:szCs w:val="18"/>
        </w:rPr>
        <w:footnoteRef/>
      </w:r>
      <w:r>
        <w:rPr>
          <w:rFonts w:ascii="Calibri" w:hAnsi="Calibri"/>
          <w:sz w:val="18"/>
          <w:szCs w:val="18"/>
        </w:rPr>
        <w:tab/>
      </w:r>
      <w:r w:rsidRPr="000C1C0D">
        <w:rPr>
          <w:rFonts w:ascii="Calibri" w:hAnsi="Calibri"/>
          <w:sz w:val="18"/>
          <w:szCs w:val="18"/>
          <w:lang w:val="en-GB"/>
        </w:rPr>
        <w:t xml:space="preserve">It is </w:t>
      </w:r>
      <w:r>
        <w:rPr>
          <w:rFonts w:ascii="Calibri" w:hAnsi="Calibri"/>
          <w:sz w:val="18"/>
          <w:szCs w:val="18"/>
          <w:lang w:val="en-GB"/>
        </w:rPr>
        <w:t>appreciated</w:t>
      </w:r>
      <w:r w:rsidRPr="000C1C0D">
        <w:rPr>
          <w:rFonts w:ascii="Calibri" w:hAnsi="Calibri"/>
          <w:sz w:val="18"/>
          <w:szCs w:val="18"/>
          <w:lang w:val="en-GB"/>
        </w:rPr>
        <w:t xml:space="preserve"> that part of </w:t>
      </w:r>
      <w:r>
        <w:rPr>
          <w:rFonts w:ascii="Calibri" w:hAnsi="Calibri"/>
          <w:sz w:val="18"/>
          <w:szCs w:val="18"/>
          <w:lang w:val="en-GB"/>
        </w:rPr>
        <w:t xml:space="preserve">the </w:t>
      </w:r>
      <w:r w:rsidRPr="000C1C0D">
        <w:rPr>
          <w:rFonts w:ascii="Calibri" w:hAnsi="Calibri"/>
          <w:sz w:val="18"/>
          <w:szCs w:val="18"/>
          <w:lang w:val="en-GB"/>
        </w:rPr>
        <w:t>rationale f</w:t>
      </w:r>
      <w:r>
        <w:rPr>
          <w:rFonts w:ascii="Calibri" w:hAnsi="Calibri"/>
          <w:sz w:val="18"/>
          <w:szCs w:val="18"/>
          <w:lang w:val="en-GB"/>
        </w:rPr>
        <w:t xml:space="preserve">or such centralization </w:t>
      </w:r>
      <w:r w:rsidRPr="000C1C0D">
        <w:rPr>
          <w:rFonts w:ascii="Calibri" w:hAnsi="Calibri"/>
          <w:sz w:val="18"/>
          <w:szCs w:val="18"/>
          <w:lang w:val="en-GB"/>
        </w:rPr>
        <w:t xml:space="preserve">has been to </w:t>
      </w:r>
      <w:r>
        <w:rPr>
          <w:rFonts w:ascii="Calibri" w:hAnsi="Calibri"/>
          <w:sz w:val="18"/>
          <w:szCs w:val="18"/>
          <w:lang w:val="en-GB"/>
        </w:rPr>
        <w:t>counter corrupt practices, commonplace a decade ago during the formative years of APA. Transparent budgeting and accountability to partners and stakeholders in the planning and implementation of PA management plans have to be among the ways forward for APA to pilot.</w:t>
      </w:r>
    </w:p>
  </w:footnote>
  <w:footnote w:id="22">
    <w:p w14:paraId="042E1AB1" w14:textId="3E3912A8" w:rsidR="005301E8" w:rsidRPr="00380C70" w:rsidRDefault="005301E8" w:rsidP="00380C70">
      <w:pPr>
        <w:pStyle w:val="FootnoteText"/>
        <w:tabs>
          <w:tab w:val="left" w:pos="142"/>
        </w:tabs>
        <w:spacing w:after="0" w:line="240" w:lineRule="auto"/>
        <w:ind w:left="142" w:hanging="142"/>
        <w:rPr>
          <w:rFonts w:ascii="Calibri" w:hAnsi="Calibri"/>
          <w:sz w:val="18"/>
          <w:szCs w:val="18"/>
          <w:lang w:val="en-GB"/>
        </w:rPr>
      </w:pPr>
      <w:r>
        <w:rPr>
          <w:rStyle w:val="FootnoteReference"/>
        </w:rPr>
        <w:footnoteRef/>
      </w:r>
      <w:r>
        <w:tab/>
      </w:r>
      <w:r>
        <w:rPr>
          <w:rFonts w:ascii="Calibri" w:hAnsi="Calibri"/>
          <w:sz w:val="18"/>
          <w:szCs w:val="18"/>
          <w:lang w:val="en-GB"/>
        </w:rPr>
        <w:t>The total area of Machakhela G</w:t>
      </w:r>
      <w:r w:rsidRPr="00380C70">
        <w:rPr>
          <w:rFonts w:ascii="Calibri" w:hAnsi="Calibri"/>
          <w:sz w:val="18"/>
          <w:szCs w:val="18"/>
          <w:lang w:val="en-GB"/>
        </w:rPr>
        <w:t xml:space="preserve">orge </w:t>
      </w:r>
      <w:r>
        <w:rPr>
          <w:rFonts w:ascii="Calibri" w:hAnsi="Calibri"/>
          <w:sz w:val="18"/>
          <w:szCs w:val="18"/>
          <w:lang w:val="en-GB"/>
        </w:rPr>
        <w:t>is</w:t>
      </w:r>
      <w:r w:rsidRPr="00380C70">
        <w:rPr>
          <w:rFonts w:ascii="Calibri" w:hAnsi="Calibri"/>
          <w:sz w:val="18"/>
          <w:szCs w:val="18"/>
          <w:lang w:val="en-GB"/>
        </w:rPr>
        <w:t xml:space="preserve"> 12,718 hectares, of which Machakhela NP </w:t>
      </w:r>
      <w:r>
        <w:rPr>
          <w:rFonts w:ascii="Calibri" w:hAnsi="Calibri"/>
          <w:sz w:val="18"/>
          <w:szCs w:val="18"/>
          <w:lang w:val="en-GB"/>
        </w:rPr>
        <w:t>covers</w:t>
      </w:r>
      <w:r w:rsidRPr="00380C70">
        <w:rPr>
          <w:rFonts w:ascii="Calibri" w:hAnsi="Calibri"/>
          <w:sz w:val="18"/>
          <w:szCs w:val="18"/>
          <w:lang w:val="en-GB"/>
        </w:rPr>
        <w:t xml:space="preserve"> 7</w:t>
      </w:r>
      <w:r>
        <w:rPr>
          <w:rFonts w:ascii="Calibri" w:hAnsi="Calibri"/>
          <w:sz w:val="18"/>
          <w:szCs w:val="18"/>
          <w:lang w:val="en-GB"/>
        </w:rPr>
        <w:t>,</w:t>
      </w:r>
      <w:r w:rsidRPr="00380C70">
        <w:rPr>
          <w:rFonts w:ascii="Calibri" w:hAnsi="Calibri"/>
          <w:sz w:val="18"/>
          <w:szCs w:val="18"/>
          <w:lang w:val="en-GB"/>
        </w:rPr>
        <w:t>327 h</w:t>
      </w:r>
      <w:r>
        <w:rPr>
          <w:rFonts w:ascii="Calibri" w:hAnsi="Calibri"/>
          <w:sz w:val="18"/>
          <w:szCs w:val="18"/>
          <w:lang w:val="en-GB"/>
        </w:rPr>
        <w:t>a and</w:t>
      </w:r>
      <w:r w:rsidRPr="00380C70">
        <w:rPr>
          <w:rFonts w:ascii="Calibri" w:hAnsi="Calibri"/>
          <w:sz w:val="18"/>
          <w:szCs w:val="18"/>
          <w:lang w:val="en-GB"/>
        </w:rPr>
        <w:t xml:space="preserve"> </w:t>
      </w:r>
      <w:r>
        <w:rPr>
          <w:rFonts w:ascii="Calibri" w:hAnsi="Calibri"/>
          <w:sz w:val="18"/>
          <w:szCs w:val="18"/>
          <w:lang w:val="en-GB"/>
        </w:rPr>
        <w:t>the rest (</w:t>
      </w:r>
      <w:r w:rsidRPr="00380C70">
        <w:rPr>
          <w:rFonts w:ascii="Calibri" w:hAnsi="Calibri"/>
          <w:sz w:val="18"/>
          <w:szCs w:val="18"/>
          <w:lang w:val="en-GB"/>
        </w:rPr>
        <w:t>5391 h</w:t>
      </w:r>
      <w:r>
        <w:rPr>
          <w:rFonts w:ascii="Calibri" w:hAnsi="Calibri"/>
          <w:sz w:val="18"/>
          <w:szCs w:val="18"/>
          <w:lang w:val="en-GB"/>
        </w:rPr>
        <w:t>a)</w:t>
      </w:r>
      <w:r w:rsidRPr="00380C70">
        <w:rPr>
          <w:rFonts w:ascii="Calibri" w:hAnsi="Calibri"/>
          <w:sz w:val="18"/>
          <w:szCs w:val="18"/>
          <w:lang w:val="en-GB"/>
        </w:rPr>
        <w:t xml:space="preserve"> </w:t>
      </w:r>
      <w:r>
        <w:rPr>
          <w:rFonts w:ascii="Calibri" w:hAnsi="Calibri"/>
          <w:sz w:val="18"/>
          <w:szCs w:val="18"/>
          <w:lang w:val="en-GB"/>
        </w:rPr>
        <w:t>comprises a</w:t>
      </w:r>
      <w:r w:rsidRPr="00380C70">
        <w:rPr>
          <w:rFonts w:ascii="Calibri" w:hAnsi="Calibri"/>
          <w:sz w:val="18"/>
          <w:szCs w:val="18"/>
          <w:lang w:val="en-GB"/>
        </w:rPr>
        <w:t xml:space="preserve"> residential support zone </w:t>
      </w:r>
      <w:r>
        <w:rPr>
          <w:rFonts w:ascii="Calibri" w:hAnsi="Calibri"/>
          <w:sz w:val="18"/>
          <w:szCs w:val="18"/>
          <w:lang w:val="en-GB"/>
        </w:rPr>
        <w:t>to</w:t>
      </w:r>
      <w:r w:rsidRPr="00380C70">
        <w:rPr>
          <w:rFonts w:ascii="Calibri" w:hAnsi="Calibri"/>
          <w:sz w:val="18"/>
          <w:szCs w:val="18"/>
          <w:lang w:val="en-GB"/>
        </w:rPr>
        <w:t xml:space="preserve"> the NP</w:t>
      </w:r>
      <w:r>
        <w:rPr>
          <w:rFonts w:ascii="Calibri" w:hAnsi="Calibri"/>
          <w:sz w:val="18"/>
          <w:szCs w:val="18"/>
          <w:lang w:val="en-GB"/>
        </w:rPr>
        <w:t xml:space="preserve"> that </w:t>
      </w:r>
      <w:r w:rsidRPr="00380C70">
        <w:rPr>
          <w:rFonts w:ascii="Calibri" w:hAnsi="Calibri"/>
          <w:sz w:val="18"/>
          <w:szCs w:val="18"/>
          <w:lang w:val="en-GB"/>
        </w:rPr>
        <w:t xml:space="preserve">is managed by </w:t>
      </w:r>
      <w:r>
        <w:rPr>
          <w:rFonts w:ascii="Calibri" w:hAnsi="Calibri"/>
          <w:sz w:val="18"/>
          <w:szCs w:val="18"/>
          <w:lang w:val="en-GB"/>
        </w:rPr>
        <w:t>Khelvachauri M</w:t>
      </w:r>
      <w:r w:rsidRPr="00380C70">
        <w:rPr>
          <w:rFonts w:ascii="Calibri" w:hAnsi="Calibri"/>
          <w:sz w:val="18"/>
          <w:szCs w:val="18"/>
          <w:lang w:val="en-GB"/>
        </w:rPr>
        <w:t>unic</w:t>
      </w:r>
      <w:r>
        <w:rPr>
          <w:rFonts w:ascii="Calibri" w:hAnsi="Calibri"/>
          <w:sz w:val="18"/>
          <w:szCs w:val="18"/>
          <w:lang w:val="en-GB"/>
        </w:rPr>
        <w:t>i</w:t>
      </w:r>
      <w:r w:rsidRPr="00380C70">
        <w:rPr>
          <w:rFonts w:ascii="Calibri" w:hAnsi="Calibri"/>
          <w:sz w:val="18"/>
          <w:szCs w:val="18"/>
          <w:lang w:val="en-GB"/>
        </w:rPr>
        <w:t xml:space="preserve">pality and </w:t>
      </w:r>
      <w:r>
        <w:rPr>
          <w:rFonts w:ascii="Calibri" w:hAnsi="Calibri"/>
          <w:sz w:val="18"/>
          <w:szCs w:val="18"/>
          <w:lang w:val="en-GB"/>
        </w:rPr>
        <w:t>Achara Forest Agency</w:t>
      </w:r>
      <w:r w:rsidRPr="00380C70">
        <w:rPr>
          <w:rFonts w:ascii="Calibri" w:hAnsi="Calibri"/>
          <w:sz w:val="18"/>
          <w:szCs w:val="18"/>
          <w:lang w:val="en-GB"/>
        </w:rPr>
        <w:t>.</w:t>
      </w:r>
    </w:p>
  </w:footnote>
  <w:footnote w:id="23">
    <w:p w14:paraId="2A85C083" w14:textId="11C4B56C" w:rsidR="005301E8" w:rsidRDefault="005301E8" w:rsidP="00D4262A">
      <w:pPr>
        <w:widowControl w:val="0"/>
        <w:overflowPunct/>
        <w:textAlignment w:val="auto"/>
      </w:pPr>
      <w:r w:rsidRPr="00D4262A">
        <w:rPr>
          <w:rStyle w:val="FootnoteReference"/>
          <w:rFonts w:ascii="Calibri" w:hAnsi="Calibri"/>
          <w:sz w:val="18"/>
          <w:szCs w:val="18"/>
        </w:rPr>
        <w:footnoteRef/>
      </w:r>
      <w:r w:rsidRPr="00916313">
        <w:rPr>
          <w:rFonts w:ascii="Calibri" w:hAnsi="Calibri"/>
          <w:sz w:val="18"/>
          <w:szCs w:val="18"/>
        </w:rPr>
        <w:t xml:space="preserve"> </w:t>
      </w:r>
      <w:r>
        <w:rPr>
          <w:rFonts w:ascii="Calibri" w:hAnsi="Calibri"/>
          <w:sz w:val="18"/>
          <w:szCs w:val="18"/>
        </w:rPr>
        <w:t xml:space="preserve">Lower valleys </w:t>
      </w:r>
      <w:r w:rsidRPr="00916313">
        <w:rPr>
          <w:rFonts w:ascii="Calibri" w:hAnsi="Calibri" w:cs="Times Roman"/>
          <w:color w:val="000000"/>
          <w:sz w:val="18"/>
          <w:szCs w:val="18"/>
          <w:lang w:val="en-US"/>
        </w:rPr>
        <w:t xml:space="preserve">harbour some of </w:t>
      </w:r>
      <w:r>
        <w:rPr>
          <w:rFonts w:ascii="Calibri" w:hAnsi="Calibri" w:cs="Times Roman"/>
          <w:color w:val="000000"/>
          <w:sz w:val="18"/>
          <w:szCs w:val="18"/>
          <w:lang w:val="en-US"/>
        </w:rPr>
        <w:t>Machakhela’s</w:t>
      </w:r>
      <w:r w:rsidRPr="00916313">
        <w:rPr>
          <w:rFonts w:ascii="Calibri" w:hAnsi="Calibri" w:cs="Times Roman"/>
          <w:color w:val="000000"/>
          <w:sz w:val="18"/>
          <w:szCs w:val="18"/>
          <w:lang w:val="en-US"/>
        </w:rPr>
        <w:t xml:space="preserve"> most important biodiversity </w:t>
      </w:r>
      <w:r>
        <w:rPr>
          <w:rFonts w:ascii="Calibri" w:hAnsi="Calibri" w:cs="Times Roman"/>
          <w:color w:val="000000"/>
          <w:sz w:val="18"/>
          <w:szCs w:val="18"/>
          <w:lang w:val="en-US"/>
        </w:rPr>
        <w:t>in terms of</w:t>
      </w:r>
      <w:r w:rsidRPr="00916313">
        <w:rPr>
          <w:rFonts w:ascii="Calibri" w:hAnsi="Calibri" w:cs="Times Roman"/>
          <w:color w:val="000000"/>
          <w:sz w:val="18"/>
          <w:szCs w:val="18"/>
          <w:lang w:val="en-US"/>
        </w:rPr>
        <w:t xml:space="preserve"> riparian and floodplain woodlands</w:t>
      </w:r>
      <w:r>
        <w:rPr>
          <w:rFonts w:ascii="Calibri" w:hAnsi="Calibri" w:cs="Times Roman"/>
          <w:color w:val="000000"/>
          <w:sz w:val="18"/>
          <w:szCs w:val="18"/>
          <w:lang w:val="en-US"/>
        </w:rPr>
        <w:t>.</w:t>
      </w:r>
      <w:r>
        <w:t xml:space="preserve"> </w:t>
      </w:r>
    </w:p>
  </w:footnote>
  <w:footnote w:id="24">
    <w:p w14:paraId="13A7F2D2" w14:textId="4110A4D9" w:rsidR="005301E8" w:rsidRPr="00B116DF" w:rsidRDefault="005301E8" w:rsidP="00B116DF">
      <w:pPr>
        <w:pStyle w:val="FootnoteText"/>
        <w:spacing w:after="0" w:line="240" w:lineRule="auto"/>
        <w:ind w:left="142" w:hanging="142"/>
        <w:rPr>
          <w:rFonts w:ascii="Calibri" w:hAnsi="Calibri"/>
          <w:sz w:val="18"/>
          <w:szCs w:val="18"/>
        </w:rPr>
      </w:pPr>
      <w:r w:rsidRPr="00B116DF">
        <w:rPr>
          <w:rStyle w:val="FootnoteReference"/>
          <w:rFonts w:ascii="Calibri" w:hAnsi="Calibri"/>
          <w:sz w:val="18"/>
          <w:szCs w:val="18"/>
        </w:rPr>
        <w:footnoteRef/>
      </w:r>
      <w:r>
        <w:rPr>
          <w:rFonts w:ascii="Calibri" w:hAnsi="Calibri"/>
          <w:sz w:val="18"/>
          <w:szCs w:val="18"/>
        </w:rPr>
        <w:tab/>
        <w:t>Note that Kint</w:t>
      </w:r>
      <w:r w:rsidRPr="00B116DF">
        <w:rPr>
          <w:rFonts w:ascii="Calibri" w:hAnsi="Calibri"/>
          <w:sz w:val="18"/>
          <w:szCs w:val="18"/>
        </w:rPr>
        <w:t xml:space="preserve">rishi </w:t>
      </w:r>
      <w:r>
        <w:rPr>
          <w:rFonts w:ascii="Calibri" w:hAnsi="Calibri"/>
          <w:sz w:val="18"/>
          <w:szCs w:val="18"/>
        </w:rPr>
        <w:t>Strict Nature Reserve is in the process of being designated as a NP, with the former PL becoming its ‘</w:t>
      </w:r>
      <w:r w:rsidRPr="00B116DF">
        <w:rPr>
          <w:rFonts w:ascii="Calibri" w:hAnsi="Calibri"/>
          <w:sz w:val="18"/>
          <w:szCs w:val="18"/>
        </w:rPr>
        <w:t>traditional use zone’.</w:t>
      </w:r>
      <w:r w:rsidRPr="00B116DF">
        <w:rPr>
          <w:rFonts w:asciiTheme="minorHAnsi" w:hAnsiTheme="minorHAnsi"/>
          <w:sz w:val="18"/>
          <w:szCs w:val="18"/>
        </w:rPr>
        <w:t xml:space="preserve"> </w:t>
      </w:r>
      <w:r>
        <w:rPr>
          <w:rFonts w:asciiTheme="minorHAnsi" w:hAnsiTheme="minorHAnsi"/>
          <w:sz w:val="18"/>
          <w:szCs w:val="18"/>
        </w:rPr>
        <w:t>T</w:t>
      </w:r>
      <w:r w:rsidRPr="00B116DF">
        <w:rPr>
          <w:rFonts w:asciiTheme="minorHAnsi" w:hAnsiTheme="minorHAnsi"/>
          <w:sz w:val="18"/>
          <w:szCs w:val="18"/>
        </w:rPr>
        <w:t>he only other protected landscape in Georgia is Tushet</w:t>
      </w:r>
      <w:r>
        <w:rPr>
          <w:rFonts w:asciiTheme="minorHAnsi" w:hAnsiTheme="minorHAnsi"/>
          <w:sz w:val="18"/>
          <w:szCs w:val="18"/>
        </w:rPr>
        <w:t>i (established in 2003),</w:t>
      </w:r>
      <w:r w:rsidRPr="00B116DF">
        <w:rPr>
          <w:rFonts w:asciiTheme="minorHAnsi" w:hAnsiTheme="minorHAnsi"/>
          <w:sz w:val="18"/>
          <w:szCs w:val="18"/>
        </w:rPr>
        <w:t xml:space="preserve"> which is managed by Akhmeta Municipality</w:t>
      </w:r>
      <w:r>
        <w:rPr>
          <w:rFonts w:asciiTheme="minorHAnsi" w:hAnsiTheme="minorHAnsi"/>
          <w:sz w:val="18"/>
          <w:szCs w:val="18"/>
        </w:rPr>
        <w:t>, but its context is sufficiently different to that of Machakhela to be a useful model.</w:t>
      </w:r>
    </w:p>
  </w:footnote>
  <w:footnote w:id="25">
    <w:p w14:paraId="07FCBAF1" w14:textId="0F0F0BDD" w:rsidR="005301E8" w:rsidRPr="001046BD" w:rsidRDefault="005301E8" w:rsidP="005F0BD1">
      <w:pPr>
        <w:pStyle w:val="FootnoteText"/>
        <w:tabs>
          <w:tab w:val="left" w:pos="142"/>
        </w:tabs>
        <w:spacing w:after="0" w:line="240" w:lineRule="auto"/>
        <w:ind w:left="142" w:hanging="142"/>
        <w:rPr>
          <w:rFonts w:ascii="Calibri" w:hAnsi="Calibri"/>
          <w:sz w:val="18"/>
          <w:szCs w:val="18"/>
          <w:lang w:val="en-GB"/>
        </w:rPr>
      </w:pPr>
      <w:r>
        <w:rPr>
          <w:rStyle w:val="FootnoteReference"/>
        </w:rPr>
        <w:footnoteRef/>
      </w:r>
      <w:r>
        <w:t xml:space="preserve"> </w:t>
      </w:r>
      <w:r w:rsidRPr="001046BD">
        <w:rPr>
          <w:rFonts w:ascii="Calibri" w:hAnsi="Calibri"/>
          <w:sz w:val="18"/>
          <w:szCs w:val="18"/>
          <w:lang w:val="en-GB"/>
        </w:rPr>
        <w:tab/>
      </w:r>
      <w:r>
        <w:rPr>
          <w:rFonts w:ascii="Calibri" w:hAnsi="Calibri"/>
          <w:sz w:val="18"/>
          <w:szCs w:val="18"/>
          <w:lang w:val="en-GB"/>
        </w:rPr>
        <w:t xml:space="preserve">Refer to </w:t>
      </w:r>
      <w:r w:rsidRPr="005F0BD1">
        <w:rPr>
          <w:rFonts w:ascii="Calibri" w:hAnsi="Calibri" w:cs="Arial"/>
          <w:sz w:val="18"/>
          <w:szCs w:val="18"/>
        </w:rPr>
        <w:t>M. Kavtarishvili</w:t>
      </w:r>
      <w:r w:rsidRPr="005F0BD1">
        <w:rPr>
          <w:rFonts w:ascii="Calibri" w:hAnsi="Calibri"/>
          <w:i/>
          <w:sz w:val="18"/>
          <w:szCs w:val="18"/>
          <w:lang w:val="en-GB"/>
        </w:rPr>
        <w:t xml:space="preserve"> </w:t>
      </w:r>
      <w:r w:rsidRPr="005F0BD1">
        <w:rPr>
          <w:rFonts w:ascii="Calibri" w:hAnsi="Calibri"/>
          <w:sz w:val="18"/>
          <w:szCs w:val="18"/>
          <w:lang w:val="en-GB"/>
        </w:rPr>
        <w:t>(</w:t>
      </w:r>
      <w:r>
        <w:rPr>
          <w:rFonts w:ascii="Calibri" w:hAnsi="Calibri"/>
          <w:sz w:val="18"/>
          <w:szCs w:val="18"/>
          <w:lang w:val="en-GB"/>
        </w:rPr>
        <w:t xml:space="preserve">November 2017). </w:t>
      </w:r>
      <w:r w:rsidRPr="005F0BD1">
        <w:rPr>
          <w:rFonts w:ascii="Calibri" w:hAnsi="Calibri"/>
          <w:i/>
          <w:sz w:val="18"/>
          <w:szCs w:val="18"/>
          <w:lang w:val="en-GB"/>
        </w:rPr>
        <w:t>Management Options for the Machakhela National Park Support Zone</w:t>
      </w:r>
      <w:r>
        <w:rPr>
          <w:rFonts w:ascii="Calibri" w:hAnsi="Calibri"/>
          <w:i/>
          <w:sz w:val="18"/>
          <w:szCs w:val="18"/>
          <w:lang w:val="en-GB"/>
        </w:rPr>
        <w:t>.</w:t>
      </w:r>
    </w:p>
  </w:footnote>
  <w:footnote w:id="26">
    <w:p w14:paraId="6941F1DC" w14:textId="3BC37087" w:rsidR="005301E8" w:rsidRPr="00E05595" w:rsidRDefault="005301E8" w:rsidP="00E05595">
      <w:pPr>
        <w:pStyle w:val="FootnoteText"/>
        <w:spacing w:after="0" w:line="240" w:lineRule="auto"/>
        <w:rPr>
          <w:rFonts w:ascii="Calibri" w:hAnsi="Calibri"/>
          <w:sz w:val="18"/>
          <w:szCs w:val="18"/>
        </w:rPr>
      </w:pPr>
      <w:r w:rsidRPr="00E05595">
        <w:rPr>
          <w:rStyle w:val="FootnoteReference"/>
          <w:rFonts w:ascii="Calibri" w:hAnsi="Calibri"/>
          <w:sz w:val="18"/>
          <w:szCs w:val="18"/>
        </w:rPr>
        <w:footnoteRef/>
      </w:r>
      <w:r w:rsidRPr="00E05595">
        <w:rPr>
          <w:rFonts w:ascii="Calibri" w:hAnsi="Calibri"/>
          <w:sz w:val="18"/>
          <w:szCs w:val="18"/>
        </w:rPr>
        <w:t xml:space="preserve"> This is supported </w:t>
      </w:r>
      <w:r>
        <w:rPr>
          <w:rFonts w:ascii="Calibri" w:hAnsi="Calibri"/>
          <w:sz w:val="18"/>
          <w:szCs w:val="18"/>
        </w:rPr>
        <w:t xml:space="preserve">under the Czech </w:t>
      </w:r>
      <w:r w:rsidRPr="00E05595">
        <w:rPr>
          <w:rFonts w:ascii="Calibri" w:hAnsi="Calibri"/>
          <w:sz w:val="18"/>
          <w:szCs w:val="18"/>
        </w:rPr>
        <w:t>UNDP Partnership.</w:t>
      </w:r>
    </w:p>
  </w:footnote>
  <w:footnote w:id="27">
    <w:p w14:paraId="65A456F9" w14:textId="4BD43B83" w:rsidR="005301E8" w:rsidRPr="00374C0B" w:rsidRDefault="005301E8" w:rsidP="00374C0B">
      <w:pPr>
        <w:pStyle w:val="FootnoteText"/>
        <w:tabs>
          <w:tab w:val="left" w:pos="142"/>
        </w:tabs>
        <w:spacing w:after="0" w:line="240" w:lineRule="auto"/>
        <w:rPr>
          <w:rFonts w:ascii="Calibri" w:hAnsi="Calibri"/>
          <w:sz w:val="18"/>
          <w:szCs w:val="18"/>
          <w:lang w:val="en-GB"/>
        </w:rPr>
      </w:pPr>
      <w:r>
        <w:rPr>
          <w:rStyle w:val="FootnoteReference"/>
        </w:rPr>
        <w:footnoteRef/>
      </w:r>
      <w:r>
        <w:t xml:space="preserve"> </w:t>
      </w:r>
      <w:r>
        <w:tab/>
      </w:r>
      <w:r w:rsidRPr="00374C0B">
        <w:rPr>
          <w:rFonts w:ascii="Calibri" w:hAnsi="Calibri"/>
          <w:sz w:val="18"/>
          <w:szCs w:val="18"/>
          <w:lang w:val="en-GB"/>
        </w:rPr>
        <w:t>1</w:t>
      </w:r>
      <w:r w:rsidRPr="00374C0B">
        <w:rPr>
          <w:rFonts w:ascii="Calibri" w:hAnsi="Calibri"/>
          <w:sz w:val="18"/>
          <w:szCs w:val="18"/>
          <w:vertAlign w:val="superscript"/>
          <w:lang w:val="en-GB"/>
        </w:rPr>
        <w:t>st</w:t>
      </w:r>
      <w:r>
        <w:rPr>
          <w:rFonts w:ascii="Calibri" w:hAnsi="Calibri"/>
          <w:sz w:val="18"/>
          <w:szCs w:val="18"/>
          <w:lang w:val="en-GB"/>
        </w:rPr>
        <w:t xml:space="preserve"> </w:t>
      </w:r>
      <w:r w:rsidRPr="00374C0B">
        <w:rPr>
          <w:rFonts w:ascii="Calibri" w:hAnsi="Calibri"/>
          <w:sz w:val="18"/>
          <w:szCs w:val="18"/>
          <w:lang w:val="en-GB"/>
        </w:rPr>
        <w:t>Meeting held on 27 March 201</w:t>
      </w:r>
      <w:r>
        <w:rPr>
          <w:rFonts w:ascii="Calibri" w:hAnsi="Calibri"/>
          <w:sz w:val="18"/>
          <w:szCs w:val="18"/>
          <w:lang w:val="en-GB"/>
        </w:rPr>
        <w:t>5</w:t>
      </w:r>
      <w:r w:rsidRPr="00374C0B">
        <w:rPr>
          <w:rFonts w:ascii="Calibri" w:hAnsi="Calibri"/>
          <w:sz w:val="18"/>
          <w:szCs w:val="18"/>
          <w:lang w:val="en-GB"/>
        </w:rPr>
        <w:t>.</w:t>
      </w:r>
    </w:p>
  </w:footnote>
  <w:footnote w:id="28">
    <w:p w14:paraId="22D0A8EB" w14:textId="55D5FB05" w:rsidR="005301E8" w:rsidRPr="005636A4" w:rsidRDefault="005301E8" w:rsidP="005636A4">
      <w:pPr>
        <w:pStyle w:val="FootnoteText"/>
        <w:tabs>
          <w:tab w:val="left" w:pos="142"/>
        </w:tabs>
        <w:spacing w:after="0" w:line="240" w:lineRule="auto"/>
        <w:ind w:left="142" w:hanging="142"/>
        <w:rPr>
          <w:rFonts w:ascii="Calibri" w:hAnsi="Calibri"/>
          <w:sz w:val="18"/>
          <w:szCs w:val="18"/>
        </w:rPr>
      </w:pPr>
      <w:r w:rsidRPr="005636A4">
        <w:rPr>
          <w:rStyle w:val="FootnoteReference"/>
          <w:rFonts w:ascii="Calibri" w:hAnsi="Calibri"/>
          <w:sz w:val="18"/>
          <w:szCs w:val="18"/>
        </w:rPr>
        <w:footnoteRef/>
      </w:r>
      <w:r>
        <w:rPr>
          <w:rFonts w:ascii="Calibri" w:hAnsi="Calibri"/>
          <w:sz w:val="18"/>
          <w:szCs w:val="18"/>
        </w:rPr>
        <w:tab/>
        <w:t xml:space="preserve">Meeting quarterly is an uncommon and welcome feature of this project, as such UNDP-GEF project board meetings tend to be held </w:t>
      </w:r>
      <w:r w:rsidRPr="005636A4">
        <w:rPr>
          <w:rFonts w:ascii="Calibri" w:hAnsi="Calibri"/>
          <w:sz w:val="18"/>
          <w:szCs w:val="18"/>
        </w:rPr>
        <w:t xml:space="preserve">half-yearly or </w:t>
      </w:r>
      <w:r>
        <w:rPr>
          <w:rFonts w:ascii="Calibri" w:hAnsi="Calibri"/>
          <w:sz w:val="18"/>
          <w:szCs w:val="18"/>
        </w:rPr>
        <w:t>in some cases just</w:t>
      </w:r>
      <w:r w:rsidRPr="005636A4">
        <w:rPr>
          <w:rFonts w:ascii="Calibri" w:hAnsi="Calibri"/>
          <w:sz w:val="18"/>
          <w:szCs w:val="18"/>
        </w:rPr>
        <w:t xml:space="preserve"> annually</w:t>
      </w:r>
      <w:r>
        <w:rPr>
          <w:rFonts w:ascii="Calibri" w:hAnsi="Calibri"/>
          <w:sz w:val="18"/>
          <w:szCs w:val="18"/>
        </w:rPr>
        <w:t>.</w:t>
      </w:r>
    </w:p>
  </w:footnote>
  <w:footnote w:id="29">
    <w:p w14:paraId="240BA25D" w14:textId="60284F2B" w:rsidR="005301E8" w:rsidRPr="004E28DE" w:rsidRDefault="005301E8" w:rsidP="004E28DE">
      <w:pPr>
        <w:pStyle w:val="FootnoteText"/>
        <w:spacing w:after="0" w:line="240" w:lineRule="auto"/>
        <w:rPr>
          <w:rFonts w:ascii="Calibri" w:hAnsi="Calibri"/>
          <w:sz w:val="18"/>
          <w:szCs w:val="18"/>
        </w:rPr>
      </w:pPr>
      <w:r w:rsidRPr="004E28DE">
        <w:rPr>
          <w:rStyle w:val="FootnoteReference"/>
          <w:rFonts w:ascii="Calibri" w:hAnsi="Calibri"/>
          <w:sz w:val="18"/>
          <w:szCs w:val="18"/>
        </w:rPr>
        <w:footnoteRef/>
      </w:r>
      <w:r w:rsidRPr="004E28DE">
        <w:rPr>
          <w:rFonts w:ascii="Calibri" w:hAnsi="Calibri"/>
          <w:sz w:val="18"/>
          <w:szCs w:val="18"/>
        </w:rPr>
        <w:t xml:space="preserve"> The scientific role </w:t>
      </w:r>
      <w:r>
        <w:rPr>
          <w:rFonts w:ascii="Calibri" w:hAnsi="Calibri"/>
          <w:sz w:val="18"/>
          <w:szCs w:val="18"/>
        </w:rPr>
        <w:t>may be</w:t>
      </w:r>
      <w:r w:rsidRPr="004E28DE">
        <w:rPr>
          <w:rFonts w:ascii="Calibri" w:hAnsi="Calibri"/>
          <w:sz w:val="18"/>
          <w:szCs w:val="18"/>
        </w:rPr>
        <w:t xml:space="preserve"> duplicated </w:t>
      </w:r>
      <w:r>
        <w:rPr>
          <w:rFonts w:ascii="Calibri" w:hAnsi="Calibri"/>
          <w:sz w:val="18"/>
          <w:szCs w:val="18"/>
        </w:rPr>
        <w:t>since</w:t>
      </w:r>
      <w:r w:rsidRPr="004E28DE">
        <w:rPr>
          <w:rFonts w:ascii="Calibri" w:hAnsi="Calibri"/>
          <w:sz w:val="18"/>
          <w:szCs w:val="18"/>
        </w:rPr>
        <w:t xml:space="preserve"> APA has a large scientific board, which reviews technical inputs from </w:t>
      </w:r>
      <w:r>
        <w:rPr>
          <w:rFonts w:ascii="Calibri" w:hAnsi="Calibri"/>
          <w:sz w:val="18"/>
          <w:szCs w:val="18"/>
        </w:rPr>
        <w:t>each PA</w:t>
      </w:r>
      <w:r w:rsidRPr="004E28DE">
        <w:rPr>
          <w:rFonts w:ascii="Calibri" w:hAnsi="Calibri"/>
          <w:sz w:val="18"/>
          <w:szCs w:val="18"/>
        </w:rPr>
        <w:t>.</w:t>
      </w:r>
    </w:p>
  </w:footnote>
  <w:footnote w:id="30">
    <w:p w14:paraId="19CE5251" w14:textId="0F9BD813" w:rsidR="005301E8" w:rsidRPr="00952A00" w:rsidRDefault="005301E8" w:rsidP="00952A00">
      <w:pPr>
        <w:pStyle w:val="FootnoteText"/>
        <w:tabs>
          <w:tab w:val="left" w:pos="142"/>
        </w:tabs>
        <w:spacing w:after="0" w:line="240" w:lineRule="auto"/>
        <w:ind w:left="142" w:hanging="142"/>
        <w:rPr>
          <w:rFonts w:ascii="Calibri" w:hAnsi="Calibri"/>
          <w:sz w:val="18"/>
          <w:szCs w:val="18"/>
        </w:rPr>
      </w:pPr>
      <w:r>
        <w:rPr>
          <w:rStyle w:val="FootnoteReference"/>
        </w:rPr>
        <w:footnoteRef/>
      </w:r>
      <w:r>
        <w:t xml:space="preserve"> </w:t>
      </w:r>
      <w:r>
        <w:tab/>
      </w:r>
      <w:r w:rsidRPr="00952A00">
        <w:rPr>
          <w:rFonts w:ascii="Calibri" w:hAnsi="Calibri"/>
          <w:sz w:val="18"/>
          <w:szCs w:val="18"/>
        </w:rPr>
        <w:t xml:space="preserve">Sustainability was incorrectly rated using the 6 point scale for satisfaction, whereas the 4 point scale for likelihood of sustainability should have been </w:t>
      </w:r>
      <w:r>
        <w:rPr>
          <w:rFonts w:ascii="Calibri" w:hAnsi="Calibri"/>
          <w:sz w:val="18"/>
          <w:szCs w:val="18"/>
        </w:rPr>
        <w:t>used</w:t>
      </w:r>
      <w:r w:rsidRPr="00952A00">
        <w:rPr>
          <w:rFonts w:ascii="Calibri" w:hAnsi="Calibri"/>
          <w:sz w:val="18"/>
          <w:szCs w:val="18"/>
        </w:rPr>
        <w:t>.</w:t>
      </w:r>
    </w:p>
  </w:footnote>
  <w:footnote w:id="31">
    <w:p w14:paraId="00E325F7" w14:textId="57CEFB91" w:rsidR="005301E8" w:rsidRDefault="005301E8" w:rsidP="00D54E6A">
      <w:pPr>
        <w:tabs>
          <w:tab w:val="left" w:pos="142"/>
        </w:tabs>
        <w:ind w:left="142" w:hanging="142"/>
      </w:pPr>
      <w:r>
        <w:rPr>
          <w:rStyle w:val="FootnoteReference"/>
        </w:rPr>
        <w:footnoteRef/>
      </w:r>
      <w:r>
        <w:tab/>
      </w:r>
      <w:r>
        <w:rPr>
          <w:rFonts w:ascii="Calibri" w:hAnsi="Calibri"/>
          <w:color w:val="000000"/>
          <w:sz w:val="18"/>
          <w:szCs w:val="18"/>
        </w:rPr>
        <w:t>Refer to Evaluation Resourc</w:t>
      </w:r>
      <w:r w:rsidRPr="00C51ACE">
        <w:rPr>
          <w:rFonts w:ascii="Calibri" w:hAnsi="Calibri"/>
          <w:color w:val="000000"/>
          <w:sz w:val="18"/>
          <w:szCs w:val="18"/>
        </w:rPr>
        <w:t xml:space="preserve">e Center </w:t>
      </w:r>
      <w:r>
        <w:rPr>
          <w:rFonts w:ascii="Calibri" w:hAnsi="Calibri"/>
          <w:color w:val="000000"/>
          <w:sz w:val="18"/>
          <w:szCs w:val="18"/>
        </w:rPr>
        <w:t xml:space="preserve">for management response to </w:t>
      </w:r>
      <w:r w:rsidRPr="00C51ACE">
        <w:rPr>
          <w:rFonts w:ascii="Calibri" w:hAnsi="Calibri"/>
          <w:color w:val="000000"/>
          <w:sz w:val="18"/>
          <w:szCs w:val="18"/>
        </w:rPr>
        <w:t>MTR recommendations</w:t>
      </w:r>
      <w:r>
        <w:rPr>
          <w:rFonts w:ascii="Calibri" w:hAnsi="Calibri"/>
          <w:color w:val="000000"/>
          <w:sz w:val="18"/>
          <w:szCs w:val="18"/>
        </w:rPr>
        <w:t xml:space="preserve"> at </w:t>
      </w:r>
      <w:hyperlink r:id="rId4" w:history="1">
        <w:r w:rsidRPr="00C51ACE">
          <w:rPr>
            <w:rStyle w:val="Hyperlink"/>
            <w:rFonts w:ascii="Calibri" w:hAnsi="Calibri"/>
            <w:color w:val="954F72"/>
            <w:sz w:val="18"/>
            <w:szCs w:val="18"/>
          </w:rPr>
          <w:t>https://erc.undp.org/evaluation/managementresponses/detail/8509</w:t>
        </w:r>
      </w:hyperlink>
      <w:r>
        <w:rPr>
          <w:rFonts w:ascii="Calibri" w:hAnsi="Calibri"/>
          <w:color w:val="000000"/>
          <w:sz w:val="18"/>
          <w:szCs w:val="18"/>
        </w:rPr>
        <w:t>.</w:t>
      </w:r>
    </w:p>
  </w:footnote>
  <w:footnote w:id="32">
    <w:p w14:paraId="43AB0131" w14:textId="5B257E7F" w:rsidR="005301E8" w:rsidRPr="0037067B" w:rsidRDefault="005301E8" w:rsidP="0037067B">
      <w:pPr>
        <w:pStyle w:val="FootnoteText"/>
        <w:spacing w:after="0" w:line="240" w:lineRule="auto"/>
        <w:ind w:left="181" w:hanging="181"/>
        <w:rPr>
          <w:rFonts w:ascii="Calibri" w:hAnsi="Calibri"/>
          <w:sz w:val="18"/>
          <w:szCs w:val="18"/>
        </w:rPr>
      </w:pPr>
      <w:r w:rsidRPr="00B222D8">
        <w:rPr>
          <w:rStyle w:val="FootnoteReference"/>
          <w:rFonts w:ascii="Arial" w:hAnsi="Arial"/>
          <w:sz w:val="18"/>
          <w:szCs w:val="18"/>
        </w:rPr>
        <w:footnoteRef/>
      </w:r>
      <w:r>
        <w:rPr>
          <w:rFonts w:ascii="Arial" w:hAnsi="Arial"/>
          <w:sz w:val="18"/>
          <w:szCs w:val="18"/>
        </w:rPr>
        <w:tab/>
      </w:r>
      <w:r w:rsidRPr="0037067B">
        <w:rPr>
          <w:rFonts w:ascii="Calibri" w:hAnsi="Calibri"/>
          <w:sz w:val="18"/>
          <w:szCs w:val="18"/>
        </w:rPr>
        <w:t xml:space="preserve">The 2012 Guidance for conducting terminal evaluations of UNDP-supported, GEF-financed projects states in the Rating Project Performance table (p. 30): Overall likelihood of risks to sustainability. This is misleading as it is the likelihood of sustainability which is supposed to be assessed, not the likelihood of the risk occurring! This is evident in Table 1 (p. 25) where sustainability ratings are defined: for example ‘Likely’ is defined as ‘negligible risks to sustainability’ and, at the other end of the scale, ‘Unlikely’ is defined as ‘severe risks’. </w:t>
      </w:r>
      <w:r w:rsidRPr="0037067B">
        <w:rPr>
          <w:rFonts w:ascii="Calibri" w:hAnsi="Calibri"/>
          <w:b/>
          <w:sz w:val="18"/>
          <w:szCs w:val="18"/>
        </w:rPr>
        <w:t>Note:</w:t>
      </w:r>
      <w:r w:rsidRPr="0037067B">
        <w:rPr>
          <w:rFonts w:ascii="Calibri" w:hAnsi="Calibri"/>
          <w:sz w:val="18"/>
          <w:szCs w:val="18"/>
        </w:rPr>
        <w:t xml:space="preserve"> This has been brought to the attention of UNDP HQ Evaluation Office a</w:t>
      </w:r>
      <w:r>
        <w:rPr>
          <w:rFonts w:ascii="Calibri" w:hAnsi="Calibri"/>
          <w:sz w:val="18"/>
          <w:szCs w:val="18"/>
        </w:rPr>
        <w:t xml:space="preserve">nd </w:t>
      </w:r>
      <w:r w:rsidRPr="0037067B">
        <w:rPr>
          <w:rFonts w:ascii="Calibri" w:hAnsi="Calibri"/>
          <w:sz w:val="18"/>
          <w:szCs w:val="18"/>
        </w:rPr>
        <w:t>It will be addressed in the revised TE Guidance due later in 2019.</w:t>
      </w:r>
    </w:p>
  </w:footnote>
  <w:footnote w:id="33">
    <w:p w14:paraId="125986C7" w14:textId="77777777" w:rsidR="005301E8" w:rsidRPr="00952F6A" w:rsidRDefault="005301E8" w:rsidP="0077168C">
      <w:pPr>
        <w:pStyle w:val="FootnoteText"/>
        <w:tabs>
          <w:tab w:val="left" w:pos="142"/>
        </w:tabs>
        <w:spacing w:line="240" w:lineRule="auto"/>
        <w:ind w:left="142" w:hanging="142"/>
        <w:rPr>
          <w:rFonts w:ascii="Calibri" w:hAnsi="Calibri"/>
          <w:sz w:val="18"/>
          <w:szCs w:val="18"/>
        </w:rPr>
      </w:pPr>
      <w:r w:rsidRPr="00952F6A">
        <w:rPr>
          <w:rStyle w:val="FootnoteReference"/>
          <w:sz w:val="18"/>
          <w:szCs w:val="18"/>
        </w:rPr>
        <w:footnoteRef/>
      </w:r>
      <w:r>
        <w:rPr>
          <w:rFonts w:ascii="Calibri" w:hAnsi="Calibri"/>
          <w:sz w:val="18"/>
          <w:szCs w:val="18"/>
        </w:rPr>
        <w:tab/>
      </w:r>
      <w:r w:rsidRPr="00952F6A">
        <w:rPr>
          <w:rFonts w:ascii="Calibri" w:hAnsi="Calibri"/>
          <w:sz w:val="18"/>
          <w:szCs w:val="18"/>
        </w:rPr>
        <w:t xml:space="preserve">“De-concentration” is the accepted </w:t>
      </w:r>
      <w:r>
        <w:rPr>
          <w:rFonts w:ascii="Calibri" w:hAnsi="Calibri"/>
          <w:sz w:val="18"/>
          <w:szCs w:val="18"/>
        </w:rPr>
        <w:t>term</w:t>
      </w:r>
      <w:r w:rsidRPr="00952F6A">
        <w:rPr>
          <w:rFonts w:ascii="Calibri" w:hAnsi="Calibri"/>
          <w:sz w:val="18"/>
          <w:szCs w:val="18"/>
        </w:rPr>
        <w:t xml:space="preserve"> used in Georgia to refer to decentralization (devolution of resources and management control from centre to regional, district, field levels)</w:t>
      </w:r>
      <w:r>
        <w:rPr>
          <w:rFonts w:ascii="Calibri" w:hAnsi="Calibri"/>
          <w:sz w:val="18"/>
          <w:szCs w:val="18"/>
        </w:rPr>
        <w:t>.</w:t>
      </w:r>
    </w:p>
  </w:footnote>
  <w:footnote w:id="34">
    <w:p w14:paraId="3AFE7ADC" w14:textId="77777777" w:rsidR="005301E8" w:rsidRPr="008452C5" w:rsidRDefault="005301E8" w:rsidP="00E45C1B">
      <w:pPr>
        <w:widowControl w:val="0"/>
        <w:tabs>
          <w:tab w:val="left" w:pos="142"/>
        </w:tabs>
        <w:overflowPunct/>
        <w:ind w:left="142" w:hanging="142"/>
        <w:textAlignment w:val="auto"/>
        <w:rPr>
          <w:rFonts w:ascii="Calibri" w:hAnsi="Calibri"/>
          <w:sz w:val="18"/>
          <w:szCs w:val="18"/>
        </w:rPr>
      </w:pPr>
      <w:r>
        <w:rPr>
          <w:rStyle w:val="FootnoteReference"/>
        </w:rPr>
        <w:footnoteRef/>
      </w:r>
      <w:r>
        <w:tab/>
      </w:r>
      <w:r>
        <w:rPr>
          <w:rFonts w:ascii="Calibri" w:hAnsi="Calibri"/>
          <w:sz w:val="18"/>
          <w:szCs w:val="18"/>
        </w:rPr>
        <w:t xml:space="preserve">Refer to: Black Sea Eco Academy (November 2018), </w:t>
      </w:r>
      <w:r w:rsidRPr="008452C5">
        <w:rPr>
          <w:rFonts w:ascii="Calibri" w:hAnsi="Calibri"/>
          <w:i/>
          <w:sz w:val="18"/>
          <w:szCs w:val="18"/>
        </w:rPr>
        <w:t>Expansion and Improved Management Effectiveness of Achara Region's Protected Areas</w:t>
      </w:r>
      <w:r>
        <w:rPr>
          <w:rFonts w:ascii="Calibri" w:hAnsi="Calibri"/>
          <w:i/>
          <w:sz w:val="18"/>
          <w:szCs w:val="18"/>
        </w:rPr>
        <w:t>: Final Report</w:t>
      </w:r>
      <w:r>
        <w:rPr>
          <w:rFonts w:ascii="Calibri" w:hAnsi="Calibri"/>
          <w:sz w:val="18"/>
          <w:szCs w:val="18"/>
        </w:rPr>
        <w:t>.</w:t>
      </w:r>
      <w:r w:rsidRPr="008452C5">
        <w:rPr>
          <w:rFonts w:ascii="Calibri" w:hAnsi="Calibri"/>
          <w:sz w:val="18"/>
          <w:szCs w:val="18"/>
        </w:rPr>
        <w:t xml:space="preserve"> </w:t>
      </w:r>
    </w:p>
  </w:footnote>
  <w:footnote w:id="35">
    <w:p w14:paraId="640173CC" w14:textId="6DFC9337" w:rsidR="005301E8" w:rsidRPr="001B1EAE" w:rsidRDefault="005301E8" w:rsidP="001B1EAE">
      <w:pPr>
        <w:pStyle w:val="FootnoteText"/>
        <w:spacing w:after="0" w:line="240" w:lineRule="auto"/>
        <w:rPr>
          <w:rFonts w:ascii="Calibri" w:hAnsi="Calibri"/>
          <w:sz w:val="18"/>
          <w:szCs w:val="18"/>
        </w:rPr>
      </w:pPr>
      <w:r w:rsidRPr="001B1EAE">
        <w:rPr>
          <w:rStyle w:val="FootnoteReference"/>
          <w:rFonts w:ascii="Calibri" w:hAnsi="Calibri"/>
          <w:sz w:val="18"/>
          <w:szCs w:val="18"/>
        </w:rPr>
        <w:footnoteRef/>
      </w:r>
      <w:r w:rsidRPr="001B1EAE">
        <w:rPr>
          <w:rFonts w:ascii="Calibri" w:hAnsi="Calibri"/>
          <w:sz w:val="18"/>
          <w:szCs w:val="18"/>
        </w:rPr>
        <w:t xml:space="preserve"> It is assumed that the proposed Machakhela Protected Landscape </w:t>
      </w:r>
      <w:r>
        <w:rPr>
          <w:rFonts w:ascii="Calibri" w:hAnsi="Calibri"/>
          <w:sz w:val="18"/>
          <w:szCs w:val="18"/>
        </w:rPr>
        <w:t>will be des</w:t>
      </w:r>
      <w:r w:rsidRPr="001B1EAE">
        <w:rPr>
          <w:rFonts w:ascii="Calibri" w:hAnsi="Calibri"/>
          <w:sz w:val="18"/>
          <w:szCs w:val="18"/>
        </w:rPr>
        <w:t xml:space="preserve">ignated </w:t>
      </w:r>
      <w:r>
        <w:rPr>
          <w:rFonts w:ascii="Calibri" w:hAnsi="Calibri"/>
          <w:sz w:val="18"/>
          <w:szCs w:val="18"/>
        </w:rPr>
        <w:t>i</w:t>
      </w:r>
      <w:r w:rsidRPr="001B1EAE">
        <w:rPr>
          <w:rFonts w:ascii="Calibri" w:hAnsi="Calibri"/>
          <w:sz w:val="18"/>
          <w:szCs w:val="18"/>
        </w:rPr>
        <w:t>n 2019</w:t>
      </w:r>
      <w:r>
        <w:rPr>
          <w:rFonts w:ascii="Calibri" w:hAnsi="Calibri"/>
          <w:sz w:val="18"/>
          <w:szCs w:val="18"/>
        </w:rPr>
        <w:t>, in which case the planned targets will be exceeded</w:t>
      </w:r>
      <w:r w:rsidRPr="001B1EAE">
        <w:rPr>
          <w:rFonts w:ascii="Calibri" w:hAnsi="Calibri"/>
          <w:sz w:val="18"/>
          <w:szCs w:val="18"/>
        </w:rPr>
        <w:t>.</w:t>
      </w:r>
    </w:p>
  </w:footnote>
  <w:footnote w:id="36">
    <w:p w14:paraId="32DB4279" w14:textId="6D078954" w:rsidR="005301E8" w:rsidRPr="006B3ED7" w:rsidRDefault="005301E8" w:rsidP="002B2093">
      <w:pPr>
        <w:pStyle w:val="FootnoteText"/>
        <w:tabs>
          <w:tab w:val="left" w:pos="142"/>
        </w:tabs>
        <w:spacing w:after="0" w:line="240" w:lineRule="auto"/>
        <w:ind w:left="142" w:hanging="142"/>
        <w:rPr>
          <w:rFonts w:ascii="Calibri" w:hAnsi="Calibri"/>
          <w:sz w:val="18"/>
          <w:szCs w:val="18"/>
        </w:rPr>
      </w:pPr>
      <w:r w:rsidRPr="006B3ED7">
        <w:rPr>
          <w:rStyle w:val="FootnoteReference"/>
          <w:rFonts w:ascii="Calibri" w:hAnsi="Calibri"/>
          <w:sz w:val="18"/>
          <w:szCs w:val="18"/>
        </w:rPr>
        <w:footnoteRef/>
      </w:r>
      <w:r>
        <w:rPr>
          <w:rFonts w:ascii="Calibri" w:hAnsi="Calibri"/>
          <w:sz w:val="18"/>
          <w:szCs w:val="18"/>
        </w:rPr>
        <w:tab/>
      </w:r>
      <w:r w:rsidRPr="006B3ED7">
        <w:rPr>
          <w:rFonts w:ascii="Calibri" w:hAnsi="Calibri"/>
          <w:sz w:val="18"/>
          <w:szCs w:val="18"/>
        </w:rPr>
        <w:t>Significant efforts were mad</w:t>
      </w:r>
      <w:r>
        <w:rPr>
          <w:rFonts w:ascii="Calibri" w:hAnsi="Calibri"/>
          <w:sz w:val="18"/>
          <w:szCs w:val="18"/>
        </w:rPr>
        <w:t xml:space="preserve">e by the project to address the </w:t>
      </w:r>
      <w:r w:rsidRPr="006B3ED7">
        <w:rPr>
          <w:rFonts w:ascii="Calibri" w:hAnsi="Calibri"/>
          <w:sz w:val="18"/>
          <w:szCs w:val="18"/>
        </w:rPr>
        <w:t>post-project financial sustainability of this Friends Association</w:t>
      </w:r>
      <w:r>
        <w:rPr>
          <w:rFonts w:ascii="Calibri" w:hAnsi="Calibri"/>
          <w:sz w:val="18"/>
          <w:szCs w:val="18"/>
        </w:rPr>
        <w:t xml:space="preserve">, including the hiring of a consultant to come up with a strategy. The consultant’s </w:t>
      </w:r>
      <w:r w:rsidRPr="006B3ED7">
        <w:rPr>
          <w:rFonts w:ascii="Calibri" w:hAnsi="Calibri"/>
          <w:sz w:val="18"/>
          <w:szCs w:val="18"/>
        </w:rPr>
        <w:t xml:space="preserve">final report (21 November 2018) </w:t>
      </w:r>
      <w:r>
        <w:rPr>
          <w:rFonts w:ascii="Calibri" w:hAnsi="Calibri"/>
          <w:sz w:val="18"/>
          <w:szCs w:val="18"/>
        </w:rPr>
        <w:t>has not been seen by the Evaluators.</w:t>
      </w:r>
    </w:p>
  </w:footnote>
  <w:footnote w:id="37">
    <w:p w14:paraId="0D1FC3C6" w14:textId="350B7E90" w:rsidR="005301E8" w:rsidRPr="00E94EFC" w:rsidRDefault="005301E8" w:rsidP="00EA0277">
      <w:pPr>
        <w:pStyle w:val="FootnoteText"/>
        <w:rPr>
          <w:rFonts w:ascii="Calibri" w:hAnsi="Calibri"/>
          <w:sz w:val="18"/>
          <w:szCs w:val="18"/>
        </w:rPr>
      </w:pPr>
      <w:r w:rsidRPr="00E94EFC">
        <w:rPr>
          <w:rStyle w:val="FootnoteReference"/>
          <w:rFonts w:ascii="Calibri" w:hAnsi="Calibri"/>
          <w:sz w:val="18"/>
          <w:szCs w:val="18"/>
        </w:rPr>
        <w:footnoteRef/>
      </w:r>
      <w:r w:rsidRPr="00E94EFC">
        <w:rPr>
          <w:rFonts w:ascii="Calibri" w:hAnsi="Calibri"/>
          <w:sz w:val="18"/>
          <w:szCs w:val="18"/>
        </w:rPr>
        <w:t xml:space="preserve"> At the time of finalizing this report in February 2019, it is noted that the nomination for World Heritage listing included just Mtirala and Kintrishi PAs. While this may be disappointing for</w:t>
      </w:r>
      <w:r>
        <w:rPr>
          <w:rFonts w:ascii="Calibri" w:hAnsi="Calibri"/>
          <w:sz w:val="18"/>
          <w:szCs w:val="18"/>
        </w:rPr>
        <w:t xml:space="preserve"> many Machakhela stakeholders, </w:t>
      </w:r>
      <w:r w:rsidRPr="00E94EFC">
        <w:rPr>
          <w:rFonts w:ascii="Calibri" w:hAnsi="Calibri"/>
          <w:sz w:val="18"/>
          <w:szCs w:val="18"/>
        </w:rPr>
        <w:t>they should know that (i) the process of evaluating the nomination is only just begun and IUCN, adviser to the World Heritage Committee on natural heritage, could recommend that the government be asked to consider including a core fragment of Machakhela’s Colchic Forest in the nomination; and (ii) World Heritage sites can always be extended, subject to meeting such criteria as adding ‘universal value’ and/or increasing connectivity and integrity.</w:t>
      </w:r>
    </w:p>
  </w:footnote>
  <w:footnote w:id="38">
    <w:p w14:paraId="42E390DE" w14:textId="77777777" w:rsidR="005301E8" w:rsidRPr="00E94EFC" w:rsidRDefault="005301E8" w:rsidP="00EA0277">
      <w:pPr>
        <w:pStyle w:val="BodyText"/>
        <w:spacing w:after="0" w:line="240" w:lineRule="auto"/>
        <w:rPr>
          <w:rFonts w:ascii="Calibri" w:hAnsi="Calibri" w:cs="Corbel"/>
          <w:b/>
          <w:sz w:val="18"/>
          <w:szCs w:val="18"/>
        </w:rPr>
      </w:pPr>
      <w:r w:rsidRPr="00E94EFC">
        <w:rPr>
          <w:rStyle w:val="FootnoteReference"/>
          <w:rFonts w:ascii="Calibri" w:hAnsi="Calibri"/>
        </w:rPr>
        <w:footnoteRef/>
      </w:r>
      <w:r w:rsidRPr="00E94EFC">
        <w:rPr>
          <w:rFonts w:ascii="Calibri" w:hAnsi="Calibri"/>
        </w:rPr>
        <w:t xml:space="preserve"> </w:t>
      </w:r>
      <w:r w:rsidRPr="00E94EFC">
        <w:rPr>
          <w:rFonts w:ascii="Calibri" w:hAnsi="Calibri" w:cs="Corbel"/>
          <w:b/>
          <w:sz w:val="18"/>
          <w:szCs w:val="18"/>
        </w:rPr>
        <w:t>Note:</w:t>
      </w:r>
      <w:r w:rsidRPr="00E94EFC">
        <w:rPr>
          <w:rFonts w:ascii="Calibri" w:hAnsi="Calibri" w:cs="Corbel"/>
          <w:sz w:val="18"/>
          <w:szCs w:val="18"/>
        </w:rPr>
        <w:t xml:space="preserve"> APA comments that</w:t>
      </w:r>
      <w:r w:rsidRPr="00E94EFC">
        <w:rPr>
          <w:rFonts w:ascii="Calibri" w:hAnsi="Calibri"/>
          <w:sz w:val="18"/>
          <w:szCs w:val="18"/>
        </w:rPr>
        <w:t xml:space="preserve"> “This paragraph is not clear for me. I don’t think that PA policy and legislation is main challenge for the administrations.” Refer to response to this comment in </w:t>
      </w:r>
      <w:r w:rsidRPr="00E94EFC">
        <w:rPr>
          <w:rFonts w:ascii="Calibri" w:hAnsi="Calibri"/>
          <w:b/>
          <w:sz w:val="18"/>
          <w:szCs w:val="18"/>
        </w:rPr>
        <w:t>Annex 9</w:t>
      </w:r>
      <w:r w:rsidRPr="00E94EFC">
        <w:rPr>
          <w:rFonts w:ascii="Calibri" w:hAnsi="Calibri"/>
          <w:sz w:val="18"/>
          <w:szCs w:val="18"/>
        </w:rPr>
        <w:t>.</w:t>
      </w:r>
    </w:p>
  </w:footnote>
  <w:footnote w:id="39">
    <w:p w14:paraId="23A39ABF" w14:textId="77777777" w:rsidR="005301E8" w:rsidRDefault="005301E8" w:rsidP="00A70854">
      <w:pPr>
        <w:pStyle w:val="FootnoteText"/>
        <w:spacing w:after="0" w:line="240" w:lineRule="auto"/>
        <w:ind w:left="142" w:hanging="142"/>
        <w:rPr>
          <w:rFonts w:ascii="Calibri" w:hAnsi="Calibri"/>
        </w:rPr>
      </w:pPr>
      <w:r>
        <w:rPr>
          <w:rStyle w:val="FootnoteReference"/>
        </w:rPr>
        <w:footnoteRef/>
      </w:r>
      <w:r>
        <w:rPr>
          <w:rFonts w:ascii="Calibri" w:hAnsi="Calibri"/>
          <w:sz w:val="18"/>
          <w:szCs w:val="18"/>
        </w:rPr>
        <w:tab/>
        <w:t>According to the ProDoc, the Government and ARA were investing US$ 12.5 million and US$ 3 million, respectively, during the project period in biodiversity management outside PAs, including EIA to ensure biodiversity is included in development plans. At that time the Ministry of Environment’s Ecological Expertise and Inspection Department was investing US$ 100,000 annually in support of EIA. r</w:t>
      </w:r>
    </w:p>
  </w:footnote>
  <w:footnote w:id="40">
    <w:p w14:paraId="0C666B43" w14:textId="1D83B577" w:rsidR="005301E8" w:rsidRPr="0001221E" w:rsidRDefault="005301E8" w:rsidP="003D794D">
      <w:pPr>
        <w:pStyle w:val="FootnoteText"/>
        <w:ind w:left="142" w:hanging="142"/>
      </w:pPr>
      <w:r w:rsidRPr="00F65AA3">
        <w:rPr>
          <w:rStyle w:val="FootnoteReference"/>
          <w:rFonts w:ascii="Calibri" w:hAnsi="Calibri"/>
          <w:sz w:val="18"/>
          <w:szCs w:val="18"/>
        </w:rPr>
        <w:footnoteRef/>
      </w:r>
      <w:r w:rsidRPr="00F65AA3">
        <w:rPr>
          <w:rFonts w:ascii="Calibri" w:hAnsi="Calibri"/>
          <w:sz w:val="18"/>
          <w:szCs w:val="18"/>
        </w:rPr>
        <w:tab/>
        <w:t>The project has already disseminated and published some of this material, available as maps and brochures from the tourism sector and via the Internet. Project information is held by UNDP Geo</w:t>
      </w:r>
      <w:r>
        <w:rPr>
          <w:rFonts w:ascii="Calibri" w:hAnsi="Calibri"/>
          <w:sz w:val="18"/>
          <w:szCs w:val="18"/>
        </w:rPr>
        <w:t>r</w:t>
      </w:r>
      <w:r w:rsidRPr="00F65AA3">
        <w:rPr>
          <w:rFonts w:ascii="Calibri" w:hAnsi="Calibri"/>
          <w:sz w:val="18"/>
          <w:szCs w:val="18"/>
        </w:rPr>
        <w:t>gia  (</w:t>
      </w:r>
      <w:hyperlink r:id="rId5" w:history="1">
        <w:r w:rsidRPr="005E7B72">
          <w:rPr>
            <w:rStyle w:val="Hyperlink"/>
            <w:rFonts w:ascii="Calibri" w:hAnsi="Calibri"/>
            <w:sz w:val="18"/>
            <w:szCs w:val="18"/>
          </w:rPr>
          <w:t>http://www.ge.undp.org/content/ georgia/en/home/projects/ajara-protected-areas.html</w:t>
        </w:r>
      </w:hyperlink>
      <w:r w:rsidRPr="00F65AA3">
        <w:rPr>
          <w:rFonts w:ascii="Calibri" w:hAnsi="Calibri"/>
          <w:sz w:val="18"/>
          <w:szCs w:val="18"/>
        </w:rPr>
        <w:t>) and a limited amount of visitor information is available via APA (</w:t>
      </w:r>
      <w:hyperlink r:id="rId6" w:history="1">
        <w:r w:rsidRPr="00F65AA3">
          <w:rPr>
            <w:rStyle w:val="Hyperlink"/>
            <w:rFonts w:ascii="Calibri" w:hAnsi="Calibri"/>
            <w:sz w:val="18"/>
            <w:szCs w:val="18"/>
          </w:rPr>
          <w:t>http://apa.gov.ge/en/protected-areas/cattestone/mtiralas-erovnuli-parkis-administracia</w:t>
        </w:r>
      </w:hyperlink>
      <w:r>
        <w:rPr>
          <w:rFonts w:ascii="Calibri" w:hAnsi="Calibri"/>
          <w:sz w:val="18"/>
          <w:szCs w:val="18"/>
        </w:rPr>
        <w:t>)</w:t>
      </w:r>
      <w:r w:rsidRPr="00F65AA3">
        <w:rPr>
          <w:rFonts w:ascii="Calibri" w:hAnsi="Calibri"/>
          <w:sz w:val="18"/>
          <w:szCs w:val="18"/>
        </w:rPr>
        <w:t>, though the site for Machakhela is under development and the ecotourism trails and guides for Kintrishi and Mtirala are poor by comparison</w:t>
      </w:r>
      <w:r>
        <w:rPr>
          <w:rFonts w:ascii="Calibri" w:hAnsi="Calibri"/>
          <w:sz w:val="18"/>
          <w:szCs w:val="18"/>
        </w:rPr>
        <w:t xml:space="preserve"> with the information and maps in the Sustainable Tourism Strategies for Mtirala and Kintrishi. Mtirala and Machakhela Friends Association also has a website (</w:t>
      </w:r>
      <w:hyperlink r:id="rId7" w:history="1">
        <w:r w:rsidRPr="005E7B72">
          <w:rPr>
            <w:rStyle w:val="Hyperlink"/>
            <w:rFonts w:ascii="Calibri" w:hAnsi="Calibri"/>
            <w:sz w:val="18"/>
            <w:szCs w:val="18"/>
          </w:rPr>
          <w:t>http://mmpafa.ge</w:t>
        </w:r>
      </w:hyperlink>
      <w:r>
        <w:rPr>
          <w:rFonts w:ascii="Calibri" w:hAnsi="Calibri"/>
          <w:sz w:val="18"/>
          <w:szCs w:val="18"/>
        </w:rPr>
        <w:t>) that would benefit from some of this material. Language is also an issue for foreign nationals visiting Georgia, as most PAs information accessible via the web is only in Georgian.</w:t>
      </w:r>
    </w:p>
  </w:footnote>
  <w:footnote w:id="41">
    <w:p w14:paraId="5DB747D3" w14:textId="77777777" w:rsidR="005301E8" w:rsidRDefault="005301E8" w:rsidP="00D80D93">
      <w:pPr>
        <w:pStyle w:val="FootnoteText"/>
        <w:spacing w:after="0" w:line="240" w:lineRule="auto"/>
        <w:ind w:left="284" w:hanging="284"/>
        <w:rPr>
          <w:rFonts w:ascii="Calibri" w:hAnsi="Calibri" w:cs="Times Roman"/>
          <w:sz w:val="18"/>
          <w:szCs w:val="18"/>
        </w:rPr>
      </w:pPr>
      <w:r>
        <w:rPr>
          <w:rStyle w:val="FootnoteReference"/>
        </w:rPr>
        <w:footnoteRef/>
      </w:r>
      <w:r>
        <w:tab/>
      </w:r>
      <w:r>
        <w:rPr>
          <w:rFonts w:ascii="Calibri" w:hAnsi="Calibri"/>
          <w:sz w:val="18"/>
          <w:szCs w:val="18"/>
        </w:rPr>
        <w:t xml:space="preserve">The biosphere reserve concept addresses the need to reconcile preservation of biodiversity within protected areas, often at a level larger than a single ecosystem, with the human development needs of the local and wider community. As such it represents an innovative approach to conservation: </w:t>
      </w:r>
      <w:r>
        <w:rPr>
          <w:rFonts w:ascii="Calibri" w:hAnsi="Calibri"/>
          <w:i/>
          <w:iCs/>
          <w:sz w:val="18"/>
          <w:szCs w:val="18"/>
        </w:rPr>
        <w:t xml:space="preserve">“Biosphere reserves are much like laboratories where new and optimal practices to manage nature and human activities are tested and demonstrated. They outpace traditional confined conservation zones, combining core protected areas with zones where sustainable development is fostered by local dwellers and enterprises. Their governance systems are often highly innovative. In some cases, new legislation can be introduced.” </w:t>
      </w:r>
    </w:p>
    <w:p w14:paraId="5B4B47E9" w14:textId="77777777" w:rsidR="005301E8" w:rsidRDefault="005301E8" w:rsidP="00D80D93">
      <w:pPr>
        <w:pStyle w:val="FootnoteText"/>
        <w:spacing w:after="0" w:line="240" w:lineRule="auto"/>
        <w:ind w:left="284"/>
        <w:rPr>
          <w:rFonts w:ascii="Calibri" w:hAnsi="Calibri" w:cs="Times Roman"/>
          <w:sz w:val="18"/>
          <w:szCs w:val="18"/>
        </w:rPr>
      </w:pPr>
      <w:r>
        <w:rPr>
          <w:rFonts w:ascii="Calibri" w:hAnsi="Calibri"/>
          <w:sz w:val="18"/>
          <w:szCs w:val="18"/>
        </w:rPr>
        <w:t xml:space="preserve">In accordance with the </w:t>
      </w:r>
      <w:r>
        <w:rPr>
          <w:rFonts w:ascii="Calibri" w:hAnsi="Calibri"/>
          <w:i/>
          <w:iCs/>
          <w:sz w:val="18"/>
          <w:szCs w:val="18"/>
        </w:rPr>
        <w:t>Statutory Framework of the World Network of Biosphere Reserves</w:t>
      </w:r>
      <w:r>
        <w:rPr>
          <w:rFonts w:ascii="Calibri" w:hAnsi="Calibri"/>
          <w:sz w:val="18"/>
          <w:szCs w:val="18"/>
        </w:rPr>
        <w:t xml:space="preserve">: </w:t>
      </w:r>
      <w:r>
        <w:rPr>
          <w:rFonts w:ascii="Calibri" w:hAnsi="Calibri"/>
          <w:i/>
          <w:iCs/>
          <w:sz w:val="18"/>
          <w:szCs w:val="18"/>
        </w:rPr>
        <w:t xml:space="preserve">Individual biosphere reserves remain under the sovereign jurisdiction of the States where they are situated. Under the present Statutory Framework, States take the measures which they deems necessary according to their national legislation. </w:t>
      </w:r>
      <w:r>
        <w:rPr>
          <w:rFonts w:ascii="Calibri" w:hAnsi="Calibri"/>
          <w:sz w:val="18"/>
          <w:szCs w:val="18"/>
        </w:rPr>
        <w:t xml:space="preserve">(Article 2.3) </w:t>
      </w:r>
    </w:p>
  </w:footnote>
  <w:footnote w:id="42">
    <w:p w14:paraId="74161422" w14:textId="77777777" w:rsidR="005301E8" w:rsidRDefault="005301E8" w:rsidP="00BA3505">
      <w:pPr>
        <w:pStyle w:val="FootnoteText"/>
      </w:pPr>
      <w:r w:rsidRPr="005B6FDF">
        <w:rPr>
          <w:rStyle w:val="FootnoteReference"/>
          <w:rFonts w:cstheme="minorHAnsi"/>
          <w:szCs w:val="18"/>
        </w:rPr>
        <w:footnoteRef/>
      </w:r>
      <w:r w:rsidRPr="005B6FDF">
        <w:rPr>
          <w:rFonts w:cstheme="minorHAnsi"/>
          <w:szCs w:val="18"/>
        </w:rPr>
        <w:t xml:space="preserve"> For additional information on methods, see the </w:t>
      </w:r>
      <w:hyperlink r:id="rId8" w:history="1">
        <w:r w:rsidRPr="004D426A">
          <w:rPr>
            <w:rStyle w:val="Hyperlink"/>
            <w:rFonts w:cstheme="minorHAnsi"/>
            <w:szCs w:val="18"/>
          </w:rPr>
          <w:t>Handbook on Planning, Monitoring and Evaluating for Development Results</w:t>
        </w:r>
      </w:hyperlink>
      <w:r>
        <w:rPr>
          <w:rFonts w:cstheme="minorHAnsi"/>
          <w:szCs w:val="18"/>
        </w:rPr>
        <w:t>, Chapter 7, p</w:t>
      </w:r>
      <w:r w:rsidRPr="005B6FDF">
        <w:rPr>
          <w:rFonts w:cstheme="minorHAnsi"/>
          <w:szCs w:val="18"/>
        </w:rPr>
        <w:t>g. 163</w:t>
      </w:r>
    </w:p>
  </w:footnote>
  <w:footnote w:id="43">
    <w:p w14:paraId="0E0F5EBC" w14:textId="77777777" w:rsidR="005301E8" w:rsidRPr="00B95114" w:rsidRDefault="005301E8" w:rsidP="00BA3505">
      <w:pPr>
        <w:pStyle w:val="FootnoteText"/>
        <w:spacing w:line="240" w:lineRule="auto"/>
        <w:ind w:left="142" w:hanging="142"/>
        <w:rPr>
          <w:rFonts w:ascii="Calibri" w:hAnsi="Calibri"/>
          <w:sz w:val="18"/>
          <w:szCs w:val="18"/>
        </w:rPr>
      </w:pPr>
      <w:r w:rsidRPr="00B95114">
        <w:rPr>
          <w:rStyle w:val="FootnoteReference"/>
          <w:sz w:val="18"/>
          <w:szCs w:val="18"/>
        </w:rPr>
        <w:footnoteRef/>
      </w:r>
      <w:r w:rsidRPr="00B95114">
        <w:rPr>
          <w:rFonts w:ascii="Calibri" w:hAnsi="Calibri"/>
          <w:sz w:val="18"/>
          <w:szCs w:val="18"/>
        </w:rPr>
        <w:t xml:space="preserve"> A useful tool for gauging progress to impact is the Review of Outcomes to Impacts (ROtI) method developed by the GEF Evaluation Office: </w:t>
      </w:r>
      <w:hyperlink r:id="rId9" w:history="1">
        <w:r w:rsidRPr="00B95114">
          <w:rPr>
            <w:rStyle w:val="Hyperlink"/>
            <w:sz w:val="18"/>
            <w:szCs w:val="18"/>
          </w:rPr>
          <w:t xml:space="preserve"> ROTI Handbook 2009</w:t>
        </w:r>
      </w:hyperlink>
    </w:p>
  </w:footnote>
  <w:footnote w:id="44">
    <w:p w14:paraId="0DDE4643" w14:textId="77777777" w:rsidR="005301E8" w:rsidRPr="00070254" w:rsidRDefault="005301E8" w:rsidP="00070254">
      <w:pPr>
        <w:rPr>
          <w:rFonts w:ascii="Calibri" w:hAnsi="Calibri"/>
          <w:sz w:val="18"/>
          <w:szCs w:val="18"/>
        </w:rPr>
      </w:pPr>
      <w:r w:rsidRPr="00070254">
        <w:rPr>
          <w:rStyle w:val="FootnoteReference"/>
          <w:rFonts w:ascii="Calibri" w:hAnsi="Calibri"/>
          <w:sz w:val="18"/>
          <w:szCs w:val="18"/>
        </w:rPr>
        <w:footnoteRef/>
      </w:r>
      <w:r w:rsidRPr="00070254">
        <w:rPr>
          <w:rFonts w:ascii="Calibri" w:hAnsi="Calibri"/>
          <w:sz w:val="18"/>
          <w:szCs w:val="18"/>
        </w:rPr>
        <w:t xml:space="preserve">The Report length should not exceed </w:t>
      </w:r>
      <w:r w:rsidRPr="00070254">
        <w:rPr>
          <w:rFonts w:ascii="Calibri" w:hAnsi="Calibri"/>
          <w:i/>
          <w:sz w:val="18"/>
          <w:szCs w:val="18"/>
          <w:highlight w:val="lightGray"/>
        </w:rPr>
        <w:t>40</w:t>
      </w:r>
      <w:r w:rsidRPr="00070254">
        <w:rPr>
          <w:rFonts w:ascii="Calibri" w:hAnsi="Calibri"/>
          <w:sz w:val="18"/>
          <w:szCs w:val="18"/>
        </w:rPr>
        <w:t xml:space="preserve"> pages in total (not including annexes).</w:t>
      </w:r>
    </w:p>
  </w:footnote>
  <w:footnote w:id="45">
    <w:p w14:paraId="0C625070" w14:textId="51834DCC" w:rsidR="005301E8" w:rsidRPr="00DE7B39" w:rsidRDefault="005301E8" w:rsidP="00DE7B39">
      <w:pPr>
        <w:pStyle w:val="FootnoteText"/>
        <w:spacing w:after="0" w:line="240" w:lineRule="auto"/>
        <w:ind w:left="142" w:hanging="142"/>
        <w:rPr>
          <w:rFonts w:ascii="Calibri" w:hAnsi="Calibri" w:cs="Arial"/>
          <w:sz w:val="18"/>
          <w:szCs w:val="18"/>
        </w:rPr>
      </w:pPr>
      <w:r w:rsidRPr="00DE7B39">
        <w:rPr>
          <w:rStyle w:val="FootnoteReference"/>
          <w:rFonts w:ascii="Calibri" w:hAnsi="Calibri" w:cs="Arial"/>
          <w:sz w:val="18"/>
          <w:szCs w:val="18"/>
        </w:rPr>
        <w:footnoteRef/>
      </w:r>
      <w:r>
        <w:rPr>
          <w:rFonts w:ascii="Calibri" w:hAnsi="Calibri" w:cs="Arial"/>
          <w:sz w:val="18"/>
          <w:szCs w:val="18"/>
        </w:rPr>
        <w:tab/>
      </w:r>
      <w:r w:rsidRPr="00DE7B39">
        <w:rPr>
          <w:rFonts w:ascii="Calibri" w:hAnsi="Calibri" w:cs="Arial"/>
          <w:sz w:val="18"/>
          <w:szCs w:val="18"/>
        </w:rPr>
        <w:t>www.unevaluation.org/unegcodeofconduct</w:t>
      </w:r>
    </w:p>
  </w:footnote>
  <w:footnote w:id="46">
    <w:p w14:paraId="43EDE0D6" w14:textId="77777777" w:rsidR="005301E8" w:rsidRPr="00D740D2" w:rsidRDefault="005301E8" w:rsidP="004A76C6">
      <w:pPr>
        <w:pStyle w:val="FootnoteText"/>
        <w:rPr>
          <w:rFonts w:ascii="Calibri" w:hAnsi="Calibri" w:cs="Arial"/>
          <w:sz w:val="18"/>
          <w:szCs w:val="18"/>
        </w:rPr>
      </w:pPr>
      <w:r w:rsidRPr="00D740D2">
        <w:rPr>
          <w:rStyle w:val="FootnoteReference"/>
          <w:rFonts w:cs="Arial"/>
          <w:sz w:val="18"/>
          <w:szCs w:val="18"/>
        </w:rPr>
        <w:footnoteRef/>
      </w:r>
      <w:r w:rsidRPr="00D740D2">
        <w:rPr>
          <w:rFonts w:ascii="Calibri" w:hAnsi="Calibri" w:cs="Arial"/>
          <w:sz w:val="18"/>
          <w:szCs w:val="18"/>
        </w:rPr>
        <w:t xml:space="preserve"> Mean illeg</w:t>
      </w:r>
      <w:r>
        <w:rPr>
          <w:rFonts w:ascii="Calibri" w:hAnsi="Calibri" w:cs="Arial"/>
          <w:sz w:val="18"/>
          <w:szCs w:val="18"/>
        </w:rPr>
        <w:t xml:space="preserve">al extraction recorded between </w:t>
      </w:r>
      <w:r w:rsidRPr="00D740D2">
        <w:rPr>
          <w:rFonts w:ascii="Calibri" w:hAnsi="Calibri" w:cs="Arial"/>
          <w:sz w:val="18"/>
          <w:szCs w:val="18"/>
        </w:rPr>
        <w:t>2008 – 2011 (4 years)</w:t>
      </w:r>
    </w:p>
  </w:footnote>
  <w:footnote w:id="47">
    <w:p w14:paraId="17D758C5" w14:textId="77777777" w:rsidR="005301E8" w:rsidRPr="00D740D2" w:rsidRDefault="005301E8" w:rsidP="004A76C6">
      <w:pPr>
        <w:pStyle w:val="FootnoteText"/>
        <w:rPr>
          <w:rFonts w:ascii="Calibri" w:hAnsi="Calibri" w:cs="Arial"/>
          <w:sz w:val="18"/>
          <w:szCs w:val="18"/>
        </w:rPr>
      </w:pPr>
      <w:r w:rsidRPr="00D740D2">
        <w:rPr>
          <w:rStyle w:val="FootnoteReference"/>
          <w:rFonts w:cs="Arial"/>
          <w:sz w:val="18"/>
          <w:szCs w:val="18"/>
        </w:rPr>
        <w:footnoteRef/>
      </w:r>
      <w:r w:rsidRPr="00D740D2">
        <w:rPr>
          <w:rFonts w:ascii="Calibri" w:hAnsi="Calibri" w:cs="Arial"/>
          <w:sz w:val="18"/>
          <w:szCs w:val="18"/>
        </w:rPr>
        <w:t xml:space="preserve"> This measures records of illegal activity incidents as a proportion of patrol effort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88815" w14:textId="67CE5364" w:rsidR="005301E8" w:rsidRDefault="005301E8" w:rsidP="00D23B9A">
    <w:pPr>
      <w:tabs>
        <w:tab w:val="left" w:pos="3686"/>
        <w:tab w:val="left" w:pos="8222"/>
      </w:tabs>
      <w:spacing w:line="264" w:lineRule="auto"/>
      <w:ind w:right="-144"/>
      <w:rPr>
        <w:rFonts w:ascii="Arial" w:hAnsi="Arial" w:cs="Arial"/>
        <w:b/>
        <w:bCs/>
        <w:sz w:val="21"/>
        <w:szCs w:val="21"/>
      </w:rPr>
    </w:pPr>
    <w:r>
      <w:rPr>
        <w:rFonts w:ascii="Calibri" w:hAnsi="Calibri"/>
        <w:b/>
        <w:caps/>
        <w:noProof/>
        <w:szCs w:val="22"/>
        <w:lang w:val="en-US"/>
      </w:rPr>
      <w:drawing>
        <wp:inline distT="0" distB="0" distL="0" distR="0" wp14:anchorId="5D39FFAB" wp14:editId="15121E29">
          <wp:extent cx="1041400" cy="1122680"/>
          <wp:effectExtent l="0" t="0" r="0" b="0"/>
          <wp:docPr id="19" name="Picture 19" descr="GEF-newlogo-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F-newlogo-sho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1400" cy="1122680"/>
                  </a:xfrm>
                  <a:prstGeom prst="rect">
                    <a:avLst/>
                  </a:prstGeom>
                  <a:noFill/>
                  <a:ln>
                    <a:noFill/>
                  </a:ln>
                </pic:spPr>
              </pic:pic>
            </a:graphicData>
          </a:graphic>
        </wp:inline>
      </w:drawing>
    </w:r>
    <w:r>
      <w:rPr>
        <w:rFonts w:ascii="Arial" w:hAnsi="Arial" w:cs="Arial"/>
        <w:b/>
        <w:bCs/>
        <w:noProof/>
        <w:sz w:val="21"/>
        <w:szCs w:val="21"/>
        <w:lang w:val="en-US"/>
      </w:rPr>
      <w:drawing>
        <wp:anchor distT="0" distB="0" distL="114300" distR="114300" simplePos="0" relativeHeight="251659264" behindDoc="0" locked="0" layoutInCell="1" allowOverlap="1" wp14:anchorId="2C8DC4D4" wp14:editId="7BCD7630">
          <wp:simplePos x="0" y="0"/>
          <wp:positionH relativeFrom="column">
            <wp:posOffset>5238750</wp:posOffset>
          </wp:positionH>
          <wp:positionV relativeFrom="paragraph">
            <wp:posOffset>-6985</wp:posOffset>
          </wp:positionV>
          <wp:extent cx="508635" cy="1028700"/>
          <wp:effectExtent l="0" t="0" r="0" b="12700"/>
          <wp:wrapNone/>
          <wp:docPr id="18" name="Picture 6" descr="bpcundp2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pcundp20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21"/>
        <w:szCs w:val="21"/>
      </w:rPr>
      <w:tab/>
    </w:r>
    <w:r>
      <w:rPr>
        <w:rFonts w:ascii="Arial" w:hAnsi="Arial" w:cs="Arial"/>
        <w:b/>
        <w:bCs/>
        <w:noProof/>
        <w:sz w:val="21"/>
        <w:szCs w:val="21"/>
        <w:lang w:val="en-US"/>
      </w:rPr>
      <w:drawing>
        <wp:inline distT="0" distB="0" distL="0" distR="0" wp14:anchorId="3EA8E7DB" wp14:editId="4F2D0209">
          <wp:extent cx="1137580" cy="1137580"/>
          <wp:effectExtent l="0" t="0" r="571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jpeg"/>
                  <pic:cNvPicPr/>
                </pic:nvPicPr>
                <pic:blipFill>
                  <a:blip r:embed="rId3">
                    <a:extLst>
                      <a:ext uri="{28A0092B-C50C-407E-A947-70E740481C1C}">
                        <a14:useLocalDpi xmlns:a14="http://schemas.microsoft.com/office/drawing/2010/main" val="0"/>
                      </a:ext>
                    </a:extLst>
                  </a:blip>
                  <a:stretch>
                    <a:fillRect/>
                  </a:stretch>
                </pic:blipFill>
                <pic:spPr>
                  <a:xfrm>
                    <a:off x="0" y="0"/>
                    <a:ext cx="1137780" cy="1137780"/>
                  </a:xfrm>
                  <a:prstGeom prst="rect">
                    <a:avLst/>
                  </a:prstGeom>
                </pic:spPr>
              </pic:pic>
            </a:graphicData>
          </a:graphic>
        </wp:inline>
      </w:drawing>
    </w:r>
    <w:r w:rsidRPr="001C6ED8">
      <w:rPr>
        <w:rFonts w:ascii="Arial" w:hAnsi="Arial" w:cs="Arial"/>
        <w:b/>
        <w:bCs/>
        <w:sz w:val="21"/>
        <w:szCs w:val="21"/>
      </w:rPr>
      <w:t xml:space="preserve"> </w:t>
    </w:r>
    <w:r w:rsidRPr="001A1D99">
      <w:rPr>
        <w:rFonts w:ascii="Arial" w:hAnsi="Arial" w:cs="Arial"/>
        <w:b/>
        <w:bCs/>
        <w:sz w:val="21"/>
        <w:szCs w:val="21"/>
      </w:rPr>
      <w:tab/>
    </w:r>
    <w:r>
      <w:rPr>
        <w:rFonts w:ascii="Arial" w:hAnsi="Arial" w:cs="Arial"/>
        <w:b/>
        <w:bCs/>
        <w:sz w:val="21"/>
        <w:szCs w:val="21"/>
      </w:rPr>
      <w:t>Georgia</w:t>
    </w:r>
  </w:p>
  <w:p w14:paraId="0E5F8647" w14:textId="77777777" w:rsidR="005301E8" w:rsidRPr="00D23B9A" w:rsidRDefault="005301E8" w:rsidP="00D23B9A">
    <w:pPr>
      <w:tabs>
        <w:tab w:val="left" w:pos="5670"/>
        <w:tab w:val="left" w:pos="8222"/>
      </w:tabs>
      <w:spacing w:line="264" w:lineRule="auto"/>
      <w:ind w:right="-144"/>
      <w:rPr>
        <w:rFonts w:ascii="Arial" w:hAnsi="Arial" w:cs="Arial"/>
        <w:b/>
        <w:bCs/>
        <w:i/>
        <w:iCs/>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819" w:type="dxa"/>
      <w:jc w:val="center"/>
      <w:tblBorders>
        <w:top w:val="none" w:sz="0" w:space="0" w:color="auto"/>
        <w:left w:val="none" w:sz="0" w:space="0" w:color="auto"/>
        <w:bottom w:val="single" w:sz="12" w:space="0" w:color="215868" w:themeColor="accent5" w:themeShade="80"/>
        <w:right w:val="none" w:sz="0" w:space="0" w:color="auto"/>
        <w:insideH w:val="none" w:sz="0" w:space="0" w:color="auto"/>
        <w:insideV w:val="none" w:sz="0" w:space="0" w:color="auto"/>
      </w:tblBorders>
      <w:tblLook w:val="04A0" w:firstRow="1" w:lastRow="0" w:firstColumn="1" w:lastColumn="0" w:noHBand="0" w:noVBand="1"/>
    </w:tblPr>
    <w:tblGrid>
      <w:gridCol w:w="9819"/>
    </w:tblGrid>
    <w:tr w:rsidR="005301E8" w14:paraId="2225D553" w14:textId="77777777" w:rsidTr="00D35488">
      <w:trPr>
        <w:trHeight w:val="720"/>
        <w:jc w:val="center"/>
      </w:trPr>
      <w:tc>
        <w:tcPr>
          <w:tcW w:w="9819" w:type="dxa"/>
          <w:vAlign w:val="center"/>
        </w:tcPr>
        <w:p w14:paraId="40F4C868" w14:textId="511229F2" w:rsidR="005301E8" w:rsidRDefault="005301E8" w:rsidP="00D35488">
          <w:pPr>
            <w:pStyle w:val="Header"/>
            <w:spacing w:after="0" w:line="240" w:lineRule="auto"/>
            <w:jc w:val="left"/>
            <w:rPr>
              <w:rFonts w:asciiTheme="minorHAnsi" w:hAnsiTheme="minorHAnsi"/>
              <w:b/>
              <w:smallCaps w:val="0"/>
              <w:sz w:val="16"/>
            </w:rPr>
          </w:pPr>
          <w:r>
            <w:rPr>
              <w:rFonts w:asciiTheme="minorHAnsi" w:hAnsiTheme="minorHAnsi"/>
              <w:b/>
              <w:smallCaps w:val="0"/>
              <w:sz w:val="16"/>
            </w:rPr>
            <w:t xml:space="preserve">Terminal Evaluation </w:t>
          </w:r>
          <w:r w:rsidRPr="00A103CA">
            <w:rPr>
              <w:rFonts w:asciiTheme="minorHAnsi" w:hAnsiTheme="minorHAnsi"/>
              <w:b/>
              <w:smallCaps w:val="0"/>
              <w:sz w:val="16"/>
            </w:rPr>
            <w:t xml:space="preserve">Report, </w:t>
          </w:r>
          <w:r>
            <w:rPr>
              <w:rFonts w:asciiTheme="minorHAnsi" w:hAnsiTheme="minorHAnsi"/>
              <w:b/>
              <w:smallCaps w:val="0"/>
              <w:sz w:val="16"/>
            </w:rPr>
            <w:t>February 2019</w:t>
          </w:r>
        </w:p>
        <w:p w14:paraId="4E4A7904" w14:textId="533B6EBA" w:rsidR="005301E8" w:rsidRDefault="005301E8" w:rsidP="00D35488">
          <w:pPr>
            <w:pStyle w:val="Header"/>
            <w:spacing w:after="0" w:line="240" w:lineRule="auto"/>
            <w:jc w:val="left"/>
            <w:rPr>
              <w:rFonts w:asciiTheme="minorHAnsi" w:eastAsiaTheme="minorHAnsi" w:hAnsiTheme="minorHAnsi" w:cs="Arial"/>
              <w:bCs/>
              <w:smallCaps w:val="0"/>
              <w:sz w:val="16"/>
              <w:szCs w:val="18"/>
            </w:rPr>
          </w:pPr>
          <w:r w:rsidRPr="009B5678">
            <w:rPr>
              <w:rFonts w:asciiTheme="minorHAnsi" w:hAnsiTheme="minorHAnsi" w:cs="Arial"/>
              <w:b/>
              <w:bCs/>
              <w:i/>
              <w:sz w:val="16"/>
              <w:szCs w:val="16"/>
              <w:lang w:bidi="th-TH"/>
            </w:rPr>
            <w:t>Expansion and Improved Management Effecti</w:t>
          </w:r>
          <w:r>
            <w:rPr>
              <w:rFonts w:asciiTheme="minorHAnsi" w:hAnsiTheme="minorHAnsi" w:cs="Arial"/>
              <w:b/>
              <w:bCs/>
              <w:i/>
              <w:sz w:val="16"/>
              <w:szCs w:val="16"/>
              <w:lang w:bidi="th-TH"/>
            </w:rPr>
            <w:t>veness of</w:t>
          </w:r>
          <w:r w:rsidRPr="009B5678">
            <w:rPr>
              <w:rFonts w:asciiTheme="minorHAnsi" w:hAnsiTheme="minorHAnsi" w:cs="Arial"/>
              <w:b/>
              <w:bCs/>
              <w:i/>
              <w:sz w:val="16"/>
              <w:szCs w:val="16"/>
              <w:lang w:bidi="th-TH"/>
            </w:rPr>
            <w:t xml:space="preserve"> Region’s Protected Areas In Achara</w:t>
          </w:r>
        </w:p>
        <w:p w14:paraId="1C6D24B4" w14:textId="52663340" w:rsidR="005301E8" w:rsidRPr="00A103CA" w:rsidRDefault="005301E8" w:rsidP="009B5678">
          <w:pPr>
            <w:pStyle w:val="Header"/>
            <w:spacing w:after="0" w:line="240" w:lineRule="auto"/>
            <w:jc w:val="left"/>
            <w:rPr>
              <w:rFonts w:asciiTheme="minorHAnsi" w:hAnsiTheme="minorHAnsi"/>
              <w:b/>
              <w:smallCaps w:val="0"/>
              <w:sz w:val="16"/>
            </w:rPr>
          </w:pPr>
          <w:r>
            <w:rPr>
              <w:rFonts w:asciiTheme="minorHAnsi" w:eastAsiaTheme="minorHAnsi" w:hAnsiTheme="minorHAnsi" w:cs="Arial"/>
              <w:bCs/>
              <w:smallCaps w:val="0"/>
              <w:sz w:val="16"/>
              <w:szCs w:val="18"/>
            </w:rPr>
            <w:t>GEF Project ID: 4835; UNDP PIMS ID: 4732</w:t>
          </w:r>
        </w:p>
      </w:tc>
    </w:tr>
  </w:tbl>
  <w:p w14:paraId="20759304" w14:textId="77777777" w:rsidR="005301E8" w:rsidRPr="006A5608" w:rsidRDefault="005301E8" w:rsidP="008D4DE9">
    <w:pPr>
      <w:pStyle w:val="Header"/>
      <w:spacing w:after="0"/>
      <w:jc w:val="left"/>
      <w:rPr>
        <w:rFonts w:asciiTheme="minorHAnsi" w:hAnsiTheme="minorHAnsi"/>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4"/>
    <w:multiLevelType w:val="singleLevel"/>
    <w:tmpl w:val="00000004"/>
    <w:name w:val="WW8Num9"/>
    <w:lvl w:ilvl="0">
      <w:start w:val="2"/>
      <w:numFmt w:val="bullet"/>
      <w:lvlText w:val="-"/>
      <w:lvlJc w:val="left"/>
      <w:pPr>
        <w:tabs>
          <w:tab w:val="num" w:pos="0"/>
        </w:tabs>
        <w:ind w:left="720" w:hanging="360"/>
      </w:pPr>
      <w:rPr>
        <w:rFonts w:ascii="Myriad Pro" w:hAnsi="Myriad Pro" w:cs="Times New Roman"/>
        <w:lang w:val="en-US"/>
      </w:rPr>
    </w:lvl>
  </w:abstractNum>
  <w:abstractNum w:abstractNumId="2" w15:restartNumberingAfterBreak="0">
    <w:nsid w:val="00000008"/>
    <w:multiLevelType w:val="singleLevel"/>
    <w:tmpl w:val="00000008"/>
    <w:name w:val="WW8Num8"/>
    <w:lvl w:ilvl="0">
      <w:start w:val="1"/>
      <w:numFmt w:val="bullet"/>
      <w:lvlText w:val=""/>
      <w:lvlJc w:val="left"/>
      <w:pPr>
        <w:tabs>
          <w:tab w:val="num" w:pos="1440"/>
        </w:tabs>
        <w:ind w:left="1440" w:hanging="360"/>
      </w:pPr>
      <w:rPr>
        <w:rFonts w:ascii="Symbol" w:hAnsi="Symbol"/>
      </w:rPr>
    </w:lvl>
  </w:abstractNum>
  <w:abstractNum w:abstractNumId="3" w15:restartNumberingAfterBreak="0">
    <w:nsid w:val="00000017"/>
    <w:multiLevelType w:val="singleLevel"/>
    <w:tmpl w:val="00000017"/>
    <w:name w:val="WW8Num23"/>
    <w:lvl w:ilvl="0">
      <w:start w:val="1"/>
      <w:numFmt w:val="bullet"/>
      <w:lvlText w:val=""/>
      <w:lvlJc w:val="left"/>
      <w:pPr>
        <w:tabs>
          <w:tab w:val="num" w:pos="1440"/>
        </w:tabs>
        <w:ind w:left="1440" w:hanging="360"/>
      </w:pPr>
      <w:rPr>
        <w:rFonts w:ascii="Symbol" w:hAnsi="Symbol"/>
      </w:rPr>
    </w:lvl>
  </w:abstractNum>
  <w:abstractNum w:abstractNumId="4" w15:restartNumberingAfterBreak="0">
    <w:nsid w:val="06615DFC"/>
    <w:multiLevelType w:val="hybridMultilevel"/>
    <w:tmpl w:val="BA1670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D047B8"/>
    <w:multiLevelType w:val="multilevel"/>
    <w:tmpl w:val="31C4B4E6"/>
    <w:lvl w:ilvl="0">
      <w:start w:val="1"/>
      <w:numFmt w:val="decimal"/>
      <w:lvlText w:val="%1."/>
      <w:lvlJc w:val="left"/>
      <w:pPr>
        <w:ind w:left="360" w:hanging="360"/>
      </w:pPr>
      <w:rPr>
        <w:caps w:val="0"/>
      </w:rPr>
    </w:lvl>
    <w:lvl w:ilvl="1">
      <w:start w:val="1"/>
      <w:numFmt w:val="decimal"/>
      <w:lvlText w:val="%1.%2."/>
      <w:lvlJc w:val="left"/>
      <w:pPr>
        <w:ind w:left="1872" w:hanging="432"/>
      </w:pPr>
      <w:rPr>
        <w:rFonts w:cs="Times New Roman"/>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0A3E220D"/>
    <w:multiLevelType w:val="hybridMultilevel"/>
    <w:tmpl w:val="049E9A72"/>
    <w:lvl w:ilvl="0" w:tplc="6BF62C36">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A9C346A"/>
    <w:multiLevelType w:val="hybridMultilevel"/>
    <w:tmpl w:val="2F344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F04FD7"/>
    <w:multiLevelType w:val="hybridMultilevel"/>
    <w:tmpl w:val="682CB5CE"/>
    <w:lvl w:ilvl="0" w:tplc="0270F450">
      <w:start w:val="1"/>
      <w:numFmt w:val="lowerRoman"/>
      <w:lvlText w:val="%1."/>
      <w:lvlJc w:val="left"/>
      <w:pPr>
        <w:ind w:left="397"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1375F6"/>
    <w:multiLevelType w:val="hybridMultilevel"/>
    <w:tmpl w:val="4CEA24B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CC80379"/>
    <w:multiLevelType w:val="hybridMultilevel"/>
    <w:tmpl w:val="AA527D50"/>
    <w:lvl w:ilvl="0" w:tplc="6BA87956">
      <w:start w:val="1"/>
      <w:numFmt w:val="decimal"/>
      <w:lvlText w:val="%1."/>
      <w:lvlJc w:val="left"/>
      <w:pPr>
        <w:ind w:left="57"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882F0C"/>
    <w:multiLevelType w:val="hybridMultilevel"/>
    <w:tmpl w:val="8278B714"/>
    <w:lvl w:ilvl="0" w:tplc="E926137C">
      <w:start w:val="1"/>
      <w:numFmt w:val="bullet"/>
      <w:lvlText w:val=""/>
      <w:lvlJc w:val="left"/>
      <w:pPr>
        <w:tabs>
          <w:tab w:val="num" w:pos="227"/>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D82C7E"/>
    <w:multiLevelType w:val="hybridMultilevel"/>
    <w:tmpl w:val="52A62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D26B6F"/>
    <w:multiLevelType w:val="hybridMultilevel"/>
    <w:tmpl w:val="1ECAA2D8"/>
    <w:lvl w:ilvl="0" w:tplc="10FE1F06">
      <w:start w:val="1"/>
      <w:numFmt w:val="decimal"/>
      <w:lvlText w:val="%1."/>
      <w:lvlJc w:val="left"/>
      <w:pPr>
        <w:tabs>
          <w:tab w:val="num" w:pos="397"/>
        </w:tabs>
        <w:ind w:left="0" w:firstLine="0"/>
      </w:pPr>
      <w:rPr>
        <w:rFonts w:asciiTheme="majorHAnsi" w:hAnsiTheme="majorHAnsi" w:hint="default"/>
        <w:b/>
        <w:bCs/>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6E7F86"/>
    <w:multiLevelType w:val="hybridMultilevel"/>
    <w:tmpl w:val="CDB63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E663A3"/>
    <w:multiLevelType w:val="hybridMultilevel"/>
    <w:tmpl w:val="7526A090"/>
    <w:lvl w:ilvl="0" w:tplc="AE9C1D0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156EC3"/>
    <w:multiLevelType w:val="multilevel"/>
    <w:tmpl w:val="A3A0DCE8"/>
    <w:lvl w:ilvl="0">
      <w:start w:val="1"/>
      <w:numFmt w:val="decimal"/>
      <w:lvlText w:val="%1."/>
      <w:lvlJc w:val="left"/>
      <w:pPr>
        <w:ind w:left="57"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3510D8A"/>
    <w:multiLevelType w:val="multilevel"/>
    <w:tmpl w:val="3580EF32"/>
    <w:lvl w:ilvl="0">
      <w:start w:val="5"/>
      <w:numFmt w:val="decimal"/>
      <w:lvlText w:val="%1."/>
      <w:lvlJc w:val="left"/>
      <w:pPr>
        <w:ind w:left="360" w:hanging="360"/>
      </w:pPr>
      <w:rPr>
        <w:rFonts w:hint="default"/>
        <w:caps w:val="0"/>
      </w:rPr>
    </w:lvl>
    <w:lvl w:ilvl="1">
      <w:start w:val="1"/>
      <w:numFmt w:val="decimal"/>
      <w:lvlText w:val="4.%2."/>
      <w:lvlJc w:val="left"/>
      <w:pPr>
        <w:ind w:left="1872" w:hanging="432"/>
      </w:pPr>
      <w:rPr>
        <w:rFonts w:hint="default"/>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9" w15:restartNumberingAfterBreak="0">
    <w:nsid w:val="279C3B45"/>
    <w:multiLevelType w:val="hybridMultilevel"/>
    <w:tmpl w:val="1E1EE2C2"/>
    <w:lvl w:ilvl="0" w:tplc="10FE1F06">
      <w:start w:val="1"/>
      <w:numFmt w:val="decimal"/>
      <w:lvlText w:val="%1."/>
      <w:lvlJc w:val="left"/>
      <w:pPr>
        <w:tabs>
          <w:tab w:val="num" w:pos="397"/>
        </w:tabs>
        <w:ind w:left="0" w:firstLine="0"/>
      </w:pPr>
      <w:rPr>
        <w:rFonts w:asciiTheme="majorHAnsi" w:hAnsiTheme="majorHAnsi" w:cs="Times New Roman" w:hint="default"/>
        <w:b/>
        <w:bCs/>
        <w:i w:val="0"/>
        <w:iCs w:val="0"/>
      </w:rPr>
    </w:lvl>
    <w:lvl w:ilvl="1" w:tplc="AE9C1D0E">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299576D0"/>
    <w:multiLevelType w:val="hybridMultilevel"/>
    <w:tmpl w:val="E1D2B768"/>
    <w:lvl w:ilvl="0" w:tplc="10FE1F06">
      <w:start w:val="1"/>
      <w:numFmt w:val="decimal"/>
      <w:lvlText w:val="%1."/>
      <w:lvlJc w:val="left"/>
      <w:pPr>
        <w:tabs>
          <w:tab w:val="num" w:pos="397"/>
        </w:tabs>
        <w:ind w:left="0" w:firstLine="0"/>
      </w:pPr>
      <w:rPr>
        <w:rFonts w:asciiTheme="majorHAnsi" w:hAnsiTheme="majorHAnsi" w:hint="default"/>
        <w:b/>
        <w:bCs/>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9B0F79"/>
    <w:multiLevelType w:val="hybridMultilevel"/>
    <w:tmpl w:val="9118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3651AE"/>
    <w:multiLevelType w:val="multilevel"/>
    <w:tmpl w:val="24902A2C"/>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D5545E5"/>
    <w:multiLevelType w:val="hybridMultilevel"/>
    <w:tmpl w:val="637ABEF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877B77"/>
    <w:multiLevelType w:val="hybridMultilevel"/>
    <w:tmpl w:val="F91E7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A15BAF"/>
    <w:multiLevelType w:val="hybridMultilevel"/>
    <w:tmpl w:val="06789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A37BF4"/>
    <w:multiLevelType w:val="multilevel"/>
    <w:tmpl w:val="CE82D3F2"/>
    <w:lvl w:ilvl="0">
      <w:start w:val="1"/>
      <w:numFmt w:val="lowerRoman"/>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66212E4"/>
    <w:multiLevelType w:val="hybridMultilevel"/>
    <w:tmpl w:val="CE82D3F2"/>
    <w:lvl w:ilvl="0" w:tplc="F7D080BE">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4C1930"/>
    <w:multiLevelType w:val="multilevel"/>
    <w:tmpl w:val="C6FA117A"/>
    <w:lvl w:ilvl="0">
      <w:start w:val="1"/>
      <w:numFmt w:val="decimal"/>
      <w:lvlText w:val="%1."/>
      <w:lvlJc w:val="left"/>
      <w:pPr>
        <w:ind w:left="113" w:hanging="5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BD05489"/>
    <w:multiLevelType w:val="multilevel"/>
    <w:tmpl w:val="6926731A"/>
    <w:lvl w:ilvl="0">
      <w:start w:val="1"/>
      <w:numFmt w:val="decimal"/>
      <w:lvlText w:val="%1."/>
      <w:lvlJc w:val="left"/>
      <w:pPr>
        <w:ind w:left="360" w:hanging="360"/>
      </w:pPr>
      <w:rPr>
        <w:rFonts w:cs="Times New Roman" w:hint="default"/>
        <w:sz w:val="28"/>
        <w:szCs w:val="28"/>
      </w:rPr>
    </w:lvl>
    <w:lvl w:ilvl="1">
      <w:start w:val="1"/>
      <w:numFmt w:val="decimal"/>
      <w:lvlText w:val="%1.%2."/>
      <w:lvlJc w:val="left"/>
      <w:pPr>
        <w:ind w:left="1872" w:hanging="432"/>
      </w:pPr>
      <w:rPr>
        <w:rFonts w:cs="Times New Roman" w:hint="default"/>
      </w:rPr>
    </w:lvl>
    <w:lvl w:ilvl="2">
      <w:start w:val="1"/>
      <w:numFmt w:val="decimal"/>
      <w:lvlText w:val="3.%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15:restartNumberingAfterBreak="0">
    <w:nsid w:val="3D273918"/>
    <w:multiLevelType w:val="hybridMultilevel"/>
    <w:tmpl w:val="226CEE3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544F0E"/>
    <w:multiLevelType w:val="hybridMultilevel"/>
    <w:tmpl w:val="4846FEB4"/>
    <w:lvl w:ilvl="0" w:tplc="779A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2DE726C"/>
    <w:multiLevelType w:val="hybridMultilevel"/>
    <w:tmpl w:val="B0C03C42"/>
    <w:lvl w:ilvl="0" w:tplc="39E0985A">
      <w:start w:val="253"/>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43"/>
        </w:tabs>
        <w:ind w:left="1043" w:hanging="360"/>
      </w:pPr>
      <w:rPr>
        <w:rFonts w:ascii="Courier New" w:hAnsi="Courier New" w:hint="default"/>
      </w:rPr>
    </w:lvl>
    <w:lvl w:ilvl="2" w:tplc="08090005" w:tentative="1">
      <w:start w:val="1"/>
      <w:numFmt w:val="bullet"/>
      <w:lvlText w:val=""/>
      <w:lvlJc w:val="left"/>
      <w:pPr>
        <w:tabs>
          <w:tab w:val="num" w:pos="1763"/>
        </w:tabs>
        <w:ind w:left="1763" w:hanging="360"/>
      </w:pPr>
      <w:rPr>
        <w:rFonts w:ascii="Wingdings" w:hAnsi="Wingdings" w:hint="default"/>
      </w:rPr>
    </w:lvl>
    <w:lvl w:ilvl="3" w:tplc="08090001" w:tentative="1">
      <w:start w:val="1"/>
      <w:numFmt w:val="bullet"/>
      <w:lvlText w:val=""/>
      <w:lvlJc w:val="left"/>
      <w:pPr>
        <w:tabs>
          <w:tab w:val="num" w:pos="2483"/>
        </w:tabs>
        <w:ind w:left="2483" w:hanging="360"/>
      </w:pPr>
      <w:rPr>
        <w:rFonts w:ascii="Symbol" w:hAnsi="Symbol" w:hint="default"/>
      </w:rPr>
    </w:lvl>
    <w:lvl w:ilvl="4" w:tplc="08090003" w:tentative="1">
      <w:start w:val="1"/>
      <w:numFmt w:val="bullet"/>
      <w:lvlText w:val="o"/>
      <w:lvlJc w:val="left"/>
      <w:pPr>
        <w:tabs>
          <w:tab w:val="num" w:pos="3203"/>
        </w:tabs>
        <w:ind w:left="3203" w:hanging="360"/>
      </w:pPr>
      <w:rPr>
        <w:rFonts w:ascii="Courier New" w:hAnsi="Courier New" w:hint="default"/>
      </w:rPr>
    </w:lvl>
    <w:lvl w:ilvl="5" w:tplc="08090005" w:tentative="1">
      <w:start w:val="1"/>
      <w:numFmt w:val="bullet"/>
      <w:lvlText w:val=""/>
      <w:lvlJc w:val="left"/>
      <w:pPr>
        <w:tabs>
          <w:tab w:val="num" w:pos="3923"/>
        </w:tabs>
        <w:ind w:left="3923" w:hanging="360"/>
      </w:pPr>
      <w:rPr>
        <w:rFonts w:ascii="Wingdings" w:hAnsi="Wingdings" w:hint="default"/>
      </w:rPr>
    </w:lvl>
    <w:lvl w:ilvl="6" w:tplc="08090001" w:tentative="1">
      <w:start w:val="1"/>
      <w:numFmt w:val="bullet"/>
      <w:lvlText w:val=""/>
      <w:lvlJc w:val="left"/>
      <w:pPr>
        <w:tabs>
          <w:tab w:val="num" w:pos="4643"/>
        </w:tabs>
        <w:ind w:left="4643" w:hanging="360"/>
      </w:pPr>
      <w:rPr>
        <w:rFonts w:ascii="Symbol" w:hAnsi="Symbol" w:hint="default"/>
      </w:rPr>
    </w:lvl>
    <w:lvl w:ilvl="7" w:tplc="08090003" w:tentative="1">
      <w:start w:val="1"/>
      <w:numFmt w:val="bullet"/>
      <w:lvlText w:val="o"/>
      <w:lvlJc w:val="left"/>
      <w:pPr>
        <w:tabs>
          <w:tab w:val="num" w:pos="5363"/>
        </w:tabs>
        <w:ind w:left="5363" w:hanging="360"/>
      </w:pPr>
      <w:rPr>
        <w:rFonts w:ascii="Courier New" w:hAnsi="Courier New" w:hint="default"/>
      </w:rPr>
    </w:lvl>
    <w:lvl w:ilvl="8" w:tplc="08090005" w:tentative="1">
      <w:start w:val="1"/>
      <w:numFmt w:val="bullet"/>
      <w:lvlText w:val=""/>
      <w:lvlJc w:val="left"/>
      <w:pPr>
        <w:tabs>
          <w:tab w:val="num" w:pos="6083"/>
        </w:tabs>
        <w:ind w:left="6083" w:hanging="360"/>
      </w:pPr>
      <w:rPr>
        <w:rFonts w:ascii="Wingdings" w:hAnsi="Wingdings" w:hint="default"/>
      </w:rPr>
    </w:lvl>
  </w:abstractNum>
  <w:abstractNum w:abstractNumId="33" w15:restartNumberingAfterBreak="0">
    <w:nsid w:val="43195597"/>
    <w:multiLevelType w:val="hybridMultilevel"/>
    <w:tmpl w:val="40C0549A"/>
    <w:lvl w:ilvl="0" w:tplc="9F586B0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6877B27"/>
    <w:multiLevelType w:val="hybridMultilevel"/>
    <w:tmpl w:val="0276D66C"/>
    <w:lvl w:ilvl="0" w:tplc="04090001">
      <w:start w:val="1"/>
      <w:numFmt w:val="decimal"/>
      <w:pStyle w:val="NumberedParas"/>
      <w:lvlText w:val="%1."/>
      <w:lvlJc w:val="left"/>
      <w:pPr>
        <w:ind w:left="5606" w:hanging="360"/>
      </w:pPr>
      <w:rPr>
        <w:rFonts w:ascii="Times New Roman" w:hAnsi="Times New Roman" w:hint="default"/>
        <w:b w:val="0"/>
        <w:i w:val="0"/>
        <w:caps w:val="0"/>
        <w:strike w:val="0"/>
        <w:dstrike w:val="0"/>
        <w:vanish w:val="0"/>
        <w:sz w:val="22"/>
        <w:szCs w:val="22"/>
        <w:vertAlign w:val="baseline"/>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5" w15:restartNumberingAfterBreak="0">
    <w:nsid w:val="46A145B1"/>
    <w:multiLevelType w:val="hybridMultilevel"/>
    <w:tmpl w:val="4A366716"/>
    <w:lvl w:ilvl="0" w:tplc="C69AA3E0">
      <w:start w:val="1"/>
      <w:numFmt w:val="lowerRoman"/>
      <w:pStyle w:val="BodytextparagraphsEXSUM"/>
      <w:lvlText w:val="%1."/>
      <w:lvlJc w:val="left"/>
      <w:pPr>
        <w:ind w:left="54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6" w15:restartNumberingAfterBreak="0">
    <w:nsid w:val="4BC766CC"/>
    <w:multiLevelType w:val="multilevel"/>
    <w:tmpl w:val="CB46F310"/>
    <w:lvl w:ilvl="0">
      <w:start w:val="1"/>
      <w:numFmt w:val="decimal"/>
      <w:lvlText w:val="%1."/>
      <w:lvlJc w:val="left"/>
      <w:pPr>
        <w:ind w:left="360" w:hanging="360"/>
      </w:pPr>
      <w:rPr>
        <w:rFonts w:cs="Times New Roman" w:hint="default"/>
        <w:sz w:val="28"/>
        <w:szCs w:val="28"/>
      </w:rPr>
    </w:lvl>
    <w:lvl w:ilvl="1">
      <w:start w:val="1"/>
      <w:numFmt w:val="decimal"/>
      <w:lvlText w:val="%1.%2."/>
      <w:lvlJc w:val="left"/>
      <w:pPr>
        <w:ind w:left="1872" w:hanging="432"/>
      </w:pPr>
      <w:rPr>
        <w:rFonts w:cs="Times New Roman" w:hint="default"/>
      </w:rPr>
    </w:lvl>
    <w:lvl w:ilvl="2">
      <w:start w:val="1"/>
      <w:numFmt w:val="decimal"/>
      <w:lvlText w:val="3.3.%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7" w15:restartNumberingAfterBreak="0">
    <w:nsid w:val="4C3F5D32"/>
    <w:multiLevelType w:val="hybridMultilevel"/>
    <w:tmpl w:val="185CDE3C"/>
    <w:lvl w:ilvl="0" w:tplc="21D2EC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DE339D5"/>
    <w:multiLevelType w:val="hybridMultilevel"/>
    <w:tmpl w:val="CB4CA1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4550D79"/>
    <w:multiLevelType w:val="multilevel"/>
    <w:tmpl w:val="E674AA9C"/>
    <w:lvl w:ilvl="0">
      <w:start w:val="1"/>
      <w:numFmt w:val="decimal"/>
      <w:lvlText w:val="%1."/>
      <w:lvlJc w:val="left"/>
      <w:pPr>
        <w:ind w:left="360" w:hanging="360"/>
      </w:pPr>
      <w:rPr>
        <w:rFonts w:cs="Times New Roman" w:hint="default"/>
        <w:sz w:val="28"/>
        <w:szCs w:val="28"/>
      </w:rPr>
    </w:lvl>
    <w:lvl w:ilvl="1">
      <w:start w:val="1"/>
      <w:numFmt w:val="decimal"/>
      <w:lvlText w:val="%1.%2."/>
      <w:lvlJc w:val="left"/>
      <w:pPr>
        <w:ind w:left="1872" w:hanging="432"/>
      </w:pPr>
      <w:rPr>
        <w:rFonts w:cs="Times New Roman" w:hint="default"/>
      </w:rPr>
    </w:lvl>
    <w:lvl w:ilvl="2">
      <w:start w:val="1"/>
      <w:numFmt w:val="decimal"/>
      <w:lvlText w:val="3.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0" w15:restartNumberingAfterBreak="0">
    <w:nsid w:val="54B97BFD"/>
    <w:multiLevelType w:val="hybridMultilevel"/>
    <w:tmpl w:val="C6FA117A"/>
    <w:lvl w:ilvl="0" w:tplc="080CFF94">
      <w:start w:val="1"/>
      <w:numFmt w:val="decimal"/>
      <w:lvlText w:val="%1."/>
      <w:lvlJc w:val="left"/>
      <w:pPr>
        <w:ind w:left="113" w:hanging="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C154EC5"/>
    <w:multiLevelType w:val="multilevel"/>
    <w:tmpl w:val="1CF087BC"/>
    <w:lvl w:ilvl="0">
      <w:start w:val="4"/>
      <w:numFmt w:val="decimal"/>
      <w:lvlText w:val="%1."/>
      <w:lvlJc w:val="left"/>
      <w:pPr>
        <w:ind w:left="360" w:hanging="360"/>
      </w:pPr>
      <w:rPr>
        <w:rFonts w:hint="default"/>
        <w:caps w:val="0"/>
      </w:rPr>
    </w:lvl>
    <w:lvl w:ilvl="1">
      <w:start w:val="3"/>
      <w:numFmt w:val="decimal"/>
      <w:lvlText w:val="3.%2."/>
      <w:lvlJc w:val="left"/>
      <w:pPr>
        <w:ind w:left="702" w:hanging="432"/>
      </w:pPr>
      <w:rPr>
        <w:rFonts w:hint="default"/>
      </w:rPr>
    </w:lvl>
    <w:lvl w:ilvl="2">
      <w:start w:val="1"/>
      <w:numFmt w:val="decimal"/>
      <w:lvlText w:val="3.3.%3."/>
      <w:lvlJc w:val="left"/>
      <w:pPr>
        <w:ind w:left="1224" w:hanging="504"/>
      </w:pPr>
      <w:rPr>
        <w:rFonts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2" w15:restartNumberingAfterBreak="0">
    <w:nsid w:val="5CB315BB"/>
    <w:multiLevelType w:val="multilevel"/>
    <w:tmpl w:val="0CBA9452"/>
    <w:lvl w:ilvl="0">
      <w:start w:val="3"/>
      <w:numFmt w:val="lowerRoman"/>
      <w:lvlText w:val="%1."/>
      <w:lvlJc w:val="right"/>
      <w:pPr>
        <w:ind w:left="360" w:hanging="360"/>
      </w:pPr>
      <w:rPr>
        <w:rFonts w:hint="default"/>
        <w:caps w:val="0"/>
      </w:rPr>
    </w:lvl>
    <w:lvl w:ilvl="1">
      <w:start w:val="1"/>
      <w:numFmt w:val="decimal"/>
      <w:lvlText w:val="2.%2."/>
      <w:lvlJc w:val="left"/>
      <w:pPr>
        <w:ind w:left="702" w:hanging="432"/>
      </w:pPr>
      <w:rPr>
        <w:rFonts w:hint="default"/>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3" w15:restartNumberingAfterBreak="0">
    <w:nsid w:val="5F370F00"/>
    <w:multiLevelType w:val="hybridMultilevel"/>
    <w:tmpl w:val="6F209E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460BF7"/>
    <w:multiLevelType w:val="hybridMultilevel"/>
    <w:tmpl w:val="61B4D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B945C95"/>
    <w:multiLevelType w:val="hybridMultilevel"/>
    <w:tmpl w:val="BF7E0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90186E"/>
    <w:multiLevelType w:val="hybridMultilevel"/>
    <w:tmpl w:val="E5FE0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D53F6D"/>
    <w:multiLevelType w:val="hybridMultilevel"/>
    <w:tmpl w:val="A3A0DCE8"/>
    <w:lvl w:ilvl="0" w:tplc="6BA87956">
      <w:start w:val="1"/>
      <w:numFmt w:val="decimal"/>
      <w:lvlText w:val="%1."/>
      <w:lvlJc w:val="left"/>
      <w:pPr>
        <w:ind w:left="57"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757237C"/>
    <w:multiLevelType w:val="hybridMultilevel"/>
    <w:tmpl w:val="24902A2C"/>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7A00B4D"/>
    <w:multiLevelType w:val="multilevel"/>
    <w:tmpl w:val="D31425D2"/>
    <w:lvl w:ilvl="0">
      <w:start w:val="3"/>
      <w:numFmt w:val="lowerRoman"/>
      <w:lvlText w:val="%1."/>
      <w:lvlJc w:val="right"/>
      <w:pPr>
        <w:ind w:left="360" w:hanging="360"/>
      </w:pPr>
      <w:rPr>
        <w:rFonts w:hint="default"/>
        <w:caps w:val="0"/>
      </w:rPr>
    </w:lvl>
    <w:lvl w:ilvl="1">
      <w:start w:val="1"/>
      <w:numFmt w:val="decimal"/>
      <w:lvlText w:val="3.%2."/>
      <w:lvlJc w:val="left"/>
      <w:pPr>
        <w:ind w:left="702" w:hanging="432"/>
      </w:pPr>
      <w:rPr>
        <w:rFonts w:hint="default"/>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0" w15:restartNumberingAfterBreak="0">
    <w:nsid w:val="79D958E0"/>
    <w:multiLevelType w:val="hybridMultilevel"/>
    <w:tmpl w:val="939A117C"/>
    <w:lvl w:ilvl="0" w:tplc="10FE1F06">
      <w:start w:val="1"/>
      <w:numFmt w:val="decimal"/>
      <w:lvlText w:val="%1."/>
      <w:lvlJc w:val="left"/>
      <w:pPr>
        <w:tabs>
          <w:tab w:val="num" w:pos="397"/>
        </w:tabs>
        <w:ind w:left="0" w:firstLine="0"/>
      </w:pPr>
      <w:rPr>
        <w:rFonts w:asciiTheme="majorHAnsi" w:hAnsiTheme="majorHAnsi" w:hint="default"/>
        <w:b/>
        <w:bCs/>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AAB468B"/>
    <w:multiLevelType w:val="multilevel"/>
    <w:tmpl w:val="65F86F0C"/>
    <w:lvl w:ilvl="0">
      <w:start w:val="1"/>
      <w:numFmt w:val="lowerRoman"/>
      <w:lvlText w:val="%1."/>
      <w:lvlJc w:val="right"/>
      <w:pPr>
        <w:ind w:left="360" w:hanging="360"/>
      </w:pPr>
      <w:rPr>
        <w:caps w:val="0"/>
      </w:rPr>
    </w:lvl>
    <w:lvl w:ilvl="1">
      <w:start w:val="1"/>
      <w:numFmt w:val="decimal"/>
      <w:lvlText w:val="1.%2."/>
      <w:lvlJc w:val="left"/>
      <w:pPr>
        <w:ind w:left="1872" w:hanging="432"/>
      </w:pPr>
      <w:rPr>
        <w:rFonts w:hint="default"/>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2" w15:restartNumberingAfterBreak="0">
    <w:nsid w:val="7EB07A7F"/>
    <w:multiLevelType w:val="multilevel"/>
    <w:tmpl w:val="CDB664B4"/>
    <w:lvl w:ilvl="0">
      <w:start w:val="2"/>
      <w:numFmt w:val="decimal"/>
      <w:lvlText w:val="%1."/>
      <w:lvlJc w:val="left"/>
      <w:pPr>
        <w:ind w:left="360" w:hanging="360"/>
      </w:pPr>
      <w:rPr>
        <w:rFonts w:hint="default"/>
        <w:caps w:val="0"/>
      </w:rPr>
    </w:lvl>
    <w:lvl w:ilvl="1">
      <w:start w:val="2"/>
      <w:numFmt w:val="decimal"/>
      <w:lvlText w:val="%2.1"/>
      <w:lvlJc w:val="left"/>
      <w:pPr>
        <w:ind w:left="1872" w:hanging="432"/>
      </w:pPr>
      <w:rPr>
        <w:rFonts w:hint="default"/>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51"/>
  </w:num>
  <w:num w:numId="2">
    <w:abstractNumId w:val="35"/>
  </w:num>
  <w:num w:numId="3">
    <w:abstractNumId w:val="29"/>
  </w:num>
  <w:num w:numId="4">
    <w:abstractNumId w:val="43"/>
  </w:num>
  <w:num w:numId="5">
    <w:abstractNumId w:val="5"/>
  </w:num>
  <w:num w:numId="6">
    <w:abstractNumId w:val="52"/>
  </w:num>
  <w:num w:numId="7">
    <w:abstractNumId w:val="42"/>
  </w:num>
  <w:num w:numId="8">
    <w:abstractNumId w:val="18"/>
  </w:num>
  <w:num w:numId="9">
    <w:abstractNumId w:val="41"/>
  </w:num>
  <w:num w:numId="10">
    <w:abstractNumId w:val="23"/>
  </w:num>
  <w:num w:numId="11">
    <w:abstractNumId w:val="38"/>
  </w:num>
  <w:num w:numId="12">
    <w:abstractNumId w:val="4"/>
  </w:num>
  <w:num w:numId="13">
    <w:abstractNumId w:val="27"/>
  </w:num>
  <w:num w:numId="14">
    <w:abstractNumId w:val="26"/>
  </w:num>
  <w:num w:numId="15">
    <w:abstractNumId w:val="0"/>
  </w:num>
  <w:num w:numId="16">
    <w:abstractNumId w:val="34"/>
  </w:num>
  <w:num w:numId="17">
    <w:abstractNumId w:val="49"/>
  </w:num>
  <w:num w:numId="18">
    <w:abstractNumId w:val="45"/>
  </w:num>
  <w:num w:numId="19">
    <w:abstractNumId w:val="39"/>
  </w:num>
  <w:num w:numId="20">
    <w:abstractNumId w:val="36"/>
  </w:num>
  <w:num w:numId="21">
    <w:abstractNumId w:val="14"/>
  </w:num>
  <w:num w:numId="22">
    <w:abstractNumId w:val="15"/>
  </w:num>
  <w:num w:numId="23">
    <w:abstractNumId w:val="24"/>
  </w:num>
  <w:num w:numId="24">
    <w:abstractNumId w:val="13"/>
  </w:num>
  <w:num w:numId="25">
    <w:abstractNumId w:val="32"/>
  </w:num>
  <w:num w:numId="26">
    <w:abstractNumId w:val="33"/>
  </w:num>
  <w:num w:numId="27">
    <w:abstractNumId w:val="30"/>
  </w:num>
  <w:num w:numId="28">
    <w:abstractNumId w:val="9"/>
  </w:num>
  <w:num w:numId="29">
    <w:abstractNumId w:val="19"/>
  </w:num>
  <w:num w:numId="30">
    <w:abstractNumId w:val="20"/>
  </w:num>
  <w:num w:numId="31">
    <w:abstractNumId w:val="16"/>
  </w:num>
  <w:num w:numId="32">
    <w:abstractNumId w:val="50"/>
  </w:num>
  <w:num w:numId="33">
    <w:abstractNumId w:val="31"/>
  </w:num>
  <w:num w:numId="34">
    <w:abstractNumId w:val="46"/>
  </w:num>
  <w:num w:numId="35">
    <w:abstractNumId w:val="11"/>
  </w:num>
  <w:num w:numId="36">
    <w:abstractNumId w:val="6"/>
  </w:num>
  <w:num w:numId="37">
    <w:abstractNumId w:val="8"/>
  </w:num>
  <w:num w:numId="38">
    <w:abstractNumId w:val="37"/>
  </w:num>
  <w:num w:numId="39">
    <w:abstractNumId w:val="48"/>
  </w:num>
  <w:num w:numId="40">
    <w:abstractNumId w:val="22"/>
  </w:num>
  <w:num w:numId="41">
    <w:abstractNumId w:val="40"/>
  </w:num>
  <w:num w:numId="42">
    <w:abstractNumId w:val="28"/>
  </w:num>
  <w:num w:numId="43">
    <w:abstractNumId w:val="47"/>
  </w:num>
  <w:num w:numId="44">
    <w:abstractNumId w:val="17"/>
  </w:num>
  <w:num w:numId="45">
    <w:abstractNumId w:val="10"/>
  </w:num>
  <w:num w:numId="46">
    <w:abstractNumId w:val="12"/>
  </w:num>
  <w:num w:numId="47">
    <w:abstractNumId w:val="44"/>
  </w:num>
  <w:num w:numId="48">
    <w:abstractNumId w:val="7"/>
  </w:num>
  <w:num w:numId="49">
    <w:abstractNumId w:val="21"/>
  </w:num>
  <w:num w:numId="50">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s-ES_tradnl" w:vendorID="64" w:dllVersion="6" w:nlCheck="1" w:checkStyle="1"/>
  <w:documentProtection w:edit="comments" w:formatting="1" w:enforcement="0"/>
  <w:defaultTabStop w:val="720"/>
  <w:hyphenationZone w:val="357"/>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91F"/>
    <w:rsid w:val="000003D4"/>
    <w:rsid w:val="000004DD"/>
    <w:rsid w:val="00000705"/>
    <w:rsid w:val="00000959"/>
    <w:rsid w:val="00000A8C"/>
    <w:rsid w:val="00000C26"/>
    <w:rsid w:val="00000D4F"/>
    <w:rsid w:val="00000D66"/>
    <w:rsid w:val="00001247"/>
    <w:rsid w:val="00001655"/>
    <w:rsid w:val="0000170A"/>
    <w:rsid w:val="000018D9"/>
    <w:rsid w:val="00001903"/>
    <w:rsid w:val="00001A17"/>
    <w:rsid w:val="00001C19"/>
    <w:rsid w:val="00001CE9"/>
    <w:rsid w:val="00001E62"/>
    <w:rsid w:val="00001EED"/>
    <w:rsid w:val="0000229D"/>
    <w:rsid w:val="00002372"/>
    <w:rsid w:val="000023D5"/>
    <w:rsid w:val="00002528"/>
    <w:rsid w:val="000025A9"/>
    <w:rsid w:val="00002DFC"/>
    <w:rsid w:val="00002FCC"/>
    <w:rsid w:val="00003890"/>
    <w:rsid w:val="00003CEA"/>
    <w:rsid w:val="00003E3B"/>
    <w:rsid w:val="0000413E"/>
    <w:rsid w:val="0000434E"/>
    <w:rsid w:val="00004B57"/>
    <w:rsid w:val="00004BF3"/>
    <w:rsid w:val="00004D76"/>
    <w:rsid w:val="000050DD"/>
    <w:rsid w:val="00005457"/>
    <w:rsid w:val="000054E6"/>
    <w:rsid w:val="0000562F"/>
    <w:rsid w:val="00005723"/>
    <w:rsid w:val="00005A1F"/>
    <w:rsid w:val="00005D90"/>
    <w:rsid w:val="00005DBD"/>
    <w:rsid w:val="000060A0"/>
    <w:rsid w:val="0000635E"/>
    <w:rsid w:val="00006680"/>
    <w:rsid w:val="00006BF7"/>
    <w:rsid w:val="00006DE4"/>
    <w:rsid w:val="00007307"/>
    <w:rsid w:val="00007A82"/>
    <w:rsid w:val="00007A87"/>
    <w:rsid w:val="00007EB0"/>
    <w:rsid w:val="00007FB0"/>
    <w:rsid w:val="00010098"/>
    <w:rsid w:val="00010242"/>
    <w:rsid w:val="0001024E"/>
    <w:rsid w:val="000102A5"/>
    <w:rsid w:val="00010349"/>
    <w:rsid w:val="000103A2"/>
    <w:rsid w:val="000103CB"/>
    <w:rsid w:val="00010472"/>
    <w:rsid w:val="0001088D"/>
    <w:rsid w:val="000109C8"/>
    <w:rsid w:val="00010C62"/>
    <w:rsid w:val="00011472"/>
    <w:rsid w:val="00011722"/>
    <w:rsid w:val="00011BB3"/>
    <w:rsid w:val="00011CA7"/>
    <w:rsid w:val="00011F57"/>
    <w:rsid w:val="00012179"/>
    <w:rsid w:val="00012CE5"/>
    <w:rsid w:val="000130ED"/>
    <w:rsid w:val="0001313F"/>
    <w:rsid w:val="0001332C"/>
    <w:rsid w:val="0001334B"/>
    <w:rsid w:val="00013863"/>
    <w:rsid w:val="00013AFD"/>
    <w:rsid w:val="00013BC6"/>
    <w:rsid w:val="00013D7A"/>
    <w:rsid w:val="00013EBB"/>
    <w:rsid w:val="00013FC3"/>
    <w:rsid w:val="00014923"/>
    <w:rsid w:val="0001551E"/>
    <w:rsid w:val="000156A7"/>
    <w:rsid w:val="000162C3"/>
    <w:rsid w:val="0001656B"/>
    <w:rsid w:val="000165E6"/>
    <w:rsid w:val="00016781"/>
    <w:rsid w:val="000168BF"/>
    <w:rsid w:val="00016C6B"/>
    <w:rsid w:val="00016CF3"/>
    <w:rsid w:val="00016DA0"/>
    <w:rsid w:val="0001722F"/>
    <w:rsid w:val="00017531"/>
    <w:rsid w:val="00017630"/>
    <w:rsid w:val="000178D4"/>
    <w:rsid w:val="0001796D"/>
    <w:rsid w:val="00017A7C"/>
    <w:rsid w:val="00017F6D"/>
    <w:rsid w:val="00020212"/>
    <w:rsid w:val="000202FB"/>
    <w:rsid w:val="000206E8"/>
    <w:rsid w:val="000208D2"/>
    <w:rsid w:val="00020A26"/>
    <w:rsid w:val="00020C0C"/>
    <w:rsid w:val="00020F48"/>
    <w:rsid w:val="00021181"/>
    <w:rsid w:val="0002146C"/>
    <w:rsid w:val="000216CE"/>
    <w:rsid w:val="00021976"/>
    <w:rsid w:val="00021BAD"/>
    <w:rsid w:val="0002200F"/>
    <w:rsid w:val="00022483"/>
    <w:rsid w:val="00022625"/>
    <w:rsid w:val="00022DCE"/>
    <w:rsid w:val="00023038"/>
    <w:rsid w:val="000233A3"/>
    <w:rsid w:val="00023831"/>
    <w:rsid w:val="00023E8D"/>
    <w:rsid w:val="000240C1"/>
    <w:rsid w:val="000243FE"/>
    <w:rsid w:val="00024656"/>
    <w:rsid w:val="0002465E"/>
    <w:rsid w:val="0002480A"/>
    <w:rsid w:val="00024939"/>
    <w:rsid w:val="000249D1"/>
    <w:rsid w:val="00024CF1"/>
    <w:rsid w:val="00024D64"/>
    <w:rsid w:val="00025578"/>
    <w:rsid w:val="00025840"/>
    <w:rsid w:val="00025B75"/>
    <w:rsid w:val="00025FE7"/>
    <w:rsid w:val="0002673A"/>
    <w:rsid w:val="0002681C"/>
    <w:rsid w:val="00026AFE"/>
    <w:rsid w:val="00026EA0"/>
    <w:rsid w:val="00027237"/>
    <w:rsid w:val="00027EB0"/>
    <w:rsid w:val="00030168"/>
    <w:rsid w:val="000303C0"/>
    <w:rsid w:val="000308F3"/>
    <w:rsid w:val="00030B9D"/>
    <w:rsid w:val="00031360"/>
    <w:rsid w:val="000313DB"/>
    <w:rsid w:val="000314E6"/>
    <w:rsid w:val="0003162E"/>
    <w:rsid w:val="000322F1"/>
    <w:rsid w:val="000322F2"/>
    <w:rsid w:val="000326B6"/>
    <w:rsid w:val="0003279D"/>
    <w:rsid w:val="000327F7"/>
    <w:rsid w:val="00032E40"/>
    <w:rsid w:val="00032E7A"/>
    <w:rsid w:val="0003305B"/>
    <w:rsid w:val="000335A3"/>
    <w:rsid w:val="00033644"/>
    <w:rsid w:val="000336BC"/>
    <w:rsid w:val="00033A8A"/>
    <w:rsid w:val="00033D24"/>
    <w:rsid w:val="00033D86"/>
    <w:rsid w:val="00034366"/>
    <w:rsid w:val="000343F8"/>
    <w:rsid w:val="000345B1"/>
    <w:rsid w:val="0003493A"/>
    <w:rsid w:val="00034A77"/>
    <w:rsid w:val="00034B3C"/>
    <w:rsid w:val="00034BFF"/>
    <w:rsid w:val="00034EFA"/>
    <w:rsid w:val="00034F63"/>
    <w:rsid w:val="00035190"/>
    <w:rsid w:val="0003528E"/>
    <w:rsid w:val="000353E6"/>
    <w:rsid w:val="0003583E"/>
    <w:rsid w:val="00035848"/>
    <w:rsid w:val="00035855"/>
    <w:rsid w:val="00035A1F"/>
    <w:rsid w:val="00035C78"/>
    <w:rsid w:val="00035D39"/>
    <w:rsid w:val="00036C40"/>
    <w:rsid w:val="00036EEC"/>
    <w:rsid w:val="00036F6F"/>
    <w:rsid w:val="0003713E"/>
    <w:rsid w:val="00037893"/>
    <w:rsid w:val="000379BA"/>
    <w:rsid w:val="00037C36"/>
    <w:rsid w:val="00037C93"/>
    <w:rsid w:val="00037E02"/>
    <w:rsid w:val="00037F22"/>
    <w:rsid w:val="000400C8"/>
    <w:rsid w:val="000400C9"/>
    <w:rsid w:val="000405B9"/>
    <w:rsid w:val="000406FE"/>
    <w:rsid w:val="000407B4"/>
    <w:rsid w:val="00040D09"/>
    <w:rsid w:val="0004178A"/>
    <w:rsid w:val="00041943"/>
    <w:rsid w:val="00041AE9"/>
    <w:rsid w:val="000429AE"/>
    <w:rsid w:val="00042C8B"/>
    <w:rsid w:val="000430FD"/>
    <w:rsid w:val="0004313A"/>
    <w:rsid w:val="0004329A"/>
    <w:rsid w:val="0004362B"/>
    <w:rsid w:val="0004369E"/>
    <w:rsid w:val="000436E6"/>
    <w:rsid w:val="000437F9"/>
    <w:rsid w:val="0004396E"/>
    <w:rsid w:val="00043C2A"/>
    <w:rsid w:val="00043C7E"/>
    <w:rsid w:val="00043F0F"/>
    <w:rsid w:val="000440B0"/>
    <w:rsid w:val="000441B0"/>
    <w:rsid w:val="0004430A"/>
    <w:rsid w:val="00044310"/>
    <w:rsid w:val="00044546"/>
    <w:rsid w:val="00044BAD"/>
    <w:rsid w:val="00044E9D"/>
    <w:rsid w:val="0004512A"/>
    <w:rsid w:val="00045372"/>
    <w:rsid w:val="00045647"/>
    <w:rsid w:val="00045D43"/>
    <w:rsid w:val="00046195"/>
    <w:rsid w:val="00046365"/>
    <w:rsid w:val="0004671F"/>
    <w:rsid w:val="000467BE"/>
    <w:rsid w:val="00046C42"/>
    <w:rsid w:val="00046D0E"/>
    <w:rsid w:val="00046ECE"/>
    <w:rsid w:val="00046F5D"/>
    <w:rsid w:val="0004718F"/>
    <w:rsid w:val="00047418"/>
    <w:rsid w:val="00047493"/>
    <w:rsid w:val="0004764D"/>
    <w:rsid w:val="000477A9"/>
    <w:rsid w:val="00047E98"/>
    <w:rsid w:val="00050041"/>
    <w:rsid w:val="00050485"/>
    <w:rsid w:val="000504F2"/>
    <w:rsid w:val="00050993"/>
    <w:rsid w:val="00050AF7"/>
    <w:rsid w:val="00050B79"/>
    <w:rsid w:val="0005123A"/>
    <w:rsid w:val="000512BD"/>
    <w:rsid w:val="000518B6"/>
    <w:rsid w:val="00051CA9"/>
    <w:rsid w:val="00051EAB"/>
    <w:rsid w:val="0005249F"/>
    <w:rsid w:val="00052817"/>
    <w:rsid w:val="00052CD3"/>
    <w:rsid w:val="00052E54"/>
    <w:rsid w:val="000531EA"/>
    <w:rsid w:val="0005337D"/>
    <w:rsid w:val="000533A6"/>
    <w:rsid w:val="0005355A"/>
    <w:rsid w:val="00053653"/>
    <w:rsid w:val="000538FC"/>
    <w:rsid w:val="0005390E"/>
    <w:rsid w:val="00053987"/>
    <w:rsid w:val="00053D88"/>
    <w:rsid w:val="00053F1D"/>
    <w:rsid w:val="00053F36"/>
    <w:rsid w:val="00053FE8"/>
    <w:rsid w:val="0005426B"/>
    <w:rsid w:val="0005506B"/>
    <w:rsid w:val="00055396"/>
    <w:rsid w:val="000556C9"/>
    <w:rsid w:val="00055B23"/>
    <w:rsid w:val="00056202"/>
    <w:rsid w:val="0005627B"/>
    <w:rsid w:val="00056432"/>
    <w:rsid w:val="00056EFB"/>
    <w:rsid w:val="000574CF"/>
    <w:rsid w:val="00057576"/>
    <w:rsid w:val="0005787D"/>
    <w:rsid w:val="000600BF"/>
    <w:rsid w:val="000601F9"/>
    <w:rsid w:val="0006031A"/>
    <w:rsid w:val="0006031E"/>
    <w:rsid w:val="00060506"/>
    <w:rsid w:val="00060A90"/>
    <w:rsid w:val="00060AD9"/>
    <w:rsid w:val="00060CAB"/>
    <w:rsid w:val="00060DC7"/>
    <w:rsid w:val="000612E9"/>
    <w:rsid w:val="0006150F"/>
    <w:rsid w:val="00061655"/>
    <w:rsid w:val="000616CC"/>
    <w:rsid w:val="00062046"/>
    <w:rsid w:val="0006209C"/>
    <w:rsid w:val="000625CB"/>
    <w:rsid w:val="0006272D"/>
    <w:rsid w:val="0006287E"/>
    <w:rsid w:val="000628CA"/>
    <w:rsid w:val="00062B3D"/>
    <w:rsid w:val="00062EF5"/>
    <w:rsid w:val="00063010"/>
    <w:rsid w:val="00063129"/>
    <w:rsid w:val="000631FD"/>
    <w:rsid w:val="000633BC"/>
    <w:rsid w:val="000635B6"/>
    <w:rsid w:val="00063689"/>
    <w:rsid w:val="000638DC"/>
    <w:rsid w:val="00063931"/>
    <w:rsid w:val="00063CBB"/>
    <w:rsid w:val="00063D23"/>
    <w:rsid w:val="00063EBB"/>
    <w:rsid w:val="0006403D"/>
    <w:rsid w:val="000640F6"/>
    <w:rsid w:val="0006410E"/>
    <w:rsid w:val="000641A0"/>
    <w:rsid w:val="00064DBA"/>
    <w:rsid w:val="000656A3"/>
    <w:rsid w:val="00065E1A"/>
    <w:rsid w:val="00065E4E"/>
    <w:rsid w:val="00066202"/>
    <w:rsid w:val="0006622D"/>
    <w:rsid w:val="00066360"/>
    <w:rsid w:val="000663B8"/>
    <w:rsid w:val="000664FE"/>
    <w:rsid w:val="0006692C"/>
    <w:rsid w:val="00066BBC"/>
    <w:rsid w:val="00067259"/>
    <w:rsid w:val="00067532"/>
    <w:rsid w:val="000675C8"/>
    <w:rsid w:val="000678B9"/>
    <w:rsid w:val="00067C53"/>
    <w:rsid w:val="00067EC9"/>
    <w:rsid w:val="00070254"/>
    <w:rsid w:val="000705F5"/>
    <w:rsid w:val="000711F2"/>
    <w:rsid w:val="00071388"/>
    <w:rsid w:val="000715AF"/>
    <w:rsid w:val="000715E9"/>
    <w:rsid w:val="00071874"/>
    <w:rsid w:val="00071D76"/>
    <w:rsid w:val="00071E9F"/>
    <w:rsid w:val="0007275F"/>
    <w:rsid w:val="00072BBC"/>
    <w:rsid w:val="00072DC1"/>
    <w:rsid w:val="0007311D"/>
    <w:rsid w:val="0007324B"/>
    <w:rsid w:val="00073264"/>
    <w:rsid w:val="00073855"/>
    <w:rsid w:val="000738D0"/>
    <w:rsid w:val="00073C9B"/>
    <w:rsid w:val="00073CE5"/>
    <w:rsid w:val="000741A3"/>
    <w:rsid w:val="00074332"/>
    <w:rsid w:val="0007443A"/>
    <w:rsid w:val="0007443E"/>
    <w:rsid w:val="00074661"/>
    <w:rsid w:val="00074D89"/>
    <w:rsid w:val="00074D9A"/>
    <w:rsid w:val="000750F3"/>
    <w:rsid w:val="00075366"/>
    <w:rsid w:val="000754E0"/>
    <w:rsid w:val="00075585"/>
    <w:rsid w:val="0007583A"/>
    <w:rsid w:val="00075CEC"/>
    <w:rsid w:val="00075D7F"/>
    <w:rsid w:val="000760E1"/>
    <w:rsid w:val="00076244"/>
    <w:rsid w:val="000765A7"/>
    <w:rsid w:val="00076BAB"/>
    <w:rsid w:val="00076BC2"/>
    <w:rsid w:val="00076D10"/>
    <w:rsid w:val="00076EC6"/>
    <w:rsid w:val="00077316"/>
    <w:rsid w:val="0007782D"/>
    <w:rsid w:val="00077CBD"/>
    <w:rsid w:val="00077DFD"/>
    <w:rsid w:val="00077F7A"/>
    <w:rsid w:val="00080058"/>
    <w:rsid w:val="00080115"/>
    <w:rsid w:val="0008041B"/>
    <w:rsid w:val="00080557"/>
    <w:rsid w:val="00080746"/>
    <w:rsid w:val="00080C2A"/>
    <w:rsid w:val="00080D33"/>
    <w:rsid w:val="00080FF5"/>
    <w:rsid w:val="00081952"/>
    <w:rsid w:val="000822AA"/>
    <w:rsid w:val="0008259B"/>
    <w:rsid w:val="00082812"/>
    <w:rsid w:val="00082EC4"/>
    <w:rsid w:val="00083625"/>
    <w:rsid w:val="00083764"/>
    <w:rsid w:val="00084088"/>
    <w:rsid w:val="000840DD"/>
    <w:rsid w:val="0008451F"/>
    <w:rsid w:val="000847F1"/>
    <w:rsid w:val="00084856"/>
    <w:rsid w:val="00084A55"/>
    <w:rsid w:val="00084B21"/>
    <w:rsid w:val="00085592"/>
    <w:rsid w:val="00085E1F"/>
    <w:rsid w:val="00085F7A"/>
    <w:rsid w:val="00085FBF"/>
    <w:rsid w:val="00086218"/>
    <w:rsid w:val="0008670E"/>
    <w:rsid w:val="00086765"/>
    <w:rsid w:val="00086AF4"/>
    <w:rsid w:val="00086C96"/>
    <w:rsid w:val="00086FB0"/>
    <w:rsid w:val="00087335"/>
    <w:rsid w:val="0008733D"/>
    <w:rsid w:val="00087903"/>
    <w:rsid w:val="00087BB2"/>
    <w:rsid w:val="00090110"/>
    <w:rsid w:val="00090185"/>
    <w:rsid w:val="000903D7"/>
    <w:rsid w:val="0009046A"/>
    <w:rsid w:val="00090582"/>
    <w:rsid w:val="00090894"/>
    <w:rsid w:val="00090909"/>
    <w:rsid w:val="00090C81"/>
    <w:rsid w:val="00090D9E"/>
    <w:rsid w:val="000911AF"/>
    <w:rsid w:val="000913BC"/>
    <w:rsid w:val="00091AFF"/>
    <w:rsid w:val="00091F60"/>
    <w:rsid w:val="00091F62"/>
    <w:rsid w:val="00092264"/>
    <w:rsid w:val="000928A6"/>
    <w:rsid w:val="000928CE"/>
    <w:rsid w:val="00092B43"/>
    <w:rsid w:val="00093254"/>
    <w:rsid w:val="00093409"/>
    <w:rsid w:val="00093978"/>
    <w:rsid w:val="00093AC5"/>
    <w:rsid w:val="00093D48"/>
    <w:rsid w:val="00093F09"/>
    <w:rsid w:val="0009532D"/>
    <w:rsid w:val="00095407"/>
    <w:rsid w:val="00095501"/>
    <w:rsid w:val="000957D4"/>
    <w:rsid w:val="0009592D"/>
    <w:rsid w:val="00095BB8"/>
    <w:rsid w:val="00095FA9"/>
    <w:rsid w:val="0009619A"/>
    <w:rsid w:val="00096298"/>
    <w:rsid w:val="00096693"/>
    <w:rsid w:val="000971D0"/>
    <w:rsid w:val="00097379"/>
    <w:rsid w:val="000975AA"/>
    <w:rsid w:val="00097D2B"/>
    <w:rsid w:val="000A05C6"/>
    <w:rsid w:val="000A0BDF"/>
    <w:rsid w:val="000A1369"/>
    <w:rsid w:val="000A18C8"/>
    <w:rsid w:val="000A1973"/>
    <w:rsid w:val="000A1A8B"/>
    <w:rsid w:val="000A247F"/>
    <w:rsid w:val="000A25AE"/>
    <w:rsid w:val="000A28DB"/>
    <w:rsid w:val="000A2FA5"/>
    <w:rsid w:val="000A3449"/>
    <w:rsid w:val="000A355A"/>
    <w:rsid w:val="000A40F6"/>
    <w:rsid w:val="000A4249"/>
    <w:rsid w:val="000A47D8"/>
    <w:rsid w:val="000A4942"/>
    <w:rsid w:val="000A4A22"/>
    <w:rsid w:val="000A4C4B"/>
    <w:rsid w:val="000A4D4C"/>
    <w:rsid w:val="000A4F19"/>
    <w:rsid w:val="000A5017"/>
    <w:rsid w:val="000A53C5"/>
    <w:rsid w:val="000A5496"/>
    <w:rsid w:val="000A5819"/>
    <w:rsid w:val="000A5EA1"/>
    <w:rsid w:val="000A684C"/>
    <w:rsid w:val="000A6884"/>
    <w:rsid w:val="000A6AF4"/>
    <w:rsid w:val="000A6C8E"/>
    <w:rsid w:val="000A6E57"/>
    <w:rsid w:val="000A6E8D"/>
    <w:rsid w:val="000A7162"/>
    <w:rsid w:val="000A7CF1"/>
    <w:rsid w:val="000A7D12"/>
    <w:rsid w:val="000A7D65"/>
    <w:rsid w:val="000A7E7E"/>
    <w:rsid w:val="000B03DD"/>
    <w:rsid w:val="000B0550"/>
    <w:rsid w:val="000B0B07"/>
    <w:rsid w:val="000B0C79"/>
    <w:rsid w:val="000B14AE"/>
    <w:rsid w:val="000B1700"/>
    <w:rsid w:val="000B1E40"/>
    <w:rsid w:val="000B2062"/>
    <w:rsid w:val="000B236D"/>
    <w:rsid w:val="000B243D"/>
    <w:rsid w:val="000B25AC"/>
    <w:rsid w:val="000B25D9"/>
    <w:rsid w:val="000B28D3"/>
    <w:rsid w:val="000B39B2"/>
    <w:rsid w:val="000B3C3B"/>
    <w:rsid w:val="000B3C7A"/>
    <w:rsid w:val="000B3FC7"/>
    <w:rsid w:val="000B40B5"/>
    <w:rsid w:val="000B4266"/>
    <w:rsid w:val="000B4309"/>
    <w:rsid w:val="000B455B"/>
    <w:rsid w:val="000B4AC4"/>
    <w:rsid w:val="000B5031"/>
    <w:rsid w:val="000B52E5"/>
    <w:rsid w:val="000B5448"/>
    <w:rsid w:val="000B57D3"/>
    <w:rsid w:val="000B5BCE"/>
    <w:rsid w:val="000B5C79"/>
    <w:rsid w:val="000B5E1C"/>
    <w:rsid w:val="000B5E3B"/>
    <w:rsid w:val="000B5F1E"/>
    <w:rsid w:val="000B6776"/>
    <w:rsid w:val="000B67C7"/>
    <w:rsid w:val="000B6C97"/>
    <w:rsid w:val="000B732C"/>
    <w:rsid w:val="000B7B06"/>
    <w:rsid w:val="000B7F2E"/>
    <w:rsid w:val="000B7FBB"/>
    <w:rsid w:val="000C0060"/>
    <w:rsid w:val="000C0ACF"/>
    <w:rsid w:val="000C0CF8"/>
    <w:rsid w:val="000C0CFC"/>
    <w:rsid w:val="000C0D3E"/>
    <w:rsid w:val="000C13B2"/>
    <w:rsid w:val="000C15AE"/>
    <w:rsid w:val="000C1C0D"/>
    <w:rsid w:val="000C1D90"/>
    <w:rsid w:val="000C20D8"/>
    <w:rsid w:val="000C2598"/>
    <w:rsid w:val="000C2D7B"/>
    <w:rsid w:val="000C2F61"/>
    <w:rsid w:val="000C38DE"/>
    <w:rsid w:val="000C3B6C"/>
    <w:rsid w:val="000C3DE6"/>
    <w:rsid w:val="000C3EED"/>
    <w:rsid w:val="000C40E8"/>
    <w:rsid w:val="000C4388"/>
    <w:rsid w:val="000C4432"/>
    <w:rsid w:val="000C48BD"/>
    <w:rsid w:val="000C49EB"/>
    <w:rsid w:val="000C4AC6"/>
    <w:rsid w:val="000C527F"/>
    <w:rsid w:val="000C546D"/>
    <w:rsid w:val="000C5942"/>
    <w:rsid w:val="000C5B48"/>
    <w:rsid w:val="000C5BFC"/>
    <w:rsid w:val="000C5C6F"/>
    <w:rsid w:val="000C5D5A"/>
    <w:rsid w:val="000C63C7"/>
    <w:rsid w:val="000C67D6"/>
    <w:rsid w:val="000C7260"/>
    <w:rsid w:val="000C75BD"/>
    <w:rsid w:val="000C7991"/>
    <w:rsid w:val="000C79F6"/>
    <w:rsid w:val="000C7C78"/>
    <w:rsid w:val="000D00A1"/>
    <w:rsid w:val="000D03D4"/>
    <w:rsid w:val="000D0643"/>
    <w:rsid w:val="000D0A15"/>
    <w:rsid w:val="000D0A56"/>
    <w:rsid w:val="000D0D8E"/>
    <w:rsid w:val="000D0F6C"/>
    <w:rsid w:val="000D10BA"/>
    <w:rsid w:val="000D198B"/>
    <w:rsid w:val="000D1B43"/>
    <w:rsid w:val="000D2035"/>
    <w:rsid w:val="000D230B"/>
    <w:rsid w:val="000D287D"/>
    <w:rsid w:val="000D2DD8"/>
    <w:rsid w:val="000D2FD1"/>
    <w:rsid w:val="000D3553"/>
    <w:rsid w:val="000D383E"/>
    <w:rsid w:val="000D38F5"/>
    <w:rsid w:val="000D4278"/>
    <w:rsid w:val="000D455F"/>
    <w:rsid w:val="000D4561"/>
    <w:rsid w:val="000D48DA"/>
    <w:rsid w:val="000D4CF3"/>
    <w:rsid w:val="000D4FC1"/>
    <w:rsid w:val="000D501D"/>
    <w:rsid w:val="000D55E6"/>
    <w:rsid w:val="000D5816"/>
    <w:rsid w:val="000D5941"/>
    <w:rsid w:val="000D5AC0"/>
    <w:rsid w:val="000D5AC3"/>
    <w:rsid w:val="000D5F38"/>
    <w:rsid w:val="000D6154"/>
    <w:rsid w:val="000D631D"/>
    <w:rsid w:val="000D6437"/>
    <w:rsid w:val="000D684F"/>
    <w:rsid w:val="000D6D6C"/>
    <w:rsid w:val="000D6E37"/>
    <w:rsid w:val="000D73E5"/>
    <w:rsid w:val="000D78C8"/>
    <w:rsid w:val="000D795D"/>
    <w:rsid w:val="000D7A05"/>
    <w:rsid w:val="000D7D50"/>
    <w:rsid w:val="000D7E77"/>
    <w:rsid w:val="000D7FB8"/>
    <w:rsid w:val="000D7FCE"/>
    <w:rsid w:val="000E0BF9"/>
    <w:rsid w:val="000E0C83"/>
    <w:rsid w:val="000E15FF"/>
    <w:rsid w:val="000E189C"/>
    <w:rsid w:val="000E1A7F"/>
    <w:rsid w:val="000E1BA5"/>
    <w:rsid w:val="000E2270"/>
    <w:rsid w:val="000E256E"/>
    <w:rsid w:val="000E25F5"/>
    <w:rsid w:val="000E29D1"/>
    <w:rsid w:val="000E29E0"/>
    <w:rsid w:val="000E2AAE"/>
    <w:rsid w:val="000E2B0A"/>
    <w:rsid w:val="000E2DDA"/>
    <w:rsid w:val="000E2F83"/>
    <w:rsid w:val="000E3202"/>
    <w:rsid w:val="000E3379"/>
    <w:rsid w:val="000E33AB"/>
    <w:rsid w:val="000E3572"/>
    <w:rsid w:val="000E3780"/>
    <w:rsid w:val="000E39E5"/>
    <w:rsid w:val="000E3A6C"/>
    <w:rsid w:val="000E3DD4"/>
    <w:rsid w:val="000E40E5"/>
    <w:rsid w:val="000E41EB"/>
    <w:rsid w:val="000E41F1"/>
    <w:rsid w:val="000E4284"/>
    <w:rsid w:val="000E44CA"/>
    <w:rsid w:val="000E50AA"/>
    <w:rsid w:val="000E5375"/>
    <w:rsid w:val="000E5405"/>
    <w:rsid w:val="000E5849"/>
    <w:rsid w:val="000E58EB"/>
    <w:rsid w:val="000E5975"/>
    <w:rsid w:val="000E5992"/>
    <w:rsid w:val="000E5C3A"/>
    <w:rsid w:val="000E5D09"/>
    <w:rsid w:val="000E6162"/>
    <w:rsid w:val="000E6216"/>
    <w:rsid w:val="000E63E5"/>
    <w:rsid w:val="000E6827"/>
    <w:rsid w:val="000E6936"/>
    <w:rsid w:val="000E6966"/>
    <w:rsid w:val="000E6CC0"/>
    <w:rsid w:val="000E6E7D"/>
    <w:rsid w:val="000E7674"/>
    <w:rsid w:val="000E7A4A"/>
    <w:rsid w:val="000E7CD6"/>
    <w:rsid w:val="000F0227"/>
    <w:rsid w:val="000F0A04"/>
    <w:rsid w:val="000F1CA0"/>
    <w:rsid w:val="000F1E65"/>
    <w:rsid w:val="000F20FF"/>
    <w:rsid w:val="000F25A8"/>
    <w:rsid w:val="000F28D4"/>
    <w:rsid w:val="000F2AF6"/>
    <w:rsid w:val="000F303E"/>
    <w:rsid w:val="000F311C"/>
    <w:rsid w:val="000F34BE"/>
    <w:rsid w:val="000F350B"/>
    <w:rsid w:val="000F3688"/>
    <w:rsid w:val="000F3774"/>
    <w:rsid w:val="000F39E7"/>
    <w:rsid w:val="000F3C5C"/>
    <w:rsid w:val="000F47CB"/>
    <w:rsid w:val="000F4BEF"/>
    <w:rsid w:val="000F4F52"/>
    <w:rsid w:val="000F5465"/>
    <w:rsid w:val="000F5544"/>
    <w:rsid w:val="000F5674"/>
    <w:rsid w:val="000F58E7"/>
    <w:rsid w:val="000F5976"/>
    <w:rsid w:val="000F5D45"/>
    <w:rsid w:val="000F602E"/>
    <w:rsid w:val="000F6A26"/>
    <w:rsid w:val="000F6C44"/>
    <w:rsid w:val="000F6D46"/>
    <w:rsid w:val="000F6ED2"/>
    <w:rsid w:val="000F6FF1"/>
    <w:rsid w:val="001000FD"/>
    <w:rsid w:val="001003BA"/>
    <w:rsid w:val="001009CF"/>
    <w:rsid w:val="00100C61"/>
    <w:rsid w:val="001010A4"/>
    <w:rsid w:val="0010114D"/>
    <w:rsid w:val="00101428"/>
    <w:rsid w:val="001014EB"/>
    <w:rsid w:val="001015BD"/>
    <w:rsid w:val="00101872"/>
    <w:rsid w:val="0010193C"/>
    <w:rsid w:val="00101AD3"/>
    <w:rsid w:val="00101B15"/>
    <w:rsid w:val="00101C86"/>
    <w:rsid w:val="00101CD5"/>
    <w:rsid w:val="00101FF4"/>
    <w:rsid w:val="001021B9"/>
    <w:rsid w:val="0010234E"/>
    <w:rsid w:val="00102409"/>
    <w:rsid w:val="001027A1"/>
    <w:rsid w:val="00103147"/>
    <w:rsid w:val="001031ED"/>
    <w:rsid w:val="00103567"/>
    <w:rsid w:val="001036D1"/>
    <w:rsid w:val="00103DFF"/>
    <w:rsid w:val="0010415E"/>
    <w:rsid w:val="0010426D"/>
    <w:rsid w:val="001042AB"/>
    <w:rsid w:val="00104649"/>
    <w:rsid w:val="001046BD"/>
    <w:rsid w:val="001047D6"/>
    <w:rsid w:val="00104CE0"/>
    <w:rsid w:val="00104EF7"/>
    <w:rsid w:val="00105310"/>
    <w:rsid w:val="0010540D"/>
    <w:rsid w:val="00105623"/>
    <w:rsid w:val="00105624"/>
    <w:rsid w:val="0010570E"/>
    <w:rsid w:val="00105728"/>
    <w:rsid w:val="00105B01"/>
    <w:rsid w:val="00106069"/>
    <w:rsid w:val="001061FD"/>
    <w:rsid w:val="001062E5"/>
    <w:rsid w:val="001062F1"/>
    <w:rsid w:val="0010666D"/>
    <w:rsid w:val="00106883"/>
    <w:rsid w:val="001069FC"/>
    <w:rsid w:val="00106A3C"/>
    <w:rsid w:val="00106E7F"/>
    <w:rsid w:val="001075F4"/>
    <w:rsid w:val="0010784A"/>
    <w:rsid w:val="00107910"/>
    <w:rsid w:val="00107C5F"/>
    <w:rsid w:val="00107C76"/>
    <w:rsid w:val="00107E84"/>
    <w:rsid w:val="00110048"/>
    <w:rsid w:val="00110693"/>
    <w:rsid w:val="0011094B"/>
    <w:rsid w:val="00110A1A"/>
    <w:rsid w:val="00110CE5"/>
    <w:rsid w:val="001110EA"/>
    <w:rsid w:val="00111210"/>
    <w:rsid w:val="0011176B"/>
    <w:rsid w:val="001119B3"/>
    <w:rsid w:val="00111A0E"/>
    <w:rsid w:val="00111DCE"/>
    <w:rsid w:val="00111E91"/>
    <w:rsid w:val="001128C0"/>
    <w:rsid w:val="001130DF"/>
    <w:rsid w:val="001135B4"/>
    <w:rsid w:val="00113757"/>
    <w:rsid w:val="00113BB8"/>
    <w:rsid w:val="00114039"/>
    <w:rsid w:val="0011410B"/>
    <w:rsid w:val="001148F4"/>
    <w:rsid w:val="0011529E"/>
    <w:rsid w:val="00115483"/>
    <w:rsid w:val="00115590"/>
    <w:rsid w:val="001156D0"/>
    <w:rsid w:val="00115B99"/>
    <w:rsid w:val="00115CDB"/>
    <w:rsid w:val="00115E66"/>
    <w:rsid w:val="00116300"/>
    <w:rsid w:val="001164F5"/>
    <w:rsid w:val="00116968"/>
    <w:rsid w:val="00116993"/>
    <w:rsid w:val="00116F91"/>
    <w:rsid w:val="00116FE1"/>
    <w:rsid w:val="00117220"/>
    <w:rsid w:val="00117599"/>
    <w:rsid w:val="00117652"/>
    <w:rsid w:val="001179B1"/>
    <w:rsid w:val="00117A00"/>
    <w:rsid w:val="00117A11"/>
    <w:rsid w:val="00117E3F"/>
    <w:rsid w:val="00117F84"/>
    <w:rsid w:val="001200A2"/>
    <w:rsid w:val="0012015E"/>
    <w:rsid w:val="001201C5"/>
    <w:rsid w:val="001204CD"/>
    <w:rsid w:val="00120771"/>
    <w:rsid w:val="001209AD"/>
    <w:rsid w:val="00120C3E"/>
    <w:rsid w:val="00121411"/>
    <w:rsid w:val="0012143B"/>
    <w:rsid w:val="00121856"/>
    <w:rsid w:val="0012192F"/>
    <w:rsid w:val="00121AB3"/>
    <w:rsid w:val="00121AE4"/>
    <w:rsid w:val="00121D82"/>
    <w:rsid w:val="001220CC"/>
    <w:rsid w:val="001221E1"/>
    <w:rsid w:val="00122493"/>
    <w:rsid w:val="00123B95"/>
    <w:rsid w:val="001241AF"/>
    <w:rsid w:val="001242A5"/>
    <w:rsid w:val="001248A4"/>
    <w:rsid w:val="00124C74"/>
    <w:rsid w:val="00124F4D"/>
    <w:rsid w:val="00124F7F"/>
    <w:rsid w:val="00125124"/>
    <w:rsid w:val="001252D9"/>
    <w:rsid w:val="00125711"/>
    <w:rsid w:val="00125845"/>
    <w:rsid w:val="0012598B"/>
    <w:rsid w:val="00125E7A"/>
    <w:rsid w:val="0012601C"/>
    <w:rsid w:val="00126228"/>
    <w:rsid w:val="00126253"/>
    <w:rsid w:val="001263A9"/>
    <w:rsid w:val="00126685"/>
    <w:rsid w:val="00126820"/>
    <w:rsid w:val="00126CA5"/>
    <w:rsid w:val="0012705F"/>
    <w:rsid w:val="001271B1"/>
    <w:rsid w:val="00127373"/>
    <w:rsid w:val="001275A0"/>
    <w:rsid w:val="001276F4"/>
    <w:rsid w:val="0012770E"/>
    <w:rsid w:val="00127C1B"/>
    <w:rsid w:val="00127C3A"/>
    <w:rsid w:val="00127DF3"/>
    <w:rsid w:val="00127EA5"/>
    <w:rsid w:val="001300CE"/>
    <w:rsid w:val="001301EF"/>
    <w:rsid w:val="0013030B"/>
    <w:rsid w:val="0013044E"/>
    <w:rsid w:val="001305FC"/>
    <w:rsid w:val="00130694"/>
    <w:rsid w:val="0013078E"/>
    <w:rsid w:val="0013080F"/>
    <w:rsid w:val="00130A72"/>
    <w:rsid w:val="00130D91"/>
    <w:rsid w:val="00130DCC"/>
    <w:rsid w:val="00130F4D"/>
    <w:rsid w:val="00130FE8"/>
    <w:rsid w:val="001311E7"/>
    <w:rsid w:val="00131241"/>
    <w:rsid w:val="00131463"/>
    <w:rsid w:val="00131482"/>
    <w:rsid w:val="00131608"/>
    <w:rsid w:val="00131710"/>
    <w:rsid w:val="00131853"/>
    <w:rsid w:val="0013208F"/>
    <w:rsid w:val="0013210D"/>
    <w:rsid w:val="001322AC"/>
    <w:rsid w:val="00132574"/>
    <w:rsid w:val="00132620"/>
    <w:rsid w:val="001328DC"/>
    <w:rsid w:val="001330FA"/>
    <w:rsid w:val="00133873"/>
    <w:rsid w:val="00133B10"/>
    <w:rsid w:val="00133E8B"/>
    <w:rsid w:val="0013409D"/>
    <w:rsid w:val="001340E2"/>
    <w:rsid w:val="00134121"/>
    <w:rsid w:val="00134427"/>
    <w:rsid w:val="0013446B"/>
    <w:rsid w:val="001344E7"/>
    <w:rsid w:val="001345F6"/>
    <w:rsid w:val="0013469A"/>
    <w:rsid w:val="00134922"/>
    <w:rsid w:val="00134BE2"/>
    <w:rsid w:val="00134C75"/>
    <w:rsid w:val="00134DDC"/>
    <w:rsid w:val="00134E3D"/>
    <w:rsid w:val="00134FC4"/>
    <w:rsid w:val="0013514A"/>
    <w:rsid w:val="0013535C"/>
    <w:rsid w:val="001353E5"/>
    <w:rsid w:val="0013566A"/>
    <w:rsid w:val="0013571E"/>
    <w:rsid w:val="00135846"/>
    <w:rsid w:val="00135B9F"/>
    <w:rsid w:val="00135EDA"/>
    <w:rsid w:val="00136149"/>
    <w:rsid w:val="00136177"/>
    <w:rsid w:val="00136377"/>
    <w:rsid w:val="00136BAB"/>
    <w:rsid w:val="00136EFD"/>
    <w:rsid w:val="00136F2F"/>
    <w:rsid w:val="00137790"/>
    <w:rsid w:val="00140077"/>
    <w:rsid w:val="00140472"/>
    <w:rsid w:val="00140516"/>
    <w:rsid w:val="00140607"/>
    <w:rsid w:val="001409B3"/>
    <w:rsid w:val="00140C55"/>
    <w:rsid w:val="00140E80"/>
    <w:rsid w:val="00140EFA"/>
    <w:rsid w:val="00140FFC"/>
    <w:rsid w:val="001410D4"/>
    <w:rsid w:val="00141187"/>
    <w:rsid w:val="00141348"/>
    <w:rsid w:val="00141A0C"/>
    <w:rsid w:val="00141D01"/>
    <w:rsid w:val="00141F00"/>
    <w:rsid w:val="00141F91"/>
    <w:rsid w:val="00142039"/>
    <w:rsid w:val="00142589"/>
    <w:rsid w:val="00142640"/>
    <w:rsid w:val="00142752"/>
    <w:rsid w:val="0014277F"/>
    <w:rsid w:val="00142B0C"/>
    <w:rsid w:val="00142B21"/>
    <w:rsid w:val="00142B8D"/>
    <w:rsid w:val="00142C85"/>
    <w:rsid w:val="00142D0A"/>
    <w:rsid w:val="00142E9A"/>
    <w:rsid w:val="0014337D"/>
    <w:rsid w:val="001435DC"/>
    <w:rsid w:val="00143782"/>
    <w:rsid w:val="00143E55"/>
    <w:rsid w:val="001442E5"/>
    <w:rsid w:val="00144341"/>
    <w:rsid w:val="00144451"/>
    <w:rsid w:val="00144711"/>
    <w:rsid w:val="001447A2"/>
    <w:rsid w:val="0014485C"/>
    <w:rsid w:val="00145014"/>
    <w:rsid w:val="001451E6"/>
    <w:rsid w:val="0014544C"/>
    <w:rsid w:val="001454B7"/>
    <w:rsid w:val="00145EFA"/>
    <w:rsid w:val="00145F6E"/>
    <w:rsid w:val="00145FF8"/>
    <w:rsid w:val="001461EB"/>
    <w:rsid w:val="00146BD0"/>
    <w:rsid w:val="00146E62"/>
    <w:rsid w:val="00146EDC"/>
    <w:rsid w:val="001470FE"/>
    <w:rsid w:val="001478D7"/>
    <w:rsid w:val="00147923"/>
    <w:rsid w:val="00147993"/>
    <w:rsid w:val="00147C6E"/>
    <w:rsid w:val="001503BB"/>
    <w:rsid w:val="00150BC5"/>
    <w:rsid w:val="00150F3D"/>
    <w:rsid w:val="00151150"/>
    <w:rsid w:val="001511AC"/>
    <w:rsid w:val="00151326"/>
    <w:rsid w:val="00151333"/>
    <w:rsid w:val="0015156B"/>
    <w:rsid w:val="00151685"/>
    <w:rsid w:val="001516AB"/>
    <w:rsid w:val="001518E0"/>
    <w:rsid w:val="00151C09"/>
    <w:rsid w:val="00151D64"/>
    <w:rsid w:val="00151DB4"/>
    <w:rsid w:val="00152017"/>
    <w:rsid w:val="001523D7"/>
    <w:rsid w:val="001524CD"/>
    <w:rsid w:val="00152675"/>
    <w:rsid w:val="00152E1C"/>
    <w:rsid w:val="001530D4"/>
    <w:rsid w:val="0015322D"/>
    <w:rsid w:val="0015325D"/>
    <w:rsid w:val="00153BE4"/>
    <w:rsid w:val="00153DD1"/>
    <w:rsid w:val="0015400E"/>
    <w:rsid w:val="00154022"/>
    <w:rsid w:val="00154415"/>
    <w:rsid w:val="00154650"/>
    <w:rsid w:val="001546DF"/>
    <w:rsid w:val="00154A26"/>
    <w:rsid w:val="00154A6E"/>
    <w:rsid w:val="001554D4"/>
    <w:rsid w:val="0015565D"/>
    <w:rsid w:val="001559D5"/>
    <w:rsid w:val="00156076"/>
    <w:rsid w:val="00156200"/>
    <w:rsid w:val="001569E7"/>
    <w:rsid w:val="001569EA"/>
    <w:rsid w:val="00156C73"/>
    <w:rsid w:val="00157C0E"/>
    <w:rsid w:val="001600EE"/>
    <w:rsid w:val="00160505"/>
    <w:rsid w:val="00160511"/>
    <w:rsid w:val="00160562"/>
    <w:rsid w:val="00160BEE"/>
    <w:rsid w:val="00160C22"/>
    <w:rsid w:val="00160DB8"/>
    <w:rsid w:val="0016134E"/>
    <w:rsid w:val="00161C3B"/>
    <w:rsid w:val="00161E82"/>
    <w:rsid w:val="00161EC3"/>
    <w:rsid w:val="001624F3"/>
    <w:rsid w:val="00162546"/>
    <w:rsid w:val="001625E2"/>
    <w:rsid w:val="00162849"/>
    <w:rsid w:val="00162989"/>
    <w:rsid w:val="00162E2E"/>
    <w:rsid w:val="00162EDC"/>
    <w:rsid w:val="00163109"/>
    <w:rsid w:val="00163207"/>
    <w:rsid w:val="001632F1"/>
    <w:rsid w:val="001635B9"/>
    <w:rsid w:val="001636B9"/>
    <w:rsid w:val="00163717"/>
    <w:rsid w:val="00163886"/>
    <w:rsid w:val="00163F2C"/>
    <w:rsid w:val="00164052"/>
    <w:rsid w:val="00164B76"/>
    <w:rsid w:val="00165332"/>
    <w:rsid w:val="001653CF"/>
    <w:rsid w:val="001653E0"/>
    <w:rsid w:val="00165B5B"/>
    <w:rsid w:val="00165C26"/>
    <w:rsid w:val="00165D21"/>
    <w:rsid w:val="00166098"/>
    <w:rsid w:val="001660FD"/>
    <w:rsid w:val="001663BA"/>
    <w:rsid w:val="00166B3F"/>
    <w:rsid w:val="00166F59"/>
    <w:rsid w:val="00167298"/>
    <w:rsid w:val="00167411"/>
    <w:rsid w:val="00167522"/>
    <w:rsid w:val="001676BC"/>
    <w:rsid w:val="00167AAB"/>
    <w:rsid w:val="00167CED"/>
    <w:rsid w:val="00167D80"/>
    <w:rsid w:val="001704FA"/>
    <w:rsid w:val="00170509"/>
    <w:rsid w:val="001705F4"/>
    <w:rsid w:val="001706B9"/>
    <w:rsid w:val="00170909"/>
    <w:rsid w:val="00170C01"/>
    <w:rsid w:val="00170EE3"/>
    <w:rsid w:val="00170FF3"/>
    <w:rsid w:val="0017102A"/>
    <w:rsid w:val="00171325"/>
    <w:rsid w:val="001713B9"/>
    <w:rsid w:val="0017151B"/>
    <w:rsid w:val="00171595"/>
    <w:rsid w:val="00171AB5"/>
    <w:rsid w:val="00171AFF"/>
    <w:rsid w:val="00171F86"/>
    <w:rsid w:val="00171FE5"/>
    <w:rsid w:val="001721C2"/>
    <w:rsid w:val="0017225E"/>
    <w:rsid w:val="0017228F"/>
    <w:rsid w:val="00172625"/>
    <w:rsid w:val="001728AD"/>
    <w:rsid w:val="00172E31"/>
    <w:rsid w:val="00172F21"/>
    <w:rsid w:val="00172F9C"/>
    <w:rsid w:val="001734C1"/>
    <w:rsid w:val="001738A1"/>
    <w:rsid w:val="00173EE7"/>
    <w:rsid w:val="00174348"/>
    <w:rsid w:val="00174740"/>
    <w:rsid w:val="001749E4"/>
    <w:rsid w:val="001749EC"/>
    <w:rsid w:val="00174AAB"/>
    <w:rsid w:val="00174B23"/>
    <w:rsid w:val="00174CE5"/>
    <w:rsid w:val="00174D51"/>
    <w:rsid w:val="00174FE8"/>
    <w:rsid w:val="001758E9"/>
    <w:rsid w:val="001762CC"/>
    <w:rsid w:val="0017671F"/>
    <w:rsid w:val="00176926"/>
    <w:rsid w:val="00176B7F"/>
    <w:rsid w:val="00176C40"/>
    <w:rsid w:val="00176D91"/>
    <w:rsid w:val="00176DB2"/>
    <w:rsid w:val="00177121"/>
    <w:rsid w:val="00177233"/>
    <w:rsid w:val="00177247"/>
    <w:rsid w:val="001775B1"/>
    <w:rsid w:val="001775DB"/>
    <w:rsid w:val="001779A6"/>
    <w:rsid w:val="00180141"/>
    <w:rsid w:val="0018018A"/>
    <w:rsid w:val="0018042A"/>
    <w:rsid w:val="00180C36"/>
    <w:rsid w:val="00180E83"/>
    <w:rsid w:val="001819AD"/>
    <w:rsid w:val="00181B20"/>
    <w:rsid w:val="00181B4D"/>
    <w:rsid w:val="00181D31"/>
    <w:rsid w:val="00181E04"/>
    <w:rsid w:val="00182276"/>
    <w:rsid w:val="00182B05"/>
    <w:rsid w:val="00182B23"/>
    <w:rsid w:val="0018335E"/>
    <w:rsid w:val="00183557"/>
    <w:rsid w:val="0018366F"/>
    <w:rsid w:val="00183901"/>
    <w:rsid w:val="001844C6"/>
    <w:rsid w:val="00184564"/>
    <w:rsid w:val="00184566"/>
    <w:rsid w:val="0018456E"/>
    <w:rsid w:val="001846B0"/>
    <w:rsid w:val="00184C39"/>
    <w:rsid w:val="00184D00"/>
    <w:rsid w:val="00184E23"/>
    <w:rsid w:val="00184E88"/>
    <w:rsid w:val="00184FC0"/>
    <w:rsid w:val="0018504A"/>
    <w:rsid w:val="00185B04"/>
    <w:rsid w:val="00186462"/>
    <w:rsid w:val="00186765"/>
    <w:rsid w:val="00186A02"/>
    <w:rsid w:val="00186A53"/>
    <w:rsid w:val="00186B08"/>
    <w:rsid w:val="00186CF5"/>
    <w:rsid w:val="00186FD6"/>
    <w:rsid w:val="00187383"/>
    <w:rsid w:val="00187709"/>
    <w:rsid w:val="00187AC0"/>
    <w:rsid w:val="00187C82"/>
    <w:rsid w:val="00187DFB"/>
    <w:rsid w:val="00190987"/>
    <w:rsid w:val="00190CC3"/>
    <w:rsid w:val="00190D77"/>
    <w:rsid w:val="001911C5"/>
    <w:rsid w:val="0019149F"/>
    <w:rsid w:val="001916AF"/>
    <w:rsid w:val="001916DA"/>
    <w:rsid w:val="00191C37"/>
    <w:rsid w:val="00191FBC"/>
    <w:rsid w:val="001923AC"/>
    <w:rsid w:val="001923E8"/>
    <w:rsid w:val="00192615"/>
    <w:rsid w:val="00192DAC"/>
    <w:rsid w:val="00192E07"/>
    <w:rsid w:val="001940FA"/>
    <w:rsid w:val="0019456D"/>
    <w:rsid w:val="00194578"/>
    <w:rsid w:val="001946F3"/>
    <w:rsid w:val="001948CC"/>
    <w:rsid w:val="00194929"/>
    <w:rsid w:val="0019492E"/>
    <w:rsid w:val="00194D92"/>
    <w:rsid w:val="00195863"/>
    <w:rsid w:val="001959E9"/>
    <w:rsid w:val="00195D44"/>
    <w:rsid w:val="00195D6F"/>
    <w:rsid w:val="00195D81"/>
    <w:rsid w:val="001960D2"/>
    <w:rsid w:val="00196796"/>
    <w:rsid w:val="001967E4"/>
    <w:rsid w:val="00196AB0"/>
    <w:rsid w:val="00196C33"/>
    <w:rsid w:val="00196D3C"/>
    <w:rsid w:val="00196D75"/>
    <w:rsid w:val="00196EC4"/>
    <w:rsid w:val="00196F90"/>
    <w:rsid w:val="00196FA7"/>
    <w:rsid w:val="0019758E"/>
    <w:rsid w:val="00197B58"/>
    <w:rsid w:val="001A031D"/>
    <w:rsid w:val="001A073E"/>
    <w:rsid w:val="001A0949"/>
    <w:rsid w:val="001A0CA0"/>
    <w:rsid w:val="001A0F7D"/>
    <w:rsid w:val="001A1158"/>
    <w:rsid w:val="001A1233"/>
    <w:rsid w:val="001A13DD"/>
    <w:rsid w:val="001A16CD"/>
    <w:rsid w:val="001A17FC"/>
    <w:rsid w:val="001A1859"/>
    <w:rsid w:val="001A1B68"/>
    <w:rsid w:val="001A29A0"/>
    <w:rsid w:val="001A2E7E"/>
    <w:rsid w:val="001A34CF"/>
    <w:rsid w:val="001A371F"/>
    <w:rsid w:val="001A37E4"/>
    <w:rsid w:val="001A4100"/>
    <w:rsid w:val="001A419E"/>
    <w:rsid w:val="001A4523"/>
    <w:rsid w:val="001A4728"/>
    <w:rsid w:val="001A4859"/>
    <w:rsid w:val="001A4BFF"/>
    <w:rsid w:val="001A4EDB"/>
    <w:rsid w:val="001A5318"/>
    <w:rsid w:val="001A5432"/>
    <w:rsid w:val="001A5540"/>
    <w:rsid w:val="001A5756"/>
    <w:rsid w:val="001A6607"/>
    <w:rsid w:val="001A695E"/>
    <w:rsid w:val="001A6F84"/>
    <w:rsid w:val="001A7135"/>
    <w:rsid w:val="001A7138"/>
    <w:rsid w:val="001A714C"/>
    <w:rsid w:val="001A75A2"/>
    <w:rsid w:val="001A7AED"/>
    <w:rsid w:val="001B009F"/>
    <w:rsid w:val="001B13DA"/>
    <w:rsid w:val="001B16E7"/>
    <w:rsid w:val="001B1926"/>
    <w:rsid w:val="001B1E6A"/>
    <w:rsid w:val="001B1EAE"/>
    <w:rsid w:val="001B1F42"/>
    <w:rsid w:val="001B2795"/>
    <w:rsid w:val="001B2826"/>
    <w:rsid w:val="001B2855"/>
    <w:rsid w:val="001B29AF"/>
    <w:rsid w:val="001B29E1"/>
    <w:rsid w:val="001B2AB3"/>
    <w:rsid w:val="001B2AC9"/>
    <w:rsid w:val="001B303A"/>
    <w:rsid w:val="001B3138"/>
    <w:rsid w:val="001B32FE"/>
    <w:rsid w:val="001B35A1"/>
    <w:rsid w:val="001B4375"/>
    <w:rsid w:val="001B450B"/>
    <w:rsid w:val="001B47AE"/>
    <w:rsid w:val="001B47CE"/>
    <w:rsid w:val="001B651D"/>
    <w:rsid w:val="001B6D6D"/>
    <w:rsid w:val="001B6DBB"/>
    <w:rsid w:val="001B6DDC"/>
    <w:rsid w:val="001B6ED4"/>
    <w:rsid w:val="001B6F3E"/>
    <w:rsid w:val="001B726E"/>
    <w:rsid w:val="001B75BA"/>
    <w:rsid w:val="001B7722"/>
    <w:rsid w:val="001B79F1"/>
    <w:rsid w:val="001B7D15"/>
    <w:rsid w:val="001C025A"/>
    <w:rsid w:val="001C02D5"/>
    <w:rsid w:val="001C0305"/>
    <w:rsid w:val="001C03EC"/>
    <w:rsid w:val="001C0464"/>
    <w:rsid w:val="001C06CD"/>
    <w:rsid w:val="001C0BAF"/>
    <w:rsid w:val="001C0F16"/>
    <w:rsid w:val="001C134D"/>
    <w:rsid w:val="001C13B6"/>
    <w:rsid w:val="001C1445"/>
    <w:rsid w:val="001C1626"/>
    <w:rsid w:val="001C1D1B"/>
    <w:rsid w:val="001C1D61"/>
    <w:rsid w:val="001C2172"/>
    <w:rsid w:val="001C2AE3"/>
    <w:rsid w:val="001C2B60"/>
    <w:rsid w:val="001C2E49"/>
    <w:rsid w:val="001C32C5"/>
    <w:rsid w:val="001C3600"/>
    <w:rsid w:val="001C3DE2"/>
    <w:rsid w:val="001C3ECB"/>
    <w:rsid w:val="001C446A"/>
    <w:rsid w:val="001C4961"/>
    <w:rsid w:val="001C4A94"/>
    <w:rsid w:val="001C4D88"/>
    <w:rsid w:val="001C4E39"/>
    <w:rsid w:val="001C52FB"/>
    <w:rsid w:val="001C5461"/>
    <w:rsid w:val="001C5698"/>
    <w:rsid w:val="001C571E"/>
    <w:rsid w:val="001C5913"/>
    <w:rsid w:val="001C5F52"/>
    <w:rsid w:val="001C62AC"/>
    <w:rsid w:val="001C6354"/>
    <w:rsid w:val="001C645F"/>
    <w:rsid w:val="001C65FB"/>
    <w:rsid w:val="001C6A49"/>
    <w:rsid w:val="001C6C7E"/>
    <w:rsid w:val="001C6CB3"/>
    <w:rsid w:val="001C6ED9"/>
    <w:rsid w:val="001C70DC"/>
    <w:rsid w:val="001C7164"/>
    <w:rsid w:val="001C7685"/>
    <w:rsid w:val="001C7CC7"/>
    <w:rsid w:val="001C7D81"/>
    <w:rsid w:val="001C7DE6"/>
    <w:rsid w:val="001D04E5"/>
    <w:rsid w:val="001D0D41"/>
    <w:rsid w:val="001D162C"/>
    <w:rsid w:val="001D1654"/>
    <w:rsid w:val="001D16E9"/>
    <w:rsid w:val="001D19D5"/>
    <w:rsid w:val="001D28AF"/>
    <w:rsid w:val="001D2B94"/>
    <w:rsid w:val="001D2DEB"/>
    <w:rsid w:val="001D2F14"/>
    <w:rsid w:val="001D31E2"/>
    <w:rsid w:val="001D34C9"/>
    <w:rsid w:val="001D37DB"/>
    <w:rsid w:val="001D389F"/>
    <w:rsid w:val="001D399E"/>
    <w:rsid w:val="001D3AB9"/>
    <w:rsid w:val="001D3C3B"/>
    <w:rsid w:val="001D4138"/>
    <w:rsid w:val="001D497C"/>
    <w:rsid w:val="001D531A"/>
    <w:rsid w:val="001D5456"/>
    <w:rsid w:val="001D5BF9"/>
    <w:rsid w:val="001D6153"/>
    <w:rsid w:val="001D6718"/>
    <w:rsid w:val="001D6740"/>
    <w:rsid w:val="001D6772"/>
    <w:rsid w:val="001D6CEF"/>
    <w:rsid w:val="001D6F51"/>
    <w:rsid w:val="001D776E"/>
    <w:rsid w:val="001D7F66"/>
    <w:rsid w:val="001E0054"/>
    <w:rsid w:val="001E0413"/>
    <w:rsid w:val="001E0593"/>
    <w:rsid w:val="001E076F"/>
    <w:rsid w:val="001E0A05"/>
    <w:rsid w:val="001E0ACE"/>
    <w:rsid w:val="001E0C29"/>
    <w:rsid w:val="001E0F82"/>
    <w:rsid w:val="001E11ED"/>
    <w:rsid w:val="001E1370"/>
    <w:rsid w:val="001E1A66"/>
    <w:rsid w:val="001E1C26"/>
    <w:rsid w:val="001E1F5D"/>
    <w:rsid w:val="001E2073"/>
    <w:rsid w:val="001E2806"/>
    <w:rsid w:val="001E2907"/>
    <w:rsid w:val="001E2C7B"/>
    <w:rsid w:val="001E2EDD"/>
    <w:rsid w:val="001E3246"/>
    <w:rsid w:val="001E3388"/>
    <w:rsid w:val="001E3664"/>
    <w:rsid w:val="001E366F"/>
    <w:rsid w:val="001E4075"/>
    <w:rsid w:val="001E427D"/>
    <w:rsid w:val="001E42BC"/>
    <w:rsid w:val="001E4322"/>
    <w:rsid w:val="001E478E"/>
    <w:rsid w:val="001E48DE"/>
    <w:rsid w:val="001E4967"/>
    <w:rsid w:val="001E496F"/>
    <w:rsid w:val="001E4C7E"/>
    <w:rsid w:val="001E4F74"/>
    <w:rsid w:val="001E512B"/>
    <w:rsid w:val="001E5473"/>
    <w:rsid w:val="001E5A46"/>
    <w:rsid w:val="001E5D17"/>
    <w:rsid w:val="001E600A"/>
    <w:rsid w:val="001E6549"/>
    <w:rsid w:val="001E7723"/>
    <w:rsid w:val="001E7970"/>
    <w:rsid w:val="001E79E0"/>
    <w:rsid w:val="001E7D13"/>
    <w:rsid w:val="001E7D2F"/>
    <w:rsid w:val="001E7FD6"/>
    <w:rsid w:val="001F01F4"/>
    <w:rsid w:val="001F0404"/>
    <w:rsid w:val="001F084F"/>
    <w:rsid w:val="001F0A89"/>
    <w:rsid w:val="001F0AF2"/>
    <w:rsid w:val="001F0E55"/>
    <w:rsid w:val="001F0FE9"/>
    <w:rsid w:val="001F1198"/>
    <w:rsid w:val="001F1525"/>
    <w:rsid w:val="001F155D"/>
    <w:rsid w:val="001F1791"/>
    <w:rsid w:val="001F1D6E"/>
    <w:rsid w:val="001F1F20"/>
    <w:rsid w:val="001F26CB"/>
    <w:rsid w:val="001F2808"/>
    <w:rsid w:val="001F28BB"/>
    <w:rsid w:val="001F2DEB"/>
    <w:rsid w:val="001F30F5"/>
    <w:rsid w:val="001F3198"/>
    <w:rsid w:val="001F322C"/>
    <w:rsid w:val="001F3539"/>
    <w:rsid w:val="001F3736"/>
    <w:rsid w:val="001F3E5F"/>
    <w:rsid w:val="001F4063"/>
    <w:rsid w:val="001F421D"/>
    <w:rsid w:val="001F44A4"/>
    <w:rsid w:val="001F477A"/>
    <w:rsid w:val="001F479D"/>
    <w:rsid w:val="001F481E"/>
    <w:rsid w:val="001F4944"/>
    <w:rsid w:val="001F4BF4"/>
    <w:rsid w:val="001F4C3D"/>
    <w:rsid w:val="001F5244"/>
    <w:rsid w:val="001F54E9"/>
    <w:rsid w:val="001F5D6F"/>
    <w:rsid w:val="001F642D"/>
    <w:rsid w:val="001F6BEB"/>
    <w:rsid w:val="001F6EC4"/>
    <w:rsid w:val="001F6F23"/>
    <w:rsid w:val="001F71ED"/>
    <w:rsid w:val="001F72EC"/>
    <w:rsid w:val="001F7627"/>
    <w:rsid w:val="001F77DF"/>
    <w:rsid w:val="001F7819"/>
    <w:rsid w:val="001F7C77"/>
    <w:rsid w:val="001F7CF4"/>
    <w:rsid w:val="001F7F29"/>
    <w:rsid w:val="0020009F"/>
    <w:rsid w:val="0020055B"/>
    <w:rsid w:val="002005C4"/>
    <w:rsid w:val="00200AC2"/>
    <w:rsid w:val="00200B6E"/>
    <w:rsid w:val="00200C8D"/>
    <w:rsid w:val="00200D62"/>
    <w:rsid w:val="00200DD7"/>
    <w:rsid w:val="00200EF9"/>
    <w:rsid w:val="00201417"/>
    <w:rsid w:val="00201589"/>
    <w:rsid w:val="00201811"/>
    <w:rsid w:val="0020189B"/>
    <w:rsid w:val="0020211F"/>
    <w:rsid w:val="002022D3"/>
    <w:rsid w:val="00202311"/>
    <w:rsid w:val="002029F9"/>
    <w:rsid w:val="00202AA1"/>
    <w:rsid w:val="00202B0F"/>
    <w:rsid w:val="00202E58"/>
    <w:rsid w:val="00203124"/>
    <w:rsid w:val="00203373"/>
    <w:rsid w:val="00203787"/>
    <w:rsid w:val="002037A2"/>
    <w:rsid w:val="00203AAC"/>
    <w:rsid w:val="00203E60"/>
    <w:rsid w:val="00203FFD"/>
    <w:rsid w:val="00204451"/>
    <w:rsid w:val="002049DF"/>
    <w:rsid w:val="00204E74"/>
    <w:rsid w:val="00205311"/>
    <w:rsid w:val="002055F9"/>
    <w:rsid w:val="0020562A"/>
    <w:rsid w:val="00205789"/>
    <w:rsid w:val="0020645A"/>
    <w:rsid w:val="002068AA"/>
    <w:rsid w:val="00206A06"/>
    <w:rsid w:val="00206A66"/>
    <w:rsid w:val="00206AB0"/>
    <w:rsid w:val="00206E6D"/>
    <w:rsid w:val="00207103"/>
    <w:rsid w:val="00207AB8"/>
    <w:rsid w:val="00207AD2"/>
    <w:rsid w:val="00207AE3"/>
    <w:rsid w:val="002100CA"/>
    <w:rsid w:val="0021021A"/>
    <w:rsid w:val="00210278"/>
    <w:rsid w:val="002105F0"/>
    <w:rsid w:val="002106B6"/>
    <w:rsid w:val="00210A39"/>
    <w:rsid w:val="00210EE4"/>
    <w:rsid w:val="0021131D"/>
    <w:rsid w:val="00211328"/>
    <w:rsid w:val="00211742"/>
    <w:rsid w:val="00211769"/>
    <w:rsid w:val="00211B52"/>
    <w:rsid w:val="00211BCB"/>
    <w:rsid w:val="00211BE9"/>
    <w:rsid w:val="00211E72"/>
    <w:rsid w:val="002121BB"/>
    <w:rsid w:val="0021224C"/>
    <w:rsid w:val="00212319"/>
    <w:rsid w:val="002123D2"/>
    <w:rsid w:val="00212CC2"/>
    <w:rsid w:val="00213459"/>
    <w:rsid w:val="00213933"/>
    <w:rsid w:val="00213FC7"/>
    <w:rsid w:val="00214739"/>
    <w:rsid w:val="00214873"/>
    <w:rsid w:val="00214D37"/>
    <w:rsid w:val="00214E61"/>
    <w:rsid w:val="00214E6D"/>
    <w:rsid w:val="00215247"/>
    <w:rsid w:val="002154AC"/>
    <w:rsid w:val="00215610"/>
    <w:rsid w:val="002158FE"/>
    <w:rsid w:val="00215A66"/>
    <w:rsid w:val="002163B6"/>
    <w:rsid w:val="00216845"/>
    <w:rsid w:val="00216EA2"/>
    <w:rsid w:val="00216F80"/>
    <w:rsid w:val="0021702B"/>
    <w:rsid w:val="00217397"/>
    <w:rsid w:val="0021744C"/>
    <w:rsid w:val="0021747B"/>
    <w:rsid w:val="00217DE9"/>
    <w:rsid w:val="00217E4A"/>
    <w:rsid w:val="002201A3"/>
    <w:rsid w:val="0022032C"/>
    <w:rsid w:val="00220A10"/>
    <w:rsid w:val="00220D66"/>
    <w:rsid w:val="00220E07"/>
    <w:rsid w:val="00220F80"/>
    <w:rsid w:val="0022189C"/>
    <w:rsid w:val="00222618"/>
    <w:rsid w:val="00222822"/>
    <w:rsid w:val="002228E7"/>
    <w:rsid w:val="00222CC5"/>
    <w:rsid w:val="00222FCE"/>
    <w:rsid w:val="002232CB"/>
    <w:rsid w:val="00223398"/>
    <w:rsid w:val="00223438"/>
    <w:rsid w:val="0022396F"/>
    <w:rsid w:val="00223CEF"/>
    <w:rsid w:val="00224162"/>
    <w:rsid w:val="0022466B"/>
    <w:rsid w:val="00224A36"/>
    <w:rsid w:val="00224B80"/>
    <w:rsid w:val="00224C38"/>
    <w:rsid w:val="00224E7C"/>
    <w:rsid w:val="002250CE"/>
    <w:rsid w:val="002253A3"/>
    <w:rsid w:val="00225575"/>
    <w:rsid w:val="002255A3"/>
    <w:rsid w:val="002256C6"/>
    <w:rsid w:val="0022586B"/>
    <w:rsid w:val="00225A1F"/>
    <w:rsid w:val="00226160"/>
    <w:rsid w:val="00226545"/>
    <w:rsid w:val="00226589"/>
    <w:rsid w:val="00226881"/>
    <w:rsid w:val="0022725A"/>
    <w:rsid w:val="00227292"/>
    <w:rsid w:val="002275D7"/>
    <w:rsid w:val="002277A6"/>
    <w:rsid w:val="0022796C"/>
    <w:rsid w:val="00227CD5"/>
    <w:rsid w:val="002305AA"/>
    <w:rsid w:val="00230DEB"/>
    <w:rsid w:val="00230EA8"/>
    <w:rsid w:val="00231659"/>
    <w:rsid w:val="00231993"/>
    <w:rsid w:val="002319BD"/>
    <w:rsid w:val="00231ABC"/>
    <w:rsid w:val="00231C18"/>
    <w:rsid w:val="00231CAF"/>
    <w:rsid w:val="00231E6A"/>
    <w:rsid w:val="002321D7"/>
    <w:rsid w:val="00232975"/>
    <w:rsid w:val="002329EB"/>
    <w:rsid w:val="00232CA7"/>
    <w:rsid w:val="00232E52"/>
    <w:rsid w:val="00232F04"/>
    <w:rsid w:val="002337AB"/>
    <w:rsid w:val="002339FA"/>
    <w:rsid w:val="00233BA8"/>
    <w:rsid w:val="00233CEA"/>
    <w:rsid w:val="00234306"/>
    <w:rsid w:val="00234487"/>
    <w:rsid w:val="00234747"/>
    <w:rsid w:val="002347A7"/>
    <w:rsid w:val="0023495D"/>
    <w:rsid w:val="00235048"/>
    <w:rsid w:val="00235ADD"/>
    <w:rsid w:val="00235B1F"/>
    <w:rsid w:val="00236050"/>
    <w:rsid w:val="002361E4"/>
    <w:rsid w:val="00236203"/>
    <w:rsid w:val="00236469"/>
    <w:rsid w:val="002365C8"/>
    <w:rsid w:val="002366D1"/>
    <w:rsid w:val="00236745"/>
    <w:rsid w:val="0023704B"/>
    <w:rsid w:val="00237073"/>
    <w:rsid w:val="002370B8"/>
    <w:rsid w:val="00237636"/>
    <w:rsid w:val="00237810"/>
    <w:rsid w:val="00237B65"/>
    <w:rsid w:val="00237F74"/>
    <w:rsid w:val="00240251"/>
    <w:rsid w:val="002403B1"/>
    <w:rsid w:val="002403EE"/>
    <w:rsid w:val="002407A7"/>
    <w:rsid w:val="00241244"/>
    <w:rsid w:val="002412AF"/>
    <w:rsid w:val="00241631"/>
    <w:rsid w:val="00241944"/>
    <w:rsid w:val="0024199D"/>
    <w:rsid w:val="00241C34"/>
    <w:rsid w:val="00241F66"/>
    <w:rsid w:val="002422A3"/>
    <w:rsid w:val="002422C3"/>
    <w:rsid w:val="0024262E"/>
    <w:rsid w:val="00242AD2"/>
    <w:rsid w:val="00242FAE"/>
    <w:rsid w:val="0024311C"/>
    <w:rsid w:val="00243A50"/>
    <w:rsid w:val="002441EB"/>
    <w:rsid w:val="00244500"/>
    <w:rsid w:val="00244742"/>
    <w:rsid w:val="00244E0B"/>
    <w:rsid w:val="00244FDF"/>
    <w:rsid w:val="002452C9"/>
    <w:rsid w:val="0024555D"/>
    <w:rsid w:val="002455BC"/>
    <w:rsid w:val="002457AB"/>
    <w:rsid w:val="00245897"/>
    <w:rsid w:val="00245D0C"/>
    <w:rsid w:val="00245E32"/>
    <w:rsid w:val="00245F13"/>
    <w:rsid w:val="00245FBB"/>
    <w:rsid w:val="00245FF5"/>
    <w:rsid w:val="0024684E"/>
    <w:rsid w:val="00246CC5"/>
    <w:rsid w:val="00246F7A"/>
    <w:rsid w:val="0024735C"/>
    <w:rsid w:val="002479C7"/>
    <w:rsid w:val="00247CB1"/>
    <w:rsid w:val="00247DCE"/>
    <w:rsid w:val="00247FDA"/>
    <w:rsid w:val="00250331"/>
    <w:rsid w:val="0025050E"/>
    <w:rsid w:val="00250561"/>
    <w:rsid w:val="00250DC2"/>
    <w:rsid w:val="0025114B"/>
    <w:rsid w:val="0025148B"/>
    <w:rsid w:val="00251609"/>
    <w:rsid w:val="002517EC"/>
    <w:rsid w:val="00251AA0"/>
    <w:rsid w:val="00251DD8"/>
    <w:rsid w:val="00251DDB"/>
    <w:rsid w:val="00252122"/>
    <w:rsid w:val="002521D4"/>
    <w:rsid w:val="002529AE"/>
    <w:rsid w:val="00252C8C"/>
    <w:rsid w:val="00252CBB"/>
    <w:rsid w:val="00252FF8"/>
    <w:rsid w:val="00253363"/>
    <w:rsid w:val="002534F2"/>
    <w:rsid w:val="002538BD"/>
    <w:rsid w:val="00253EDA"/>
    <w:rsid w:val="002540E0"/>
    <w:rsid w:val="0025425E"/>
    <w:rsid w:val="00254632"/>
    <w:rsid w:val="00254658"/>
    <w:rsid w:val="00254833"/>
    <w:rsid w:val="00254BDE"/>
    <w:rsid w:val="00254CB6"/>
    <w:rsid w:val="00254D35"/>
    <w:rsid w:val="0025505D"/>
    <w:rsid w:val="00255AF8"/>
    <w:rsid w:val="00255CD0"/>
    <w:rsid w:val="00255F97"/>
    <w:rsid w:val="002566FA"/>
    <w:rsid w:val="002567D7"/>
    <w:rsid w:val="00256978"/>
    <w:rsid w:val="00256A9C"/>
    <w:rsid w:val="00256C1B"/>
    <w:rsid w:val="00256CB5"/>
    <w:rsid w:val="00256FC5"/>
    <w:rsid w:val="00257174"/>
    <w:rsid w:val="002574AE"/>
    <w:rsid w:val="00257A11"/>
    <w:rsid w:val="00257A85"/>
    <w:rsid w:val="00257F4D"/>
    <w:rsid w:val="00260520"/>
    <w:rsid w:val="00260736"/>
    <w:rsid w:val="00260761"/>
    <w:rsid w:val="00260C5C"/>
    <w:rsid w:val="00261464"/>
    <w:rsid w:val="0026150A"/>
    <w:rsid w:val="002616DE"/>
    <w:rsid w:val="00261AFB"/>
    <w:rsid w:val="00261D48"/>
    <w:rsid w:val="00261ECF"/>
    <w:rsid w:val="00262295"/>
    <w:rsid w:val="00262417"/>
    <w:rsid w:val="00262556"/>
    <w:rsid w:val="00262A63"/>
    <w:rsid w:val="00263816"/>
    <w:rsid w:val="00263CD8"/>
    <w:rsid w:val="00263D07"/>
    <w:rsid w:val="002645AA"/>
    <w:rsid w:val="00264D2F"/>
    <w:rsid w:val="002653D7"/>
    <w:rsid w:val="00265405"/>
    <w:rsid w:val="002658FB"/>
    <w:rsid w:val="00265AA9"/>
    <w:rsid w:val="00265AB3"/>
    <w:rsid w:val="00265AB9"/>
    <w:rsid w:val="00265AE6"/>
    <w:rsid w:val="00265B36"/>
    <w:rsid w:val="00266018"/>
    <w:rsid w:val="0026656A"/>
    <w:rsid w:val="00266BA7"/>
    <w:rsid w:val="00266C54"/>
    <w:rsid w:val="00266DDA"/>
    <w:rsid w:val="00266E6C"/>
    <w:rsid w:val="002670A7"/>
    <w:rsid w:val="00267310"/>
    <w:rsid w:val="00267331"/>
    <w:rsid w:val="002675C5"/>
    <w:rsid w:val="00267688"/>
    <w:rsid w:val="00267B30"/>
    <w:rsid w:val="00267DE3"/>
    <w:rsid w:val="00270074"/>
    <w:rsid w:val="002703AF"/>
    <w:rsid w:val="00270422"/>
    <w:rsid w:val="0027042B"/>
    <w:rsid w:val="00270666"/>
    <w:rsid w:val="00270783"/>
    <w:rsid w:val="002709BD"/>
    <w:rsid w:val="00270B16"/>
    <w:rsid w:val="00270B36"/>
    <w:rsid w:val="00270CA5"/>
    <w:rsid w:val="00270CCB"/>
    <w:rsid w:val="00270F6E"/>
    <w:rsid w:val="00270F7A"/>
    <w:rsid w:val="00271626"/>
    <w:rsid w:val="00271933"/>
    <w:rsid w:val="00271A77"/>
    <w:rsid w:val="002721DE"/>
    <w:rsid w:val="00272765"/>
    <w:rsid w:val="002728BE"/>
    <w:rsid w:val="002728C1"/>
    <w:rsid w:val="00273275"/>
    <w:rsid w:val="00273472"/>
    <w:rsid w:val="00273736"/>
    <w:rsid w:val="002737C7"/>
    <w:rsid w:val="002738C1"/>
    <w:rsid w:val="00274109"/>
    <w:rsid w:val="00274420"/>
    <w:rsid w:val="002747AB"/>
    <w:rsid w:val="00274972"/>
    <w:rsid w:val="00274B26"/>
    <w:rsid w:val="00274B6E"/>
    <w:rsid w:val="00274D06"/>
    <w:rsid w:val="00274E94"/>
    <w:rsid w:val="00275341"/>
    <w:rsid w:val="002757E7"/>
    <w:rsid w:val="00275842"/>
    <w:rsid w:val="00275E06"/>
    <w:rsid w:val="00276274"/>
    <w:rsid w:val="0027633F"/>
    <w:rsid w:val="002764C8"/>
    <w:rsid w:val="0027693C"/>
    <w:rsid w:val="00276B56"/>
    <w:rsid w:val="00276CAD"/>
    <w:rsid w:val="00277573"/>
    <w:rsid w:val="0027760C"/>
    <w:rsid w:val="00277B4C"/>
    <w:rsid w:val="0028018D"/>
    <w:rsid w:val="0028037E"/>
    <w:rsid w:val="0028050E"/>
    <w:rsid w:val="00280B28"/>
    <w:rsid w:val="00280C43"/>
    <w:rsid w:val="00281E8D"/>
    <w:rsid w:val="00281F7C"/>
    <w:rsid w:val="00282043"/>
    <w:rsid w:val="002822C2"/>
    <w:rsid w:val="00282999"/>
    <w:rsid w:val="002829BA"/>
    <w:rsid w:val="00282E87"/>
    <w:rsid w:val="0028309C"/>
    <w:rsid w:val="0028320E"/>
    <w:rsid w:val="002836E4"/>
    <w:rsid w:val="00284389"/>
    <w:rsid w:val="00284B76"/>
    <w:rsid w:val="00284E29"/>
    <w:rsid w:val="0028568C"/>
    <w:rsid w:val="00285F7D"/>
    <w:rsid w:val="00286003"/>
    <w:rsid w:val="002864C5"/>
    <w:rsid w:val="00286767"/>
    <w:rsid w:val="00286D3E"/>
    <w:rsid w:val="002878E3"/>
    <w:rsid w:val="0028792E"/>
    <w:rsid w:val="00287A4F"/>
    <w:rsid w:val="002900C7"/>
    <w:rsid w:val="0029032C"/>
    <w:rsid w:val="0029037B"/>
    <w:rsid w:val="00290478"/>
    <w:rsid w:val="00290921"/>
    <w:rsid w:val="00290C4E"/>
    <w:rsid w:val="00290C99"/>
    <w:rsid w:val="00290F7A"/>
    <w:rsid w:val="0029112B"/>
    <w:rsid w:val="0029125B"/>
    <w:rsid w:val="00291398"/>
    <w:rsid w:val="0029185D"/>
    <w:rsid w:val="00291EA1"/>
    <w:rsid w:val="00291F00"/>
    <w:rsid w:val="00292007"/>
    <w:rsid w:val="002921A8"/>
    <w:rsid w:val="002921BD"/>
    <w:rsid w:val="002925F8"/>
    <w:rsid w:val="00292B13"/>
    <w:rsid w:val="00292B7F"/>
    <w:rsid w:val="00292CBD"/>
    <w:rsid w:val="00293046"/>
    <w:rsid w:val="002931A4"/>
    <w:rsid w:val="002933ED"/>
    <w:rsid w:val="002937C4"/>
    <w:rsid w:val="00293B34"/>
    <w:rsid w:val="00293BDC"/>
    <w:rsid w:val="00293F01"/>
    <w:rsid w:val="00294248"/>
    <w:rsid w:val="00294608"/>
    <w:rsid w:val="0029476C"/>
    <w:rsid w:val="002947B3"/>
    <w:rsid w:val="002949C5"/>
    <w:rsid w:val="00294A0C"/>
    <w:rsid w:val="00294E30"/>
    <w:rsid w:val="00294FA3"/>
    <w:rsid w:val="00294FE8"/>
    <w:rsid w:val="00295722"/>
    <w:rsid w:val="00295A75"/>
    <w:rsid w:val="002964D1"/>
    <w:rsid w:val="0029676E"/>
    <w:rsid w:val="002968AD"/>
    <w:rsid w:val="00296D37"/>
    <w:rsid w:val="002971D3"/>
    <w:rsid w:val="0029720A"/>
    <w:rsid w:val="00297486"/>
    <w:rsid w:val="00297675"/>
    <w:rsid w:val="00297A44"/>
    <w:rsid w:val="00297C4D"/>
    <w:rsid w:val="00297E71"/>
    <w:rsid w:val="002A00BD"/>
    <w:rsid w:val="002A0376"/>
    <w:rsid w:val="002A094F"/>
    <w:rsid w:val="002A0AD5"/>
    <w:rsid w:val="002A0F73"/>
    <w:rsid w:val="002A1076"/>
    <w:rsid w:val="002A1C89"/>
    <w:rsid w:val="002A1E68"/>
    <w:rsid w:val="002A20DB"/>
    <w:rsid w:val="002A2171"/>
    <w:rsid w:val="002A2606"/>
    <w:rsid w:val="002A2925"/>
    <w:rsid w:val="002A2988"/>
    <w:rsid w:val="002A2ACB"/>
    <w:rsid w:val="002A2B5A"/>
    <w:rsid w:val="002A325B"/>
    <w:rsid w:val="002A3414"/>
    <w:rsid w:val="002A40A7"/>
    <w:rsid w:val="002A4475"/>
    <w:rsid w:val="002A496B"/>
    <w:rsid w:val="002A5464"/>
    <w:rsid w:val="002A5A39"/>
    <w:rsid w:val="002A5CC9"/>
    <w:rsid w:val="002A5F61"/>
    <w:rsid w:val="002A6668"/>
    <w:rsid w:val="002A6AA1"/>
    <w:rsid w:val="002A6C40"/>
    <w:rsid w:val="002A6EE3"/>
    <w:rsid w:val="002A70EA"/>
    <w:rsid w:val="002A716B"/>
    <w:rsid w:val="002A716D"/>
    <w:rsid w:val="002A7B62"/>
    <w:rsid w:val="002A7E4C"/>
    <w:rsid w:val="002B056B"/>
    <w:rsid w:val="002B05B4"/>
    <w:rsid w:val="002B069C"/>
    <w:rsid w:val="002B09A0"/>
    <w:rsid w:val="002B0C1A"/>
    <w:rsid w:val="002B1355"/>
    <w:rsid w:val="002B13C3"/>
    <w:rsid w:val="002B15AC"/>
    <w:rsid w:val="002B1929"/>
    <w:rsid w:val="002B1957"/>
    <w:rsid w:val="002B199F"/>
    <w:rsid w:val="002B2093"/>
    <w:rsid w:val="002B22A7"/>
    <w:rsid w:val="002B25E9"/>
    <w:rsid w:val="002B25FD"/>
    <w:rsid w:val="002B26C3"/>
    <w:rsid w:val="002B2848"/>
    <w:rsid w:val="002B2B3F"/>
    <w:rsid w:val="002B2B8C"/>
    <w:rsid w:val="002B2C7B"/>
    <w:rsid w:val="002B2F48"/>
    <w:rsid w:val="002B2F6D"/>
    <w:rsid w:val="002B3588"/>
    <w:rsid w:val="002B368C"/>
    <w:rsid w:val="002B3938"/>
    <w:rsid w:val="002B3A0E"/>
    <w:rsid w:val="002B3B3D"/>
    <w:rsid w:val="002B3C4D"/>
    <w:rsid w:val="002B3D6D"/>
    <w:rsid w:val="002B40A4"/>
    <w:rsid w:val="002B410A"/>
    <w:rsid w:val="002B419E"/>
    <w:rsid w:val="002B4424"/>
    <w:rsid w:val="002B44B9"/>
    <w:rsid w:val="002B44EC"/>
    <w:rsid w:val="002B480C"/>
    <w:rsid w:val="002B4DA3"/>
    <w:rsid w:val="002B5333"/>
    <w:rsid w:val="002B534A"/>
    <w:rsid w:val="002B5350"/>
    <w:rsid w:val="002B598B"/>
    <w:rsid w:val="002B645E"/>
    <w:rsid w:val="002B6A81"/>
    <w:rsid w:val="002B6F4F"/>
    <w:rsid w:val="002B73AA"/>
    <w:rsid w:val="002B7768"/>
    <w:rsid w:val="002B7936"/>
    <w:rsid w:val="002B7E77"/>
    <w:rsid w:val="002C02D3"/>
    <w:rsid w:val="002C049C"/>
    <w:rsid w:val="002C0B6F"/>
    <w:rsid w:val="002C0B70"/>
    <w:rsid w:val="002C0C33"/>
    <w:rsid w:val="002C122B"/>
    <w:rsid w:val="002C12F8"/>
    <w:rsid w:val="002C16B6"/>
    <w:rsid w:val="002C16DC"/>
    <w:rsid w:val="002C1832"/>
    <w:rsid w:val="002C19B4"/>
    <w:rsid w:val="002C1A9C"/>
    <w:rsid w:val="002C200E"/>
    <w:rsid w:val="002C2052"/>
    <w:rsid w:val="002C2C04"/>
    <w:rsid w:val="002C2D0E"/>
    <w:rsid w:val="002C2D7E"/>
    <w:rsid w:val="002C2E88"/>
    <w:rsid w:val="002C308B"/>
    <w:rsid w:val="002C3273"/>
    <w:rsid w:val="002C33B0"/>
    <w:rsid w:val="002C3AC9"/>
    <w:rsid w:val="002C3E7F"/>
    <w:rsid w:val="002C3ED2"/>
    <w:rsid w:val="002C3FEC"/>
    <w:rsid w:val="002C41BC"/>
    <w:rsid w:val="002C42C3"/>
    <w:rsid w:val="002C4373"/>
    <w:rsid w:val="002C4426"/>
    <w:rsid w:val="002C45CF"/>
    <w:rsid w:val="002C4680"/>
    <w:rsid w:val="002C4950"/>
    <w:rsid w:val="002C499B"/>
    <w:rsid w:val="002C4A20"/>
    <w:rsid w:val="002C5286"/>
    <w:rsid w:val="002C534F"/>
    <w:rsid w:val="002C5765"/>
    <w:rsid w:val="002C5ADC"/>
    <w:rsid w:val="002C6467"/>
    <w:rsid w:val="002C664A"/>
    <w:rsid w:val="002C66EC"/>
    <w:rsid w:val="002C6787"/>
    <w:rsid w:val="002C67F6"/>
    <w:rsid w:val="002C6B1B"/>
    <w:rsid w:val="002C6D3C"/>
    <w:rsid w:val="002C6E2B"/>
    <w:rsid w:val="002C700B"/>
    <w:rsid w:val="002C70BA"/>
    <w:rsid w:val="002C7116"/>
    <w:rsid w:val="002C7815"/>
    <w:rsid w:val="002C7941"/>
    <w:rsid w:val="002C7B7E"/>
    <w:rsid w:val="002C7CF4"/>
    <w:rsid w:val="002C7E74"/>
    <w:rsid w:val="002C7F42"/>
    <w:rsid w:val="002D034C"/>
    <w:rsid w:val="002D0941"/>
    <w:rsid w:val="002D09EC"/>
    <w:rsid w:val="002D0C91"/>
    <w:rsid w:val="002D0CA7"/>
    <w:rsid w:val="002D12AE"/>
    <w:rsid w:val="002D190B"/>
    <w:rsid w:val="002D19F3"/>
    <w:rsid w:val="002D1B12"/>
    <w:rsid w:val="002D1B1E"/>
    <w:rsid w:val="002D1FCA"/>
    <w:rsid w:val="002D22DF"/>
    <w:rsid w:val="002D276D"/>
    <w:rsid w:val="002D27D1"/>
    <w:rsid w:val="002D2840"/>
    <w:rsid w:val="002D30F7"/>
    <w:rsid w:val="002D31EE"/>
    <w:rsid w:val="002D32CA"/>
    <w:rsid w:val="002D35A1"/>
    <w:rsid w:val="002D3C1B"/>
    <w:rsid w:val="002D41A5"/>
    <w:rsid w:val="002D45D5"/>
    <w:rsid w:val="002D482C"/>
    <w:rsid w:val="002D50CD"/>
    <w:rsid w:val="002D526C"/>
    <w:rsid w:val="002D52B5"/>
    <w:rsid w:val="002D5468"/>
    <w:rsid w:val="002D5677"/>
    <w:rsid w:val="002D598D"/>
    <w:rsid w:val="002D5CDC"/>
    <w:rsid w:val="002D5E35"/>
    <w:rsid w:val="002D6032"/>
    <w:rsid w:val="002D624D"/>
    <w:rsid w:val="002D661F"/>
    <w:rsid w:val="002D6A74"/>
    <w:rsid w:val="002D6BB0"/>
    <w:rsid w:val="002D6C03"/>
    <w:rsid w:val="002D6C87"/>
    <w:rsid w:val="002D6FA9"/>
    <w:rsid w:val="002D71F9"/>
    <w:rsid w:val="002D723F"/>
    <w:rsid w:val="002D72A7"/>
    <w:rsid w:val="002D72FB"/>
    <w:rsid w:val="002D7A5F"/>
    <w:rsid w:val="002D7B77"/>
    <w:rsid w:val="002D7BA6"/>
    <w:rsid w:val="002D7BB4"/>
    <w:rsid w:val="002E00BA"/>
    <w:rsid w:val="002E013A"/>
    <w:rsid w:val="002E07E0"/>
    <w:rsid w:val="002E0DE1"/>
    <w:rsid w:val="002E1606"/>
    <w:rsid w:val="002E1EB8"/>
    <w:rsid w:val="002E2243"/>
    <w:rsid w:val="002E2423"/>
    <w:rsid w:val="002E2C8C"/>
    <w:rsid w:val="002E2FCC"/>
    <w:rsid w:val="002E313D"/>
    <w:rsid w:val="002E338A"/>
    <w:rsid w:val="002E3426"/>
    <w:rsid w:val="002E3448"/>
    <w:rsid w:val="002E366E"/>
    <w:rsid w:val="002E3C7C"/>
    <w:rsid w:val="002E3CB1"/>
    <w:rsid w:val="002E40F3"/>
    <w:rsid w:val="002E4887"/>
    <w:rsid w:val="002E4A8E"/>
    <w:rsid w:val="002E4C6C"/>
    <w:rsid w:val="002E4ED9"/>
    <w:rsid w:val="002E4F0A"/>
    <w:rsid w:val="002E52B2"/>
    <w:rsid w:val="002E53D4"/>
    <w:rsid w:val="002E546D"/>
    <w:rsid w:val="002E558B"/>
    <w:rsid w:val="002E58D4"/>
    <w:rsid w:val="002E5E79"/>
    <w:rsid w:val="002E66EA"/>
    <w:rsid w:val="002E6B15"/>
    <w:rsid w:val="002E6B5E"/>
    <w:rsid w:val="002E6C7C"/>
    <w:rsid w:val="002E72DC"/>
    <w:rsid w:val="002E7470"/>
    <w:rsid w:val="002E7660"/>
    <w:rsid w:val="002E78F1"/>
    <w:rsid w:val="002E7962"/>
    <w:rsid w:val="002E799A"/>
    <w:rsid w:val="002E7B9C"/>
    <w:rsid w:val="002F00E3"/>
    <w:rsid w:val="002F0E7A"/>
    <w:rsid w:val="002F10F6"/>
    <w:rsid w:val="002F1243"/>
    <w:rsid w:val="002F1421"/>
    <w:rsid w:val="002F1769"/>
    <w:rsid w:val="002F1A26"/>
    <w:rsid w:val="002F1AE4"/>
    <w:rsid w:val="002F1B33"/>
    <w:rsid w:val="002F1E06"/>
    <w:rsid w:val="002F1E95"/>
    <w:rsid w:val="002F1ED6"/>
    <w:rsid w:val="002F2188"/>
    <w:rsid w:val="002F21FF"/>
    <w:rsid w:val="002F23F6"/>
    <w:rsid w:val="002F27CC"/>
    <w:rsid w:val="002F2B33"/>
    <w:rsid w:val="002F2CDA"/>
    <w:rsid w:val="002F348A"/>
    <w:rsid w:val="002F369C"/>
    <w:rsid w:val="002F373C"/>
    <w:rsid w:val="002F3A9E"/>
    <w:rsid w:val="002F4278"/>
    <w:rsid w:val="002F45B6"/>
    <w:rsid w:val="002F47BC"/>
    <w:rsid w:val="002F5CB9"/>
    <w:rsid w:val="002F60B1"/>
    <w:rsid w:val="002F6CA6"/>
    <w:rsid w:val="002F6D98"/>
    <w:rsid w:val="002F6E21"/>
    <w:rsid w:val="002F754C"/>
    <w:rsid w:val="002F75FA"/>
    <w:rsid w:val="002F7725"/>
    <w:rsid w:val="002F7A56"/>
    <w:rsid w:val="002F7B2F"/>
    <w:rsid w:val="002F7C1C"/>
    <w:rsid w:val="003000A2"/>
    <w:rsid w:val="0030042F"/>
    <w:rsid w:val="003005F8"/>
    <w:rsid w:val="003005F9"/>
    <w:rsid w:val="003006E2"/>
    <w:rsid w:val="00301057"/>
    <w:rsid w:val="00301312"/>
    <w:rsid w:val="0030136C"/>
    <w:rsid w:val="00301DA0"/>
    <w:rsid w:val="00302730"/>
    <w:rsid w:val="00303418"/>
    <w:rsid w:val="00303635"/>
    <w:rsid w:val="00304777"/>
    <w:rsid w:val="003047CB"/>
    <w:rsid w:val="003047E0"/>
    <w:rsid w:val="00304978"/>
    <w:rsid w:val="003055A0"/>
    <w:rsid w:val="00305666"/>
    <w:rsid w:val="003058B3"/>
    <w:rsid w:val="003058E1"/>
    <w:rsid w:val="00305A7C"/>
    <w:rsid w:val="00305AB6"/>
    <w:rsid w:val="00305C66"/>
    <w:rsid w:val="00305D58"/>
    <w:rsid w:val="00305DD5"/>
    <w:rsid w:val="00305E1F"/>
    <w:rsid w:val="0030621D"/>
    <w:rsid w:val="003066F3"/>
    <w:rsid w:val="00306C7C"/>
    <w:rsid w:val="00306ED1"/>
    <w:rsid w:val="003072B8"/>
    <w:rsid w:val="003076A9"/>
    <w:rsid w:val="00307988"/>
    <w:rsid w:val="00307A09"/>
    <w:rsid w:val="00307DFE"/>
    <w:rsid w:val="00307E13"/>
    <w:rsid w:val="00307FC0"/>
    <w:rsid w:val="003101FE"/>
    <w:rsid w:val="0031031F"/>
    <w:rsid w:val="00310422"/>
    <w:rsid w:val="00310493"/>
    <w:rsid w:val="00310DF8"/>
    <w:rsid w:val="00310EF5"/>
    <w:rsid w:val="0031111A"/>
    <w:rsid w:val="0031118F"/>
    <w:rsid w:val="0031152F"/>
    <w:rsid w:val="003116B7"/>
    <w:rsid w:val="00311722"/>
    <w:rsid w:val="00311C40"/>
    <w:rsid w:val="00312258"/>
    <w:rsid w:val="003128A6"/>
    <w:rsid w:val="00312DC4"/>
    <w:rsid w:val="00312F00"/>
    <w:rsid w:val="00313142"/>
    <w:rsid w:val="003132B9"/>
    <w:rsid w:val="003133B0"/>
    <w:rsid w:val="003133D2"/>
    <w:rsid w:val="00313413"/>
    <w:rsid w:val="00313653"/>
    <w:rsid w:val="003136D7"/>
    <w:rsid w:val="003137E3"/>
    <w:rsid w:val="00313921"/>
    <w:rsid w:val="00313966"/>
    <w:rsid w:val="003139EF"/>
    <w:rsid w:val="00313A90"/>
    <w:rsid w:val="00313CBE"/>
    <w:rsid w:val="00313D39"/>
    <w:rsid w:val="00313E19"/>
    <w:rsid w:val="00314220"/>
    <w:rsid w:val="00314596"/>
    <w:rsid w:val="00314662"/>
    <w:rsid w:val="00314BB4"/>
    <w:rsid w:val="00314CEB"/>
    <w:rsid w:val="003151F4"/>
    <w:rsid w:val="003152AB"/>
    <w:rsid w:val="003152F5"/>
    <w:rsid w:val="00315558"/>
    <w:rsid w:val="00315627"/>
    <w:rsid w:val="003156D8"/>
    <w:rsid w:val="00315792"/>
    <w:rsid w:val="003157A1"/>
    <w:rsid w:val="00315877"/>
    <w:rsid w:val="0031589A"/>
    <w:rsid w:val="00315AC9"/>
    <w:rsid w:val="00315CAC"/>
    <w:rsid w:val="00316AEB"/>
    <w:rsid w:val="00316D98"/>
    <w:rsid w:val="00316EBB"/>
    <w:rsid w:val="00316F2D"/>
    <w:rsid w:val="003178AD"/>
    <w:rsid w:val="00317AD2"/>
    <w:rsid w:val="00317D89"/>
    <w:rsid w:val="00320382"/>
    <w:rsid w:val="00320474"/>
    <w:rsid w:val="0032057A"/>
    <w:rsid w:val="00320928"/>
    <w:rsid w:val="00320980"/>
    <w:rsid w:val="00320B2A"/>
    <w:rsid w:val="00320E28"/>
    <w:rsid w:val="00320F56"/>
    <w:rsid w:val="003214E8"/>
    <w:rsid w:val="0032168C"/>
    <w:rsid w:val="003216A4"/>
    <w:rsid w:val="003217CD"/>
    <w:rsid w:val="00321E99"/>
    <w:rsid w:val="00322572"/>
    <w:rsid w:val="003226AE"/>
    <w:rsid w:val="0032298F"/>
    <w:rsid w:val="00322FDA"/>
    <w:rsid w:val="0032397D"/>
    <w:rsid w:val="00323A83"/>
    <w:rsid w:val="00323F24"/>
    <w:rsid w:val="003249B4"/>
    <w:rsid w:val="00325140"/>
    <w:rsid w:val="0032558E"/>
    <w:rsid w:val="003257BC"/>
    <w:rsid w:val="00325B77"/>
    <w:rsid w:val="00325CF0"/>
    <w:rsid w:val="00325E62"/>
    <w:rsid w:val="00326060"/>
    <w:rsid w:val="003261FF"/>
    <w:rsid w:val="00326371"/>
    <w:rsid w:val="00326C5F"/>
    <w:rsid w:val="00326E07"/>
    <w:rsid w:val="00326EC7"/>
    <w:rsid w:val="00327361"/>
    <w:rsid w:val="003274B8"/>
    <w:rsid w:val="003274E6"/>
    <w:rsid w:val="00327BC4"/>
    <w:rsid w:val="0033031F"/>
    <w:rsid w:val="0033086F"/>
    <w:rsid w:val="0033094B"/>
    <w:rsid w:val="00330D5A"/>
    <w:rsid w:val="00330D6C"/>
    <w:rsid w:val="003311C9"/>
    <w:rsid w:val="003315B3"/>
    <w:rsid w:val="00331A54"/>
    <w:rsid w:val="00331AC4"/>
    <w:rsid w:val="00331C71"/>
    <w:rsid w:val="00331F5D"/>
    <w:rsid w:val="0033205B"/>
    <w:rsid w:val="00332236"/>
    <w:rsid w:val="003325F2"/>
    <w:rsid w:val="00332BA3"/>
    <w:rsid w:val="00332D07"/>
    <w:rsid w:val="00332D0C"/>
    <w:rsid w:val="003334EC"/>
    <w:rsid w:val="003336C2"/>
    <w:rsid w:val="00333A1E"/>
    <w:rsid w:val="00333FCE"/>
    <w:rsid w:val="0033495D"/>
    <w:rsid w:val="00335275"/>
    <w:rsid w:val="003354EF"/>
    <w:rsid w:val="00335A1B"/>
    <w:rsid w:val="00335B86"/>
    <w:rsid w:val="00336674"/>
    <w:rsid w:val="003366BD"/>
    <w:rsid w:val="003366F3"/>
    <w:rsid w:val="0033673A"/>
    <w:rsid w:val="003367A2"/>
    <w:rsid w:val="00336906"/>
    <w:rsid w:val="003369FE"/>
    <w:rsid w:val="00336AA0"/>
    <w:rsid w:val="0033725C"/>
    <w:rsid w:val="00337930"/>
    <w:rsid w:val="00337AA1"/>
    <w:rsid w:val="00337EF6"/>
    <w:rsid w:val="00340C34"/>
    <w:rsid w:val="00340ECC"/>
    <w:rsid w:val="003413F0"/>
    <w:rsid w:val="003414CD"/>
    <w:rsid w:val="00341578"/>
    <w:rsid w:val="003415CF"/>
    <w:rsid w:val="0034185D"/>
    <w:rsid w:val="00341860"/>
    <w:rsid w:val="00341F51"/>
    <w:rsid w:val="0034221C"/>
    <w:rsid w:val="00342252"/>
    <w:rsid w:val="0034227E"/>
    <w:rsid w:val="0034258F"/>
    <w:rsid w:val="00342748"/>
    <w:rsid w:val="00342918"/>
    <w:rsid w:val="00342CC6"/>
    <w:rsid w:val="00342FD1"/>
    <w:rsid w:val="00343440"/>
    <w:rsid w:val="00343712"/>
    <w:rsid w:val="0034388C"/>
    <w:rsid w:val="00343E0E"/>
    <w:rsid w:val="0034404C"/>
    <w:rsid w:val="00344895"/>
    <w:rsid w:val="00344B48"/>
    <w:rsid w:val="00344C2A"/>
    <w:rsid w:val="00345048"/>
    <w:rsid w:val="00345192"/>
    <w:rsid w:val="003453EB"/>
    <w:rsid w:val="00345875"/>
    <w:rsid w:val="003462EB"/>
    <w:rsid w:val="0034673B"/>
    <w:rsid w:val="0034700F"/>
    <w:rsid w:val="00347430"/>
    <w:rsid w:val="003475D7"/>
    <w:rsid w:val="00347610"/>
    <w:rsid w:val="00347816"/>
    <w:rsid w:val="00347A4A"/>
    <w:rsid w:val="00347AE9"/>
    <w:rsid w:val="00350008"/>
    <w:rsid w:val="0035040A"/>
    <w:rsid w:val="003505ED"/>
    <w:rsid w:val="00350684"/>
    <w:rsid w:val="00350919"/>
    <w:rsid w:val="00350C1F"/>
    <w:rsid w:val="00351044"/>
    <w:rsid w:val="003515D5"/>
    <w:rsid w:val="00351747"/>
    <w:rsid w:val="00351C68"/>
    <w:rsid w:val="00352006"/>
    <w:rsid w:val="00352761"/>
    <w:rsid w:val="00352787"/>
    <w:rsid w:val="00352971"/>
    <w:rsid w:val="00352F4C"/>
    <w:rsid w:val="00353565"/>
    <w:rsid w:val="0035385A"/>
    <w:rsid w:val="00353FC2"/>
    <w:rsid w:val="003540BC"/>
    <w:rsid w:val="00354677"/>
    <w:rsid w:val="003547A0"/>
    <w:rsid w:val="003547D3"/>
    <w:rsid w:val="003549C3"/>
    <w:rsid w:val="003549CB"/>
    <w:rsid w:val="003549D4"/>
    <w:rsid w:val="00354C7A"/>
    <w:rsid w:val="00354C97"/>
    <w:rsid w:val="00355317"/>
    <w:rsid w:val="00355484"/>
    <w:rsid w:val="003557C2"/>
    <w:rsid w:val="00355D68"/>
    <w:rsid w:val="00355DFB"/>
    <w:rsid w:val="00355E9F"/>
    <w:rsid w:val="003563F1"/>
    <w:rsid w:val="0035654E"/>
    <w:rsid w:val="0035655B"/>
    <w:rsid w:val="003567AE"/>
    <w:rsid w:val="003568B3"/>
    <w:rsid w:val="003568CE"/>
    <w:rsid w:val="00356D18"/>
    <w:rsid w:val="00356D4A"/>
    <w:rsid w:val="00357245"/>
    <w:rsid w:val="00357EF4"/>
    <w:rsid w:val="003603A2"/>
    <w:rsid w:val="003603A7"/>
    <w:rsid w:val="00360455"/>
    <w:rsid w:val="00360736"/>
    <w:rsid w:val="00360A2B"/>
    <w:rsid w:val="003610FB"/>
    <w:rsid w:val="00361882"/>
    <w:rsid w:val="00361AE4"/>
    <w:rsid w:val="00361C58"/>
    <w:rsid w:val="00361D78"/>
    <w:rsid w:val="00361F04"/>
    <w:rsid w:val="00362153"/>
    <w:rsid w:val="00362356"/>
    <w:rsid w:val="0036298B"/>
    <w:rsid w:val="00362D69"/>
    <w:rsid w:val="00363217"/>
    <w:rsid w:val="003633CB"/>
    <w:rsid w:val="00363467"/>
    <w:rsid w:val="00363A31"/>
    <w:rsid w:val="00363B6F"/>
    <w:rsid w:val="00364501"/>
    <w:rsid w:val="00364930"/>
    <w:rsid w:val="00364C85"/>
    <w:rsid w:val="00364D09"/>
    <w:rsid w:val="00364E51"/>
    <w:rsid w:val="003656E5"/>
    <w:rsid w:val="00365BCA"/>
    <w:rsid w:val="00365FB7"/>
    <w:rsid w:val="00366B80"/>
    <w:rsid w:val="00367493"/>
    <w:rsid w:val="00367613"/>
    <w:rsid w:val="00367933"/>
    <w:rsid w:val="0037023E"/>
    <w:rsid w:val="003705A9"/>
    <w:rsid w:val="0037067B"/>
    <w:rsid w:val="0037076E"/>
    <w:rsid w:val="00370952"/>
    <w:rsid w:val="00370E50"/>
    <w:rsid w:val="00370F90"/>
    <w:rsid w:val="00371794"/>
    <w:rsid w:val="0037190D"/>
    <w:rsid w:val="00371941"/>
    <w:rsid w:val="00371BA5"/>
    <w:rsid w:val="003723CA"/>
    <w:rsid w:val="0037270B"/>
    <w:rsid w:val="00372720"/>
    <w:rsid w:val="00372953"/>
    <w:rsid w:val="00372A4D"/>
    <w:rsid w:val="00372BAF"/>
    <w:rsid w:val="00372DF5"/>
    <w:rsid w:val="00372F9F"/>
    <w:rsid w:val="00373020"/>
    <w:rsid w:val="00373BB5"/>
    <w:rsid w:val="00373DEB"/>
    <w:rsid w:val="003744FC"/>
    <w:rsid w:val="00374A7E"/>
    <w:rsid w:val="00374C0B"/>
    <w:rsid w:val="00374CC0"/>
    <w:rsid w:val="00374D04"/>
    <w:rsid w:val="003750BE"/>
    <w:rsid w:val="00375748"/>
    <w:rsid w:val="00375DD7"/>
    <w:rsid w:val="00375FAD"/>
    <w:rsid w:val="00375FB9"/>
    <w:rsid w:val="00376000"/>
    <w:rsid w:val="003775C1"/>
    <w:rsid w:val="00377DAD"/>
    <w:rsid w:val="00380016"/>
    <w:rsid w:val="00380087"/>
    <w:rsid w:val="00380339"/>
    <w:rsid w:val="00380684"/>
    <w:rsid w:val="00380C70"/>
    <w:rsid w:val="0038111C"/>
    <w:rsid w:val="00381172"/>
    <w:rsid w:val="00381946"/>
    <w:rsid w:val="00381B56"/>
    <w:rsid w:val="00381BB5"/>
    <w:rsid w:val="00382118"/>
    <w:rsid w:val="00382250"/>
    <w:rsid w:val="00382719"/>
    <w:rsid w:val="00382A62"/>
    <w:rsid w:val="00382B8D"/>
    <w:rsid w:val="00382EDC"/>
    <w:rsid w:val="003830F3"/>
    <w:rsid w:val="00383182"/>
    <w:rsid w:val="003831A3"/>
    <w:rsid w:val="0038356C"/>
    <w:rsid w:val="003837BA"/>
    <w:rsid w:val="00383881"/>
    <w:rsid w:val="00383B81"/>
    <w:rsid w:val="0038438B"/>
    <w:rsid w:val="003845C9"/>
    <w:rsid w:val="0038468E"/>
    <w:rsid w:val="00384ADB"/>
    <w:rsid w:val="00385108"/>
    <w:rsid w:val="003853DA"/>
    <w:rsid w:val="0038541D"/>
    <w:rsid w:val="003858DB"/>
    <w:rsid w:val="00385DC2"/>
    <w:rsid w:val="00385F25"/>
    <w:rsid w:val="00385F97"/>
    <w:rsid w:val="003864E2"/>
    <w:rsid w:val="003866DC"/>
    <w:rsid w:val="0038690E"/>
    <w:rsid w:val="00386CDB"/>
    <w:rsid w:val="00386D9F"/>
    <w:rsid w:val="00386F08"/>
    <w:rsid w:val="00386F59"/>
    <w:rsid w:val="00387175"/>
    <w:rsid w:val="00387596"/>
    <w:rsid w:val="00387644"/>
    <w:rsid w:val="003878B0"/>
    <w:rsid w:val="00387ABF"/>
    <w:rsid w:val="00387B4E"/>
    <w:rsid w:val="00387B74"/>
    <w:rsid w:val="00387F9F"/>
    <w:rsid w:val="003905AD"/>
    <w:rsid w:val="00390ACA"/>
    <w:rsid w:val="00390F3B"/>
    <w:rsid w:val="00390F4D"/>
    <w:rsid w:val="0039138E"/>
    <w:rsid w:val="003916DE"/>
    <w:rsid w:val="0039180D"/>
    <w:rsid w:val="00391D71"/>
    <w:rsid w:val="00391E41"/>
    <w:rsid w:val="003923E2"/>
    <w:rsid w:val="00392509"/>
    <w:rsid w:val="003925DE"/>
    <w:rsid w:val="0039273B"/>
    <w:rsid w:val="00392756"/>
    <w:rsid w:val="00392AEC"/>
    <w:rsid w:val="00393109"/>
    <w:rsid w:val="003931BC"/>
    <w:rsid w:val="003931D3"/>
    <w:rsid w:val="0039326E"/>
    <w:rsid w:val="003938F1"/>
    <w:rsid w:val="00394281"/>
    <w:rsid w:val="00394460"/>
    <w:rsid w:val="0039453C"/>
    <w:rsid w:val="00394751"/>
    <w:rsid w:val="00394846"/>
    <w:rsid w:val="003948CE"/>
    <w:rsid w:val="00394957"/>
    <w:rsid w:val="00394B55"/>
    <w:rsid w:val="00394E45"/>
    <w:rsid w:val="00394E4C"/>
    <w:rsid w:val="003951A2"/>
    <w:rsid w:val="003952D8"/>
    <w:rsid w:val="003954A6"/>
    <w:rsid w:val="003955FA"/>
    <w:rsid w:val="00395F5E"/>
    <w:rsid w:val="003962D9"/>
    <w:rsid w:val="0039648F"/>
    <w:rsid w:val="00396729"/>
    <w:rsid w:val="00396C8A"/>
    <w:rsid w:val="00396DD3"/>
    <w:rsid w:val="00396EA5"/>
    <w:rsid w:val="00396EFA"/>
    <w:rsid w:val="0039766E"/>
    <w:rsid w:val="0039769F"/>
    <w:rsid w:val="0039788A"/>
    <w:rsid w:val="003978E7"/>
    <w:rsid w:val="00397CE7"/>
    <w:rsid w:val="00397E2C"/>
    <w:rsid w:val="00397F84"/>
    <w:rsid w:val="003A044E"/>
    <w:rsid w:val="003A05B6"/>
    <w:rsid w:val="003A0687"/>
    <w:rsid w:val="003A0693"/>
    <w:rsid w:val="003A0A34"/>
    <w:rsid w:val="003A0F9D"/>
    <w:rsid w:val="003A10F6"/>
    <w:rsid w:val="003A1237"/>
    <w:rsid w:val="003A131C"/>
    <w:rsid w:val="003A1641"/>
    <w:rsid w:val="003A17DF"/>
    <w:rsid w:val="003A181E"/>
    <w:rsid w:val="003A1AE1"/>
    <w:rsid w:val="003A1EE7"/>
    <w:rsid w:val="003A1F59"/>
    <w:rsid w:val="003A2A11"/>
    <w:rsid w:val="003A2F6D"/>
    <w:rsid w:val="003A313C"/>
    <w:rsid w:val="003A36C7"/>
    <w:rsid w:val="003A3A0F"/>
    <w:rsid w:val="003A429F"/>
    <w:rsid w:val="003A43DA"/>
    <w:rsid w:val="003A45E0"/>
    <w:rsid w:val="003A4D03"/>
    <w:rsid w:val="003A4F2D"/>
    <w:rsid w:val="003A516A"/>
    <w:rsid w:val="003A5B7F"/>
    <w:rsid w:val="003A5E6F"/>
    <w:rsid w:val="003A6422"/>
    <w:rsid w:val="003A6579"/>
    <w:rsid w:val="003A6660"/>
    <w:rsid w:val="003A691C"/>
    <w:rsid w:val="003A6F70"/>
    <w:rsid w:val="003A7127"/>
    <w:rsid w:val="003A7183"/>
    <w:rsid w:val="003A72A3"/>
    <w:rsid w:val="003A7807"/>
    <w:rsid w:val="003A7A61"/>
    <w:rsid w:val="003A7DFF"/>
    <w:rsid w:val="003B01CA"/>
    <w:rsid w:val="003B027A"/>
    <w:rsid w:val="003B03A2"/>
    <w:rsid w:val="003B0609"/>
    <w:rsid w:val="003B0D1E"/>
    <w:rsid w:val="003B108C"/>
    <w:rsid w:val="003B1102"/>
    <w:rsid w:val="003B11BE"/>
    <w:rsid w:val="003B126A"/>
    <w:rsid w:val="003B1351"/>
    <w:rsid w:val="003B145B"/>
    <w:rsid w:val="003B1761"/>
    <w:rsid w:val="003B18A8"/>
    <w:rsid w:val="003B1996"/>
    <w:rsid w:val="003B20CF"/>
    <w:rsid w:val="003B2851"/>
    <w:rsid w:val="003B2CA3"/>
    <w:rsid w:val="003B2DDA"/>
    <w:rsid w:val="003B2F17"/>
    <w:rsid w:val="003B31E5"/>
    <w:rsid w:val="003B32CC"/>
    <w:rsid w:val="003B3389"/>
    <w:rsid w:val="003B359D"/>
    <w:rsid w:val="003B3755"/>
    <w:rsid w:val="003B3CA5"/>
    <w:rsid w:val="003B3CB9"/>
    <w:rsid w:val="003B44B5"/>
    <w:rsid w:val="003B46DE"/>
    <w:rsid w:val="003B4795"/>
    <w:rsid w:val="003B47DE"/>
    <w:rsid w:val="003B51CF"/>
    <w:rsid w:val="003B5476"/>
    <w:rsid w:val="003B550A"/>
    <w:rsid w:val="003B5894"/>
    <w:rsid w:val="003B58A4"/>
    <w:rsid w:val="003B58F1"/>
    <w:rsid w:val="003B5C97"/>
    <w:rsid w:val="003B5E59"/>
    <w:rsid w:val="003B6062"/>
    <w:rsid w:val="003B6183"/>
    <w:rsid w:val="003B63EA"/>
    <w:rsid w:val="003B64CF"/>
    <w:rsid w:val="003B69B1"/>
    <w:rsid w:val="003B6CDE"/>
    <w:rsid w:val="003B7D42"/>
    <w:rsid w:val="003C0B12"/>
    <w:rsid w:val="003C1CF2"/>
    <w:rsid w:val="003C1D21"/>
    <w:rsid w:val="003C1E3A"/>
    <w:rsid w:val="003C1F25"/>
    <w:rsid w:val="003C2044"/>
    <w:rsid w:val="003C247F"/>
    <w:rsid w:val="003C281C"/>
    <w:rsid w:val="003C2974"/>
    <w:rsid w:val="003C2FFE"/>
    <w:rsid w:val="003C31E6"/>
    <w:rsid w:val="003C3228"/>
    <w:rsid w:val="003C3582"/>
    <w:rsid w:val="003C37F9"/>
    <w:rsid w:val="003C3D85"/>
    <w:rsid w:val="003C4583"/>
    <w:rsid w:val="003C4C8A"/>
    <w:rsid w:val="003C4FE1"/>
    <w:rsid w:val="003C50FB"/>
    <w:rsid w:val="003C52C5"/>
    <w:rsid w:val="003C548A"/>
    <w:rsid w:val="003C55D7"/>
    <w:rsid w:val="003C5822"/>
    <w:rsid w:val="003C58D6"/>
    <w:rsid w:val="003C5D7A"/>
    <w:rsid w:val="003C62E8"/>
    <w:rsid w:val="003C6336"/>
    <w:rsid w:val="003C63B9"/>
    <w:rsid w:val="003C6463"/>
    <w:rsid w:val="003C66AA"/>
    <w:rsid w:val="003C66F1"/>
    <w:rsid w:val="003C69D4"/>
    <w:rsid w:val="003C6BFB"/>
    <w:rsid w:val="003C6C44"/>
    <w:rsid w:val="003C7295"/>
    <w:rsid w:val="003C729F"/>
    <w:rsid w:val="003C7344"/>
    <w:rsid w:val="003C73EE"/>
    <w:rsid w:val="003C740E"/>
    <w:rsid w:val="003C75D5"/>
    <w:rsid w:val="003C77F1"/>
    <w:rsid w:val="003C7D64"/>
    <w:rsid w:val="003C7EF6"/>
    <w:rsid w:val="003C7F9D"/>
    <w:rsid w:val="003D002B"/>
    <w:rsid w:val="003D024D"/>
    <w:rsid w:val="003D05D7"/>
    <w:rsid w:val="003D0693"/>
    <w:rsid w:val="003D06F4"/>
    <w:rsid w:val="003D09BC"/>
    <w:rsid w:val="003D09E8"/>
    <w:rsid w:val="003D0A9E"/>
    <w:rsid w:val="003D0AC5"/>
    <w:rsid w:val="003D124E"/>
    <w:rsid w:val="003D14ED"/>
    <w:rsid w:val="003D1562"/>
    <w:rsid w:val="003D16BC"/>
    <w:rsid w:val="003D1D65"/>
    <w:rsid w:val="003D1DF8"/>
    <w:rsid w:val="003D20E1"/>
    <w:rsid w:val="003D24AC"/>
    <w:rsid w:val="003D2622"/>
    <w:rsid w:val="003D2716"/>
    <w:rsid w:val="003D2815"/>
    <w:rsid w:val="003D2B0D"/>
    <w:rsid w:val="003D2F4F"/>
    <w:rsid w:val="003D2FF0"/>
    <w:rsid w:val="003D3219"/>
    <w:rsid w:val="003D3590"/>
    <w:rsid w:val="003D36C9"/>
    <w:rsid w:val="003D3D2B"/>
    <w:rsid w:val="003D3ED5"/>
    <w:rsid w:val="003D4369"/>
    <w:rsid w:val="003D44D6"/>
    <w:rsid w:val="003D46D3"/>
    <w:rsid w:val="003D55C0"/>
    <w:rsid w:val="003D6413"/>
    <w:rsid w:val="003D6589"/>
    <w:rsid w:val="003D6B81"/>
    <w:rsid w:val="003D6F27"/>
    <w:rsid w:val="003D6F9D"/>
    <w:rsid w:val="003D71B8"/>
    <w:rsid w:val="003D7592"/>
    <w:rsid w:val="003D794D"/>
    <w:rsid w:val="003E020A"/>
    <w:rsid w:val="003E02C8"/>
    <w:rsid w:val="003E02DC"/>
    <w:rsid w:val="003E02F4"/>
    <w:rsid w:val="003E0B2F"/>
    <w:rsid w:val="003E0F25"/>
    <w:rsid w:val="003E1419"/>
    <w:rsid w:val="003E1722"/>
    <w:rsid w:val="003E1777"/>
    <w:rsid w:val="003E182D"/>
    <w:rsid w:val="003E189D"/>
    <w:rsid w:val="003E1901"/>
    <w:rsid w:val="003E1E97"/>
    <w:rsid w:val="003E2632"/>
    <w:rsid w:val="003E306C"/>
    <w:rsid w:val="003E382E"/>
    <w:rsid w:val="003E3A1E"/>
    <w:rsid w:val="003E3A42"/>
    <w:rsid w:val="003E458D"/>
    <w:rsid w:val="003E49E5"/>
    <w:rsid w:val="003E4A85"/>
    <w:rsid w:val="003E4E59"/>
    <w:rsid w:val="003E51D9"/>
    <w:rsid w:val="003E5869"/>
    <w:rsid w:val="003E5977"/>
    <w:rsid w:val="003E5F48"/>
    <w:rsid w:val="003E60F7"/>
    <w:rsid w:val="003E63E0"/>
    <w:rsid w:val="003E6717"/>
    <w:rsid w:val="003E6AB3"/>
    <w:rsid w:val="003E6D8C"/>
    <w:rsid w:val="003E70EB"/>
    <w:rsid w:val="003E7557"/>
    <w:rsid w:val="003E7770"/>
    <w:rsid w:val="003E7967"/>
    <w:rsid w:val="003E79AB"/>
    <w:rsid w:val="003E7BD7"/>
    <w:rsid w:val="003F0946"/>
    <w:rsid w:val="003F0CDB"/>
    <w:rsid w:val="003F13EC"/>
    <w:rsid w:val="003F14BD"/>
    <w:rsid w:val="003F164A"/>
    <w:rsid w:val="003F17FD"/>
    <w:rsid w:val="003F1881"/>
    <w:rsid w:val="003F1893"/>
    <w:rsid w:val="003F19E4"/>
    <w:rsid w:val="003F1AB4"/>
    <w:rsid w:val="003F1E46"/>
    <w:rsid w:val="003F2169"/>
    <w:rsid w:val="003F227E"/>
    <w:rsid w:val="003F2307"/>
    <w:rsid w:val="003F2338"/>
    <w:rsid w:val="003F255B"/>
    <w:rsid w:val="003F26AB"/>
    <w:rsid w:val="003F2CDA"/>
    <w:rsid w:val="003F2FD4"/>
    <w:rsid w:val="003F32E7"/>
    <w:rsid w:val="003F393C"/>
    <w:rsid w:val="003F3D8B"/>
    <w:rsid w:val="003F3E02"/>
    <w:rsid w:val="003F4821"/>
    <w:rsid w:val="003F5369"/>
    <w:rsid w:val="003F58A5"/>
    <w:rsid w:val="003F5AF8"/>
    <w:rsid w:val="003F5E2C"/>
    <w:rsid w:val="003F61A4"/>
    <w:rsid w:val="003F6721"/>
    <w:rsid w:val="003F6971"/>
    <w:rsid w:val="003F69BE"/>
    <w:rsid w:val="003F6A8E"/>
    <w:rsid w:val="003F6B73"/>
    <w:rsid w:val="003F6DC2"/>
    <w:rsid w:val="003F6DFA"/>
    <w:rsid w:val="003F6E82"/>
    <w:rsid w:val="003F6F9F"/>
    <w:rsid w:val="003F72EC"/>
    <w:rsid w:val="003F72ED"/>
    <w:rsid w:val="003F735F"/>
    <w:rsid w:val="003F7540"/>
    <w:rsid w:val="003F793B"/>
    <w:rsid w:val="003F7E03"/>
    <w:rsid w:val="003F7E28"/>
    <w:rsid w:val="003F7E45"/>
    <w:rsid w:val="003F7E7B"/>
    <w:rsid w:val="003F7EA6"/>
    <w:rsid w:val="003F7F4D"/>
    <w:rsid w:val="004005CC"/>
    <w:rsid w:val="004005DF"/>
    <w:rsid w:val="00400D45"/>
    <w:rsid w:val="00400EDF"/>
    <w:rsid w:val="004011B9"/>
    <w:rsid w:val="0040134E"/>
    <w:rsid w:val="00401705"/>
    <w:rsid w:val="004018E4"/>
    <w:rsid w:val="00401AD7"/>
    <w:rsid w:val="00401BF1"/>
    <w:rsid w:val="00401C6B"/>
    <w:rsid w:val="00401D5D"/>
    <w:rsid w:val="00401DAF"/>
    <w:rsid w:val="004020FB"/>
    <w:rsid w:val="00402203"/>
    <w:rsid w:val="004025D1"/>
    <w:rsid w:val="00402AFB"/>
    <w:rsid w:val="00402B26"/>
    <w:rsid w:val="004030D7"/>
    <w:rsid w:val="00403670"/>
    <w:rsid w:val="004036DF"/>
    <w:rsid w:val="00403715"/>
    <w:rsid w:val="00403736"/>
    <w:rsid w:val="00403A4D"/>
    <w:rsid w:val="00403B9E"/>
    <w:rsid w:val="00403E6C"/>
    <w:rsid w:val="00404190"/>
    <w:rsid w:val="004041AF"/>
    <w:rsid w:val="0040443E"/>
    <w:rsid w:val="00404722"/>
    <w:rsid w:val="004048DA"/>
    <w:rsid w:val="004049CE"/>
    <w:rsid w:val="00404A46"/>
    <w:rsid w:val="0040532D"/>
    <w:rsid w:val="0040564E"/>
    <w:rsid w:val="00405827"/>
    <w:rsid w:val="00405E54"/>
    <w:rsid w:val="00405E75"/>
    <w:rsid w:val="0040603E"/>
    <w:rsid w:val="004067A6"/>
    <w:rsid w:val="004069D0"/>
    <w:rsid w:val="00406EE5"/>
    <w:rsid w:val="004071E2"/>
    <w:rsid w:val="004072FC"/>
    <w:rsid w:val="004075EB"/>
    <w:rsid w:val="0040771A"/>
    <w:rsid w:val="00407ABF"/>
    <w:rsid w:val="00407BED"/>
    <w:rsid w:val="00407DFE"/>
    <w:rsid w:val="00407EE6"/>
    <w:rsid w:val="004109D7"/>
    <w:rsid w:val="00410C01"/>
    <w:rsid w:val="00410D48"/>
    <w:rsid w:val="00410F4C"/>
    <w:rsid w:val="0041114C"/>
    <w:rsid w:val="00411B77"/>
    <w:rsid w:val="00411D6E"/>
    <w:rsid w:val="0041220A"/>
    <w:rsid w:val="00412E5D"/>
    <w:rsid w:val="0041324D"/>
    <w:rsid w:val="0041345E"/>
    <w:rsid w:val="0041363E"/>
    <w:rsid w:val="0041364D"/>
    <w:rsid w:val="004136BE"/>
    <w:rsid w:val="004138BB"/>
    <w:rsid w:val="00413994"/>
    <w:rsid w:val="004139B0"/>
    <w:rsid w:val="004139F2"/>
    <w:rsid w:val="00413DC8"/>
    <w:rsid w:val="00413E88"/>
    <w:rsid w:val="004146ED"/>
    <w:rsid w:val="004148D0"/>
    <w:rsid w:val="00414B1A"/>
    <w:rsid w:val="00414B5F"/>
    <w:rsid w:val="00414D66"/>
    <w:rsid w:val="00414F60"/>
    <w:rsid w:val="004150F3"/>
    <w:rsid w:val="004155F1"/>
    <w:rsid w:val="00415FE0"/>
    <w:rsid w:val="004166E5"/>
    <w:rsid w:val="00416716"/>
    <w:rsid w:val="0041673A"/>
    <w:rsid w:val="004169AA"/>
    <w:rsid w:val="00416B5C"/>
    <w:rsid w:val="00416C0A"/>
    <w:rsid w:val="00416C60"/>
    <w:rsid w:val="00416EA9"/>
    <w:rsid w:val="00417761"/>
    <w:rsid w:val="00417A8D"/>
    <w:rsid w:val="00420129"/>
    <w:rsid w:val="00420292"/>
    <w:rsid w:val="00420618"/>
    <w:rsid w:val="0042066B"/>
    <w:rsid w:val="00420678"/>
    <w:rsid w:val="0042077E"/>
    <w:rsid w:val="0042081D"/>
    <w:rsid w:val="004208EC"/>
    <w:rsid w:val="00421314"/>
    <w:rsid w:val="00421869"/>
    <w:rsid w:val="004219C5"/>
    <w:rsid w:val="00421FB0"/>
    <w:rsid w:val="00422149"/>
    <w:rsid w:val="0042235C"/>
    <w:rsid w:val="0042238B"/>
    <w:rsid w:val="004223C5"/>
    <w:rsid w:val="00422408"/>
    <w:rsid w:val="00422719"/>
    <w:rsid w:val="00422853"/>
    <w:rsid w:val="00422902"/>
    <w:rsid w:val="00422B53"/>
    <w:rsid w:val="00422D07"/>
    <w:rsid w:val="00422F5C"/>
    <w:rsid w:val="0042301A"/>
    <w:rsid w:val="00423455"/>
    <w:rsid w:val="00423609"/>
    <w:rsid w:val="0042379E"/>
    <w:rsid w:val="00423ED0"/>
    <w:rsid w:val="0042422F"/>
    <w:rsid w:val="00424899"/>
    <w:rsid w:val="00424905"/>
    <w:rsid w:val="00424A6E"/>
    <w:rsid w:val="00424FC7"/>
    <w:rsid w:val="00425286"/>
    <w:rsid w:val="00425411"/>
    <w:rsid w:val="0042574F"/>
    <w:rsid w:val="00425843"/>
    <w:rsid w:val="004264F2"/>
    <w:rsid w:val="0042668E"/>
    <w:rsid w:val="004266C5"/>
    <w:rsid w:val="00426DB8"/>
    <w:rsid w:val="00426F7F"/>
    <w:rsid w:val="00427092"/>
    <w:rsid w:val="0042716A"/>
    <w:rsid w:val="004273F1"/>
    <w:rsid w:val="0042751D"/>
    <w:rsid w:val="0042753F"/>
    <w:rsid w:val="00427C72"/>
    <w:rsid w:val="00430043"/>
    <w:rsid w:val="0043018A"/>
    <w:rsid w:val="00430253"/>
    <w:rsid w:val="004306C4"/>
    <w:rsid w:val="004308D7"/>
    <w:rsid w:val="00430E59"/>
    <w:rsid w:val="00430EFE"/>
    <w:rsid w:val="00431365"/>
    <w:rsid w:val="0043171D"/>
    <w:rsid w:val="00431E5B"/>
    <w:rsid w:val="00431F12"/>
    <w:rsid w:val="004323F0"/>
    <w:rsid w:val="00432DAB"/>
    <w:rsid w:val="00432F87"/>
    <w:rsid w:val="00433177"/>
    <w:rsid w:val="004332AE"/>
    <w:rsid w:val="004339D5"/>
    <w:rsid w:val="00433CE6"/>
    <w:rsid w:val="004345AE"/>
    <w:rsid w:val="00434615"/>
    <w:rsid w:val="00434704"/>
    <w:rsid w:val="00434D6D"/>
    <w:rsid w:val="00434F9F"/>
    <w:rsid w:val="00435014"/>
    <w:rsid w:val="00435368"/>
    <w:rsid w:val="004353CF"/>
    <w:rsid w:val="00435DD1"/>
    <w:rsid w:val="00436092"/>
    <w:rsid w:val="00436F8E"/>
    <w:rsid w:val="00437233"/>
    <w:rsid w:val="0043728C"/>
    <w:rsid w:val="00437469"/>
    <w:rsid w:val="004378FD"/>
    <w:rsid w:val="00437B8C"/>
    <w:rsid w:val="00440582"/>
    <w:rsid w:val="00440BBB"/>
    <w:rsid w:val="00440D80"/>
    <w:rsid w:val="00440E6C"/>
    <w:rsid w:val="004411DC"/>
    <w:rsid w:val="004413EA"/>
    <w:rsid w:val="0044186F"/>
    <w:rsid w:val="00441F2B"/>
    <w:rsid w:val="0044206E"/>
    <w:rsid w:val="0044227F"/>
    <w:rsid w:val="00442474"/>
    <w:rsid w:val="00442824"/>
    <w:rsid w:val="004428D3"/>
    <w:rsid w:val="00442A28"/>
    <w:rsid w:val="004430EF"/>
    <w:rsid w:val="004438D2"/>
    <w:rsid w:val="00443919"/>
    <w:rsid w:val="00443990"/>
    <w:rsid w:val="00443F55"/>
    <w:rsid w:val="004441BD"/>
    <w:rsid w:val="0044443A"/>
    <w:rsid w:val="00444950"/>
    <w:rsid w:val="00444A2F"/>
    <w:rsid w:val="00444F34"/>
    <w:rsid w:val="004450C5"/>
    <w:rsid w:val="004450DC"/>
    <w:rsid w:val="00445277"/>
    <w:rsid w:val="004457E5"/>
    <w:rsid w:val="004459F6"/>
    <w:rsid w:val="00445B79"/>
    <w:rsid w:val="00445F3D"/>
    <w:rsid w:val="00446148"/>
    <w:rsid w:val="0044652C"/>
    <w:rsid w:val="004465A2"/>
    <w:rsid w:val="0044705C"/>
    <w:rsid w:val="004474D5"/>
    <w:rsid w:val="0044783C"/>
    <w:rsid w:val="00447B2C"/>
    <w:rsid w:val="00447BD2"/>
    <w:rsid w:val="00447CE7"/>
    <w:rsid w:val="0045030A"/>
    <w:rsid w:val="00450650"/>
    <w:rsid w:val="00450691"/>
    <w:rsid w:val="004508FC"/>
    <w:rsid w:val="00450945"/>
    <w:rsid w:val="00450B57"/>
    <w:rsid w:val="00450ED0"/>
    <w:rsid w:val="0045134C"/>
    <w:rsid w:val="004513FC"/>
    <w:rsid w:val="004522E0"/>
    <w:rsid w:val="0045234E"/>
    <w:rsid w:val="0045268E"/>
    <w:rsid w:val="00452772"/>
    <w:rsid w:val="00452E78"/>
    <w:rsid w:val="00452E91"/>
    <w:rsid w:val="00453128"/>
    <w:rsid w:val="0045314E"/>
    <w:rsid w:val="0045337E"/>
    <w:rsid w:val="0045339F"/>
    <w:rsid w:val="004543C8"/>
    <w:rsid w:val="00454581"/>
    <w:rsid w:val="00454B36"/>
    <w:rsid w:val="0045555E"/>
    <w:rsid w:val="004557B5"/>
    <w:rsid w:val="00455AC3"/>
    <w:rsid w:val="004561B8"/>
    <w:rsid w:val="00456A55"/>
    <w:rsid w:val="00456CAB"/>
    <w:rsid w:val="004572BD"/>
    <w:rsid w:val="004579A2"/>
    <w:rsid w:val="00457C41"/>
    <w:rsid w:val="00457C84"/>
    <w:rsid w:val="00457F39"/>
    <w:rsid w:val="00460784"/>
    <w:rsid w:val="00460946"/>
    <w:rsid w:val="004612A0"/>
    <w:rsid w:val="00461540"/>
    <w:rsid w:val="0046166B"/>
    <w:rsid w:val="00461991"/>
    <w:rsid w:val="00461BD4"/>
    <w:rsid w:val="00461C44"/>
    <w:rsid w:val="00461DFC"/>
    <w:rsid w:val="00461EAD"/>
    <w:rsid w:val="00461F2D"/>
    <w:rsid w:val="00461F43"/>
    <w:rsid w:val="0046233B"/>
    <w:rsid w:val="00462DC2"/>
    <w:rsid w:val="00463748"/>
    <w:rsid w:val="004637C1"/>
    <w:rsid w:val="0046432B"/>
    <w:rsid w:val="00464DD2"/>
    <w:rsid w:val="0046547E"/>
    <w:rsid w:val="0046547F"/>
    <w:rsid w:val="00465E55"/>
    <w:rsid w:val="0046610A"/>
    <w:rsid w:val="004664D9"/>
    <w:rsid w:val="00466AE9"/>
    <w:rsid w:val="00466E90"/>
    <w:rsid w:val="00466EA6"/>
    <w:rsid w:val="00466F3F"/>
    <w:rsid w:val="00467351"/>
    <w:rsid w:val="0046744E"/>
    <w:rsid w:val="0046785A"/>
    <w:rsid w:val="00467B91"/>
    <w:rsid w:val="004700C6"/>
    <w:rsid w:val="00470229"/>
    <w:rsid w:val="004705A5"/>
    <w:rsid w:val="004709F0"/>
    <w:rsid w:val="00470AB3"/>
    <w:rsid w:val="00470D17"/>
    <w:rsid w:val="00471333"/>
    <w:rsid w:val="00471AC0"/>
    <w:rsid w:val="00471E3B"/>
    <w:rsid w:val="00471EAB"/>
    <w:rsid w:val="00471EF7"/>
    <w:rsid w:val="00472242"/>
    <w:rsid w:val="00472730"/>
    <w:rsid w:val="00472775"/>
    <w:rsid w:val="00472A30"/>
    <w:rsid w:val="00472AC6"/>
    <w:rsid w:val="00473219"/>
    <w:rsid w:val="004732AF"/>
    <w:rsid w:val="00473950"/>
    <w:rsid w:val="004739D1"/>
    <w:rsid w:val="00473CC6"/>
    <w:rsid w:val="00473E0E"/>
    <w:rsid w:val="00473E43"/>
    <w:rsid w:val="004741D0"/>
    <w:rsid w:val="00474288"/>
    <w:rsid w:val="0047435D"/>
    <w:rsid w:val="00474AE4"/>
    <w:rsid w:val="00474DDE"/>
    <w:rsid w:val="00475074"/>
    <w:rsid w:val="004752B1"/>
    <w:rsid w:val="004752EB"/>
    <w:rsid w:val="0047624E"/>
    <w:rsid w:val="00476878"/>
    <w:rsid w:val="00476AFF"/>
    <w:rsid w:val="00476DCF"/>
    <w:rsid w:val="00476EE4"/>
    <w:rsid w:val="00477006"/>
    <w:rsid w:val="004770AD"/>
    <w:rsid w:val="00477290"/>
    <w:rsid w:val="004772BF"/>
    <w:rsid w:val="0047740A"/>
    <w:rsid w:val="004774FA"/>
    <w:rsid w:val="0047792B"/>
    <w:rsid w:val="00477CB4"/>
    <w:rsid w:val="00480233"/>
    <w:rsid w:val="004802C4"/>
    <w:rsid w:val="004803CB"/>
    <w:rsid w:val="0048081A"/>
    <w:rsid w:val="00480C64"/>
    <w:rsid w:val="00480D39"/>
    <w:rsid w:val="00480D3C"/>
    <w:rsid w:val="00480E8D"/>
    <w:rsid w:val="00480ED3"/>
    <w:rsid w:val="00481193"/>
    <w:rsid w:val="00481566"/>
    <w:rsid w:val="004816D1"/>
    <w:rsid w:val="00481BA9"/>
    <w:rsid w:val="0048212F"/>
    <w:rsid w:val="004822D0"/>
    <w:rsid w:val="0048271C"/>
    <w:rsid w:val="0048278B"/>
    <w:rsid w:val="00482D4D"/>
    <w:rsid w:val="00482DF2"/>
    <w:rsid w:val="00482E68"/>
    <w:rsid w:val="00483237"/>
    <w:rsid w:val="00483385"/>
    <w:rsid w:val="00483391"/>
    <w:rsid w:val="004837DA"/>
    <w:rsid w:val="00483964"/>
    <w:rsid w:val="00483D0E"/>
    <w:rsid w:val="00483F70"/>
    <w:rsid w:val="00484072"/>
    <w:rsid w:val="004841C1"/>
    <w:rsid w:val="00484261"/>
    <w:rsid w:val="0048492B"/>
    <w:rsid w:val="00484F4E"/>
    <w:rsid w:val="004850E4"/>
    <w:rsid w:val="0048590E"/>
    <w:rsid w:val="00485C19"/>
    <w:rsid w:val="0048634A"/>
    <w:rsid w:val="00486C57"/>
    <w:rsid w:val="00486E55"/>
    <w:rsid w:val="0048776F"/>
    <w:rsid w:val="00487843"/>
    <w:rsid w:val="004879FF"/>
    <w:rsid w:val="00487A43"/>
    <w:rsid w:val="00487FE5"/>
    <w:rsid w:val="004902E4"/>
    <w:rsid w:val="004907A8"/>
    <w:rsid w:val="004909F5"/>
    <w:rsid w:val="00491786"/>
    <w:rsid w:val="004917E7"/>
    <w:rsid w:val="0049196A"/>
    <w:rsid w:val="004919EF"/>
    <w:rsid w:val="00491A93"/>
    <w:rsid w:val="00492632"/>
    <w:rsid w:val="00492BC9"/>
    <w:rsid w:val="00492D57"/>
    <w:rsid w:val="00492DBA"/>
    <w:rsid w:val="00492EAB"/>
    <w:rsid w:val="00493006"/>
    <w:rsid w:val="0049316E"/>
    <w:rsid w:val="00493264"/>
    <w:rsid w:val="0049330B"/>
    <w:rsid w:val="0049344D"/>
    <w:rsid w:val="00493519"/>
    <w:rsid w:val="0049357F"/>
    <w:rsid w:val="00493764"/>
    <w:rsid w:val="00493C09"/>
    <w:rsid w:val="00493CDB"/>
    <w:rsid w:val="00493CE3"/>
    <w:rsid w:val="00493D08"/>
    <w:rsid w:val="004947A2"/>
    <w:rsid w:val="00494B42"/>
    <w:rsid w:val="00494BF5"/>
    <w:rsid w:val="00494E9F"/>
    <w:rsid w:val="00494F74"/>
    <w:rsid w:val="00495506"/>
    <w:rsid w:val="0049597D"/>
    <w:rsid w:val="00495AF4"/>
    <w:rsid w:val="00495D0F"/>
    <w:rsid w:val="00495F46"/>
    <w:rsid w:val="00496B38"/>
    <w:rsid w:val="00496B91"/>
    <w:rsid w:val="00496C7C"/>
    <w:rsid w:val="00496DB6"/>
    <w:rsid w:val="00496F94"/>
    <w:rsid w:val="00496FB1"/>
    <w:rsid w:val="0049754F"/>
    <w:rsid w:val="004975B3"/>
    <w:rsid w:val="004976C3"/>
    <w:rsid w:val="00497990"/>
    <w:rsid w:val="00497F79"/>
    <w:rsid w:val="004A067C"/>
    <w:rsid w:val="004A0743"/>
    <w:rsid w:val="004A0839"/>
    <w:rsid w:val="004A08C6"/>
    <w:rsid w:val="004A0E10"/>
    <w:rsid w:val="004A10BC"/>
    <w:rsid w:val="004A1197"/>
    <w:rsid w:val="004A144F"/>
    <w:rsid w:val="004A15E6"/>
    <w:rsid w:val="004A1A79"/>
    <w:rsid w:val="004A1D2B"/>
    <w:rsid w:val="004A1E3D"/>
    <w:rsid w:val="004A2644"/>
    <w:rsid w:val="004A2722"/>
    <w:rsid w:val="004A2AFD"/>
    <w:rsid w:val="004A3060"/>
    <w:rsid w:val="004A32E7"/>
    <w:rsid w:val="004A36A5"/>
    <w:rsid w:val="004A394E"/>
    <w:rsid w:val="004A3A1D"/>
    <w:rsid w:val="004A40E1"/>
    <w:rsid w:val="004A43FF"/>
    <w:rsid w:val="004A4B15"/>
    <w:rsid w:val="004A4CD0"/>
    <w:rsid w:val="004A4E11"/>
    <w:rsid w:val="004A519A"/>
    <w:rsid w:val="004A52B3"/>
    <w:rsid w:val="004A53C1"/>
    <w:rsid w:val="004A59E8"/>
    <w:rsid w:val="004A5C33"/>
    <w:rsid w:val="004A5EAE"/>
    <w:rsid w:val="004A6302"/>
    <w:rsid w:val="004A642C"/>
    <w:rsid w:val="004A6A20"/>
    <w:rsid w:val="004A6EE5"/>
    <w:rsid w:val="004A7042"/>
    <w:rsid w:val="004A757B"/>
    <w:rsid w:val="004A76C6"/>
    <w:rsid w:val="004A7896"/>
    <w:rsid w:val="004A7A54"/>
    <w:rsid w:val="004A7B6F"/>
    <w:rsid w:val="004A7C77"/>
    <w:rsid w:val="004B0637"/>
    <w:rsid w:val="004B0867"/>
    <w:rsid w:val="004B0C73"/>
    <w:rsid w:val="004B11BF"/>
    <w:rsid w:val="004B1597"/>
    <w:rsid w:val="004B1609"/>
    <w:rsid w:val="004B1789"/>
    <w:rsid w:val="004B2370"/>
    <w:rsid w:val="004B2800"/>
    <w:rsid w:val="004B2822"/>
    <w:rsid w:val="004B2A59"/>
    <w:rsid w:val="004B2BA5"/>
    <w:rsid w:val="004B2E28"/>
    <w:rsid w:val="004B2FEE"/>
    <w:rsid w:val="004B34F0"/>
    <w:rsid w:val="004B384B"/>
    <w:rsid w:val="004B3871"/>
    <w:rsid w:val="004B3CD4"/>
    <w:rsid w:val="004B3FC3"/>
    <w:rsid w:val="004B44A1"/>
    <w:rsid w:val="004B465B"/>
    <w:rsid w:val="004B467F"/>
    <w:rsid w:val="004B47C3"/>
    <w:rsid w:val="004B493A"/>
    <w:rsid w:val="004B4C3E"/>
    <w:rsid w:val="004B4D62"/>
    <w:rsid w:val="004B51B1"/>
    <w:rsid w:val="004B5241"/>
    <w:rsid w:val="004B52CD"/>
    <w:rsid w:val="004B52F0"/>
    <w:rsid w:val="004B590E"/>
    <w:rsid w:val="004B5A71"/>
    <w:rsid w:val="004B5B9F"/>
    <w:rsid w:val="004B5D35"/>
    <w:rsid w:val="004B61D7"/>
    <w:rsid w:val="004B6B22"/>
    <w:rsid w:val="004B6B80"/>
    <w:rsid w:val="004B6D5C"/>
    <w:rsid w:val="004B6DC7"/>
    <w:rsid w:val="004B6DEB"/>
    <w:rsid w:val="004B6FFC"/>
    <w:rsid w:val="004B701A"/>
    <w:rsid w:val="004B70B7"/>
    <w:rsid w:val="004B71DE"/>
    <w:rsid w:val="004B7398"/>
    <w:rsid w:val="004B7497"/>
    <w:rsid w:val="004B7601"/>
    <w:rsid w:val="004B7614"/>
    <w:rsid w:val="004B7768"/>
    <w:rsid w:val="004B7FF4"/>
    <w:rsid w:val="004C0C5D"/>
    <w:rsid w:val="004C0E6C"/>
    <w:rsid w:val="004C0F39"/>
    <w:rsid w:val="004C10D6"/>
    <w:rsid w:val="004C142D"/>
    <w:rsid w:val="004C1935"/>
    <w:rsid w:val="004C1E07"/>
    <w:rsid w:val="004C22B6"/>
    <w:rsid w:val="004C2D7A"/>
    <w:rsid w:val="004C2E69"/>
    <w:rsid w:val="004C33E7"/>
    <w:rsid w:val="004C3C43"/>
    <w:rsid w:val="004C40F8"/>
    <w:rsid w:val="004C41B9"/>
    <w:rsid w:val="004C4484"/>
    <w:rsid w:val="004C4C27"/>
    <w:rsid w:val="004C4D1C"/>
    <w:rsid w:val="004C4D56"/>
    <w:rsid w:val="004C4F0F"/>
    <w:rsid w:val="004C5038"/>
    <w:rsid w:val="004C50C8"/>
    <w:rsid w:val="004C555D"/>
    <w:rsid w:val="004C58D1"/>
    <w:rsid w:val="004C5A12"/>
    <w:rsid w:val="004C5A7E"/>
    <w:rsid w:val="004C600E"/>
    <w:rsid w:val="004C626F"/>
    <w:rsid w:val="004C63CA"/>
    <w:rsid w:val="004C6607"/>
    <w:rsid w:val="004C6659"/>
    <w:rsid w:val="004C6E5C"/>
    <w:rsid w:val="004C70D5"/>
    <w:rsid w:val="004C76C7"/>
    <w:rsid w:val="004C7783"/>
    <w:rsid w:val="004C7A87"/>
    <w:rsid w:val="004C7BB6"/>
    <w:rsid w:val="004C7E8D"/>
    <w:rsid w:val="004C7F35"/>
    <w:rsid w:val="004D00FA"/>
    <w:rsid w:val="004D02CE"/>
    <w:rsid w:val="004D03AF"/>
    <w:rsid w:val="004D1041"/>
    <w:rsid w:val="004D1612"/>
    <w:rsid w:val="004D173D"/>
    <w:rsid w:val="004D18EB"/>
    <w:rsid w:val="004D18F3"/>
    <w:rsid w:val="004D1CAD"/>
    <w:rsid w:val="004D1F4C"/>
    <w:rsid w:val="004D24E0"/>
    <w:rsid w:val="004D26D5"/>
    <w:rsid w:val="004D2C0F"/>
    <w:rsid w:val="004D2C51"/>
    <w:rsid w:val="004D2E0F"/>
    <w:rsid w:val="004D2FC9"/>
    <w:rsid w:val="004D3103"/>
    <w:rsid w:val="004D32A0"/>
    <w:rsid w:val="004D3E47"/>
    <w:rsid w:val="004D3E86"/>
    <w:rsid w:val="004D45C7"/>
    <w:rsid w:val="004D4687"/>
    <w:rsid w:val="004D4AC3"/>
    <w:rsid w:val="004D4B6F"/>
    <w:rsid w:val="004D4C81"/>
    <w:rsid w:val="004D4E55"/>
    <w:rsid w:val="004D4FB8"/>
    <w:rsid w:val="004D5073"/>
    <w:rsid w:val="004D519A"/>
    <w:rsid w:val="004D53B3"/>
    <w:rsid w:val="004D54A5"/>
    <w:rsid w:val="004D5598"/>
    <w:rsid w:val="004D57EA"/>
    <w:rsid w:val="004D5A7D"/>
    <w:rsid w:val="004D5D82"/>
    <w:rsid w:val="004D642C"/>
    <w:rsid w:val="004D6594"/>
    <w:rsid w:val="004D66B3"/>
    <w:rsid w:val="004D66E0"/>
    <w:rsid w:val="004D6E2E"/>
    <w:rsid w:val="004D71DF"/>
    <w:rsid w:val="004D7475"/>
    <w:rsid w:val="004D7497"/>
    <w:rsid w:val="004D7B2A"/>
    <w:rsid w:val="004D7CBA"/>
    <w:rsid w:val="004D7E94"/>
    <w:rsid w:val="004E0008"/>
    <w:rsid w:val="004E0493"/>
    <w:rsid w:val="004E0DCA"/>
    <w:rsid w:val="004E17C2"/>
    <w:rsid w:val="004E244A"/>
    <w:rsid w:val="004E28DE"/>
    <w:rsid w:val="004E2912"/>
    <w:rsid w:val="004E29EC"/>
    <w:rsid w:val="004E2BB4"/>
    <w:rsid w:val="004E2DC3"/>
    <w:rsid w:val="004E31E7"/>
    <w:rsid w:val="004E33BC"/>
    <w:rsid w:val="004E34C8"/>
    <w:rsid w:val="004E4005"/>
    <w:rsid w:val="004E4014"/>
    <w:rsid w:val="004E4093"/>
    <w:rsid w:val="004E40C7"/>
    <w:rsid w:val="004E48FE"/>
    <w:rsid w:val="004E495C"/>
    <w:rsid w:val="004E4AEE"/>
    <w:rsid w:val="004E4CFC"/>
    <w:rsid w:val="004E4DFD"/>
    <w:rsid w:val="004E4FEC"/>
    <w:rsid w:val="004E5117"/>
    <w:rsid w:val="004E516C"/>
    <w:rsid w:val="004E5528"/>
    <w:rsid w:val="004E589C"/>
    <w:rsid w:val="004E58BD"/>
    <w:rsid w:val="004E5DAF"/>
    <w:rsid w:val="004E6235"/>
    <w:rsid w:val="004E69D2"/>
    <w:rsid w:val="004E6AB6"/>
    <w:rsid w:val="004E6B57"/>
    <w:rsid w:val="004E6BB3"/>
    <w:rsid w:val="004E70B1"/>
    <w:rsid w:val="004E7807"/>
    <w:rsid w:val="004E7988"/>
    <w:rsid w:val="004E7A49"/>
    <w:rsid w:val="004F01D1"/>
    <w:rsid w:val="004F0398"/>
    <w:rsid w:val="004F0423"/>
    <w:rsid w:val="004F0E4C"/>
    <w:rsid w:val="004F1183"/>
    <w:rsid w:val="004F1260"/>
    <w:rsid w:val="004F1C9F"/>
    <w:rsid w:val="004F209E"/>
    <w:rsid w:val="004F234E"/>
    <w:rsid w:val="004F2551"/>
    <w:rsid w:val="004F25DD"/>
    <w:rsid w:val="004F2A7C"/>
    <w:rsid w:val="004F2BF2"/>
    <w:rsid w:val="004F307B"/>
    <w:rsid w:val="004F34C8"/>
    <w:rsid w:val="004F3A4C"/>
    <w:rsid w:val="004F3EC8"/>
    <w:rsid w:val="004F43E1"/>
    <w:rsid w:val="004F47D9"/>
    <w:rsid w:val="004F4C07"/>
    <w:rsid w:val="004F4DB5"/>
    <w:rsid w:val="004F4FB0"/>
    <w:rsid w:val="004F53CF"/>
    <w:rsid w:val="004F583E"/>
    <w:rsid w:val="004F61D2"/>
    <w:rsid w:val="004F626A"/>
    <w:rsid w:val="004F6748"/>
    <w:rsid w:val="004F68D4"/>
    <w:rsid w:val="004F6D8A"/>
    <w:rsid w:val="004F6FC6"/>
    <w:rsid w:val="004F70B8"/>
    <w:rsid w:val="004F7336"/>
    <w:rsid w:val="004F77CF"/>
    <w:rsid w:val="004F7844"/>
    <w:rsid w:val="004F78EC"/>
    <w:rsid w:val="004F7946"/>
    <w:rsid w:val="004F79E7"/>
    <w:rsid w:val="004F7FEE"/>
    <w:rsid w:val="00500249"/>
    <w:rsid w:val="00500473"/>
    <w:rsid w:val="00500A65"/>
    <w:rsid w:val="00500BDB"/>
    <w:rsid w:val="005010AF"/>
    <w:rsid w:val="00501225"/>
    <w:rsid w:val="00501314"/>
    <w:rsid w:val="005016C0"/>
    <w:rsid w:val="00501952"/>
    <w:rsid w:val="00501DC3"/>
    <w:rsid w:val="00501DD0"/>
    <w:rsid w:val="005023FA"/>
    <w:rsid w:val="005025A6"/>
    <w:rsid w:val="005026DF"/>
    <w:rsid w:val="00502962"/>
    <w:rsid w:val="00502D95"/>
    <w:rsid w:val="00502DBF"/>
    <w:rsid w:val="00502F9E"/>
    <w:rsid w:val="005030C8"/>
    <w:rsid w:val="00503275"/>
    <w:rsid w:val="005033E2"/>
    <w:rsid w:val="0050357A"/>
    <w:rsid w:val="0050373D"/>
    <w:rsid w:val="00503AF3"/>
    <w:rsid w:val="00503C5F"/>
    <w:rsid w:val="00503DFB"/>
    <w:rsid w:val="00503E0B"/>
    <w:rsid w:val="005040E0"/>
    <w:rsid w:val="005040ED"/>
    <w:rsid w:val="005043F0"/>
    <w:rsid w:val="00504C18"/>
    <w:rsid w:val="00504C64"/>
    <w:rsid w:val="0050579E"/>
    <w:rsid w:val="00506035"/>
    <w:rsid w:val="00506135"/>
    <w:rsid w:val="00506910"/>
    <w:rsid w:val="005071E3"/>
    <w:rsid w:val="00507656"/>
    <w:rsid w:val="00507798"/>
    <w:rsid w:val="005077D1"/>
    <w:rsid w:val="00507A32"/>
    <w:rsid w:val="005101CA"/>
    <w:rsid w:val="0051054E"/>
    <w:rsid w:val="00510749"/>
    <w:rsid w:val="00510925"/>
    <w:rsid w:val="00510939"/>
    <w:rsid w:val="005109B3"/>
    <w:rsid w:val="005109C6"/>
    <w:rsid w:val="00510B4B"/>
    <w:rsid w:val="005110A5"/>
    <w:rsid w:val="00511206"/>
    <w:rsid w:val="00511BEE"/>
    <w:rsid w:val="00512503"/>
    <w:rsid w:val="00512781"/>
    <w:rsid w:val="00512925"/>
    <w:rsid w:val="00512972"/>
    <w:rsid w:val="005129E9"/>
    <w:rsid w:val="00512C8C"/>
    <w:rsid w:val="00512EA7"/>
    <w:rsid w:val="00513361"/>
    <w:rsid w:val="00513724"/>
    <w:rsid w:val="00513854"/>
    <w:rsid w:val="005143E9"/>
    <w:rsid w:val="00514495"/>
    <w:rsid w:val="00514548"/>
    <w:rsid w:val="00515727"/>
    <w:rsid w:val="00515887"/>
    <w:rsid w:val="0051607C"/>
    <w:rsid w:val="00516715"/>
    <w:rsid w:val="00516A01"/>
    <w:rsid w:val="00516AE0"/>
    <w:rsid w:val="00516D61"/>
    <w:rsid w:val="00516D68"/>
    <w:rsid w:val="0051702B"/>
    <w:rsid w:val="0051742A"/>
    <w:rsid w:val="005174DB"/>
    <w:rsid w:val="00517511"/>
    <w:rsid w:val="00517825"/>
    <w:rsid w:val="0051782F"/>
    <w:rsid w:val="00517A52"/>
    <w:rsid w:val="00517A66"/>
    <w:rsid w:val="00517E2D"/>
    <w:rsid w:val="00520514"/>
    <w:rsid w:val="00520A59"/>
    <w:rsid w:val="00520B05"/>
    <w:rsid w:val="00520EF8"/>
    <w:rsid w:val="00520FA0"/>
    <w:rsid w:val="0052102D"/>
    <w:rsid w:val="00521095"/>
    <w:rsid w:val="00521192"/>
    <w:rsid w:val="0052134D"/>
    <w:rsid w:val="00521807"/>
    <w:rsid w:val="00521948"/>
    <w:rsid w:val="00521E9A"/>
    <w:rsid w:val="00521EF4"/>
    <w:rsid w:val="005222D6"/>
    <w:rsid w:val="005224E7"/>
    <w:rsid w:val="005227FB"/>
    <w:rsid w:val="00522DD3"/>
    <w:rsid w:val="00523909"/>
    <w:rsid w:val="00523A1B"/>
    <w:rsid w:val="00524899"/>
    <w:rsid w:val="00524CD4"/>
    <w:rsid w:val="00524F4B"/>
    <w:rsid w:val="005251A0"/>
    <w:rsid w:val="00525214"/>
    <w:rsid w:val="0052552A"/>
    <w:rsid w:val="005258EF"/>
    <w:rsid w:val="00525FFF"/>
    <w:rsid w:val="005262D5"/>
    <w:rsid w:val="005265C4"/>
    <w:rsid w:val="0052695F"/>
    <w:rsid w:val="005271CF"/>
    <w:rsid w:val="0052720A"/>
    <w:rsid w:val="005278DC"/>
    <w:rsid w:val="005278F7"/>
    <w:rsid w:val="0053014E"/>
    <w:rsid w:val="005301E8"/>
    <w:rsid w:val="00530668"/>
    <w:rsid w:val="00530E77"/>
    <w:rsid w:val="00530EE2"/>
    <w:rsid w:val="005310AB"/>
    <w:rsid w:val="00531415"/>
    <w:rsid w:val="005314C4"/>
    <w:rsid w:val="00531B3C"/>
    <w:rsid w:val="00531D9E"/>
    <w:rsid w:val="00531F00"/>
    <w:rsid w:val="005323C3"/>
    <w:rsid w:val="00532A67"/>
    <w:rsid w:val="00532C05"/>
    <w:rsid w:val="00533B88"/>
    <w:rsid w:val="00533E11"/>
    <w:rsid w:val="00533E50"/>
    <w:rsid w:val="00534123"/>
    <w:rsid w:val="005342D2"/>
    <w:rsid w:val="0053432D"/>
    <w:rsid w:val="00534371"/>
    <w:rsid w:val="005343CA"/>
    <w:rsid w:val="00534884"/>
    <w:rsid w:val="0053496E"/>
    <w:rsid w:val="00535270"/>
    <w:rsid w:val="0053537B"/>
    <w:rsid w:val="00535726"/>
    <w:rsid w:val="00535834"/>
    <w:rsid w:val="0053593D"/>
    <w:rsid w:val="00535CF6"/>
    <w:rsid w:val="00535E5F"/>
    <w:rsid w:val="00536402"/>
    <w:rsid w:val="005366D2"/>
    <w:rsid w:val="00536788"/>
    <w:rsid w:val="00536AF2"/>
    <w:rsid w:val="00536B4B"/>
    <w:rsid w:val="00537134"/>
    <w:rsid w:val="00537181"/>
    <w:rsid w:val="005371C2"/>
    <w:rsid w:val="005372D5"/>
    <w:rsid w:val="005372FE"/>
    <w:rsid w:val="005373FD"/>
    <w:rsid w:val="00537C12"/>
    <w:rsid w:val="00537E81"/>
    <w:rsid w:val="00537F6F"/>
    <w:rsid w:val="00540C9D"/>
    <w:rsid w:val="00540D4D"/>
    <w:rsid w:val="00540D77"/>
    <w:rsid w:val="00540D7C"/>
    <w:rsid w:val="00541419"/>
    <w:rsid w:val="00541425"/>
    <w:rsid w:val="00541862"/>
    <w:rsid w:val="00541BF4"/>
    <w:rsid w:val="00541C02"/>
    <w:rsid w:val="00541FB9"/>
    <w:rsid w:val="005420F5"/>
    <w:rsid w:val="00542424"/>
    <w:rsid w:val="00542BF0"/>
    <w:rsid w:val="00543272"/>
    <w:rsid w:val="00543411"/>
    <w:rsid w:val="00543827"/>
    <w:rsid w:val="00543A19"/>
    <w:rsid w:val="00543A73"/>
    <w:rsid w:val="00543C1E"/>
    <w:rsid w:val="00543CBB"/>
    <w:rsid w:val="005441E0"/>
    <w:rsid w:val="005445B4"/>
    <w:rsid w:val="00544A96"/>
    <w:rsid w:val="00544B2A"/>
    <w:rsid w:val="00544C3A"/>
    <w:rsid w:val="00544C71"/>
    <w:rsid w:val="00544CD7"/>
    <w:rsid w:val="00544DA6"/>
    <w:rsid w:val="00544EA2"/>
    <w:rsid w:val="0054507E"/>
    <w:rsid w:val="0054517A"/>
    <w:rsid w:val="005452ED"/>
    <w:rsid w:val="00545690"/>
    <w:rsid w:val="00545969"/>
    <w:rsid w:val="00545FF0"/>
    <w:rsid w:val="005460B5"/>
    <w:rsid w:val="00546472"/>
    <w:rsid w:val="005464AC"/>
    <w:rsid w:val="0054655C"/>
    <w:rsid w:val="0054672D"/>
    <w:rsid w:val="00547224"/>
    <w:rsid w:val="0054795A"/>
    <w:rsid w:val="00547CDB"/>
    <w:rsid w:val="00547FFA"/>
    <w:rsid w:val="00550771"/>
    <w:rsid w:val="0055084E"/>
    <w:rsid w:val="00550857"/>
    <w:rsid w:val="005509E0"/>
    <w:rsid w:val="00550A0C"/>
    <w:rsid w:val="00550EB0"/>
    <w:rsid w:val="005513DC"/>
    <w:rsid w:val="0055163A"/>
    <w:rsid w:val="005519D1"/>
    <w:rsid w:val="005524DE"/>
    <w:rsid w:val="005526C0"/>
    <w:rsid w:val="005528CC"/>
    <w:rsid w:val="00552DF8"/>
    <w:rsid w:val="00553945"/>
    <w:rsid w:val="00553C28"/>
    <w:rsid w:val="00554003"/>
    <w:rsid w:val="00554437"/>
    <w:rsid w:val="0055457E"/>
    <w:rsid w:val="005546CC"/>
    <w:rsid w:val="00554917"/>
    <w:rsid w:val="00554949"/>
    <w:rsid w:val="00554C7C"/>
    <w:rsid w:val="00554DF7"/>
    <w:rsid w:val="00554F8E"/>
    <w:rsid w:val="005550AF"/>
    <w:rsid w:val="0055543F"/>
    <w:rsid w:val="005557DE"/>
    <w:rsid w:val="00555DAE"/>
    <w:rsid w:val="005565F3"/>
    <w:rsid w:val="00556F69"/>
    <w:rsid w:val="005572A5"/>
    <w:rsid w:val="005572EF"/>
    <w:rsid w:val="005574FA"/>
    <w:rsid w:val="00560308"/>
    <w:rsid w:val="00560AAA"/>
    <w:rsid w:val="00560C4F"/>
    <w:rsid w:val="00561022"/>
    <w:rsid w:val="00561088"/>
    <w:rsid w:val="00561143"/>
    <w:rsid w:val="0056125F"/>
    <w:rsid w:val="005612CD"/>
    <w:rsid w:val="005614C4"/>
    <w:rsid w:val="005616B2"/>
    <w:rsid w:val="0056179F"/>
    <w:rsid w:val="00561C6D"/>
    <w:rsid w:val="00561E7F"/>
    <w:rsid w:val="00561FB3"/>
    <w:rsid w:val="00562230"/>
    <w:rsid w:val="0056257A"/>
    <w:rsid w:val="00562AB3"/>
    <w:rsid w:val="00562B92"/>
    <w:rsid w:val="00563301"/>
    <w:rsid w:val="00563515"/>
    <w:rsid w:val="005636A4"/>
    <w:rsid w:val="005636AE"/>
    <w:rsid w:val="00563B96"/>
    <w:rsid w:val="0056427D"/>
    <w:rsid w:val="00564B55"/>
    <w:rsid w:val="00564C79"/>
    <w:rsid w:val="00564D44"/>
    <w:rsid w:val="005652E3"/>
    <w:rsid w:val="0056554D"/>
    <w:rsid w:val="005656FC"/>
    <w:rsid w:val="00565991"/>
    <w:rsid w:val="005659BF"/>
    <w:rsid w:val="00565D37"/>
    <w:rsid w:val="00565FE2"/>
    <w:rsid w:val="0056612C"/>
    <w:rsid w:val="005663AD"/>
    <w:rsid w:val="00566554"/>
    <w:rsid w:val="00566811"/>
    <w:rsid w:val="005669B4"/>
    <w:rsid w:val="00566FA6"/>
    <w:rsid w:val="005672DE"/>
    <w:rsid w:val="005675F3"/>
    <w:rsid w:val="005676BB"/>
    <w:rsid w:val="005677E2"/>
    <w:rsid w:val="00567B9C"/>
    <w:rsid w:val="00567F9A"/>
    <w:rsid w:val="00567FCC"/>
    <w:rsid w:val="005707FA"/>
    <w:rsid w:val="0057145A"/>
    <w:rsid w:val="005716E9"/>
    <w:rsid w:val="005718A5"/>
    <w:rsid w:val="00571E13"/>
    <w:rsid w:val="00571E37"/>
    <w:rsid w:val="00571F0C"/>
    <w:rsid w:val="00572239"/>
    <w:rsid w:val="005722D6"/>
    <w:rsid w:val="005723B8"/>
    <w:rsid w:val="00572C1C"/>
    <w:rsid w:val="00572E7A"/>
    <w:rsid w:val="0057300A"/>
    <w:rsid w:val="00573305"/>
    <w:rsid w:val="00573A58"/>
    <w:rsid w:val="00573F89"/>
    <w:rsid w:val="0057467C"/>
    <w:rsid w:val="00574730"/>
    <w:rsid w:val="005747CC"/>
    <w:rsid w:val="00574838"/>
    <w:rsid w:val="005748A6"/>
    <w:rsid w:val="00574C3F"/>
    <w:rsid w:val="00574D2E"/>
    <w:rsid w:val="005751F2"/>
    <w:rsid w:val="00575409"/>
    <w:rsid w:val="005754C5"/>
    <w:rsid w:val="0057569F"/>
    <w:rsid w:val="00575841"/>
    <w:rsid w:val="005759F9"/>
    <w:rsid w:val="00575AB2"/>
    <w:rsid w:val="00575CAD"/>
    <w:rsid w:val="00575CF2"/>
    <w:rsid w:val="0057612B"/>
    <w:rsid w:val="0057620F"/>
    <w:rsid w:val="00576B25"/>
    <w:rsid w:val="00576F15"/>
    <w:rsid w:val="00576F53"/>
    <w:rsid w:val="00576FBC"/>
    <w:rsid w:val="00577187"/>
    <w:rsid w:val="0057784F"/>
    <w:rsid w:val="00577981"/>
    <w:rsid w:val="00577DC3"/>
    <w:rsid w:val="00580000"/>
    <w:rsid w:val="00580107"/>
    <w:rsid w:val="00580218"/>
    <w:rsid w:val="00580511"/>
    <w:rsid w:val="00580988"/>
    <w:rsid w:val="005811E0"/>
    <w:rsid w:val="005813EA"/>
    <w:rsid w:val="0058152A"/>
    <w:rsid w:val="005815BB"/>
    <w:rsid w:val="00581CDD"/>
    <w:rsid w:val="005820DD"/>
    <w:rsid w:val="005826E8"/>
    <w:rsid w:val="0058280B"/>
    <w:rsid w:val="0058281C"/>
    <w:rsid w:val="00582A7C"/>
    <w:rsid w:val="00582AF5"/>
    <w:rsid w:val="00582AF6"/>
    <w:rsid w:val="00583090"/>
    <w:rsid w:val="005830B7"/>
    <w:rsid w:val="0058338F"/>
    <w:rsid w:val="00583402"/>
    <w:rsid w:val="00583674"/>
    <w:rsid w:val="00583BA2"/>
    <w:rsid w:val="00583CE0"/>
    <w:rsid w:val="00584226"/>
    <w:rsid w:val="00584340"/>
    <w:rsid w:val="005843CA"/>
    <w:rsid w:val="00584865"/>
    <w:rsid w:val="00584AF1"/>
    <w:rsid w:val="0058517C"/>
    <w:rsid w:val="00585259"/>
    <w:rsid w:val="00585362"/>
    <w:rsid w:val="005854C9"/>
    <w:rsid w:val="00585587"/>
    <w:rsid w:val="005859A6"/>
    <w:rsid w:val="00586118"/>
    <w:rsid w:val="005863B4"/>
    <w:rsid w:val="00586705"/>
    <w:rsid w:val="00586B88"/>
    <w:rsid w:val="00586BF9"/>
    <w:rsid w:val="00586FC6"/>
    <w:rsid w:val="00587144"/>
    <w:rsid w:val="00587378"/>
    <w:rsid w:val="0058776C"/>
    <w:rsid w:val="0058780B"/>
    <w:rsid w:val="005878F7"/>
    <w:rsid w:val="00587A0D"/>
    <w:rsid w:val="00587BB3"/>
    <w:rsid w:val="00587CF9"/>
    <w:rsid w:val="0059015B"/>
    <w:rsid w:val="00590EEA"/>
    <w:rsid w:val="0059118C"/>
    <w:rsid w:val="00591331"/>
    <w:rsid w:val="00591333"/>
    <w:rsid w:val="00592152"/>
    <w:rsid w:val="00592178"/>
    <w:rsid w:val="00592251"/>
    <w:rsid w:val="00592261"/>
    <w:rsid w:val="0059240D"/>
    <w:rsid w:val="00592436"/>
    <w:rsid w:val="0059287A"/>
    <w:rsid w:val="00592DE4"/>
    <w:rsid w:val="0059376E"/>
    <w:rsid w:val="00593856"/>
    <w:rsid w:val="00593B12"/>
    <w:rsid w:val="00593F50"/>
    <w:rsid w:val="0059403C"/>
    <w:rsid w:val="00594456"/>
    <w:rsid w:val="00594A64"/>
    <w:rsid w:val="00594BF8"/>
    <w:rsid w:val="00594C1D"/>
    <w:rsid w:val="00594D4D"/>
    <w:rsid w:val="00595706"/>
    <w:rsid w:val="0059594B"/>
    <w:rsid w:val="0059642E"/>
    <w:rsid w:val="00596637"/>
    <w:rsid w:val="005969C4"/>
    <w:rsid w:val="00596A4F"/>
    <w:rsid w:val="00596FD1"/>
    <w:rsid w:val="00597254"/>
    <w:rsid w:val="0059739E"/>
    <w:rsid w:val="005974FA"/>
    <w:rsid w:val="00597A65"/>
    <w:rsid w:val="00597BF1"/>
    <w:rsid w:val="005A03DC"/>
    <w:rsid w:val="005A0541"/>
    <w:rsid w:val="005A05B8"/>
    <w:rsid w:val="005A09EF"/>
    <w:rsid w:val="005A0DA9"/>
    <w:rsid w:val="005A0DF4"/>
    <w:rsid w:val="005A1005"/>
    <w:rsid w:val="005A10C0"/>
    <w:rsid w:val="005A1480"/>
    <w:rsid w:val="005A1562"/>
    <w:rsid w:val="005A197B"/>
    <w:rsid w:val="005A1BCF"/>
    <w:rsid w:val="005A208D"/>
    <w:rsid w:val="005A273B"/>
    <w:rsid w:val="005A27AB"/>
    <w:rsid w:val="005A31F4"/>
    <w:rsid w:val="005A322F"/>
    <w:rsid w:val="005A39AB"/>
    <w:rsid w:val="005A3E0E"/>
    <w:rsid w:val="005A3E91"/>
    <w:rsid w:val="005A5088"/>
    <w:rsid w:val="005A5158"/>
    <w:rsid w:val="005A53A0"/>
    <w:rsid w:val="005A5497"/>
    <w:rsid w:val="005A5555"/>
    <w:rsid w:val="005A559A"/>
    <w:rsid w:val="005A5FD6"/>
    <w:rsid w:val="005A6123"/>
    <w:rsid w:val="005A6152"/>
    <w:rsid w:val="005A623E"/>
    <w:rsid w:val="005A62D6"/>
    <w:rsid w:val="005A68FC"/>
    <w:rsid w:val="005A69C3"/>
    <w:rsid w:val="005A6B40"/>
    <w:rsid w:val="005A6BD3"/>
    <w:rsid w:val="005A6CD6"/>
    <w:rsid w:val="005A6D92"/>
    <w:rsid w:val="005A763E"/>
    <w:rsid w:val="005A789E"/>
    <w:rsid w:val="005A799B"/>
    <w:rsid w:val="005A7A6F"/>
    <w:rsid w:val="005A7E93"/>
    <w:rsid w:val="005B0067"/>
    <w:rsid w:val="005B0249"/>
    <w:rsid w:val="005B04CD"/>
    <w:rsid w:val="005B060B"/>
    <w:rsid w:val="005B0D04"/>
    <w:rsid w:val="005B11FA"/>
    <w:rsid w:val="005B12AE"/>
    <w:rsid w:val="005B14F1"/>
    <w:rsid w:val="005B1572"/>
    <w:rsid w:val="005B1622"/>
    <w:rsid w:val="005B24C6"/>
    <w:rsid w:val="005B2567"/>
    <w:rsid w:val="005B25B8"/>
    <w:rsid w:val="005B2627"/>
    <w:rsid w:val="005B2666"/>
    <w:rsid w:val="005B282B"/>
    <w:rsid w:val="005B2B47"/>
    <w:rsid w:val="005B2D7E"/>
    <w:rsid w:val="005B3035"/>
    <w:rsid w:val="005B30A1"/>
    <w:rsid w:val="005B3167"/>
    <w:rsid w:val="005B336A"/>
    <w:rsid w:val="005B3821"/>
    <w:rsid w:val="005B388A"/>
    <w:rsid w:val="005B38E1"/>
    <w:rsid w:val="005B3AD0"/>
    <w:rsid w:val="005B3D2B"/>
    <w:rsid w:val="005B3F70"/>
    <w:rsid w:val="005B447B"/>
    <w:rsid w:val="005B4804"/>
    <w:rsid w:val="005B4864"/>
    <w:rsid w:val="005B49B0"/>
    <w:rsid w:val="005B4A43"/>
    <w:rsid w:val="005B4A49"/>
    <w:rsid w:val="005B51BD"/>
    <w:rsid w:val="005B54C5"/>
    <w:rsid w:val="005B5647"/>
    <w:rsid w:val="005B5724"/>
    <w:rsid w:val="005B586B"/>
    <w:rsid w:val="005B5A18"/>
    <w:rsid w:val="005B5CB2"/>
    <w:rsid w:val="005B5D49"/>
    <w:rsid w:val="005B62A6"/>
    <w:rsid w:val="005B62B2"/>
    <w:rsid w:val="005B6A2E"/>
    <w:rsid w:val="005B6C4A"/>
    <w:rsid w:val="005B6DD4"/>
    <w:rsid w:val="005B7A31"/>
    <w:rsid w:val="005B7D91"/>
    <w:rsid w:val="005B7FC9"/>
    <w:rsid w:val="005C0012"/>
    <w:rsid w:val="005C01DD"/>
    <w:rsid w:val="005C01E8"/>
    <w:rsid w:val="005C0277"/>
    <w:rsid w:val="005C066C"/>
    <w:rsid w:val="005C087D"/>
    <w:rsid w:val="005C0BD9"/>
    <w:rsid w:val="005C0E97"/>
    <w:rsid w:val="005C0F2C"/>
    <w:rsid w:val="005C124A"/>
    <w:rsid w:val="005C1356"/>
    <w:rsid w:val="005C1518"/>
    <w:rsid w:val="005C198E"/>
    <w:rsid w:val="005C1B57"/>
    <w:rsid w:val="005C1E4E"/>
    <w:rsid w:val="005C2149"/>
    <w:rsid w:val="005C22B4"/>
    <w:rsid w:val="005C2332"/>
    <w:rsid w:val="005C24AE"/>
    <w:rsid w:val="005C265A"/>
    <w:rsid w:val="005C2A97"/>
    <w:rsid w:val="005C2BCD"/>
    <w:rsid w:val="005C2F41"/>
    <w:rsid w:val="005C2F4C"/>
    <w:rsid w:val="005C30CD"/>
    <w:rsid w:val="005C3417"/>
    <w:rsid w:val="005C3AE0"/>
    <w:rsid w:val="005C3D56"/>
    <w:rsid w:val="005C3E85"/>
    <w:rsid w:val="005C4060"/>
    <w:rsid w:val="005C41EE"/>
    <w:rsid w:val="005C4294"/>
    <w:rsid w:val="005C467A"/>
    <w:rsid w:val="005C4707"/>
    <w:rsid w:val="005C49C2"/>
    <w:rsid w:val="005C4BA1"/>
    <w:rsid w:val="005C4CE5"/>
    <w:rsid w:val="005C4F8E"/>
    <w:rsid w:val="005C53F3"/>
    <w:rsid w:val="005C5975"/>
    <w:rsid w:val="005C5DC2"/>
    <w:rsid w:val="005C65FC"/>
    <w:rsid w:val="005C66BE"/>
    <w:rsid w:val="005C69AC"/>
    <w:rsid w:val="005C6CFC"/>
    <w:rsid w:val="005C6CFF"/>
    <w:rsid w:val="005C73B9"/>
    <w:rsid w:val="005C76BF"/>
    <w:rsid w:val="005C79C6"/>
    <w:rsid w:val="005C7F45"/>
    <w:rsid w:val="005C7FCD"/>
    <w:rsid w:val="005D07F4"/>
    <w:rsid w:val="005D139A"/>
    <w:rsid w:val="005D1651"/>
    <w:rsid w:val="005D1E74"/>
    <w:rsid w:val="005D21FA"/>
    <w:rsid w:val="005D2242"/>
    <w:rsid w:val="005D2615"/>
    <w:rsid w:val="005D33AD"/>
    <w:rsid w:val="005D358A"/>
    <w:rsid w:val="005D397F"/>
    <w:rsid w:val="005D3C47"/>
    <w:rsid w:val="005D40A6"/>
    <w:rsid w:val="005D44FB"/>
    <w:rsid w:val="005D487F"/>
    <w:rsid w:val="005D48B2"/>
    <w:rsid w:val="005D49FB"/>
    <w:rsid w:val="005D4A34"/>
    <w:rsid w:val="005D4DC2"/>
    <w:rsid w:val="005D4E43"/>
    <w:rsid w:val="005D52ED"/>
    <w:rsid w:val="005D5400"/>
    <w:rsid w:val="005D57F3"/>
    <w:rsid w:val="005D62D9"/>
    <w:rsid w:val="005D63E2"/>
    <w:rsid w:val="005D685E"/>
    <w:rsid w:val="005D6A2E"/>
    <w:rsid w:val="005D6B68"/>
    <w:rsid w:val="005D6DFE"/>
    <w:rsid w:val="005D74B0"/>
    <w:rsid w:val="005D7580"/>
    <w:rsid w:val="005D78C3"/>
    <w:rsid w:val="005D7A9A"/>
    <w:rsid w:val="005E0132"/>
    <w:rsid w:val="005E068B"/>
    <w:rsid w:val="005E0ADC"/>
    <w:rsid w:val="005E0FA0"/>
    <w:rsid w:val="005E0FB3"/>
    <w:rsid w:val="005E0FBE"/>
    <w:rsid w:val="005E106A"/>
    <w:rsid w:val="005E11C2"/>
    <w:rsid w:val="005E141D"/>
    <w:rsid w:val="005E1948"/>
    <w:rsid w:val="005E1A3B"/>
    <w:rsid w:val="005E1F63"/>
    <w:rsid w:val="005E22AB"/>
    <w:rsid w:val="005E2562"/>
    <w:rsid w:val="005E309A"/>
    <w:rsid w:val="005E30EE"/>
    <w:rsid w:val="005E3569"/>
    <w:rsid w:val="005E37FD"/>
    <w:rsid w:val="005E3921"/>
    <w:rsid w:val="005E3949"/>
    <w:rsid w:val="005E3A95"/>
    <w:rsid w:val="005E3BF9"/>
    <w:rsid w:val="005E404C"/>
    <w:rsid w:val="005E40BB"/>
    <w:rsid w:val="005E4994"/>
    <w:rsid w:val="005E49B8"/>
    <w:rsid w:val="005E4BC0"/>
    <w:rsid w:val="005E4C36"/>
    <w:rsid w:val="005E4DB4"/>
    <w:rsid w:val="005E4DFD"/>
    <w:rsid w:val="005E5227"/>
    <w:rsid w:val="005E5423"/>
    <w:rsid w:val="005E5761"/>
    <w:rsid w:val="005E597C"/>
    <w:rsid w:val="005E617A"/>
    <w:rsid w:val="005E61D2"/>
    <w:rsid w:val="005E62C8"/>
    <w:rsid w:val="005E6368"/>
    <w:rsid w:val="005E6714"/>
    <w:rsid w:val="005E67D1"/>
    <w:rsid w:val="005E67F1"/>
    <w:rsid w:val="005E702E"/>
    <w:rsid w:val="005E703A"/>
    <w:rsid w:val="005E767C"/>
    <w:rsid w:val="005E76CA"/>
    <w:rsid w:val="005E76D5"/>
    <w:rsid w:val="005E79EE"/>
    <w:rsid w:val="005E7A4A"/>
    <w:rsid w:val="005E7D09"/>
    <w:rsid w:val="005E7D54"/>
    <w:rsid w:val="005E7FDA"/>
    <w:rsid w:val="005F07AB"/>
    <w:rsid w:val="005F0AA4"/>
    <w:rsid w:val="005F0BD1"/>
    <w:rsid w:val="005F0C88"/>
    <w:rsid w:val="005F146E"/>
    <w:rsid w:val="005F1A35"/>
    <w:rsid w:val="005F2189"/>
    <w:rsid w:val="005F241A"/>
    <w:rsid w:val="005F2AC9"/>
    <w:rsid w:val="005F30B1"/>
    <w:rsid w:val="005F30CD"/>
    <w:rsid w:val="005F33F1"/>
    <w:rsid w:val="005F3411"/>
    <w:rsid w:val="005F3F2A"/>
    <w:rsid w:val="005F40A5"/>
    <w:rsid w:val="005F425F"/>
    <w:rsid w:val="005F46B2"/>
    <w:rsid w:val="005F5158"/>
    <w:rsid w:val="005F533D"/>
    <w:rsid w:val="005F54BF"/>
    <w:rsid w:val="005F55EA"/>
    <w:rsid w:val="005F560A"/>
    <w:rsid w:val="005F5739"/>
    <w:rsid w:val="005F586D"/>
    <w:rsid w:val="005F5918"/>
    <w:rsid w:val="005F59DF"/>
    <w:rsid w:val="005F5BB7"/>
    <w:rsid w:val="005F5E62"/>
    <w:rsid w:val="005F6274"/>
    <w:rsid w:val="005F629B"/>
    <w:rsid w:val="005F6634"/>
    <w:rsid w:val="005F671F"/>
    <w:rsid w:val="005F6C7A"/>
    <w:rsid w:val="005F6F3E"/>
    <w:rsid w:val="005F7050"/>
    <w:rsid w:val="005F77EF"/>
    <w:rsid w:val="005F7F55"/>
    <w:rsid w:val="0060041D"/>
    <w:rsid w:val="00600C1C"/>
    <w:rsid w:val="00601040"/>
    <w:rsid w:val="006010F3"/>
    <w:rsid w:val="006013A5"/>
    <w:rsid w:val="0060172A"/>
    <w:rsid w:val="0060172C"/>
    <w:rsid w:val="006017C1"/>
    <w:rsid w:val="00601D38"/>
    <w:rsid w:val="00601F78"/>
    <w:rsid w:val="0060218B"/>
    <w:rsid w:val="00602C92"/>
    <w:rsid w:val="00602DCF"/>
    <w:rsid w:val="006033DF"/>
    <w:rsid w:val="006036D9"/>
    <w:rsid w:val="00603C97"/>
    <w:rsid w:val="00603F02"/>
    <w:rsid w:val="00604379"/>
    <w:rsid w:val="00604591"/>
    <w:rsid w:val="006049C9"/>
    <w:rsid w:val="0060502D"/>
    <w:rsid w:val="0060513F"/>
    <w:rsid w:val="006055B2"/>
    <w:rsid w:val="00605833"/>
    <w:rsid w:val="00605841"/>
    <w:rsid w:val="006058A4"/>
    <w:rsid w:val="00605C36"/>
    <w:rsid w:val="00605E56"/>
    <w:rsid w:val="00606DF9"/>
    <w:rsid w:val="00606F58"/>
    <w:rsid w:val="00607101"/>
    <w:rsid w:val="00607398"/>
    <w:rsid w:val="0060751C"/>
    <w:rsid w:val="00607671"/>
    <w:rsid w:val="0060770D"/>
    <w:rsid w:val="0060771B"/>
    <w:rsid w:val="00607852"/>
    <w:rsid w:val="006078C7"/>
    <w:rsid w:val="00607912"/>
    <w:rsid w:val="00607CB3"/>
    <w:rsid w:val="00610497"/>
    <w:rsid w:val="00610599"/>
    <w:rsid w:val="006105D5"/>
    <w:rsid w:val="006106E3"/>
    <w:rsid w:val="0061078F"/>
    <w:rsid w:val="00610C31"/>
    <w:rsid w:val="00610CB4"/>
    <w:rsid w:val="0061116E"/>
    <w:rsid w:val="00611379"/>
    <w:rsid w:val="00611746"/>
    <w:rsid w:val="006117C8"/>
    <w:rsid w:val="00611850"/>
    <w:rsid w:val="006118F2"/>
    <w:rsid w:val="00611A12"/>
    <w:rsid w:val="006122D0"/>
    <w:rsid w:val="00612CB1"/>
    <w:rsid w:val="006131CA"/>
    <w:rsid w:val="00613259"/>
    <w:rsid w:val="006136EC"/>
    <w:rsid w:val="0061377D"/>
    <w:rsid w:val="006141D4"/>
    <w:rsid w:val="006144C6"/>
    <w:rsid w:val="006148D2"/>
    <w:rsid w:val="00614914"/>
    <w:rsid w:val="00614BF2"/>
    <w:rsid w:val="00614CCB"/>
    <w:rsid w:val="00615091"/>
    <w:rsid w:val="0061570A"/>
    <w:rsid w:val="00615710"/>
    <w:rsid w:val="006159D4"/>
    <w:rsid w:val="00616509"/>
    <w:rsid w:val="00616B37"/>
    <w:rsid w:val="00617097"/>
    <w:rsid w:val="006174CF"/>
    <w:rsid w:val="00617CB7"/>
    <w:rsid w:val="00620071"/>
    <w:rsid w:val="00620232"/>
    <w:rsid w:val="00620485"/>
    <w:rsid w:val="00620673"/>
    <w:rsid w:val="00620A07"/>
    <w:rsid w:val="0062118C"/>
    <w:rsid w:val="006214A9"/>
    <w:rsid w:val="00621628"/>
    <w:rsid w:val="0062197B"/>
    <w:rsid w:val="00621A27"/>
    <w:rsid w:val="0062264F"/>
    <w:rsid w:val="0062267A"/>
    <w:rsid w:val="0062281F"/>
    <w:rsid w:val="00622D0C"/>
    <w:rsid w:val="00622F2B"/>
    <w:rsid w:val="00622F8B"/>
    <w:rsid w:val="006232B5"/>
    <w:rsid w:val="006233F5"/>
    <w:rsid w:val="00623954"/>
    <w:rsid w:val="00623DB1"/>
    <w:rsid w:val="00624188"/>
    <w:rsid w:val="006243D0"/>
    <w:rsid w:val="00624855"/>
    <w:rsid w:val="00624A6C"/>
    <w:rsid w:val="00624AF3"/>
    <w:rsid w:val="00624B93"/>
    <w:rsid w:val="006256DB"/>
    <w:rsid w:val="006259A8"/>
    <w:rsid w:val="00625B80"/>
    <w:rsid w:val="00625C07"/>
    <w:rsid w:val="00625DBC"/>
    <w:rsid w:val="0062605B"/>
    <w:rsid w:val="006260AC"/>
    <w:rsid w:val="006262CF"/>
    <w:rsid w:val="0062696D"/>
    <w:rsid w:val="006269E1"/>
    <w:rsid w:val="00626D33"/>
    <w:rsid w:val="00627015"/>
    <w:rsid w:val="006272C1"/>
    <w:rsid w:val="00627644"/>
    <w:rsid w:val="00627731"/>
    <w:rsid w:val="006279C9"/>
    <w:rsid w:val="00627B00"/>
    <w:rsid w:val="00627E73"/>
    <w:rsid w:val="0063033C"/>
    <w:rsid w:val="006305F5"/>
    <w:rsid w:val="00630711"/>
    <w:rsid w:val="0063093D"/>
    <w:rsid w:val="006310C9"/>
    <w:rsid w:val="00631AB3"/>
    <w:rsid w:val="00632215"/>
    <w:rsid w:val="00632E69"/>
    <w:rsid w:val="00633211"/>
    <w:rsid w:val="00633251"/>
    <w:rsid w:val="00633435"/>
    <w:rsid w:val="006336FA"/>
    <w:rsid w:val="0063375B"/>
    <w:rsid w:val="0063382A"/>
    <w:rsid w:val="00633855"/>
    <w:rsid w:val="00633FAE"/>
    <w:rsid w:val="0063404D"/>
    <w:rsid w:val="00634517"/>
    <w:rsid w:val="00634590"/>
    <w:rsid w:val="0063476F"/>
    <w:rsid w:val="006349E1"/>
    <w:rsid w:val="00634E6B"/>
    <w:rsid w:val="006352AA"/>
    <w:rsid w:val="00635D52"/>
    <w:rsid w:val="0063619C"/>
    <w:rsid w:val="00636382"/>
    <w:rsid w:val="00636970"/>
    <w:rsid w:val="00636E55"/>
    <w:rsid w:val="006370EC"/>
    <w:rsid w:val="006372D5"/>
    <w:rsid w:val="0063733D"/>
    <w:rsid w:val="006375C1"/>
    <w:rsid w:val="006379F5"/>
    <w:rsid w:val="00637E33"/>
    <w:rsid w:val="006400BC"/>
    <w:rsid w:val="0064012B"/>
    <w:rsid w:val="0064027D"/>
    <w:rsid w:val="006407EB"/>
    <w:rsid w:val="00640ABD"/>
    <w:rsid w:val="00640CC6"/>
    <w:rsid w:val="00641116"/>
    <w:rsid w:val="00642352"/>
    <w:rsid w:val="00642407"/>
    <w:rsid w:val="006428F7"/>
    <w:rsid w:val="00642A21"/>
    <w:rsid w:val="00642A2C"/>
    <w:rsid w:val="00642F19"/>
    <w:rsid w:val="00642F76"/>
    <w:rsid w:val="00643377"/>
    <w:rsid w:val="006437A0"/>
    <w:rsid w:val="006439D3"/>
    <w:rsid w:val="00643B75"/>
    <w:rsid w:val="00643DA9"/>
    <w:rsid w:val="00643FBB"/>
    <w:rsid w:val="0064405A"/>
    <w:rsid w:val="006445CB"/>
    <w:rsid w:val="00644881"/>
    <w:rsid w:val="0064502E"/>
    <w:rsid w:val="00645242"/>
    <w:rsid w:val="0064532A"/>
    <w:rsid w:val="006453C4"/>
    <w:rsid w:val="0064586E"/>
    <w:rsid w:val="0064596F"/>
    <w:rsid w:val="0064597B"/>
    <w:rsid w:val="00645C9A"/>
    <w:rsid w:val="00645FDA"/>
    <w:rsid w:val="00646F76"/>
    <w:rsid w:val="00647369"/>
    <w:rsid w:val="006473CC"/>
    <w:rsid w:val="00647A71"/>
    <w:rsid w:val="006506CE"/>
    <w:rsid w:val="00650807"/>
    <w:rsid w:val="00650CA8"/>
    <w:rsid w:val="00650D76"/>
    <w:rsid w:val="00650D8A"/>
    <w:rsid w:val="0065113E"/>
    <w:rsid w:val="0065155D"/>
    <w:rsid w:val="006515D2"/>
    <w:rsid w:val="006515FF"/>
    <w:rsid w:val="00651807"/>
    <w:rsid w:val="006519A0"/>
    <w:rsid w:val="0065230A"/>
    <w:rsid w:val="00652725"/>
    <w:rsid w:val="00652BFB"/>
    <w:rsid w:val="00652EDF"/>
    <w:rsid w:val="006530C0"/>
    <w:rsid w:val="00653230"/>
    <w:rsid w:val="006535F8"/>
    <w:rsid w:val="00653FC7"/>
    <w:rsid w:val="006545E1"/>
    <w:rsid w:val="00654E48"/>
    <w:rsid w:val="00654FF7"/>
    <w:rsid w:val="0065503A"/>
    <w:rsid w:val="0065576F"/>
    <w:rsid w:val="0065587D"/>
    <w:rsid w:val="00655F42"/>
    <w:rsid w:val="00655FEE"/>
    <w:rsid w:val="00656636"/>
    <w:rsid w:val="00656CC1"/>
    <w:rsid w:val="0065702A"/>
    <w:rsid w:val="00657334"/>
    <w:rsid w:val="0065750E"/>
    <w:rsid w:val="00657786"/>
    <w:rsid w:val="006577F1"/>
    <w:rsid w:val="00657902"/>
    <w:rsid w:val="00657C6B"/>
    <w:rsid w:val="00660060"/>
    <w:rsid w:val="00660257"/>
    <w:rsid w:val="006602E3"/>
    <w:rsid w:val="00660366"/>
    <w:rsid w:val="00660394"/>
    <w:rsid w:val="006603D4"/>
    <w:rsid w:val="006605DD"/>
    <w:rsid w:val="00660601"/>
    <w:rsid w:val="0066091E"/>
    <w:rsid w:val="0066110D"/>
    <w:rsid w:val="0066151C"/>
    <w:rsid w:val="006616F8"/>
    <w:rsid w:val="006618AD"/>
    <w:rsid w:val="00661986"/>
    <w:rsid w:val="00661C17"/>
    <w:rsid w:val="00661CC1"/>
    <w:rsid w:val="00662666"/>
    <w:rsid w:val="00662988"/>
    <w:rsid w:val="00662BFA"/>
    <w:rsid w:val="0066309F"/>
    <w:rsid w:val="00663162"/>
    <w:rsid w:val="0066350C"/>
    <w:rsid w:val="00664877"/>
    <w:rsid w:val="00664A46"/>
    <w:rsid w:val="00664BF5"/>
    <w:rsid w:val="00664E4A"/>
    <w:rsid w:val="00664E9C"/>
    <w:rsid w:val="0066563C"/>
    <w:rsid w:val="006656FD"/>
    <w:rsid w:val="006657EF"/>
    <w:rsid w:val="0066584C"/>
    <w:rsid w:val="00665C79"/>
    <w:rsid w:val="00665E5C"/>
    <w:rsid w:val="0066619D"/>
    <w:rsid w:val="00666261"/>
    <w:rsid w:val="0066628D"/>
    <w:rsid w:val="006662A8"/>
    <w:rsid w:val="0066678E"/>
    <w:rsid w:val="00666809"/>
    <w:rsid w:val="0066685C"/>
    <w:rsid w:val="00666944"/>
    <w:rsid w:val="00666E47"/>
    <w:rsid w:val="00666EA2"/>
    <w:rsid w:val="00667161"/>
    <w:rsid w:val="006671AF"/>
    <w:rsid w:val="006672DB"/>
    <w:rsid w:val="00667308"/>
    <w:rsid w:val="00667C11"/>
    <w:rsid w:val="00667E1C"/>
    <w:rsid w:val="0067066B"/>
    <w:rsid w:val="0067162B"/>
    <w:rsid w:val="00671729"/>
    <w:rsid w:val="0067184D"/>
    <w:rsid w:val="0067185C"/>
    <w:rsid w:val="00671C04"/>
    <w:rsid w:val="0067218B"/>
    <w:rsid w:val="00672397"/>
    <w:rsid w:val="006728DF"/>
    <w:rsid w:val="00672F52"/>
    <w:rsid w:val="006731A0"/>
    <w:rsid w:val="006732BD"/>
    <w:rsid w:val="006732C9"/>
    <w:rsid w:val="00673459"/>
    <w:rsid w:val="006734B2"/>
    <w:rsid w:val="006737C0"/>
    <w:rsid w:val="0067388F"/>
    <w:rsid w:val="00673E8E"/>
    <w:rsid w:val="00674622"/>
    <w:rsid w:val="0067475D"/>
    <w:rsid w:val="0067558E"/>
    <w:rsid w:val="00675C04"/>
    <w:rsid w:val="00675E1D"/>
    <w:rsid w:val="00675E2E"/>
    <w:rsid w:val="00675E91"/>
    <w:rsid w:val="00675FC0"/>
    <w:rsid w:val="00676015"/>
    <w:rsid w:val="0067628D"/>
    <w:rsid w:val="00676917"/>
    <w:rsid w:val="00677012"/>
    <w:rsid w:val="00677104"/>
    <w:rsid w:val="00677780"/>
    <w:rsid w:val="00677784"/>
    <w:rsid w:val="00677EAA"/>
    <w:rsid w:val="006801F8"/>
    <w:rsid w:val="00680385"/>
    <w:rsid w:val="0068093D"/>
    <w:rsid w:val="00680C38"/>
    <w:rsid w:val="006810EB"/>
    <w:rsid w:val="00681551"/>
    <w:rsid w:val="006815D5"/>
    <w:rsid w:val="00681D99"/>
    <w:rsid w:val="00681E96"/>
    <w:rsid w:val="00681FE6"/>
    <w:rsid w:val="006825FB"/>
    <w:rsid w:val="006826E0"/>
    <w:rsid w:val="006828A1"/>
    <w:rsid w:val="00682B65"/>
    <w:rsid w:val="00682BB7"/>
    <w:rsid w:val="006835C0"/>
    <w:rsid w:val="00683687"/>
    <w:rsid w:val="00683959"/>
    <w:rsid w:val="00683B07"/>
    <w:rsid w:val="0068421B"/>
    <w:rsid w:val="00684250"/>
    <w:rsid w:val="0068434E"/>
    <w:rsid w:val="00684AD4"/>
    <w:rsid w:val="00684E2A"/>
    <w:rsid w:val="0068518D"/>
    <w:rsid w:val="00685278"/>
    <w:rsid w:val="006854E9"/>
    <w:rsid w:val="0068598F"/>
    <w:rsid w:val="00685E44"/>
    <w:rsid w:val="00686049"/>
    <w:rsid w:val="00686294"/>
    <w:rsid w:val="006862D1"/>
    <w:rsid w:val="00686462"/>
    <w:rsid w:val="006867F9"/>
    <w:rsid w:val="0068698D"/>
    <w:rsid w:val="00686CC9"/>
    <w:rsid w:val="00687545"/>
    <w:rsid w:val="0068781B"/>
    <w:rsid w:val="006878CA"/>
    <w:rsid w:val="006879B1"/>
    <w:rsid w:val="00687A2B"/>
    <w:rsid w:val="00687B5B"/>
    <w:rsid w:val="00687DB0"/>
    <w:rsid w:val="0069020C"/>
    <w:rsid w:val="00690DEF"/>
    <w:rsid w:val="00690F99"/>
    <w:rsid w:val="006912EA"/>
    <w:rsid w:val="00691372"/>
    <w:rsid w:val="00691380"/>
    <w:rsid w:val="006913E7"/>
    <w:rsid w:val="0069145C"/>
    <w:rsid w:val="006914CB"/>
    <w:rsid w:val="006917F1"/>
    <w:rsid w:val="006918A3"/>
    <w:rsid w:val="006923B8"/>
    <w:rsid w:val="006926A5"/>
    <w:rsid w:val="00692AFA"/>
    <w:rsid w:val="00692C5D"/>
    <w:rsid w:val="0069309F"/>
    <w:rsid w:val="006930DA"/>
    <w:rsid w:val="0069316A"/>
    <w:rsid w:val="006931E9"/>
    <w:rsid w:val="006933D2"/>
    <w:rsid w:val="006935DB"/>
    <w:rsid w:val="00693834"/>
    <w:rsid w:val="00693A62"/>
    <w:rsid w:val="00693A91"/>
    <w:rsid w:val="00693E42"/>
    <w:rsid w:val="00694095"/>
    <w:rsid w:val="006949E0"/>
    <w:rsid w:val="00694E03"/>
    <w:rsid w:val="0069520A"/>
    <w:rsid w:val="00695304"/>
    <w:rsid w:val="0069534E"/>
    <w:rsid w:val="006954F1"/>
    <w:rsid w:val="0069562C"/>
    <w:rsid w:val="0069594E"/>
    <w:rsid w:val="00695F4B"/>
    <w:rsid w:val="00697210"/>
    <w:rsid w:val="006973B1"/>
    <w:rsid w:val="0069782B"/>
    <w:rsid w:val="00697993"/>
    <w:rsid w:val="00697A43"/>
    <w:rsid w:val="00697A77"/>
    <w:rsid w:val="006A029A"/>
    <w:rsid w:val="006A02E7"/>
    <w:rsid w:val="006A02EC"/>
    <w:rsid w:val="006A0941"/>
    <w:rsid w:val="006A0A7C"/>
    <w:rsid w:val="006A1731"/>
    <w:rsid w:val="006A1ACA"/>
    <w:rsid w:val="006A1B18"/>
    <w:rsid w:val="006A1C11"/>
    <w:rsid w:val="006A1CB3"/>
    <w:rsid w:val="006A21D1"/>
    <w:rsid w:val="006A226F"/>
    <w:rsid w:val="006A285B"/>
    <w:rsid w:val="006A296D"/>
    <w:rsid w:val="006A2CD7"/>
    <w:rsid w:val="006A2D07"/>
    <w:rsid w:val="006A2D0D"/>
    <w:rsid w:val="006A318B"/>
    <w:rsid w:val="006A321B"/>
    <w:rsid w:val="006A33D4"/>
    <w:rsid w:val="006A3A64"/>
    <w:rsid w:val="006A3AED"/>
    <w:rsid w:val="006A3FFD"/>
    <w:rsid w:val="006A4139"/>
    <w:rsid w:val="006A4222"/>
    <w:rsid w:val="006A4B33"/>
    <w:rsid w:val="006A4BC3"/>
    <w:rsid w:val="006A4EB7"/>
    <w:rsid w:val="006A5408"/>
    <w:rsid w:val="006A5608"/>
    <w:rsid w:val="006A5743"/>
    <w:rsid w:val="006A5885"/>
    <w:rsid w:val="006A5890"/>
    <w:rsid w:val="006A59B6"/>
    <w:rsid w:val="006A5FBB"/>
    <w:rsid w:val="006A6C7E"/>
    <w:rsid w:val="006A6D95"/>
    <w:rsid w:val="006A700D"/>
    <w:rsid w:val="006A7023"/>
    <w:rsid w:val="006A7746"/>
    <w:rsid w:val="006A796B"/>
    <w:rsid w:val="006A7A83"/>
    <w:rsid w:val="006A7AD6"/>
    <w:rsid w:val="006A7C55"/>
    <w:rsid w:val="006A7D07"/>
    <w:rsid w:val="006A7EE2"/>
    <w:rsid w:val="006B00B3"/>
    <w:rsid w:val="006B0EA1"/>
    <w:rsid w:val="006B1072"/>
    <w:rsid w:val="006B17B5"/>
    <w:rsid w:val="006B1821"/>
    <w:rsid w:val="006B1B74"/>
    <w:rsid w:val="006B1C86"/>
    <w:rsid w:val="006B1D54"/>
    <w:rsid w:val="006B212A"/>
    <w:rsid w:val="006B219A"/>
    <w:rsid w:val="006B22DE"/>
    <w:rsid w:val="006B2806"/>
    <w:rsid w:val="006B2864"/>
    <w:rsid w:val="006B29D5"/>
    <w:rsid w:val="006B2BA3"/>
    <w:rsid w:val="006B2FA9"/>
    <w:rsid w:val="006B33C6"/>
    <w:rsid w:val="006B355A"/>
    <w:rsid w:val="006B37DA"/>
    <w:rsid w:val="006B3834"/>
    <w:rsid w:val="006B3886"/>
    <w:rsid w:val="006B3C03"/>
    <w:rsid w:val="006B3ED7"/>
    <w:rsid w:val="006B41DD"/>
    <w:rsid w:val="006B4B9E"/>
    <w:rsid w:val="006B4E97"/>
    <w:rsid w:val="006B528A"/>
    <w:rsid w:val="006B53D0"/>
    <w:rsid w:val="006B5852"/>
    <w:rsid w:val="006B5AA4"/>
    <w:rsid w:val="006B5E88"/>
    <w:rsid w:val="006B6663"/>
    <w:rsid w:val="006B6D85"/>
    <w:rsid w:val="006B7545"/>
    <w:rsid w:val="006B7803"/>
    <w:rsid w:val="006B7AAC"/>
    <w:rsid w:val="006B7CE1"/>
    <w:rsid w:val="006B7ED1"/>
    <w:rsid w:val="006C000F"/>
    <w:rsid w:val="006C03FA"/>
    <w:rsid w:val="006C07A7"/>
    <w:rsid w:val="006C086E"/>
    <w:rsid w:val="006C0C31"/>
    <w:rsid w:val="006C0EBA"/>
    <w:rsid w:val="006C10EF"/>
    <w:rsid w:val="006C178B"/>
    <w:rsid w:val="006C1A3A"/>
    <w:rsid w:val="006C1ABF"/>
    <w:rsid w:val="006C1B2D"/>
    <w:rsid w:val="006C1C0D"/>
    <w:rsid w:val="006C1D8B"/>
    <w:rsid w:val="006C20B6"/>
    <w:rsid w:val="006C22B8"/>
    <w:rsid w:val="006C22FC"/>
    <w:rsid w:val="006C261D"/>
    <w:rsid w:val="006C26A4"/>
    <w:rsid w:val="006C2796"/>
    <w:rsid w:val="006C2BC9"/>
    <w:rsid w:val="006C2D1F"/>
    <w:rsid w:val="006C2DCD"/>
    <w:rsid w:val="006C2F1D"/>
    <w:rsid w:val="006C31AE"/>
    <w:rsid w:val="006C333E"/>
    <w:rsid w:val="006C391A"/>
    <w:rsid w:val="006C3A66"/>
    <w:rsid w:val="006C3D80"/>
    <w:rsid w:val="006C4934"/>
    <w:rsid w:val="006C5850"/>
    <w:rsid w:val="006C5E36"/>
    <w:rsid w:val="006C5E69"/>
    <w:rsid w:val="006C5E7F"/>
    <w:rsid w:val="006C5F80"/>
    <w:rsid w:val="006C69DD"/>
    <w:rsid w:val="006C69F3"/>
    <w:rsid w:val="006C7043"/>
    <w:rsid w:val="006C7A2D"/>
    <w:rsid w:val="006C7D0F"/>
    <w:rsid w:val="006C7D78"/>
    <w:rsid w:val="006D0420"/>
    <w:rsid w:val="006D05DB"/>
    <w:rsid w:val="006D0957"/>
    <w:rsid w:val="006D0B65"/>
    <w:rsid w:val="006D0E32"/>
    <w:rsid w:val="006D0EA5"/>
    <w:rsid w:val="006D1022"/>
    <w:rsid w:val="006D145F"/>
    <w:rsid w:val="006D165A"/>
    <w:rsid w:val="006D1693"/>
    <w:rsid w:val="006D1F9B"/>
    <w:rsid w:val="006D2658"/>
    <w:rsid w:val="006D2706"/>
    <w:rsid w:val="006D2ACE"/>
    <w:rsid w:val="006D2B27"/>
    <w:rsid w:val="006D2D12"/>
    <w:rsid w:val="006D311B"/>
    <w:rsid w:val="006D3A32"/>
    <w:rsid w:val="006D3A53"/>
    <w:rsid w:val="006D3B93"/>
    <w:rsid w:val="006D41DA"/>
    <w:rsid w:val="006D4540"/>
    <w:rsid w:val="006D458B"/>
    <w:rsid w:val="006D4A35"/>
    <w:rsid w:val="006D50D9"/>
    <w:rsid w:val="006D551C"/>
    <w:rsid w:val="006D5CE9"/>
    <w:rsid w:val="006D5D9C"/>
    <w:rsid w:val="006D60FB"/>
    <w:rsid w:val="006D6268"/>
    <w:rsid w:val="006D6515"/>
    <w:rsid w:val="006D67DF"/>
    <w:rsid w:val="006D6815"/>
    <w:rsid w:val="006D6C54"/>
    <w:rsid w:val="006D6DC0"/>
    <w:rsid w:val="006D7341"/>
    <w:rsid w:val="006E010F"/>
    <w:rsid w:val="006E045D"/>
    <w:rsid w:val="006E0703"/>
    <w:rsid w:val="006E073B"/>
    <w:rsid w:val="006E0A49"/>
    <w:rsid w:val="006E0C35"/>
    <w:rsid w:val="006E0C37"/>
    <w:rsid w:val="006E0D2A"/>
    <w:rsid w:val="006E0D31"/>
    <w:rsid w:val="006E0E87"/>
    <w:rsid w:val="006E11F0"/>
    <w:rsid w:val="006E16BD"/>
    <w:rsid w:val="006E19A7"/>
    <w:rsid w:val="006E19CD"/>
    <w:rsid w:val="006E1C05"/>
    <w:rsid w:val="006E210F"/>
    <w:rsid w:val="006E2AE7"/>
    <w:rsid w:val="006E2B39"/>
    <w:rsid w:val="006E2FA6"/>
    <w:rsid w:val="006E3285"/>
    <w:rsid w:val="006E3322"/>
    <w:rsid w:val="006E34C6"/>
    <w:rsid w:val="006E3542"/>
    <w:rsid w:val="006E3569"/>
    <w:rsid w:val="006E36ED"/>
    <w:rsid w:val="006E394F"/>
    <w:rsid w:val="006E3A66"/>
    <w:rsid w:val="006E3CFB"/>
    <w:rsid w:val="006E4043"/>
    <w:rsid w:val="006E4353"/>
    <w:rsid w:val="006E45CA"/>
    <w:rsid w:val="006E4910"/>
    <w:rsid w:val="006E4F5D"/>
    <w:rsid w:val="006E50AB"/>
    <w:rsid w:val="006E51D3"/>
    <w:rsid w:val="006E5F84"/>
    <w:rsid w:val="006E5FFF"/>
    <w:rsid w:val="006E618D"/>
    <w:rsid w:val="006E61E8"/>
    <w:rsid w:val="006E679D"/>
    <w:rsid w:val="006E6803"/>
    <w:rsid w:val="006E6DCF"/>
    <w:rsid w:val="006E72F6"/>
    <w:rsid w:val="006E7807"/>
    <w:rsid w:val="006E783B"/>
    <w:rsid w:val="006F0167"/>
    <w:rsid w:val="006F0295"/>
    <w:rsid w:val="006F0494"/>
    <w:rsid w:val="006F0522"/>
    <w:rsid w:val="006F056B"/>
    <w:rsid w:val="006F07EA"/>
    <w:rsid w:val="006F0932"/>
    <w:rsid w:val="006F0B1E"/>
    <w:rsid w:val="006F0E40"/>
    <w:rsid w:val="006F0FB4"/>
    <w:rsid w:val="006F10F7"/>
    <w:rsid w:val="006F128F"/>
    <w:rsid w:val="006F1CEB"/>
    <w:rsid w:val="006F335B"/>
    <w:rsid w:val="006F35FB"/>
    <w:rsid w:val="006F3679"/>
    <w:rsid w:val="006F371A"/>
    <w:rsid w:val="006F3735"/>
    <w:rsid w:val="006F3A1F"/>
    <w:rsid w:val="006F3ECF"/>
    <w:rsid w:val="006F40C9"/>
    <w:rsid w:val="006F4496"/>
    <w:rsid w:val="006F4992"/>
    <w:rsid w:val="006F50D8"/>
    <w:rsid w:val="006F531E"/>
    <w:rsid w:val="006F5607"/>
    <w:rsid w:val="006F5A79"/>
    <w:rsid w:val="006F5B6A"/>
    <w:rsid w:val="006F5E95"/>
    <w:rsid w:val="006F5E9A"/>
    <w:rsid w:val="006F601D"/>
    <w:rsid w:val="006F6161"/>
    <w:rsid w:val="006F62BB"/>
    <w:rsid w:val="006F66B7"/>
    <w:rsid w:val="006F7045"/>
    <w:rsid w:val="006F7073"/>
    <w:rsid w:val="006F71D4"/>
    <w:rsid w:val="006F76BD"/>
    <w:rsid w:val="006F7AE7"/>
    <w:rsid w:val="006F7BDC"/>
    <w:rsid w:val="006F7C3A"/>
    <w:rsid w:val="006F7FF8"/>
    <w:rsid w:val="0070012B"/>
    <w:rsid w:val="00700318"/>
    <w:rsid w:val="00700626"/>
    <w:rsid w:val="00700A27"/>
    <w:rsid w:val="00700E48"/>
    <w:rsid w:val="007010E0"/>
    <w:rsid w:val="0070112E"/>
    <w:rsid w:val="007018E5"/>
    <w:rsid w:val="00701CDD"/>
    <w:rsid w:val="00701D92"/>
    <w:rsid w:val="00702038"/>
    <w:rsid w:val="00702AFC"/>
    <w:rsid w:val="00702CEE"/>
    <w:rsid w:val="00702E9B"/>
    <w:rsid w:val="0070300D"/>
    <w:rsid w:val="0070301F"/>
    <w:rsid w:val="00703CA6"/>
    <w:rsid w:val="007047A4"/>
    <w:rsid w:val="00704DFF"/>
    <w:rsid w:val="00704F43"/>
    <w:rsid w:val="0070536B"/>
    <w:rsid w:val="00705421"/>
    <w:rsid w:val="0070557A"/>
    <w:rsid w:val="00705C48"/>
    <w:rsid w:val="00705DC3"/>
    <w:rsid w:val="007062E0"/>
    <w:rsid w:val="0070674E"/>
    <w:rsid w:val="0070684B"/>
    <w:rsid w:val="00706F11"/>
    <w:rsid w:val="00706FC4"/>
    <w:rsid w:val="00707225"/>
    <w:rsid w:val="0070723E"/>
    <w:rsid w:val="007072F7"/>
    <w:rsid w:val="0070747F"/>
    <w:rsid w:val="0070755C"/>
    <w:rsid w:val="0070759A"/>
    <w:rsid w:val="00707801"/>
    <w:rsid w:val="0070783A"/>
    <w:rsid w:val="00707A2A"/>
    <w:rsid w:val="00707A83"/>
    <w:rsid w:val="00707FC9"/>
    <w:rsid w:val="00707FE8"/>
    <w:rsid w:val="00710099"/>
    <w:rsid w:val="007101CB"/>
    <w:rsid w:val="007105E3"/>
    <w:rsid w:val="007109A1"/>
    <w:rsid w:val="00710A87"/>
    <w:rsid w:val="00710BA6"/>
    <w:rsid w:val="007114EC"/>
    <w:rsid w:val="007116F2"/>
    <w:rsid w:val="00711CAA"/>
    <w:rsid w:val="00711DF5"/>
    <w:rsid w:val="00711FE9"/>
    <w:rsid w:val="0071207B"/>
    <w:rsid w:val="00712921"/>
    <w:rsid w:val="00713126"/>
    <w:rsid w:val="00713147"/>
    <w:rsid w:val="00713230"/>
    <w:rsid w:val="007134CC"/>
    <w:rsid w:val="007137D9"/>
    <w:rsid w:val="007138FD"/>
    <w:rsid w:val="0071396F"/>
    <w:rsid w:val="00713A4B"/>
    <w:rsid w:val="00713AA4"/>
    <w:rsid w:val="00713AD4"/>
    <w:rsid w:val="00713F63"/>
    <w:rsid w:val="00714793"/>
    <w:rsid w:val="00714E13"/>
    <w:rsid w:val="00714F16"/>
    <w:rsid w:val="007150BD"/>
    <w:rsid w:val="00715305"/>
    <w:rsid w:val="00715432"/>
    <w:rsid w:val="007159D7"/>
    <w:rsid w:val="00715D10"/>
    <w:rsid w:val="00715E0D"/>
    <w:rsid w:val="00715E40"/>
    <w:rsid w:val="0071665C"/>
    <w:rsid w:val="00716A4F"/>
    <w:rsid w:val="00716EAF"/>
    <w:rsid w:val="0071707B"/>
    <w:rsid w:val="0071725B"/>
    <w:rsid w:val="007174E0"/>
    <w:rsid w:val="0071784B"/>
    <w:rsid w:val="00717BF2"/>
    <w:rsid w:val="00717CF6"/>
    <w:rsid w:val="00720043"/>
    <w:rsid w:val="007206AD"/>
    <w:rsid w:val="00720727"/>
    <w:rsid w:val="00720A11"/>
    <w:rsid w:val="00721130"/>
    <w:rsid w:val="0072123D"/>
    <w:rsid w:val="00721858"/>
    <w:rsid w:val="007218B3"/>
    <w:rsid w:val="00722165"/>
    <w:rsid w:val="007224CA"/>
    <w:rsid w:val="00722BC3"/>
    <w:rsid w:val="00722D10"/>
    <w:rsid w:val="00723026"/>
    <w:rsid w:val="007231B5"/>
    <w:rsid w:val="0072320E"/>
    <w:rsid w:val="00723484"/>
    <w:rsid w:val="00723628"/>
    <w:rsid w:val="00723B9C"/>
    <w:rsid w:val="00723BD7"/>
    <w:rsid w:val="00723C20"/>
    <w:rsid w:val="00723DAD"/>
    <w:rsid w:val="00723DB5"/>
    <w:rsid w:val="007241BE"/>
    <w:rsid w:val="00724800"/>
    <w:rsid w:val="00724885"/>
    <w:rsid w:val="00724936"/>
    <w:rsid w:val="00724D06"/>
    <w:rsid w:val="007250AF"/>
    <w:rsid w:val="007257ED"/>
    <w:rsid w:val="00725899"/>
    <w:rsid w:val="007258EC"/>
    <w:rsid w:val="00725A93"/>
    <w:rsid w:val="00725DA6"/>
    <w:rsid w:val="007264EB"/>
    <w:rsid w:val="00726739"/>
    <w:rsid w:val="00726778"/>
    <w:rsid w:val="007268BE"/>
    <w:rsid w:val="007268F0"/>
    <w:rsid w:val="00726EBF"/>
    <w:rsid w:val="00726EC6"/>
    <w:rsid w:val="00726F4A"/>
    <w:rsid w:val="00726FF3"/>
    <w:rsid w:val="0072726F"/>
    <w:rsid w:val="007275AE"/>
    <w:rsid w:val="007276A0"/>
    <w:rsid w:val="00727717"/>
    <w:rsid w:val="00727E5F"/>
    <w:rsid w:val="00727EF0"/>
    <w:rsid w:val="007304C1"/>
    <w:rsid w:val="00730589"/>
    <w:rsid w:val="00730746"/>
    <w:rsid w:val="007307FC"/>
    <w:rsid w:val="00730833"/>
    <w:rsid w:val="00730BF3"/>
    <w:rsid w:val="00730D01"/>
    <w:rsid w:val="00730D26"/>
    <w:rsid w:val="00730E30"/>
    <w:rsid w:val="00731E5A"/>
    <w:rsid w:val="00731FB6"/>
    <w:rsid w:val="0073218C"/>
    <w:rsid w:val="007321F9"/>
    <w:rsid w:val="0073266A"/>
    <w:rsid w:val="0073333A"/>
    <w:rsid w:val="00733AD6"/>
    <w:rsid w:val="00733B4F"/>
    <w:rsid w:val="00733B8F"/>
    <w:rsid w:val="00733C73"/>
    <w:rsid w:val="00733E46"/>
    <w:rsid w:val="0073468C"/>
    <w:rsid w:val="00735040"/>
    <w:rsid w:val="007351A7"/>
    <w:rsid w:val="00735287"/>
    <w:rsid w:val="00735355"/>
    <w:rsid w:val="007359A1"/>
    <w:rsid w:val="00736070"/>
    <w:rsid w:val="0073629B"/>
    <w:rsid w:val="007363AB"/>
    <w:rsid w:val="007366E2"/>
    <w:rsid w:val="0073675C"/>
    <w:rsid w:val="00736970"/>
    <w:rsid w:val="0073699F"/>
    <w:rsid w:val="00736C09"/>
    <w:rsid w:val="00737204"/>
    <w:rsid w:val="00737214"/>
    <w:rsid w:val="00737AEE"/>
    <w:rsid w:val="00737DB2"/>
    <w:rsid w:val="00737FA1"/>
    <w:rsid w:val="00740225"/>
    <w:rsid w:val="0074047E"/>
    <w:rsid w:val="0074060C"/>
    <w:rsid w:val="00740677"/>
    <w:rsid w:val="00740A33"/>
    <w:rsid w:val="00740BDF"/>
    <w:rsid w:val="00740BE5"/>
    <w:rsid w:val="00740C3E"/>
    <w:rsid w:val="00740C4D"/>
    <w:rsid w:val="007418A6"/>
    <w:rsid w:val="00741DB8"/>
    <w:rsid w:val="00741DF8"/>
    <w:rsid w:val="00741E7B"/>
    <w:rsid w:val="00742110"/>
    <w:rsid w:val="0074259B"/>
    <w:rsid w:val="00742630"/>
    <w:rsid w:val="00742A00"/>
    <w:rsid w:val="00742B25"/>
    <w:rsid w:val="007432E6"/>
    <w:rsid w:val="0074344F"/>
    <w:rsid w:val="00743986"/>
    <w:rsid w:val="007439F1"/>
    <w:rsid w:val="00743B21"/>
    <w:rsid w:val="00743E1D"/>
    <w:rsid w:val="007446E3"/>
    <w:rsid w:val="00744B04"/>
    <w:rsid w:val="00744D76"/>
    <w:rsid w:val="00744E3F"/>
    <w:rsid w:val="00744E60"/>
    <w:rsid w:val="00744F99"/>
    <w:rsid w:val="007455E3"/>
    <w:rsid w:val="00745A6C"/>
    <w:rsid w:val="00745BA3"/>
    <w:rsid w:val="00745E6E"/>
    <w:rsid w:val="00745EE5"/>
    <w:rsid w:val="00745EFF"/>
    <w:rsid w:val="007464B6"/>
    <w:rsid w:val="0074679B"/>
    <w:rsid w:val="00746D36"/>
    <w:rsid w:val="0074763C"/>
    <w:rsid w:val="00747742"/>
    <w:rsid w:val="0074786F"/>
    <w:rsid w:val="00747912"/>
    <w:rsid w:val="00747EA9"/>
    <w:rsid w:val="00747FFB"/>
    <w:rsid w:val="007504C3"/>
    <w:rsid w:val="0075054A"/>
    <w:rsid w:val="007506EB"/>
    <w:rsid w:val="00750768"/>
    <w:rsid w:val="007508C9"/>
    <w:rsid w:val="00750E05"/>
    <w:rsid w:val="007510B8"/>
    <w:rsid w:val="00751147"/>
    <w:rsid w:val="0075133C"/>
    <w:rsid w:val="00751384"/>
    <w:rsid w:val="0075146A"/>
    <w:rsid w:val="00751878"/>
    <w:rsid w:val="007518AD"/>
    <w:rsid w:val="00751A96"/>
    <w:rsid w:val="00751FBA"/>
    <w:rsid w:val="007521ED"/>
    <w:rsid w:val="007522CD"/>
    <w:rsid w:val="00752AC0"/>
    <w:rsid w:val="00752C2C"/>
    <w:rsid w:val="00752EF2"/>
    <w:rsid w:val="00752F72"/>
    <w:rsid w:val="00753413"/>
    <w:rsid w:val="0075387E"/>
    <w:rsid w:val="00753885"/>
    <w:rsid w:val="00753BA2"/>
    <w:rsid w:val="00753E9F"/>
    <w:rsid w:val="0075453E"/>
    <w:rsid w:val="007546A0"/>
    <w:rsid w:val="007550F1"/>
    <w:rsid w:val="0075517D"/>
    <w:rsid w:val="007553D6"/>
    <w:rsid w:val="007559A1"/>
    <w:rsid w:val="00755B68"/>
    <w:rsid w:val="00755EA7"/>
    <w:rsid w:val="00755EF5"/>
    <w:rsid w:val="007560AE"/>
    <w:rsid w:val="00756698"/>
    <w:rsid w:val="007567B5"/>
    <w:rsid w:val="00756B3A"/>
    <w:rsid w:val="00756C49"/>
    <w:rsid w:val="00756F51"/>
    <w:rsid w:val="007571D0"/>
    <w:rsid w:val="0075757D"/>
    <w:rsid w:val="007576A9"/>
    <w:rsid w:val="007576B4"/>
    <w:rsid w:val="007576F8"/>
    <w:rsid w:val="007577B1"/>
    <w:rsid w:val="00757B5B"/>
    <w:rsid w:val="00757CFE"/>
    <w:rsid w:val="0076006F"/>
    <w:rsid w:val="007601A1"/>
    <w:rsid w:val="007605D3"/>
    <w:rsid w:val="00761119"/>
    <w:rsid w:val="0076119E"/>
    <w:rsid w:val="0076121C"/>
    <w:rsid w:val="00761275"/>
    <w:rsid w:val="007613D5"/>
    <w:rsid w:val="007614CC"/>
    <w:rsid w:val="00761739"/>
    <w:rsid w:val="007618B7"/>
    <w:rsid w:val="0076196D"/>
    <w:rsid w:val="00761AA4"/>
    <w:rsid w:val="00761AAE"/>
    <w:rsid w:val="007621FA"/>
    <w:rsid w:val="00762287"/>
    <w:rsid w:val="0076240D"/>
    <w:rsid w:val="00762987"/>
    <w:rsid w:val="007629B6"/>
    <w:rsid w:val="007635F3"/>
    <w:rsid w:val="00763634"/>
    <w:rsid w:val="00763711"/>
    <w:rsid w:val="00763930"/>
    <w:rsid w:val="00763A22"/>
    <w:rsid w:val="00763A43"/>
    <w:rsid w:val="00763A48"/>
    <w:rsid w:val="00763B05"/>
    <w:rsid w:val="00763BF4"/>
    <w:rsid w:val="00764641"/>
    <w:rsid w:val="007653FB"/>
    <w:rsid w:val="0076600E"/>
    <w:rsid w:val="00766059"/>
    <w:rsid w:val="0076605A"/>
    <w:rsid w:val="007660E5"/>
    <w:rsid w:val="007660E6"/>
    <w:rsid w:val="0076624A"/>
    <w:rsid w:val="00766257"/>
    <w:rsid w:val="007663A8"/>
    <w:rsid w:val="007665F9"/>
    <w:rsid w:val="007666A0"/>
    <w:rsid w:val="00767140"/>
    <w:rsid w:val="00767366"/>
    <w:rsid w:val="0076754B"/>
    <w:rsid w:val="007675C8"/>
    <w:rsid w:val="007677B0"/>
    <w:rsid w:val="00767A13"/>
    <w:rsid w:val="00770117"/>
    <w:rsid w:val="00770621"/>
    <w:rsid w:val="007707B7"/>
    <w:rsid w:val="007707EC"/>
    <w:rsid w:val="00770D6B"/>
    <w:rsid w:val="00771345"/>
    <w:rsid w:val="0077168C"/>
    <w:rsid w:val="00771700"/>
    <w:rsid w:val="00771790"/>
    <w:rsid w:val="00771842"/>
    <w:rsid w:val="00771B9B"/>
    <w:rsid w:val="00771BEC"/>
    <w:rsid w:val="00772114"/>
    <w:rsid w:val="007726BE"/>
    <w:rsid w:val="007726C9"/>
    <w:rsid w:val="007727EA"/>
    <w:rsid w:val="007729FC"/>
    <w:rsid w:val="00772A73"/>
    <w:rsid w:val="00772A97"/>
    <w:rsid w:val="00772C27"/>
    <w:rsid w:val="00772C36"/>
    <w:rsid w:val="00772EBE"/>
    <w:rsid w:val="00773184"/>
    <w:rsid w:val="007735EB"/>
    <w:rsid w:val="0077361B"/>
    <w:rsid w:val="00773AE3"/>
    <w:rsid w:val="00773C9F"/>
    <w:rsid w:val="00773DC2"/>
    <w:rsid w:val="00773F46"/>
    <w:rsid w:val="0077426D"/>
    <w:rsid w:val="007742EC"/>
    <w:rsid w:val="00774B1E"/>
    <w:rsid w:val="00774F64"/>
    <w:rsid w:val="00775060"/>
    <w:rsid w:val="007751C5"/>
    <w:rsid w:val="00775446"/>
    <w:rsid w:val="00775785"/>
    <w:rsid w:val="00775807"/>
    <w:rsid w:val="00775B0B"/>
    <w:rsid w:val="00775E16"/>
    <w:rsid w:val="007760B1"/>
    <w:rsid w:val="00776421"/>
    <w:rsid w:val="007767BA"/>
    <w:rsid w:val="007767C7"/>
    <w:rsid w:val="00776854"/>
    <w:rsid w:val="00776931"/>
    <w:rsid w:val="00776BF0"/>
    <w:rsid w:val="00776C2A"/>
    <w:rsid w:val="007772CC"/>
    <w:rsid w:val="0077753D"/>
    <w:rsid w:val="007778E0"/>
    <w:rsid w:val="00777BBC"/>
    <w:rsid w:val="00777F62"/>
    <w:rsid w:val="00777FC2"/>
    <w:rsid w:val="00780241"/>
    <w:rsid w:val="00780444"/>
    <w:rsid w:val="00780511"/>
    <w:rsid w:val="007805D5"/>
    <w:rsid w:val="00780691"/>
    <w:rsid w:val="007806DB"/>
    <w:rsid w:val="00780ADE"/>
    <w:rsid w:val="00780C0B"/>
    <w:rsid w:val="00780ECC"/>
    <w:rsid w:val="00780EFE"/>
    <w:rsid w:val="0078141E"/>
    <w:rsid w:val="00781465"/>
    <w:rsid w:val="00781BF3"/>
    <w:rsid w:val="00781DC2"/>
    <w:rsid w:val="00781EF9"/>
    <w:rsid w:val="007824B0"/>
    <w:rsid w:val="00782575"/>
    <w:rsid w:val="007827B5"/>
    <w:rsid w:val="00782910"/>
    <w:rsid w:val="00782A17"/>
    <w:rsid w:val="00782CDE"/>
    <w:rsid w:val="00782E5F"/>
    <w:rsid w:val="007831A0"/>
    <w:rsid w:val="00783A17"/>
    <w:rsid w:val="00783B1B"/>
    <w:rsid w:val="00783DEF"/>
    <w:rsid w:val="00783F21"/>
    <w:rsid w:val="007843A3"/>
    <w:rsid w:val="007848DA"/>
    <w:rsid w:val="00785135"/>
    <w:rsid w:val="00785A9E"/>
    <w:rsid w:val="00785AE7"/>
    <w:rsid w:val="00785D77"/>
    <w:rsid w:val="00786398"/>
    <w:rsid w:val="007865B9"/>
    <w:rsid w:val="007868F0"/>
    <w:rsid w:val="0078691B"/>
    <w:rsid w:val="00786F5D"/>
    <w:rsid w:val="00787024"/>
    <w:rsid w:val="0078717A"/>
    <w:rsid w:val="0078777C"/>
    <w:rsid w:val="007879EB"/>
    <w:rsid w:val="00787D4F"/>
    <w:rsid w:val="00787EF7"/>
    <w:rsid w:val="00787FB6"/>
    <w:rsid w:val="00790035"/>
    <w:rsid w:val="0079004A"/>
    <w:rsid w:val="007903F6"/>
    <w:rsid w:val="00790812"/>
    <w:rsid w:val="007909CE"/>
    <w:rsid w:val="00790D85"/>
    <w:rsid w:val="00790E6C"/>
    <w:rsid w:val="00790E78"/>
    <w:rsid w:val="00791058"/>
    <w:rsid w:val="0079115E"/>
    <w:rsid w:val="007911D1"/>
    <w:rsid w:val="007918F4"/>
    <w:rsid w:val="00791958"/>
    <w:rsid w:val="00791978"/>
    <w:rsid w:val="00791AAB"/>
    <w:rsid w:val="00791B12"/>
    <w:rsid w:val="00791CA1"/>
    <w:rsid w:val="00791D20"/>
    <w:rsid w:val="00792197"/>
    <w:rsid w:val="007921C1"/>
    <w:rsid w:val="00792484"/>
    <w:rsid w:val="007925E5"/>
    <w:rsid w:val="0079265C"/>
    <w:rsid w:val="007927B9"/>
    <w:rsid w:val="00792F99"/>
    <w:rsid w:val="00793387"/>
    <w:rsid w:val="00793491"/>
    <w:rsid w:val="00793711"/>
    <w:rsid w:val="0079373D"/>
    <w:rsid w:val="007937CC"/>
    <w:rsid w:val="00793867"/>
    <w:rsid w:val="0079434B"/>
    <w:rsid w:val="007943E2"/>
    <w:rsid w:val="0079456D"/>
    <w:rsid w:val="007945E7"/>
    <w:rsid w:val="0079478B"/>
    <w:rsid w:val="00794CCC"/>
    <w:rsid w:val="00794E58"/>
    <w:rsid w:val="00794E6C"/>
    <w:rsid w:val="00794EA5"/>
    <w:rsid w:val="0079509E"/>
    <w:rsid w:val="00795440"/>
    <w:rsid w:val="00795575"/>
    <w:rsid w:val="0079560C"/>
    <w:rsid w:val="007959D4"/>
    <w:rsid w:val="007960B1"/>
    <w:rsid w:val="007961C7"/>
    <w:rsid w:val="007962DB"/>
    <w:rsid w:val="00796481"/>
    <w:rsid w:val="00796BEE"/>
    <w:rsid w:val="00796C97"/>
    <w:rsid w:val="00796ED5"/>
    <w:rsid w:val="00797089"/>
    <w:rsid w:val="007971C7"/>
    <w:rsid w:val="00797382"/>
    <w:rsid w:val="00797868"/>
    <w:rsid w:val="00797921"/>
    <w:rsid w:val="007A0778"/>
    <w:rsid w:val="007A091C"/>
    <w:rsid w:val="007A099D"/>
    <w:rsid w:val="007A0EE2"/>
    <w:rsid w:val="007A128E"/>
    <w:rsid w:val="007A1644"/>
    <w:rsid w:val="007A200A"/>
    <w:rsid w:val="007A25C0"/>
    <w:rsid w:val="007A27CE"/>
    <w:rsid w:val="007A286C"/>
    <w:rsid w:val="007A2949"/>
    <w:rsid w:val="007A2F48"/>
    <w:rsid w:val="007A32B6"/>
    <w:rsid w:val="007A3730"/>
    <w:rsid w:val="007A38CD"/>
    <w:rsid w:val="007A3BBC"/>
    <w:rsid w:val="007A3D97"/>
    <w:rsid w:val="007A3DA6"/>
    <w:rsid w:val="007A414C"/>
    <w:rsid w:val="007A4376"/>
    <w:rsid w:val="007A43C6"/>
    <w:rsid w:val="007A456C"/>
    <w:rsid w:val="007A49CE"/>
    <w:rsid w:val="007A4B8B"/>
    <w:rsid w:val="007A550A"/>
    <w:rsid w:val="007A56AA"/>
    <w:rsid w:val="007A5817"/>
    <w:rsid w:val="007A583A"/>
    <w:rsid w:val="007A5A07"/>
    <w:rsid w:val="007A5DB6"/>
    <w:rsid w:val="007A6A67"/>
    <w:rsid w:val="007A6B0C"/>
    <w:rsid w:val="007A6E60"/>
    <w:rsid w:val="007A7579"/>
    <w:rsid w:val="007A7835"/>
    <w:rsid w:val="007A7960"/>
    <w:rsid w:val="007A7DAA"/>
    <w:rsid w:val="007A7F2E"/>
    <w:rsid w:val="007B01FB"/>
    <w:rsid w:val="007B0BF9"/>
    <w:rsid w:val="007B0C45"/>
    <w:rsid w:val="007B0FA8"/>
    <w:rsid w:val="007B0FB3"/>
    <w:rsid w:val="007B1211"/>
    <w:rsid w:val="007B1403"/>
    <w:rsid w:val="007B1581"/>
    <w:rsid w:val="007B1686"/>
    <w:rsid w:val="007B1CE4"/>
    <w:rsid w:val="007B1F4E"/>
    <w:rsid w:val="007B1F7C"/>
    <w:rsid w:val="007B2097"/>
    <w:rsid w:val="007B21A3"/>
    <w:rsid w:val="007B2D20"/>
    <w:rsid w:val="007B2FDD"/>
    <w:rsid w:val="007B332C"/>
    <w:rsid w:val="007B3340"/>
    <w:rsid w:val="007B34C1"/>
    <w:rsid w:val="007B375E"/>
    <w:rsid w:val="007B376D"/>
    <w:rsid w:val="007B37A0"/>
    <w:rsid w:val="007B3A01"/>
    <w:rsid w:val="007B3DE0"/>
    <w:rsid w:val="007B41E2"/>
    <w:rsid w:val="007B41F4"/>
    <w:rsid w:val="007B44C2"/>
    <w:rsid w:val="007B44CD"/>
    <w:rsid w:val="007B44DF"/>
    <w:rsid w:val="007B5309"/>
    <w:rsid w:val="007B551F"/>
    <w:rsid w:val="007B55C9"/>
    <w:rsid w:val="007B5D36"/>
    <w:rsid w:val="007B60EB"/>
    <w:rsid w:val="007B6399"/>
    <w:rsid w:val="007B647B"/>
    <w:rsid w:val="007B651C"/>
    <w:rsid w:val="007B668B"/>
    <w:rsid w:val="007B67F9"/>
    <w:rsid w:val="007B689E"/>
    <w:rsid w:val="007B68A8"/>
    <w:rsid w:val="007B6D10"/>
    <w:rsid w:val="007B6F16"/>
    <w:rsid w:val="007B710B"/>
    <w:rsid w:val="007B71B1"/>
    <w:rsid w:val="007B7746"/>
    <w:rsid w:val="007B77C8"/>
    <w:rsid w:val="007B7837"/>
    <w:rsid w:val="007B7B33"/>
    <w:rsid w:val="007B7EB5"/>
    <w:rsid w:val="007B7EDD"/>
    <w:rsid w:val="007B7FBD"/>
    <w:rsid w:val="007C0423"/>
    <w:rsid w:val="007C0879"/>
    <w:rsid w:val="007C08D8"/>
    <w:rsid w:val="007C113A"/>
    <w:rsid w:val="007C138F"/>
    <w:rsid w:val="007C160C"/>
    <w:rsid w:val="007C16C0"/>
    <w:rsid w:val="007C172F"/>
    <w:rsid w:val="007C1A51"/>
    <w:rsid w:val="007C1D3D"/>
    <w:rsid w:val="007C23BE"/>
    <w:rsid w:val="007C2425"/>
    <w:rsid w:val="007C2545"/>
    <w:rsid w:val="007C255B"/>
    <w:rsid w:val="007C27DE"/>
    <w:rsid w:val="007C2E15"/>
    <w:rsid w:val="007C316C"/>
    <w:rsid w:val="007C3184"/>
    <w:rsid w:val="007C3358"/>
    <w:rsid w:val="007C3A05"/>
    <w:rsid w:val="007C3A0E"/>
    <w:rsid w:val="007C43D7"/>
    <w:rsid w:val="007C44F7"/>
    <w:rsid w:val="007C45AD"/>
    <w:rsid w:val="007C468B"/>
    <w:rsid w:val="007C4E94"/>
    <w:rsid w:val="007C4F3E"/>
    <w:rsid w:val="007C4F8E"/>
    <w:rsid w:val="007C5092"/>
    <w:rsid w:val="007C5380"/>
    <w:rsid w:val="007C5506"/>
    <w:rsid w:val="007C5ADE"/>
    <w:rsid w:val="007C5DD0"/>
    <w:rsid w:val="007C5E08"/>
    <w:rsid w:val="007C5E55"/>
    <w:rsid w:val="007C60C7"/>
    <w:rsid w:val="007C62F0"/>
    <w:rsid w:val="007C6A15"/>
    <w:rsid w:val="007C7175"/>
    <w:rsid w:val="007C7200"/>
    <w:rsid w:val="007C7396"/>
    <w:rsid w:val="007C7B2A"/>
    <w:rsid w:val="007C7BB5"/>
    <w:rsid w:val="007C7E3C"/>
    <w:rsid w:val="007D06E2"/>
    <w:rsid w:val="007D0FD7"/>
    <w:rsid w:val="007D1101"/>
    <w:rsid w:val="007D134A"/>
    <w:rsid w:val="007D13E2"/>
    <w:rsid w:val="007D14B7"/>
    <w:rsid w:val="007D15F5"/>
    <w:rsid w:val="007D18D6"/>
    <w:rsid w:val="007D1920"/>
    <w:rsid w:val="007D1CC2"/>
    <w:rsid w:val="007D1FAE"/>
    <w:rsid w:val="007D21AF"/>
    <w:rsid w:val="007D23F2"/>
    <w:rsid w:val="007D2498"/>
    <w:rsid w:val="007D24CE"/>
    <w:rsid w:val="007D24F6"/>
    <w:rsid w:val="007D255A"/>
    <w:rsid w:val="007D2696"/>
    <w:rsid w:val="007D2BA3"/>
    <w:rsid w:val="007D2BA6"/>
    <w:rsid w:val="007D2F47"/>
    <w:rsid w:val="007D3181"/>
    <w:rsid w:val="007D321F"/>
    <w:rsid w:val="007D32AA"/>
    <w:rsid w:val="007D35B6"/>
    <w:rsid w:val="007D37EB"/>
    <w:rsid w:val="007D38FF"/>
    <w:rsid w:val="007D3A9A"/>
    <w:rsid w:val="007D3C8C"/>
    <w:rsid w:val="007D3E64"/>
    <w:rsid w:val="007D3F51"/>
    <w:rsid w:val="007D4243"/>
    <w:rsid w:val="007D4678"/>
    <w:rsid w:val="007D4A63"/>
    <w:rsid w:val="007D4B6B"/>
    <w:rsid w:val="007D4C54"/>
    <w:rsid w:val="007D4D0C"/>
    <w:rsid w:val="007D4DB7"/>
    <w:rsid w:val="007D549F"/>
    <w:rsid w:val="007D57A0"/>
    <w:rsid w:val="007D5AF3"/>
    <w:rsid w:val="007D5CB0"/>
    <w:rsid w:val="007D5D57"/>
    <w:rsid w:val="007D632A"/>
    <w:rsid w:val="007D637F"/>
    <w:rsid w:val="007D65D6"/>
    <w:rsid w:val="007D7678"/>
    <w:rsid w:val="007D7A77"/>
    <w:rsid w:val="007D7B60"/>
    <w:rsid w:val="007D7E15"/>
    <w:rsid w:val="007E04EC"/>
    <w:rsid w:val="007E07CF"/>
    <w:rsid w:val="007E0A88"/>
    <w:rsid w:val="007E0DED"/>
    <w:rsid w:val="007E1396"/>
    <w:rsid w:val="007E1434"/>
    <w:rsid w:val="007E199D"/>
    <w:rsid w:val="007E2AF7"/>
    <w:rsid w:val="007E35B1"/>
    <w:rsid w:val="007E37B8"/>
    <w:rsid w:val="007E38DF"/>
    <w:rsid w:val="007E3BDE"/>
    <w:rsid w:val="007E3CA1"/>
    <w:rsid w:val="007E40DC"/>
    <w:rsid w:val="007E43A7"/>
    <w:rsid w:val="007E44AD"/>
    <w:rsid w:val="007E4782"/>
    <w:rsid w:val="007E4EC6"/>
    <w:rsid w:val="007E54EE"/>
    <w:rsid w:val="007E55C1"/>
    <w:rsid w:val="007E5ABF"/>
    <w:rsid w:val="007E5C86"/>
    <w:rsid w:val="007E6136"/>
    <w:rsid w:val="007E7C48"/>
    <w:rsid w:val="007E7EA6"/>
    <w:rsid w:val="007F035D"/>
    <w:rsid w:val="007F0448"/>
    <w:rsid w:val="007F07BA"/>
    <w:rsid w:val="007F083B"/>
    <w:rsid w:val="007F0E6C"/>
    <w:rsid w:val="007F14EA"/>
    <w:rsid w:val="007F1500"/>
    <w:rsid w:val="007F1549"/>
    <w:rsid w:val="007F1A50"/>
    <w:rsid w:val="007F1D5B"/>
    <w:rsid w:val="007F1E24"/>
    <w:rsid w:val="007F1E61"/>
    <w:rsid w:val="007F1FF8"/>
    <w:rsid w:val="007F27CC"/>
    <w:rsid w:val="007F34F5"/>
    <w:rsid w:val="007F350E"/>
    <w:rsid w:val="007F3599"/>
    <w:rsid w:val="007F37C3"/>
    <w:rsid w:val="007F3815"/>
    <w:rsid w:val="007F3ABB"/>
    <w:rsid w:val="007F3BCE"/>
    <w:rsid w:val="007F3BF9"/>
    <w:rsid w:val="007F3CCC"/>
    <w:rsid w:val="007F3D49"/>
    <w:rsid w:val="007F3DB3"/>
    <w:rsid w:val="007F3EB4"/>
    <w:rsid w:val="007F3FD0"/>
    <w:rsid w:val="007F401D"/>
    <w:rsid w:val="007F40A8"/>
    <w:rsid w:val="007F4126"/>
    <w:rsid w:val="007F436C"/>
    <w:rsid w:val="007F44D0"/>
    <w:rsid w:val="007F4A45"/>
    <w:rsid w:val="007F5409"/>
    <w:rsid w:val="007F5B31"/>
    <w:rsid w:val="007F5C1A"/>
    <w:rsid w:val="007F5E3D"/>
    <w:rsid w:val="007F6068"/>
    <w:rsid w:val="007F60C1"/>
    <w:rsid w:val="007F61B5"/>
    <w:rsid w:val="007F64A8"/>
    <w:rsid w:val="007F670B"/>
    <w:rsid w:val="007F6731"/>
    <w:rsid w:val="007F699E"/>
    <w:rsid w:val="007F6B58"/>
    <w:rsid w:val="007F6EE4"/>
    <w:rsid w:val="007F707F"/>
    <w:rsid w:val="007F73C0"/>
    <w:rsid w:val="007F7A46"/>
    <w:rsid w:val="0080011F"/>
    <w:rsid w:val="00800259"/>
    <w:rsid w:val="00800835"/>
    <w:rsid w:val="00800969"/>
    <w:rsid w:val="008009B1"/>
    <w:rsid w:val="00800A4D"/>
    <w:rsid w:val="00800DBB"/>
    <w:rsid w:val="008011A8"/>
    <w:rsid w:val="008011E9"/>
    <w:rsid w:val="00801273"/>
    <w:rsid w:val="008017FB"/>
    <w:rsid w:val="00801807"/>
    <w:rsid w:val="0080257E"/>
    <w:rsid w:val="00802747"/>
    <w:rsid w:val="008027D9"/>
    <w:rsid w:val="00802FE6"/>
    <w:rsid w:val="00803518"/>
    <w:rsid w:val="00803CAC"/>
    <w:rsid w:val="00803CF8"/>
    <w:rsid w:val="00803EE0"/>
    <w:rsid w:val="0080404D"/>
    <w:rsid w:val="008045B5"/>
    <w:rsid w:val="00804726"/>
    <w:rsid w:val="008049C2"/>
    <w:rsid w:val="00804E9B"/>
    <w:rsid w:val="00804FF2"/>
    <w:rsid w:val="0080546C"/>
    <w:rsid w:val="00805534"/>
    <w:rsid w:val="00805553"/>
    <w:rsid w:val="00806060"/>
    <w:rsid w:val="008062E8"/>
    <w:rsid w:val="0080634E"/>
    <w:rsid w:val="00806B3A"/>
    <w:rsid w:val="00807027"/>
    <w:rsid w:val="00807424"/>
    <w:rsid w:val="00807780"/>
    <w:rsid w:val="008079B7"/>
    <w:rsid w:val="0081023F"/>
    <w:rsid w:val="00810263"/>
    <w:rsid w:val="00810D3D"/>
    <w:rsid w:val="008115AB"/>
    <w:rsid w:val="0081177B"/>
    <w:rsid w:val="00811F08"/>
    <w:rsid w:val="00812037"/>
    <w:rsid w:val="00812430"/>
    <w:rsid w:val="00812517"/>
    <w:rsid w:val="008127E9"/>
    <w:rsid w:val="00812E6C"/>
    <w:rsid w:val="00813570"/>
    <w:rsid w:val="008137EA"/>
    <w:rsid w:val="00814023"/>
    <w:rsid w:val="008143E9"/>
    <w:rsid w:val="00814F15"/>
    <w:rsid w:val="00814F1E"/>
    <w:rsid w:val="00815105"/>
    <w:rsid w:val="0081522B"/>
    <w:rsid w:val="00815291"/>
    <w:rsid w:val="008152F7"/>
    <w:rsid w:val="0081542A"/>
    <w:rsid w:val="00815501"/>
    <w:rsid w:val="0081567C"/>
    <w:rsid w:val="00815F00"/>
    <w:rsid w:val="00816349"/>
    <w:rsid w:val="0081640C"/>
    <w:rsid w:val="00816670"/>
    <w:rsid w:val="0081681C"/>
    <w:rsid w:val="00816883"/>
    <w:rsid w:val="00816D54"/>
    <w:rsid w:val="00816DE2"/>
    <w:rsid w:val="008172F1"/>
    <w:rsid w:val="008173B7"/>
    <w:rsid w:val="008175A1"/>
    <w:rsid w:val="008175B1"/>
    <w:rsid w:val="008179AB"/>
    <w:rsid w:val="00817CB4"/>
    <w:rsid w:val="00820088"/>
    <w:rsid w:val="0082025D"/>
    <w:rsid w:val="008203AB"/>
    <w:rsid w:val="00820F4B"/>
    <w:rsid w:val="0082103A"/>
    <w:rsid w:val="00821299"/>
    <w:rsid w:val="00821338"/>
    <w:rsid w:val="0082135C"/>
    <w:rsid w:val="00821539"/>
    <w:rsid w:val="00821541"/>
    <w:rsid w:val="00821D9E"/>
    <w:rsid w:val="00821F29"/>
    <w:rsid w:val="008220E1"/>
    <w:rsid w:val="00822B80"/>
    <w:rsid w:val="00822BBE"/>
    <w:rsid w:val="00822C57"/>
    <w:rsid w:val="00822D08"/>
    <w:rsid w:val="008231D3"/>
    <w:rsid w:val="008231DA"/>
    <w:rsid w:val="0082329C"/>
    <w:rsid w:val="008232EB"/>
    <w:rsid w:val="0082346E"/>
    <w:rsid w:val="008234BA"/>
    <w:rsid w:val="00823A96"/>
    <w:rsid w:val="00823AFE"/>
    <w:rsid w:val="008240B8"/>
    <w:rsid w:val="00824769"/>
    <w:rsid w:val="0082476C"/>
    <w:rsid w:val="008248D9"/>
    <w:rsid w:val="0082542A"/>
    <w:rsid w:val="0082544E"/>
    <w:rsid w:val="0082565E"/>
    <w:rsid w:val="008258BE"/>
    <w:rsid w:val="00826457"/>
    <w:rsid w:val="00826B43"/>
    <w:rsid w:val="008270B5"/>
    <w:rsid w:val="008278E3"/>
    <w:rsid w:val="00827ABA"/>
    <w:rsid w:val="00827C32"/>
    <w:rsid w:val="00827DCE"/>
    <w:rsid w:val="00827EC5"/>
    <w:rsid w:val="00830402"/>
    <w:rsid w:val="00830EF6"/>
    <w:rsid w:val="0083107C"/>
    <w:rsid w:val="00831585"/>
    <w:rsid w:val="008315CA"/>
    <w:rsid w:val="00831696"/>
    <w:rsid w:val="00831F83"/>
    <w:rsid w:val="008323A0"/>
    <w:rsid w:val="008324BC"/>
    <w:rsid w:val="0083254B"/>
    <w:rsid w:val="008327EF"/>
    <w:rsid w:val="00832940"/>
    <w:rsid w:val="00832A4C"/>
    <w:rsid w:val="00832BC7"/>
    <w:rsid w:val="00832FDD"/>
    <w:rsid w:val="008330C2"/>
    <w:rsid w:val="00833213"/>
    <w:rsid w:val="0083362F"/>
    <w:rsid w:val="008336E8"/>
    <w:rsid w:val="00833738"/>
    <w:rsid w:val="008338C3"/>
    <w:rsid w:val="008339F9"/>
    <w:rsid w:val="00833A4D"/>
    <w:rsid w:val="00833E8A"/>
    <w:rsid w:val="00833F55"/>
    <w:rsid w:val="008341CB"/>
    <w:rsid w:val="0083490D"/>
    <w:rsid w:val="00835159"/>
    <w:rsid w:val="00835430"/>
    <w:rsid w:val="008358E0"/>
    <w:rsid w:val="00835A30"/>
    <w:rsid w:val="00836874"/>
    <w:rsid w:val="00836C66"/>
    <w:rsid w:val="00836F38"/>
    <w:rsid w:val="008371BA"/>
    <w:rsid w:val="008372C2"/>
    <w:rsid w:val="00837785"/>
    <w:rsid w:val="00837CBB"/>
    <w:rsid w:val="00837E3F"/>
    <w:rsid w:val="00837EA4"/>
    <w:rsid w:val="008400E7"/>
    <w:rsid w:val="00840403"/>
    <w:rsid w:val="00840788"/>
    <w:rsid w:val="008407A1"/>
    <w:rsid w:val="008408DF"/>
    <w:rsid w:val="00840C88"/>
    <w:rsid w:val="00840DBC"/>
    <w:rsid w:val="00840F78"/>
    <w:rsid w:val="00841348"/>
    <w:rsid w:val="00841394"/>
    <w:rsid w:val="008413AC"/>
    <w:rsid w:val="008417DE"/>
    <w:rsid w:val="00841B24"/>
    <w:rsid w:val="00841C7A"/>
    <w:rsid w:val="00841D16"/>
    <w:rsid w:val="00842541"/>
    <w:rsid w:val="0084257A"/>
    <w:rsid w:val="00842884"/>
    <w:rsid w:val="008428B2"/>
    <w:rsid w:val="0084294D"/>
    <w:rsid w:val="00842A10"/>
    <w:rsid w:val="008431BE"/>
    <w:rsid w:val="00843590"/>
    <w:rsid w:val="008435F8"/>
    <w:rsid w:val="00843662"/>
    <w:rsid w:val="008438C8"/>
    <w:rsid w:val="00843927"/>
    <w:rsid w:val="00843C87"/>
    <w:rsid w:val="00843F6F"/>
    <w:rsid w:val="0084438C"/>
    <w:rsid w:val="0084438E"/>
    <w:rsid w:val="00844883"/>
    <w:rsid w:val="0084495D"/>
    <w:rsid w:val="00844DD3"/>
    <w:rsid w:val="008452C5"/>
    <w:rsid w:val="008454AF"/>
    <w:rsid w:val="00845615"/>
    <w:rsid w:val="00845A81"/>
    <w:rsid w:val="00845E64"/>
    <w:rsid w:val="0084600F"/>
    <w:rsid w:val="00846156"/>
    <w:rsid w:val="0084615B"/>
    <w:rsid w:val="0084632B"/>
    <w:rsid w:val="00846367"/>
    <w:rsid w:val="008469BA"/>
    <w:rsid w:val="00846B84"/>
    <w:rsid w:val="008474E4"/>
    <w:rsid w:val="008474F9"/>
    <w:rsid w:val="0084766A"/>
    <w:rsid w:val="00847A2B"/>
    <w:rsid w:val="00847D6F"/>
    <w:rsid w:val="0085009A"/>
    <w:rsid w:val="008503CB"/>
    <w:rsid w:val="00850477"/>
    <w:rsid w:val="00850613"/>
    <w:rsid w:val="00850813"/>
    <w:rsid w:val="00850B7F"/>
    <w:rsid w:val="00850D59"/>
    <w:rsid w:val="00851401"/>
    <w:rsid w:val="00851818"/>
    <w:rsid w:val="00851A30"/>
    <w:rsid w:val="00851B43"/>
    <w:rsid w:val="0085235E"/>
    <w:rsid w:val="008528A8"/>
    <w:rsid w:val="00852CCB"/>
    <w:rsid w:val="00852CD8"/>
    <w:rsid w:val="00852E4F"/>
    <w:rsid w:val="00852F2E"/>
    <w:rsid w:val="00853109"/>
    <w:rsid w:val="008531F3"/>
    <w:rsid w:val="008532CA"/>
    <w:rsid w:val="008534CA"/>
    <w:rsid w:val="00853FF9"/>
    <w:rsid w:val="008542B0"/>
    <w:rsid w:val="00854563"/>
    <w:rsid w:val="008546BD"/>
    <w:rsid w:val="00854759"/>
    <w:rsid w:val="008549B6"/>
    <w:rsid w:val="00855316"/>
    <w:rsid w:val="008555B0"/>
    <w:rsid w:val="00855796"/>
    <w:rsid w:val="00855C09"/>
    <w:rsid w:val="0085611F"/>
    <w:rsid w:val="0085615A"/>
    <w:rsid w:val="0085628C"/>
    <w:rsid w:val="008563E0"/>
    <w:rsid w:val="008565B1"/>
    <w:rsid w:val="00856A17"/>
    <w:rsid w:val="00857035"/>
    <w:rsid w:val="008579A5"/>
    <w:rsid w:val="00857AE8"/>
    <w:rsid w:val="00857E8E"/>
    <w:rsid w:val="00860299"/>
    <w:rsid w:val="00860556"/>
    <w:rsid w:val="00860617"/>
    <w:rsid w:val="008606C4"/>
    <w:rsid w:val="0086074F"/>
    <w:rsid w:val="00860793"/>
    <w:rsid w:val="0086110B"/>
    <w:rsid w:val="0086196A"/>
    <w:rsid w:val="00861D13"/>
    <w:rsid w:val="00862102"/>
    <w:rsid w:val="00862390"/>
    <w:rsid w:val="00862585"/>
    <w:rsid w:val="00862700"/>
    <w:rsid w:val="00862B43"/>
    <w:rsid w:val="00862C75"/>
    <w:rsid w:val="00862FA5"/>
    <w:rsid w:val="00863744"/>
    <w:rsid w:val="00863766"/>
    <w:rsid w:val="00863772"/>
    <w:rsid w:val="0086398C"/>
    <w:rsid w:val="00863C4F"/>
    <w:rsid w:val="00863C5A"/>
    <w:rsid w:val="00863E10"/>
    <w:rsid w:val="0086424B"/>
    <w:rsid w:val="00864479"/>
    <w:rsid w:val="00864982"/>
    <w:rsid w:val="00864E59"/>
    <w:rsid w:val="008651CF"/>
    <w:rsid w:val="00865724"/>
    <w:rsid w:val="00865791"/>
    <w:rsid w:val="00865D3B"/>
    <w:rsid w:val="00865E9E"/>
    <w:rsid w:val="00865F97"/>
    <w:rsid w:val="00866112"/>
    <w:rsid w:val="0086655E"/>
    <w:rsid w:val="0086682C"/>
    <w:rsid w:val="00866BC9"/>
    <w:rsid w:val="00866DD0"/>
    <w:rsid w:val="00866F70"/>
    <w:rsid w:val="00866F98"/>
    <w:rsid w:val="0086739E"/>
    <w:rsid w:val="00867897"/>
    <w:rsid w:val="008678A0"/>
    <w:rsid w:val="00867D2C"/>
    <w:rsid w:val="00870624"/>
    <w:rsid w:val="00870DE1"/>
    <w:rsid w:val="00870E0E"/>
    <w:rsid w:val="00870FB2"/>
    <w:rsid w:val="00871747"/>
    <w:rsid w:val="008719AA"/>
    <w:rsid w:val="008720C0"/>
    <w:rsid w:val="00872290"/>
    <w:rsid w:val="00872A46"/>
    <w:rsid w:val="00872A86"/>
    <w:rsid w:val="00872A8A"/>
    <w:rsid w:val="008731C7"/>
    <w:rsid w:val="00873240"/>
    <w:rsid w:val="008732F2"/>
    <w:rsid w:val="008736B5"/>
    <w:rsid w:val="0087387B"/>
    <w:rsid w:val="00873A46"/>
    <w:rsid w:val="00873CF9"/>
    <w:rsid w:val="00873EC5"/>
    <w:rsid w:val="00874005"/>
    <w:rsid w:val="008748EA"/>
    <w:rsid w:val="0087558D"/>
    <w:rsid w:val="008758D2"/>
    <w:rsid w:val="00875DB0"/>
    <w:rsid w:val="00876311"/>
    <w:rsid w:val="0087699B"/>
    <w:rsid w:val="00876A05"/>
    <w:rsid w:val="00876D2B"/>
    <w:rsid w:val="0087708E"/>
    <w:rsid w:val="008770E0"/>
    <w:rsid w:val="00877275"/>
    <w:rsid w:val="008772E9"/>
    <w:rsid w:val="008773FB"/>
    <w:rsid w:val="00877600"/>
    <w:rsid w:val="00877BEA"/>
    <w:rsid w:val="00877D6C"/>
    <w:rsid w:val="00877E54"/>
    <w:rsid w:val="008801E4"/>
    <w:rsid w:val="008807C9"/>
    <w:rsid w:val="00880843"/>
    <w:rsid w:val="00880C21"/>
    <w:rsid w:val="00880E0F"/>
    <w:rsid w:val="0088169E"/>
    <w:rsid w:val="008817A1"/>
    <w:rsid w:val="0088182A"/>
    <w:rsid w:val="00881925"/>
    <w:rsid w:val="00881A70"/>
    <w:rsid w:val="00881DAC"/>
    <w:rsid w:val="00881F69"/>
    <w:rsid w:val="00882270"/>
    <w:rsid w:val="008822B3"/>
    <w:rsid w:val="0088244B"/>
    <w:rsid w:val="00882456"/>
    <w:rsid w:val="00882535"/>
    <w:rsid w:val="00882753"/>
    <w:rsid w:val="008828D8"/>
    <w:rsid w:val="008829CB"/>
    <w:rsid w:val="00882F03"/>
    <w:rsid w:val="008831E0"/>
    <w:rsid w:val="00883AC8"/>
    <w:rsid w:val="00883C35"/>
    <w:rsid w:val="00883C62"/>
    <w:rsid w:val="00883D2B"/>
    <w:rsid w:val="008848A7"/>
    <w:rsid w:val="00884949"/>
    <w:rsid w:val="00885112"/>
    <w:rsid w:val="008852A1"/>
    <w:rsid w:val="00885538"/>
    <w:rsid w:val="008856EB"/>
    <w:rsid w:val="00885859"/>
    <w:rsid w:val="00885F53"/>
    <w:rsid w:val="0088667F"/>
    <w:rsid w:val="00886718"/>
    <w:rsid w:val="00886EA4"/>
    <w:rsid w:val="00887143"/>
    <w:rsid w:val="0088771A"/>
    <w:rsid w:val="0089024C"/>
    <w:rsid w:val="0089084B"/>
    <w:rsid w:val="00890AA4"/>
    <w:rsid w:val="00890DA3"/>
    <w:rsid w:val="00890F6C"/>
    <w:rsid w:val="0089104C"/>
    <w:rsid w:val="008918B9"/>
    <w:rsid w:val="008918C3"/>
    <w:rsid w:val="00891D1C"/>
    <w:rsid w:val="008921F8"/>
    <w:rsid w:val="00892710"/>
    <w:rsid w:val="00892C65"/>
    <w:rsid w:val="00892FD0"/>
    <w:rsid w:val="0089391B"/>
    <w:rsid w:val="008939AE"/>
    <w:rsid w:val="00894287"/>
    <w:rsid w:val="00894432"/>
    <w:rsid w:val="008944EA"/>
    <w:rsid w:val="008946D2"/>
    <w:rsid w:val="008947B1"/>
    <w:rsid w:val="008948E4"/>
    <w:rsid w:val="00894BE3"/>
    <w:rsid w:val="00894D00"/>
    <w:rsid w:val="00895039"/>
    <w:rsid w:val="0089509B"/>
    <w:rsid w:val="00895701"/>
    <w:rsid w:val="0089594C"/>
    <w:rsid w:val="00895E34"/>
    <w:rsid w:val="00896543"/>
    <w:rsid w:val="008967A3"/>
    <w:rsid w:val="00896C31"/>
    <w:rsid w:val="00896C3D"/>
    <w:rsid w:val="00896E52"/>
    <w:rsid w:val="00896F66"/>
    <w:rsid w:val="0089712D"/>
    <w:rsid w:val="00897496"/>
    <w:rsid w:val="00897755"/>
    <w:rsid w:val="008979A9"/>
    <w:rsid w:val="00897E54"/>
    <w:rsid w:val="008A002C"/>
    <w:rsid w:val="008A0198"/>
    <w:rsid w:val="008A02D7"/>
    <w:rsid w:val="008A0737"/>
    <w:rsid w:val="008A0C5C"/>
    <w:rsid w:val="008A0ED1"/>
    <w:rsid w:val="008A0ED8"/>
    <w:rsid w:val="008A0F6A"/>
    <w:rsid w:val="008A1202"/>
    <w:rsid w:val="008A2046"/>
    <w:rsid w:val="008A215C"/>
    <w:rsid w:val="008A29BF"/>
    <w:rsid w:val="008A2E01"/>
    <w:rsid w:val="008A2FC7"/>
    <w:rsid w:val="008A3064"/>
    <w:rsid w:val="008A3332"/>
    <w:rsid w:val="008A3715"/>
    <w:rsid w:val="008A3811"/>
    <w:rsid w:val="008A39BF"/>
    <w:rsid w:val="008A3C63"/>
    <w:rsid w:val="008A3E77"/>
    <w:rsid w:val="008A3E9B"/>
    <w:rsid w:val="008A45E2"/>
    <w:rsid w:val="008A4D2E"/>
    <w:rsid w:val="008A5005"/>
    <w:rsid w:val="008A523A"/>
    <w:rsid w:val="008A54DA"/>
    <w:rsid w:val="008A56F4"/>
    <w:rsid w:val="008A5A79"/>
    <w:rsid w:val="008A5A80"/>
    <w:rsid w:val="008A5E87"/>
    <w:rsid w:val="008A63CF"/>
    <w:rsid w:val="008A648D"/>
    <w:rsid w:val="008A65C2"/>
    <w:rsid w:val="008A6AE6"/>
    <w:rsid w:val="008A6EEA"/>
    <w:rsid w:val="008A714F"/>
    <w:rsid w:val="008A72A1"/>
    <w:rsid w:val="008A76B6"/>
    <w:rsid w:val="008A77CD"/>
    <w:rsid w:val="008A7A1B"/>
    <w:rsid w:val="008A7DD2"/>
    <w:rsid w:val="008B01D3"/>
    <w:rsid w:val="008B0231"/>
    <w:rsid w:val="008B04E3"/>
    <w:rsid w:val="008B0655"/>
    <w:rsid w:val="008B06DE"/>
    <w:rsid w:val="008B07E4"/>
    <w:rsid w:val="008B096A"/>
    <w:rsid w:val="008B0A1D"/>
    <w:rsid w:val="008B0B97"/>
    <w:rsid w:val="008B0D8D"/>
    <w:rsid w:val="008B0E9F"/>
    <w:rsid w:val="008B12AB"/>
    <w:rsid w:val="008B1AB7"/>
    <w:rsid w:val="008B1FB6"/>
    <w:rsid w:val="008B1FF6"/>
    <w:rsid w:val="008B28F5"/>
    <w:rsid w:val="008B2FDB"/>
    <w:rsid w:val="008B31DF"/>
    <w:rsid w:val="008B3261"/>
    <w:rsid w:val="008B36EE"/>
    <w:rsid w:val="008B3866"/>
    <w:rsid w:val="008B38A1"/>
    <w:rsid w:val="008B3984"/>
    <w:rsid w:val="008B39A1"/>
    <w:rsid w:val="008B3B4C"/>
    <w:rsid w:val="008B3F35"/>
    <w:rsid w:val="008B4193"/>
    <w:rsid w:val="008B42BB"/>
    <w:rsid w:val="008B4311"/>
    <w:rsid w:val="008B4408"/>
    <w:rsid w:val="008B4444"/>
    <w:rsid w:val="008B45AF"/>
    <w:rsid w:val="008B4882"/>
    <w:rsid w:val="008B4D87"/>
    <w:rsid w:val="008B4E19"/>
    <w:rsid w:val="008B5022"/>
    <w:rsid w:val="008B5024"/>
    <w:rsid w:val="008B51AB"/>
    <w:rsid w:val="008B59C3"/>
    <w:rsid w:val="008B5A07"/>
    <w:rsid w:val="008B5E50"/>
    <w:rsid w:val="008B5F76"/>
    <w:rsid w:val="008B6556"/>
    <w:rsid w:val="008B66B5"/>
    <w:rsid w:val="008B6CC9"/>
    <w:rsid w:val="008B6F31"/>
    <w:rsid w:val="008B6F3C"/>
    <w:rsid w:val="008B70B6"/>
    <w:rsid w:val="008B7380"/>
    <w:rsid w:val="008B747D"/>
    <w:rsid w:val="008B75E1"/>
    <w:rsid w:val="008B7790"/>
    <w:rsid w:val="008B7B0B"/>
    <w:rsid w:val="008B7CD6"/>
    <w:rsid w:val="008C0459"/>
    <w:rsid w:val="008C0874"/>
    <w:rsid w:val="008C0C85"/>
    <w:rsid w:val="008C0D22"/>
    <w:rsid w:val="008C0D51"/>
    <w:rsid w:val="008C0EEA"/>
    <w:rsid w:val="008C0F0D"/>
    <w:rsid w:val="008C1048"/>
    <w:rsid w:val="008C1192"/>
    <w:rsid w:val="008C11CF"/>
    <w:rsid w:val="008C161C"/>
    <w:rsid w:val="008C16BE"/>
    <w:rsid w:val="008C187F"/>
    <w:rsid w:val="008C1B22"/>
    <w:rsid w:val="008C1D79"/>
    <w:rsid w:val="008C2799"/>
    <w:rsid w:val="008C2A36"/>
    <w:rsid w:val="008C2B2A"/>
    <w:rsid w:val="008C3236"/>
    <w:rsid w:val="008C3412"/>
    <w:rsid w:val="008C350B"/>
    <w:rsid w:val="008C3550"/>
    <w:rsid w:val="008C3AEC"/>
    <w:rsid w:val="008C3D68"/>
    <w:rsid w:val="008C4018"/>
    <w:rsid w:val="008C4453"/>
    <w:rsid w:val="008C4783"/>
    <w:rsid w:val="008C4847"/>
    <w:rsid w:val="008C4ACD"/>
    <w:rsid w:val="008C4EE7"/>
    <w:rsid w:val="008C5364"/>
    <w:rsid w:val="008C55F1"/>
    <w:rsid w:val="008C568D"/>
    <w:rsid w:val="008C6561"/>
    <w:rsid w:val="008C6627"/>
    <w:rsid w:val="008C67AA"/>
    <w:rsid w:val="008C6825"/>
    <w:rsid w:val="008C6DCD"/>
    <w:rsid w:val="008C769D"/>
    <w:rsid w:val="008C76CB"/>
    <w:rsid w:val="008C77CA"/>
    <w:rsid w:val="008C797D"/>
    <w:rsid w:val="008C7AFF"/>
    <w:rsid w:val="008D023C"/>
    <w:rsid w:val="008D0580"/>
    <w:rsid w:val="008D09DB"/>
    <w:rsid w:val="008D0BFB"/>
    <w:rsid w:val="008D1005"/>
    <w:rsid w:val="008D1546"/>
    <w:rsid w:val="008D1A4E"/>
    <w:rsid w:val="008D1B9D"/>
    <w:rsid w:val="008D1D39"/>
    <w:rsid w:val="008D1E44"/>
    <w:rsid w:val="008D1FF9"/>
    <w:rsid w:val="008D2011"/>
    <w:rsid w:val="008D2495"/>
    <w:rsid w:val="008D28D2"/>
    <w:rsid w:val="008D2C7C"/>
    <w:rsid w:val="008D3189"/>
    <w:rsid w:val="008D374F"/>
    <w:rsid w:val="008D3858"/>
    <w:rsid w:val="008D38E4"/>
    <w:rsid w:val="008D39F6"/>
    <w:rsid w:val="008D3B35"/>
    <w:rsid w:val="008D3C3A"/>
    <w:rsid w:val="008D3FF7"/>
    <w:rsid w:val="008D410D"/>
    <w:rsid w:val="008D441A"/>
    <w:rsid w:val="008D4DE9"/>
    <w:rsid w:val="008D4E05"/>
    <w:rsid w:val="008D4F8C"/>
    <w:rsid w:val="008D5245"/>
    <w:rsid w:val="008D5684"/>
    <w:rsid w:val="008D5D83"/>
    <w:rsid w:val="008D5E99"/>
    <w:rsid w:val="008D647F"/>
    <w:rsid w:val="008D68FE"/>
    <w:rsid w:val="008D6D13"/>
    <w:rsid w:val="008D6F1F"/>
    <w:rsid w:val="008D7690"/>
    <w:rsid w:val="008D77CE"/>
    <w:rsid w:val="008E010E"/>
    <w:rsid w:val="008E02EE"/>
    <w:rsid w:val="008E089C"/>
    <w:rsid w:val="008E0927"/>
    <w:rsid w:val="008E0F1C"/>
    <w:rsid w:val="008E10B8"/>
    <w:rsid w:val="008E18F7"/>
    <w:rsid w:val="008E1C3B"/>
    <w:rsid w:val="008E2295"/>
    <w:rsid w:val="008E2675"/>
    <w:rsid w:val="008E2720"/>
    <w:rsid w:val="008E29ED"/>
    <w:rsid w:val="008E32A8"/>
    <w:rsid w:val="008E3503"/>
    <w:rsid w:val="008E375E"/>
    <w:rsid w:val="008E39EA"/>
    <w:rsid w:val="008E3F16"/>
    <w:rsid w:val="008E41E1"/>
    <w:rsid w:val="008E45D3"/>
    <w:rsid w:val="008E51A4"/>
    <w:rsid w:val="008E521B"/>
    <w:rsid w:val="008E5671"/>
    <w:rsid w:val="008E5AF1"/>
    <w:rsid w:val="008E5BE5"/>
    <w:rsid w:val="008E5DA7"/>
    <w:rsid w:val="008E60AE"/>
    <w:rsid w:val="008E63C0"/>
    <w:rsid w:val="008E6CA7"/>
    <w:rsid w:val="008E78DE"/>
    <w:rsid w:val="008E7962"/>
    <w:rsid w:val="008E79D5"/>
    <w:rsid w:val="008E7D5C"/>
    <w:rsid w:val="008F00DF"/>
    <w:rsid w:val="008F0137"/>
    <w:rsid w:val="008F0433"/>
    <w:rsid w:val="008F070E"/>
    <w:rsid w:val="008F0BDD"/>
    <w:rsid w:val="008F0DA2"/>
    <w:rsid w:val="008F1616"/>
    <w:rsid w:val="008F192C"/>
    <w:rsid w:val="008F1CBC"/>
    <w:rsid w:val="008F1FEF"/>
    <w:rsid w:val="008F20A4"/>
    <w:rsid w:val="008F20B5"/>
    <w:rsid w:val="008F245C"/>
    <w:rsid w:val="008F2556"/>
    <w:rsid w:val="008F258A"/>
    <w:rsid w:val="008F2980"/>
    <w:rsid w:val="008F2A83"/>
    <w:rsid w:val="008F2B74"/>
    <w:rsid w:val="008F2D13"/>
    <w:rsid w:val="008F331A"/>
    <w:rsid w:val="008F365A"/>
    <w:rsid w:val="008F39F1"/>
    <w:rsid w:val="008F3B5B"/>
    <w:rsid w:val="008F3B6D"/>
    <w:rsid w:val="008F3D3A"/>
    <w:rsid w:val="008F3D7C"/>
    <w:rsid w:val="008F3E7C"/>
    <w:rsid w:val="008F3F40"/>
    <w:rsid w:val="008F3F4E"/>
    <w:rsid w:val="008F41EA"/>
    <w:rsid w:val="008F478B"/>
    <w:rsid w:val="008F4951"/>
    <w:rsid w:val="008F4D11"/>
    <w:rsid w:val="008F4E40"/>
    <w:rsid w:val="008F52FE"/>
    <w:rsid w:val="008F53FA"/>
    <w:rsid w:val="008F5970"/>
    <w:rsid w:val="008F5BCB"/>
    <w:rsid w:val="008F61FB"/>
    <w:rsid w:val="008F64D6"/>
    <w:rsid w:val="008F698F"/>
    <w:rsid w:val="008F6E85"/>
    <w:rsid w:val="008F7219"/>
    <w:rsid w:val="008F725F"/>
    <w:rsid w:val="008F7C43"/>
    <w:rsid w:val="008F7EED"/>
    <w:rsid w:val="008F7F67"/>
    <w:rsid w:val="009000B4"/>
    <w:rsid w:val="00900102"/>
    <w:rsid w:val="00900481"/>
    <w:rsid w:val="009005A5"/>
    <w:rsid w:val="00900794"/>
    <w:rsid w:val="009009FA"/>
    <w:rsid w:val="00900A2C"/>
    <w:rsid w:val="00900AA3"/>
    <w:rsid w:val="00900BE8"/>
    <w:rsid w:val="009017B3"/>
    <w:rsid w:val="00901927"/>
    <w:rsid w:val="00901A1B"/>
    <w:rsid w:val="00902164"/>
    <w:rsid w:val="0090222D"/>
    <w:rsid w:val="00902331"/>
    <w:rsid w:val="00902367"/>
    <w:rsid w:val="00902B3A"/>
    <w:rsid w:val="00902E76"/>
    <w:rsid w:val="00903194"/>
    <w:rsid w:val="009034BA"/>
    <w:rsid w:val="00903753"/>
    <w:rsid w:val="00903DCB"/>
    <w:rsid w:val="00903EC2"/>
    <w:rsid w:val="00903FDD"/>
    <w:rsid w:val="009045A7"/>
    <w:rsid w:val="00904AA8"/>
    <w:rsid w:val="00904BA9"/>
    <w:rsid w:val="00904BFC"/>
    <w:rsid w:val="00904DA4"/>
    <w:rsid w:val="00904E9B"/>
    <w:rsid w:val="009050D5"/>
    <w:rsid w:val="00905911"/>
    <w:rsid w:val="00905A48"/>
    <w:rsid w:val="00905AAA"/>
    <w:rsid w:val="00905F37"/>
    <w:rsid w:val="009064DE"/>
    <w:rsid w:val="0090674F"/>
    <w:rsid w:val="009069FF"/>
    <w:rsid w:val="00907ACB"/>
    <w:rsid w:val="00907BEB"/>
    <w:rsid w:val="00910063"/>
    <w:rsid w:val="009101A8"/>
    <w:rsid w:val="00910791"/>
    <w:rsid w:val="009109B4"/>
    <w:rsid w:val="00910A47"/>
    <w:rsid w:val="00910DDA"/>
    <w:rsid w:val="00910E3C"/>
    <w:rsid w:val="00911036"/>
    <w:rsid w:val="0091108B"/>
    <w:rsid w:val="009111C2"/>
    <w:rsid w:val="00911495"/>
    <w:rsid w:val="00911594"/>
    <w:rsid w:val="0091161F"/>
    <w:rsid w:val="00911841"/>
    <w:rsid w:val="00911C82"/>
    <w:rsid w:val="00911E68"/>
    <w:rsid w:val="00911E84"/>
    <w:rsid w:val="00911EB4"/>
    <w:rsid w:val="00911F11"/>
    <w:rsid w:val="00912D63"/>
    <w:rsid w:val="0091355A"/>
    <w:rsid w:val="009138DD"/>
    <w:rsid w:val="00913F74"/>
    <w:rsid w:val="009148B8"/>
    <w:rsid w:val="00914AFD"/>
    <w:rsid w:val="00914B4D"/>
    <w:rsid w:val="00915AD8"/>
    <w:rsid w:val="00915B88"/>
    <w:rsid w:val="00915D5F"/>
    <w:rsid w:val="00915EDF"/>
    <w:rsid w:val="00915F48"/>
    <w:rsid w:val="00916265"/>
    <w:rsid w:val="00916313"/>
    <w:rsid w:val="0091687A"/>
    <w:rsid w:val="00916B99"/>
    <w:rsid w:val="00916DD4"/>
    <w:rsid w:val="00916EB8"/>
    <w:rsid w:val="00916F77"/>
    <w:rsid w:val="00917579"/>
    <w:rsid w:val="00917A2B"/>
    <w:rsid w:val="00917BCB"/>
    <w:rsid w:val="00917FF1"/>
    <w:rsid w:val="009201DE"/>
    <w:rsid w:val="009207C2"/>
    <w:rsid w:val="009208A2"/>
    <w:rsid w:val="00921162"/>
    <w:rsid w:val="00921561"/>
    <w:rsid w:val="009215ED"/>
    <w:rsid w:val="00921CC9"/>
    <w:rsid w:val="00922629"/>
    <w:rsid w:val="00922AA0"/>
    <w:rsid w:val="00923546"/>
    <w:rsid w:val="00923D2B"/>
    <w:rsid w:val="00923E1A"/>
    <w:rsid w:val="009243EC"/>
    <w:rsid w:val="00924601"/>
    <w:rsid w:val="00924831"/>
    <w:rsid w:val="00924F4C"/>
    <w:rsid w:val="00925670"/>
    <w:rsid w:val="009257D1"/>
    <w:rsid w:val="00925D13"/>
    <w:rsid w:val="00925E4D"/>
    <w:rsid w:val="00925E59"/>
    <w:rsid w:val="00925F25"/>
    <w:rsid w:val="00926048"/>
    <w:rsid w:val="0092617B"/>
    <w:rsid w:val="0092633D"/>
    <w:rsid w:val="00926464"/>
    <w:rsid w:val="009264D5"/>
    <w:rsid w:val="00926791"/>
    <w:rsid w:val="00926A2C"/>
    <w:rsid w:val="00926BF2"/>
    <w:rsid w:val="00926C3A"/>
    <w:rsid w:val="00926E89"/>
    <w:rsid w:val="009270EF"/>
    <w:rsid w:val="0092738C"/>
    <w:rsid w:val="0092743A"/>
    <w:rsid w:val="00927485"/>
    <w:rsid w:val="00927601"/>
    <w:rsid w:val="00927812"/>
    <w:rsid w:val="009279BD"/>
    <w:rsid w:val="00927C15"/>
    <w:rsid w:val="00927C8B"/>
    <w:rsid w:val="00927E27"/>
    <w:rsid w:val="00927E2C"/>
    <w:rsid w:val="00927F87"/>
    <w:rsid w:val="00930179"/>
    <w:rsid w:val="009301A3"/>
    <w:rsid w:val="009301D6"/>
    <w:rsid w:val="00930766"/>
    <w:rsid w:val="009308F1"/>
    <w:rsid w:val="009308FF"/>
    <w:rsid w:val="00930BCE"/>
    <w:rsid w:val="00930F1A"/>
    <w:rsid w:val="00930F9C"/>
    <w:rsid w:val="00931039"/>
    <w:rsid w:val="0093167E"/>
    <w:rsid w:val="009317B4"/>
    <w:rsid w:val="00931A3F"/>
    <w:rsid w:val="00931DEA"/>
    <w:rsid w:val="00932035"/>
    <w:rsid w:val="00932106"/>
    <w:rsid w:val="009322D5"/>
    <w:rsid w:val="00932655"/>
    <w:rsid w:val="00932926"/>
    <w:rsid w:val="00932AAD"/>
    <w:rsid w:val="00933048"/>
    <w:rsid w:val="00933641"/>
    <w:rsid w:val="00933698"/>
    <w:rsid w:val="00933D0E"/>
    <w:rsid w:val="00934013"/>
    <w:rsid w:val="009340D5"/>
    <w:rsid w:val="00934295"/>
    <w:rsid w:val="009343EB"/>
    <w:rsid w:val="0093442A"/>
    <w:rsid w:val="0093461C"/>
    <w:rsid w:val="0093477B"/>
    <w:rsid w:val="00934845"/>
    <w:rsid w:val="00934FD1"/>
    <w:rsid w:val="00935068"/>
    <w:rsid w:val="00935979"/>
    <w:rsid w:val="00935FD9"/>
    <w:rsid w:val="009366B8"/>
    <w:rsid w:val="00936FF6"/>
    <w:rsid w:val="00937105"/>
    <w:rsid w:val="00937228"/>
    <w:rsid w:val="009374B4"/>
    <w:rsid w:val="00937995"/>
    <w:rsid w:val="00937C02"/>
    <w:rsid w:val="00937D2A"/>
    <w:rsid w:val="00937DCB"/>
    <w:rsid w:val="00940080"/>
    <w:rsid w:val="009402BA"/>
    <w:rsid w:val="00940415"/>
    <w:rsid w:val="00940DF9"/>
    <w:rsid w:val="009413E9"/>
    <w:rsid w:val="00941455"/>
    <w:rsid w:val="00941930"/>
    <w:rsid w:val="009419CD"/>
    <w:rsid w:val="00941E34"/>
    <w:rsid w:val="00942A38"/>
    <w:rsid w:val="00942BBE"/>
    <w:rsid w:val="00942EB7"/>
    <w:rsid w:val="0094316D"/>
    <w:rsid w:val="009431E2"/>
    <w:rsid w:val="00943295"/>
    <w:rsid w:val="0094356A"/>
    <w:rsid w:val="00943667"/>
    <w:rsid w:val="00943925"/>
    <w:rsid w:val="009439EE"/>
    <w:rsid w:val="00943A42"/>
    <w:rsid w:val="00943A7E"/>
    <w:rsid w:val="00943CFF"/>
    <w:rsid w:val="00944071"/>
    <w:rsid w:val="009443B6"/>
    <w:rsid w:val="00944778"/>
    <w:rsid w:val="00945044"/>
    <w:rsid w:val="0094524E"/>
    <w:rsid w:val="0094565C"/>
    <w:rsid w:val="0094596C"/>
    <w:rsid w:val="00945975"/>
    <w:rsid w:val="00945A07"/>
    <w:rsid w:val="00945B7B"/>
    <w:rsid w:val="00946348"/>
    <w:rsid w:val="009466EE"/>
    <w:rsid w:val="009466FA"/>
    <w:rsid w:val="00946799"/>
    <w:rsid w:val="00946931"/>
    <w:rsid w:val="00946AB2"/>
    <w:rsid w:val="00946CA3"/>
    <w:rsid w:val="00947554"/>
    <w:rsid w:val="00947787"/>
    <w:rsid w:val="009478EC"/>
    <w:rsid w:val="00947B8E"/>
    <w:rsid w:val="00947C2B"/>
    <w:rsid w:val="00947C54"/>
    <w:rsid w:val="009502FE"/>
    <w:rsid w:val="00950701"/>
    <w:rsid w:val="009507D1"/>
    <w:rsid w:val="00950B9E"/>
    <w:rsid w:val="00950C41"/>
    <w:rsid w:val="009514E9"/>
    <w:rsid w:val="00951942"/>
    <w:rsid w:val="0095195E"/>
    <w:rsid w:val="009526F3"/>
    <w:rsid w:val="00952A00"/>
    <w:rsid w:val="00952F6A"/>
    <w:rsid w:val="009535EA"/>
    <w:rsid w:val="00953838"/>
    <w:rsid w:val="00953A0D"/>
    <w:rsid w:val="00953EBC"/>
    <w:rsid w:val="00954325"/>
    <w:rsid w:val="009549C3"/>
    <w:rsid w:val="00954D5D"/>
    <w:rsid w:val="00954E3C"/>
    <w:rsid w:val="00955004"/>
    <w:rsid w:val="00955050"/>
    <w:rsid w:val="009552BF"/>
    <w:rsid w:val="009554F7"/>
    <w:rsid w:val="00955506"/>
    <w:rsid w:val="00955923"/>
    <w:rsid w:val="00955BAD"/>
    <w:rsid w:val="00955D94"/>
    <w:rsid w:val="00955EC4"/>
    <w:rsid w:val="00956137"/>
    <w:rsid w:val="009561C6"/>
    <w:rsid w:val="0095629E"/>
    <w:rsid w:val="0095637D"/>
    <w:rsid w:val="00956782"/>
    <w:rsid w:val="00956F03"/>
    <w:rsid w:val="00956FC9"/>
    <w:rsid w:val="00957138"/>
    <w:rsid w:val="009571D0"/>
    <w:rsid w:val="009571FF"/>
    <w:rsid w:val="009574B9"/>
    <w:rsid w:val="0095752B"/>
    <w:rsid w:val="00957A92"/>
    <w:rsid w:val="00957EFE"/>
    <w:rsid w:val="00960136"/>
    <w:rsid w:val="009601E9"/>
    <w:rsid w:val="00960723"/>
    <w:rsid w:val="00960BF3"/>
    <w:rsid w:val="00960BF6"/>
    <w:rsid w:val="00960F8C"/>
    <w:rsid w:val="00961045"/>
    <w:rsid w:val="009615D6"/>
    <w:rsid w:val="00961852"/>
    <w:rsid w:val="00961A36"/>
    <w:rsid w:val="00961D8E"/>
    <w:rsid w:val="00961EFF"/>
    <w:rsid w:val="00962256"/>
    <w:rsid w:val="009623B7"/>
    <w:rsid w:val="009623F7"/>
    <w:rsid w:val="009624EC"/>
    <w:rsid w:val="00962C5E"/>
    <w:rsid w:val="00962DF1"/>
    <w:rsid w:val="0096301C"/>
    <w:rsid w:val="0096329A"/>
    <w:rsid w:val="00963BF1"/>
    <w:rsid w:val="00963CEF"/>
    <w:rsid w:val="00963F00"/>
    <w:rsid w:val="00963F41"/>
    <w:rsid w:val="0096400F"/>
    <w:rsid w:val="00964388"/>
    <w:rsid w:val="009647C3"/>
    <w:rsid w:val="009648CB"/>
    <w:rsid w:val="00964EBD"/>
    <w:rsid w:val="00964FED"/>
    <w:rsid w:val="00964FF1"/>
    <w:rsid w:val="00965492"/>
    <w:rsid w:val="0096582A"/>
    <w:rsid w:val="00965AB2"/>
    <w:rsid w:val="00965CB3"/>
    <w:rsid w:val="0096647B"/>
    <w:rsid w:val="00966927"/>
    <w:rsid w:val="009669A3"/>
    <w:rsid w:val="00966AC9"/>
    <w:rsid w:val="00966C5C"/>
    <w:rsid w:val="00966D2B"/>
    <w:rsid w:val="0096748E"/>
    <w:rsid w:val="00967639"/>
    <w:rsid w:val="0096780D"/>
    <w:rsid w:val="00967F33"/>
    <w:rsid w:val="00970230"/>
    <w:rsid w:val="00970556"/>
    <w:rsid w:val="00970714"/>
    <w:rsid w:val="0097084F"/>
    <w:rsid w:val="0097086A"/>
    <w:rsid w:val="00970B4E"/>
    <w:rsid w:val="00970C36"/>
    <w:rsid w:val="00970E17"/>
    <w:rsid w:val="00971154"/>
    <w:rsid w:val="009711CB"/>
    <w:rsid w:val="00971AEE"/>
    <w:rsid w:val="00971CB6"/>
    <w:rsid w:val="009726DC"/>
    <w:rsid w:val="00972877"/>
    <w:rsid w:val="00972ACC"/>
    <w:rsid w:val="00972F35"/>
    <w:rsid w:val="009731A3"/>
    <w:rsid w:val="00973A06"/>
    <w:rsid w:val="00973DC2"/>
    <w:rsid w:val="00973E5F"/>
    <w:rsid w:val="00974354"/>
    <w:rsid w:val="00974696"/>
    <w:rsid w:val="0097478B"/>
    <w:rsid w:val="00974791"/>
    <w:rsid w:val="00974B07"/>
    <w:rsid w:val="00975792"/>
    <w:rsid w:val="00975826"/>
    <w:rsid w:val="00975C55"/>
    <w:rsid w:val="00975FCA"/>
    <w:rsid w:val="00976018"/>
    <w:rsid w:val="009760AF"/>
    <w:rsid w:val="00976446"/>
    <w:rsid w:val="009764A1"/>
    <w:rsid w:val="009768F7"/>
    <w:rsid w:val="009771F5"/>
    <w:rsid w:val="00977415"/>
    <w:rsid w:val="009775DF"/>
    <w:rsid w:val="00977927"/>
    <w:rsid w:val="00977CA2"/>
    <w:rsid w:val="009802A3"/>
    <w:rsid w:val="009806BC"/>
    <w:rsid w:val="00980755"/>
    <w:rsid w:val="00980BA4"/>
    <w:rsid w:val="00980F71"/>
    <w:rsid w:val="009812F0"/>
    <w:rsid w:val="009813C7"/>
    <w:rsid w:val="0098151C"/>
    <w:rsid w:val="00981646"/>
    <w:rsid w:val="00982034"/>
    <w:rsid w:val="00982359"/>
    <w:rsid w:val="0098264C"/>
    <w:rsid w:val="009826AF"/>
    <w:rsid w:val="00982719"/>
    <w:rsid w:val="00982A1A"/>
    <w:rsid w:val="00982A34"/>
    <w:rsid w:val="00983017"/>
    <w:rsid w:val="00983121"/>
    <w:rsid w:val="0098388A"/>
    <w:rsid w:val="0098391C"/>
    <w:rsid w:val="00983B69"/>
    <w:rsid w:val="00983E64"/>
    <w:rsid w:val="00983FE3"/>
    <w:rsid w:val="009840EE"/>
    <w:rsid w:val="0098440E"/>
    <w:rsid w:val="00984F02"/>
    <w:rsid w:val="009850A4"/>
    <w:rsid w:val="00985A46"/>
    <w:rsid w:val="00985D53"/>
    <w:rsid w:val="00985E3A"/>
    <w:rsid w:val="00985E4F"/>
    <w:rsid w:val="00986A35"/>
    <w:rsid w:val="00986B5F"/>
    <w:rsid w:val="00986BAB"/>
    <w:rsid w:val="00986C05"/>
    <w:rsid w:val="00986D76"/>
    <w:rsid w:val="00986E2E"/>
    <w:rsid w:val="009875EC"/>
    <w:rsid w:val="009878AB"/>
    <w:rsid w:val="00987967"/>
    <w:rsid w:val="00987AC2"/>
    <w:rsid w:val="00987D98"/>
    <w:rsid w:val="0099006E"/>
    <w:rsid w:val="009906A5"/>
    <w:rsid w:val="00990743"/>
    <w:rsid w:val="00990DC0"/>
    <w:rsid w:val="00990FF9"/>
    <w:rsid w:val="00991034"/>
    <w:rsid w:val="009917CB"/>
    <w:rsid w:val="009919EC"/>
    <w:rsid w:val="00991B6C"/>
    <w:rsid w:val="00991DA0"/>
    <w:rsid w:val="00991E59"/>
    <w:rsid w:val="00991F9C"/>
    <w:rsid w:val="0099256A"/>
    <w:rsid w:val="00992859"/>
    <w:rsid w:val="009928AA"/>
    <w:rsid w:val="00992CB6"/>
    <w:rsid w:val="00992DF9"/>
    <w:rsid w:val="00992FCB"/>
    <w:rsid w:val="00993248"/>
    <w:rsid w:val="009934CC"/>
    <w:rsid w:val="00993703"/>
    <w:rsid w:val="009937A4"/>
    <w:rsid w:val="00993CB9"/>
    <w:rsid w:val="00993D8B"/>
    <w:rsid w:val="00993D9D"/>
    <w:rsid w:val="00993E67"/>
    <w:rsid w:val="0099441B"/>
    <w:rsid w:val="00994476"/>
    <w:rsid w:val="00994763"/>
    <w:rsid w:val="00994C49"/>
    <w:rsid w:val="00994CB1"/>
    <w:rsid w:val="00995209"/>
    <w:rsid w:val="00995336"/>
    <w:rsid w:val="0099542F"/>
    <w:rsid w:val="009954AB"/>
    <w:rsid w:val="00995AC6"/>
    <w:rsid w:val="00995BAC"/>
    <w:rsid w:val="00995BCE"/>
    <w:rsid w:val="00995F5D"/>
    <w:rsid w:val="00995FEF"/>
    <w:rsid w:val="009962A9"/>
    <w:rsid w:val="00996423"/>
    <w:rsid w:val="009969EC"/>
    <w:rsid w:val="00996AC9"/>
    <w:rsid w:val="00996ADE"/>
    <w:rsid w:val="00996DDE"/>
    <w:rsid w:val="00996F2B"/>
    <w:rsid w:val="00996F50"/>
    <w:rsid w:val="00997130"/>
    <w:rsid w:val="00997C17"/>
    <w:rsid w:val="009A0225"/>
    <w:rsid w:val="009A023A"/>
    <w:rsid w:val="009A04A0"/>
    <w:rsid w:val="009A04A2"/>
    <w:rsid w:val="009A08C9"/>
    <w:rsid w:val="009A10F7"/>
    <w:rsid w:val="009A14FD"/>
    <w:rsid w:val="009A17DA"/>
    <w:rsid w:val="009A1AE6"/>
    <w:rsid w:val="009A1BAA"/>
    <w:rsid w:val="009A1DF8"/>
    <w:rsid w:val="009A1E9A"/>
    <w:rsid w:val="009A295A"/>
    <w:rsid w:val="009A29A6"/>
    <w:rsid w:val="009A2FA1"/>
    <w:rsid w:val="009A2FC4"/>
    <w:rsid w:val="009A3162"/>
    <w:rsid w:val="009A32AB"/>
    <w:rsid w:val="009A3377"/>
    <w:rsid w:val="009A38F4"/>
    <w:rsid w:val="009A4014"/>
    <w:rsid w:val="009A4144"/>
    <w:rsid w:val="009A41CD"/>
    <w:rsid w:val="009A4359"/>
    <w:rsid w:val="009A4974"/>
    <w:rsid w:val="009A4B39"/>
    <w:rsid w:val="009A5013"/>
    <w:rsid w:val="009A54CE"/>
    <w:rsid w:val="009A5904"/>
    <w:rsid w:val="009A5987"/>
    <w:rsid w:val="009A5D99"/>
    <w:rsid w:val="009A6477"/>
    <w:rsid w:val="009A6E3E"/>
    <w:rsid w:val="009A6F70"/>
    <w:rsid w:val="009A7295"/>
    <w:rsid w:val="009A7307"/>
    <w:rsid w:val="009A77BF"/>
    <w:rsid w:val="009A7872"/>
    <w:rsid w:val="009A7887"/>
    <w:rsid w:val="009A7C81"/>
    <w:rsid w:val="009B008A"/>
    <w:rsid w:val="009B0376"/>
    <w:rsid w:val="009B040D"/>
    <w:rsid w:val="009B0A8D"/>
    <w:rsid w:val="009B0E13"/>
    <w:rsid w:val="009B124D"/>
    <w:rsid w:val="009B1A34"/>
    <w:rsid w:val="009B1D7A"/>
    <w:rsid w:val="009B1F6E"/>
    <w:rsid w:val="009B2136"/>
    <w:rsid w:val="009B21E1"/>
    <w:rsid w:val="009B23D3"/>
    <w:rsid w:val="009B3233"/>
    <w:rsid w:val="009B32DC"/>
    <w:rsid w:val="009B3B9E"/>
    <w:rsid w:val="009B3D0A"/>
    <w:rsid w:val="009B44C4"/>
    <w:rsid w:val="009B47C0"/>
    <w:rsid w:val="009B4A83"/>
    <w:rsid w:val="009B4B3C"/>
    <w:rsid w:val="009B5030"/>
    <w:rsid w:val="009B54D3"/>
    <w:rsid w:val="009B5678"/>
    <w:rsid w:val="009B5CEC"/>
    <w:rsid w:val="009B6660"/>
    <w:rsid w:val="009B6AC6"/>
    <w:rsid w:val="009B6AC7"/>
    <w:rsid w:val="009B6B4A"/>
    <w:rsid w:val="009B6FA9"/>
    <w:rsid w:val="009B711E"/>
    <w:rsid w:val="009B75E2"/>
    <w:rsid w:val="009B7693"/>
    <w:rsid w:val="009B77CF"/>
    <w:rsid w:val="009B78F6"/>
    <w:rsid w:val="009C0336"/>
    <w:rsid w:val="009C03AB"/>
    <w:rsid w:val="009C047F"/>
    <w:rsid w:val="009C048F"/>
    <w:rsid w:val="009C05EE"/>
    <w:rsid w:val="009C0980"/>
    <w:rsid w:val="009C09F4"/>
    <w:rsid w:val="009C0A64"/>
    <w:rsid w:val="009C0B7D"/>
    <w:rsid w:val="009C0C61"/>
    <w:rsid w:val="009C109F"/>
    <w:rsid w:val="009C1349"/>
    <w:rsid w:val="009C152D"/>
    <w:rsid w:val="009C1E0D"/>
    <w:rsid w:val="009C1E2F"/>
    <w:rsid w:val="009C1F07"/>
    <w:rsid w:val="009C27B8"/>
    <w:rsid w:val="009C2820"/>
    <w:rsid w:val="009C2A0D"/>
    <w:rsid w:val="009C2CFA"/>
    <w:rsid w:val="009C3050"/>
    <w:rsid w:val="009C408A"/>
    <w:rsid w:val="009C4336"/>
    <w:rsid w:val="009C4525"/>
    <w:rsid w:val="009C4D28"/>
    <w:rsid w:val="009C4F7E"/>
    <w:rsid w:val="009C5405"/>
    <w:rsid w:val="009C5938"/>
    <w:rsid w:val="009C6340"/>
    <w:rsid w:val="009C66F3"/>
    <w:rsid w:val="009C6F68"/>
    <w:rsid w:val="009C7056"/>
    <w:rsid w:val="009C71A5"/>
    <w:rsid w:val="009C774A"/>
    <w:rsid w:val="009D02A7"/>
    <w:rsid w:val="009D02DD"/>
    <w:rsid w:val="009D07C1"/>
    <w:rsid w:val="009D09E1"/>
    <w:rsid w:val="009D0A41"/>
    <w:rsid w:val="009D0DF0"/>
    <w:rsid w:val="009D1181"/>
    <w:rsid w:val="009D1889"/>
    <w:rsid w:val="009D1B40"/>
    <w:rsid w:val="009D1D02"/>
    <w:rsid w:val="009D20DD"/>
    <w:rsid w:val="009D22C6"/>
    <w:rsid w:val="009D2304"/>
    <w:rsid w:val="009D26B9"/>
    <w:rsid w:val="009D26C8"/>
    <w:rsid w:val="009D2828"/>
    <w:rsid w:val="009D28E5"/>
    <w:rsid w:val="009D2966"/>
    <w:rsid w:val="009D29F8"/>
    <w:rsid w:val="009D2D12"/>
    <w:rsid w:val="009D2FEF"/>
    <w:rsid w:val="009D3872"/>
    <w:rsid w:val="009D38B1"/>
    <w:rsid w:val="009D39AD"/>
    <w:rsid w:val="009D3AFD"/>
    <w:rsid w:val="009D3D2B"/>
    <w:rsid w:val="009D41A2"/>
    <w:rsid w:val="009D43EC"/>
    <w:rsid w:val="009D443E"/>
    <w:rsid w:val="009D45F0"/>
    <w:rsid w:val="009D5005"/>
    <w:rsid w:val="009D5105"/>
    <w:rsid w:val="009D51A4"/>
    <w:rsid w:val="009D5A71"/>
    <w:rsid w:val="009D5D83"/>
    <w:rsid w:val="009D614C"/>
    <w:rsid w:val="009D619E"/>
    <w:rsid w:val="009D626A"/>
    <w:rsid w:val="009D62C3"/>
    <w:rsid w:val="009D6427"/>
    <w:rsid w:val="009D64BF"/>
    <w:rsid w:val="009D6BE1"/>
    <w:rsid w:val="009D6BFD"/>
    <w:rsid w:val="009D71B5"/>
    <w:rsid w:val="009D71D6"/>
    <w:rsid w:val="009D7346"/>
    <w:rsid w:val="009D73FF"/>
    <w:rsid w:val="009D76D7"/>
    <w:rsid w:val="009E049B"/>
    <w:rsid w:val="009E06DF"/>
    <w:rsid w:val="009E0BB5"/>
    <w:rsid w:val="009E0D2B"/>
    <w:rsid w:val="009E0DF5"/>
    <w:rsid w:val="009E118E"/>
    <w:rsid w:val="009E11D1"/>
    <w:rsid w:val="009E12FD"/>
    <w:rsid w:val="009E1413"/>
    <w:rsid w:val="009E153C"/>
    <w:rsid w:val="009E15F2"/>
    <w:rsid w:val="009E1653"/>
    <w:rsid w:val="009E17CB"/>
    <w:rsid w:val="009E1A3E"/>
    <w:rsid w:val="009E1D64"/>
    <w:rsid w:val="009E1EFB"/>
    <w:rsid w:val="009E20D4"/>
    <w:rsid w:val="009E26E4"/>
    <w:rsid w:val="009E2701"/>
    <w:rsid w:val="009E2B5F"/>
    <w:rsid w:val="009E2CE3"/>
    <w:rsid w:val="009E2D9D"/>
    <w:rsid w:val="009E3409"/>
    <w:rsid w:val="009E3F21"/>
    <w:rsid w:val="009E3F3F"/>
    <w:rsid w:val="009E43A5"/>
    <w:rsid w:val="009E4703"/>
    <w:rsid w:val="009E4748"/>
    <w:rsid w:val="009E4788"/>
    <w:rsid w:val="009E47E1"/>
    <w:rsid w:val="009E48AC"/>
    <w:rsid w:val="009E4B47"/>
    <w:rsid w:val="009E4B8D"/>
    <w:rsid w:val="009E51D6"/>
    <w:rsid w:val="009E52F4"/>
    <w:rsid w:val="009E5452"/>
    <w:rsid w:val="009E5708"/>
    <w:rsid w:val="009E5F7C"/>
    <w:rsid w:val="009E61B8"/>
    <w:rsid w:val="009E633B"/>
    <w:rsid w:val="009E642B"/>
    <w:rsid w:val="009E660A"/>
    <w:rsid w:val="009E6625"/>
    <w:rsid w:val="009E6CBB"/>
    <w:rsid w:val="009E6D6F"/>
    <w:rsid w:val="009E72FF"/>
    <w:rsid w:val="009E743F"/>
    <w:rsid w:val="009E7613"/>
    <w:rsid w:val="009E7617"/>
    <w:rsid w:val="009E7857"/>
    <w:rsid w:val="009E7F04"/>
    <w:rsid w:val="009E7F3D"/>
    <w:rsid w:val="009E7FED"/>
    <w:rsid w:val="009F00F2"/>
    <w:rsid w:val="009F013E"/>
    <w:rsid w:val="009F01C6"/>
    <w:rsid w:val="009F0D70"/>
    <w:rsid w:val="009F0D73"/>
    <w:rsid w:val="009F10D7"/>
    <w:rsid w:val="009F136F"/>
    <w:rsid w:val="009F1833"/>
    <w:rsid w:val="009F243B"/>
    <w:rsid w:val="009F26DD"/>
    <w:rsid w:val="009F2B1C"/>
    <w:rsid w:val="009F33ED"/>
    <w:rsid w:val="009F3455"/>
    <w:rsid w:val="009F3525"/>
    <w:rsid w:val="009F372D"/>
    <w:rsid w:val="009F3918"/>
    <w:rsid w:val="009F39FA"/>
    <w:rsid w:val="009F3C06"/>
    <w:rsid w:val="009F3CF9"/>
    <w:rsid w:val="009F3E6D"/>
    <w:rsid w:val="009F3EC0"/>
    <w:rsid w:val="009F429D"/>
    <w:rsid w:val="009F4474"/>
    <w:rsid w:val="009F4744"/>
    <w:rsid w:val="009F4D5E"/>
    <w:rsid w:val="009F4D88"/>
    <w:rsid w:val="009F4EC4"/>
    <w:rsid w:val="009F4F55"/>
    <w:rsid w:val="009F52BD"/>
    <w:rsid w:val="009F5346"/>
    <w:rsid w:val="009F5680"/>
    <w:rsid w:val="009F59A2"/>
    <w:rsid w:val="009F5BA3"/>
    <w:rsid w:val="009F5BA9"/>
    <w:rsid w:val="009F5C47"/>
    <w:rsid w:val="009F5E2D"/>
    <w:rsid w:val="009F5F68"/>
    <w:rsid w:val="009F67C1"/>
    <w:rsid w:val="009F67E6"/>
    <w:rsid w:val="009F6B46"/>
    <w:rsid w:val="009F7113"/>
    <w:rsid w:val="009F7301"/>
    <w:rsid w:val="009F739E"/>
    <w:rsid w:val="009F7657"/>
    <w:rsid w:val="009F78E8"/>
    <w:rsid w:val="009F7C36"/>
    <w:rsid w:val="009F7EFC"/>
    <w:rsid w:val="00A003F3"/>
    <w:rsid w:val="00A00788"/>
    <w:rsid w:val="00A00875"/>
    <w:rsid w:val="00A0097D"/>
    <w:rsid w:val="00A00B00"/>
    <w:rsid w:val="00A01C5A"/>
    <w:rsid w:val="00A022B4"/>
    <w:rsid w:val="00A02420"/>
    <w:rsid w:val="00A02448"/>
    <w:rsid w:val="00A025C5"/>
    <w:rsid w:val="00A026F5"/>
    <w:rsid w:val="00A02ED1"/>
    <w:rsid w:val="00A0309C"/>
    <w:rsid w:val="00A03189"/>
    <w:rsid w:val="00A03889"/>
    <w:rsid w:val="00A03A06"/>
    <w:rsid w:val="00A03B35"/>
    <w:rsid w:val="00A03B40"/>
    <w:rsid w:val="00A03B70"/>
    <w:rsid w:val="00A03E29"/>
    <w:rsid w:val="00A03F22"/>
    <w:rsid w:val="00A04074"/>
    <w:rsid w:val="00A04245"/>
    <w:rsid w:val="00A042EB"/>
    <w:rsid w:val="00A04680"/>
    <w:rsid w:val="00A04998"/>
    <w:rsid w:val="00A04AEE"/>
    <w:rsid w:val="00A04BB0"/>
    <w:rsid w:val="00A04D09"/>
    <w:rsid w:val="00A04D5D"/>
    <w:rsid w:val="00A05292"/>
    <w:rsid w:val="00A05482"/>
    <w:rsid w:val="00A05581"/>
    <w:rsid w:val="00A059F2"/>
    <w:rsid w:val="00A05A64"/>
    <w:rsid w:val="00A05A8A"/>
    <w:rsid w:val="00A05CAE"/>
    <w:rsid w:val="00A0650D"/>
    <w:rsid w:val="00A06D96"/>
    <w:rsid w:val="00A073EF"/>
    <w:rsid w:val="00A0767A"/>
    <w:rsid w:val="00A07887"/>
    <w:rsid w:val="00A0789F"/>
    <w:rsid w:val="00A078CA"/>
    <w:rsid w:val="00A079C9"/>
    <w:rsid w:val="00A07D93"/>
    <w:rsid w:val="00A07DD9"/>
    <w:rsid w:val="00A07DE7"/>
    <w:rsid w:val="00A07E5F"/>
    <w:rsid w:val="00A102C4"/>
    <w:rsid w:val="00A103CA"/>
    <w:rsid w:val="00A106AC"/>
    <w:rsid w:val="00A10751"/>
    <w:rsid w:val="00A10754"/>
    <w:rsid w:val="00A10CB9"/>
    <w:rsid w:val="00A10DEC"/>
    <w:rsid w:val="00A1111B"/>
    <w:rsid w:val="00A1144D"/>
    <w:rsid w:val="00A1158C"/>
    <w:rsid w:val="00A11921"/>
    <w:rsid w:val="00A12499"/>
    <w:rsid w:val="00A12600"/>
    <w:rsid w:val="00A12706"/>
    <w:rsid w:val="00A12A25"/>
    <w:rsid w:val="00A140E3"/>
    <w:rsid w:val="00A1449B"/>
    <w:rsid w:val="00A1474E"/>
    <w:rsid w:val="00A14B6A"/>
    <w:rsid w:val="00A1536A"/>
    <w:rsid w:val="00A15445"/>
    <w:rsid w:val="00A1544E"/>
    <w:rsid w:val="00A15B91"/>
    <w:rsid w:val="00A15E65"/>
    <w:rsid w:val="00A15E81"/>
    <w:rsid w:val="00A16296"/>
    <w:rsid w:val="00A164C0"/>
    <w:rsid w:val="00A16825"/>
    <w:rsid w:val="00A16882"/>
    <w:rsid w:val="00A16F42"/>
    <w:rsid w:val="00A16FF1"/>
    <w:rsid w:val="00A172DB"/>
    <w:rsid w:val="00A1741C"/>
    <w:rsid w:val="00A17B8F"/>
    <w:rsid w:val="00A17DBA"/>
    <w:rsid w:val="00A17EA4"/>
    <w:rsid w:val="00A2005B"/>
    <w:rsid w:val="00A2055F"/>
    <w:rsid w:val="00A20650"/>
    <w:rsid w:val="00A20A0A"/>
    <w:rsid w:val="00A20E30"/>
    <w:rsid w:val="00A21061"/>
    <w:rsid w:val="00A212DB"/>
    <w:rsid w:val="00A21452"/>
    <w:rsid w:val="00A214D3"/>
    <w:rsid w:val="00A2153D"/>
    <w:rsid w:val="00A21705"/>
    <w:rsid w:val="00A219C6"/>
    <w:rsid w:val="00A21A48"/>
    <w:rsid w:val="00A21FEF"/>
    <w:rsid w:val="00A22236"/>
    <w:rsid w:val="00A22F37"/>
    <w:rsid w:val="00A230E8"/>
    <w:rsid w:val="00A2323A"/>
    <w:rsid w:val="00A235E4"/>
    <w:rsid w:val="00A2366E"/>
    <w:rsid w:val="00A23C86"/>
    <w:rsid w:val="00A23CC2"/>
    <w:rsid w:val="00A23F89"/>
    <w:rsid w:val="00A2439F"/>
    <w:rsid w:val="00A2482A"/>
    <w:rsid w:val="00A24ABD"/>
    <w:rsid w:val="00A24CCA"/>
    <w:rsid w:val="00A24F00"/>
    <w:rsid w:val="00A24F73"/>
    <w:rsid w:val="00A25549"/>
    <w:rsid w:val="00A2573C"/>
    <w:rsid w:val="00A25AE8"/>
    <w:rsid w:val="00A25C7A"/>
    <w:rsid w:val="00A260EF"/>
    <w:rsid w:val="00A26113"/>
    <w:rsid w:val="00A26171"/>
    <w:rsid w:val="00A261B5"/>
    <w:rsid w:val="00A26228"/>
    <w:rsid w:val="00A26599"/>
    <w:rsid w:val="00A267EF"/>
    <w:rsid w:val="00A26ACA"/>
    <w:rsid w:val="00A26CD6"/>
    <w:rsid w:val="00A272AE"/>
    <w:rsid w:val="00A273D8"/>
    <w:rsid w:val="00A30429"/>
    <w:rsid w:val="00A30648"/>
    <w:rsid w:val="00A30C5C"/>
    <w:rsid w:val="00A3112C"/>
    <w:rsid w:val="00A31C4D"/>
    <w:rsid w:val="00A3232B"/>
    <w:rsid w:val="00A327E5"/>
    <w:rsid w:val="00A32A7B"/>
    <w:rsid w:val="00A32D7B"/>
    <w:rsid w:val="00A32DD0"/>
    <w:rsid w:val="00A3328A"/>
    <w:rsid w:val="00A33591"/>
    <w:rsid w:val="00A33F0B"/>
    <w:rsid w:val="00A3400D"/>
    <w:rsid w:val="00A34C33"/>
    <w:rsid w:val="00A35182"/>
    <w:rsid w:val="00A35201"/>
    <w:rsid w:val="00A354E1"/>
    <w:rsid w:val="00A35556"/>
    <w:rsid w:val="00A355CA"/>
    <w:rsid w:val="00A357E3"/>
    <w:rsid w:val="00A35EE6"/>
    <w:rsid w:val="00A363E6"/>
    <w:rsid w:val="00A36E91"/>
    <w:rsid w:val="00A36ED0"/>
    <w:rsid w:val="00A37BF1"/>
    <w:rsid w:val="00A37EC6"/>
    <w:rsid w:val="00A401B4"/>
    <w:rsid w:val="00A40D80"/>
    <w:rsid w:val="00A4113A"/>
    <w:rsid w:val="00A41177"/>
    <w:rsid w:val="00A41242"/>
    <w:rsid w:val="00A41647"/>
    <w:rsid w:val="00A41F3B"/>
    <w:rsid w:val="00A41FA0"/>
    <w:rsid w:val="00A422E0"/>
    <w:rsid w:val="00A424B5"/>
    <w:rsid w:val="00A4278A"/>
    <w:rsid w:val="00A42A15"/>
    <w:rsid w:val="00A43109"/>
    <w:rsid w:val="00A436AB"/>
    <w:rsid w:val="00A4373A"/>
    <w:rsid w:val="00A43DB6"/>
    <w:rsid w:val="00A441DA"/>
    <w:rsid w:val="00A44604"/>
    <w:rsid w:val="00A44B18"/>
    <w:rsid w:val="00A44B77"/>
    <w:rsid w:val="00A44E41"/>
    <w:rsid w:val="00A44E79"/>
    <w:rsid w:val="00A45BDE"/>
    <w:rsid w:val="00A45F17"/>
    <w:rsid w:val="00A4635B"/>
    <w:rsid w:val="00A464E2"/>
    <w:rsid w:val="00A468A2"/>
    <w:rsid w:val="00A468BA"/>
    <w:rsid w:val="00A47426"/>
    <w:rsid w:val="00A474F5"/>
    <w:rsid w:val="00A47C09"/>
    <w:rsid w:val="00A47D2A"/>
    <w:rsid w:val="00A47F61"/>
    <w:rsid w:val="00A47FF5"/>
    <w:rsid w:val="00A50039"/>
    <w:rsid w:val="00A5052A"/>
    <w:rsid w:val="00A5083C"/>
    <w:rsid w:val="00A50991"/>
    <w:rsid w:val="00A50B7B"/>
    <w:rsid w:val="00A50EDA"/>
    <w:rsid w:val="00A51050"/>
    <w:rsid w:val="00A5148E"/>
    <w:rsid w:val="00A5183F"/>
    <w:rsid w:val="00A519A3"/>
    <w:rsid w:val="00A51E77"/>
    <w:rsid w:val="00A52017"/>
    <w:rsid w:val="00A52287"/>
    <w:rsid w:val="00A5253E"/>
    <w:rsid w:val="00A52D00"/>
    <w:rsid w:val="00A53245"/>
    <w:rsid w:val="00A5347F"/>
    <w:rsid w:val="00A53B5D"/>
    <w:rsid w:val="00A53BCA"/>
    <w:rsid w:val="00A53C1B"/>
    <w:rsid w:val="00A542B6"/>
    <w:rsid w:val="00A54441"/>
    <w:rsid w:val="00A5452B"/>
    <w:rsid w:val="00A54672"/>
    <w:rsid w:val="00A547E1"/>
    <w:rsid w:val="00A54BB4"/>
    <w:rsid w:val="00A551B6"/>
    <w:rsid w:val="00A551BE"/>
    <w:rsid w:val="00A551CB"/>
    <w:rsid w:val="00A55234"/>
    <w:rsid w:val="00A55314"/>
    <w:rsid w:val="00A55EA1"/>
    <w:rsid w:val="00A563E0"/>
    <w:rsid w:val="00A56458"/>
    <w:rsid w:val="00A56741"/>
    <w:rsid w:val="00A57698"/>
    <w:rsid w:val="00A579EE"/>
    <w:rsid w:val="00A57C18"/>
    <w:rsid w:val="00A57E7F"/>
    <w:rsid w:val="00A60B97"/>
    <w:rsid w:val="00A60D7B"/>
    <w:rsid w:val="00A61188"/>
    <w:rsid w:val="00A611AA"/>
    <w:rsid w:val="00A61233"/>
    <w:rsid w:val="00A6127A"/>
    <w:rsid w:val="00A61504"/>
    <w:rsid w:val="00A61539"/>
    <w:rsid w:val="00A616CE"/>
    <w:rsid w:val="00A618DC"/>
    <w:rsid w:val="00A61DC9"/>
    <w:rsid w:val="00A62A11"/>
    <w:rsid w:val="00A63165"/>
    <w:rsid w:val="00A632FD"/>
    <w:rsid w:val="00A633EA"/>
    <w:rsid w:val="00A6376F"/>
    <w:rsid w:val="00A64151"/>
    <w:rsid w:val="00A644DA"/>
    <w:rsid w:val="00A6495F"/>
    <w:rsid w:val="00A64C7E"/>
    <w:rsid w:val="00A64E7D"/>
    <w:rsid w:val="00A65109"/>
    <w:rsid w:val="00A651AC"/>
    <w:rsid w:val="00A65843"/>
    <w:rsid w:val="00A65CA4"/>
    <w:rsid w:val="00A65E5C"/>
    <w:rsid w:val="00A664E2"/>
    <w:rsid w:val="00A66D4A"/>
    <w:rsid w:val="00A67455"/>
    <w:rsid w:val="00A676FE"/>
    <w:rsid w:val="00A67C45"/>
    <w:rsid w:val="00A67C91"/>
    <w:rsid w:val="00A67FB2"/>
    <w:rsid w:val="00A7013C"/>
    <w:rsid w:val="00A706B2"/>
    <w:rsid w:val="00A70854"/>
    <w:rsid w:val="00A7086B"/>
    <w:rsid w:val="00A70977"/>
    <w:rsid w:val="00A70A15"/>
    <w:rsid w:val="00A70D1B"/>
    <w:rsid w:val="00A70F34"/>
    <w:rsid w:val="00A71033"/>
    <w:rsid w:val="00A714F6"/>
    <w:rsid w:val="00A7169A"/>
    <w:rsid w:val="00A71840"/>
    <w:rsid w:val="00A71DA6"/>
    <w:rsid w:val="00A71F41"/>
    <w:rsid w:val="00A726E1"/>
    <w:rsid w:val="00A729A6"/>
    <w:rsid w:val="00A72FE8"/>
    <w:rsid w:val="00A73270"/>
    <w:rsid w:val="00A737AE"/>
    <w:rsid w:val="00A7400D"/>
    <w:rsid w:val="00A741BE"/>
    <w:rsid w:val="00A7494A"/>
    <w:rsid w:val="00A74DDB"/>
    <w:rsid w:val="00A74EFD"/>
    <w:rsid w:val="00A74FA2"/>
    <w:rsid w:val="00A75071"/>
    <w:rsid w:val="00A7545E"/>
    <w:rsid w:val="00A758FC"/>
    <w:rsid w:val="00A75C0F"/>
    <w:rsid w:val="00A7617F"/>
    <w:rsid w:val="00A763A7"/>
    <w:rsid w:val="00A766DF"/>
    <w:rsid w:val="00A768CA"/>
    <w:rsid w:val="00A7693A"/>
    <w:rsid w:val="00A77741"/>
    <w:rsid w:val="00A77884"/>
    <w:rsid w:val="00A77F88"/>
    <w:rsid w:val="00A80200"/>
    <w:rsid w:val="00A807D4"/>
    <w:rsid w:val="00A80AD3"/>
    <w:rsid w:val="00A80ED0"/>
    <w:rsid w:val="00A80EF8"/>
    <w:rsid w:val="00A81675"/>
    <w:rsid w:val="00A8167A"/>
    <w:rsid w:val="00A816BD"/>
    <w:rsid w:val="00A81A31"/>
    <w:rsid w:val="00A81D69"/>
    <w:rsid w:val="00A81EB8"/>
    <w:rsid w:val="00A82115"/>
    <w:rsid w:val="00A82377"/>
    <w:rsid w:val="00A82761"/>
    <w:rsid w:val="00A82A66"/>
    <w:rsid w:val="00A82AAD"/>
    <w:rsid w:val="00A82AB0"/>
    <w:rsid w:val="00A82C37"/>
    <w:rsid w:val="00A83174"/>
    <w:rsid w:val="00A83450"/>
    <w:rsid w:val="00A835E2"/>
    <w:rsid w:val="00A83696"/>
    <w:rsid w:val="00A83C2E"/>
    <w:rsid w:val="00A83CD1"/>
    <w:rsid w:val="00A83E48"/>
    <w:rsid w:val="00A83FDC"/>
    <w:rsid w:val="00A84172"/>
    <w:rsid w:val="00A84257"/>
    <w:rsid w:val="00A843E2"/>
    <w:rsid w:val="00A84484"/>
    <w:rsid w:val="00A846B9"/>
    <w:rsid w:val="00A847CC"/>
    <w:rsid w:val="00A847EF"/>
    <w:rsid w:val="00A84975"/>
    <w:rsid w:val="00A84A87"/>
    <w:rsid w:val="00A84B5C"/>
    <w:rsid w:val="00A84B9B"/>
    <w:rsid w:val="00A8540F"/>
    <w:rsid w:val="00A8565E"/>
    <w:rsid w:val="00A85970"/>
    <w:rsid w:val="00A85E6E"/>
    <w:rsid w:val="00A8618F"/>
    <w:rsid w:val="00A8630A"/>
    <w:rsid w:val="00A86A9A"/>
    <w:rsid w:val="00A86D39"/>
    <w:rsid w:val="00A87290"/>
    <w:rsid w:val="00A87E34"/>
    <w:rsid w:val="00A9057B"/>
    <w:rsid w:val="00A909D4"/>
    <w:rsid w:val="00A90BB3"/>
    <w:rsid w:val="00A91783"/>
    <w:rsid w:val="00A91DC0"/>
    <w:rsid w:val="00A91F68"/>
    <w:rsid w:val="00A92255"/>
    <w:rsid w:val="00A9240A"/>
    <w:rsid w:val="00A9249A"/>
    <w:rsid w:val="00A92CB6"/>
    <w:rsid w:val="00A92DF2"/>
    <w:rsid w:val="00A92FEE"/>
    <w:rsid w:val="00A93474"/>
    <w:rsid w:val="00A935F2"/>
    <w:rsid w:val="00A938F0"/>
    <w:rsid w:val="00A93C03"/>
    <w:rsid w:val="00A93EAA"/>
    <w:rsid w:val="00A9406F"/>
    <w:rsid w:val="00A940A8"/>
    <w:rsid w:val="00A94131"/>
    <w:rsid w:val="00A948B9"/>
    <w:rsid w:val="00A949E8"/>
    <w:rsid w:val="00A94BCC"/>
    <w:rsid w:val="00A955CA"/>
    <w:rsid w:val="00A956B4"/>
    <w:rsid w:val="00A9580D"/>
    <w:rsid w:val="00A9586B"/>
    <w:rsid w:val="00A9589E"/>
    <w:rsid w:val="00A95955"/>
    <w:rsid w:val="00A95A14"/>
    <w:rsid w:val="00A95C0C"/>
    <w:rsid w:val="00A95FAD"/>
    <w:rsid w:val="00A961D8"/>
    <w:rsid w:val="00A96C75"/>
    <w:rsid w:val="00A96DE5"/>
    <w:rsid w:val="00A970FF"/>
    <w:rsid w:val="00A9717D"/>
    <w:rsid w:val="00A9754D"/>
    <w:rsid w:val="00AA0166"/>
    <w:rsid w:val="00AA077C"/>
    <w:rsid w:val="00AA0D38"/>
    <w:rsid w:val="00AA0D3C"/>
    <w:rsid w:val="00AA0D8D"/>
    <w:rsid w:val="00AA0DA6"/>
    <w:rsid w:val="00AA0DF2"/>
    <w:rsid w:val="00AA0E53"/>
    <w:rsid w:val="00AA137F"/>
    <w:rsid w:val="00AA147C"/>
    <w:rsid w:val="00AA15D3"/>
    <w:rsid w:val="00AA169D"/>
    <w:rsid w:val="00AA18C5"/>
    <w:rsid w:val="00AA19B7"/>
    <w:rsid w:val="00AA1BDD"/>
    <w:rsid w:val="00AA1E05"/>
    <w:rsid w:val="00AA2095"/>
    <w:rsid w:val="00AA2473"/>
    <w:rsid w:val="00AA264E"/>
    <w:rsid w:val="00AA2A43"/>
    <w:rsid w:val="00AA3091"/>
    <w:rsid w:val="00AA30DA"/>
    <w:rsid w:val="00AA34A7"/>
    <w:rsid w:val="00AA366D"/>
    <w:rsid w:val="00AA3C24"/>
    <w:rsid w:val="00AA3F18"/>
    <w:rsid w:val="00AA409C"/>
    <w:rsid w:val="00AA4538"/>
    <w:rsid w:val="00AA4663"/>
    <w:rsid w:val="00AA4700"/>
    <w:rsid w:val="00AA47E4"/>
    <w:rsid w:val="00AA4A5A"/>
    <w:rsid w:val="00AA4D8B"/>
    <w:rsid w:val="00AA5126"/>
    <w:rsid w:val="00AA516E"/>
    <w:rsid w:val="00AA53D7"/>
    <w:rsid w:val="00AA553F"/>
    <w:rsid w:val="00AA5C2A"/>
    <w:rsid w:val="00AA5D87"/>
    <w:rsid w:val="00AA652E"/>
    <w:rsid w:val="00AA6569"/>
    <w:rsid w:val="00AA6861"/>
    <w:rsid w:val="00AA6BBE"/>
    <w:rsid w:val="00AA6F99"/>
    <w:rsid w:val="00AA73AE"/>
    <w:rsid w:val="00AA7456"/>
    <w:rsid w:val="00AA7832"/>
    <w:rsid w:val="00AA7E0C"/>
    <w:rsid w:val="00AB034F"/>
    <w:rsid w:val="00AB1844"/>
    <w:rsid w:val="00AB1A93"/>
    <w:rsid w:val="00AB1BF9"/>
    <w:rsid w:val="00AB1F42"/>
    <w:rsid w:val="00AB1F8D"/>
    <w:rsid w:val="00AB234E"/>
    <w:rsid w:val="00AB2400"/>
    <w:rsid w:val="00AB2782"/>
    <w:rsid w:val="00AB2849"/>
    <w:rsid w:val="00AB2885"/>
    <w:rsid w:val="00AB3753"/>
    <w:rsid w:val="00AB3A7E"/>
    <w:rsid w:val="00AB3E8B"/>
    <w:rsid w:val="00AB44D2"/>
    <w:rsid w:val="00AB4AEC"/>
    <w:rsid w:val="00AB53D6"/>
    <w:rsid w:val="00AB5402"/>
    <w:rsid w:val="00AB541A"/>
    <w:rsid w:val="00AB59B8"/>
    <w:rsid w:val="00AB5AC5"/>
    <w:rsid w:val="00AB603C"/>
    <w:rsid w:val="00AB60F6"/>
    <w:rsid w:val="00AB6B9E"/>
    <w:rsid w:val="00AB76AE"/>
    <w:rsid w:val="00AB7732"/>
    <w:rsid w:val="00AB7764"/>
    <w:rsid w:val="00AB7899"/>
    <w:rsid w:val="00AB79FD"/>
    <w:rsid w:val="00AC0228"/>
    <w:rsid w:val="00AC0E18"/>
    <w:rsid w:val="00AC0EA6"/>
    <w:rsid w:val="00AC0F70"/>
    <w:rsid w:val="00AC1741"/>
    <w:rsid w:val="00AC1D9D"/>
    <w:rsid w:val="00AC1E00"/>
    <w:rsid w:val="00AC247D"/>
    <w:rsid w:val="00AC2556"/>
    <w:rsid w:val="00AC2643"/>
    <w:rsid w:val="00AC2A02"/>
    <w:rsid w:val="00AC2B57"/>
    <w:rsid w:val="00AC2E5D"/>
    <w:rsid w:val="00AC3140"/>
    <w:rsid w:val="00AC39CC"/>
    <w:rsid w:val="00AC41B5"/>
    <w:rsid w:val="00AC41C5"/>
    <w:rsid w:val="00AC444F"/>
    <w:rsid w:val="00AC4545"/>
    <w:rsid w:val="00AC463B"/>
    <w:rsid w:val="00AC4D2E"/>
    <w:rsid w:val="00AC4E81"/>
    <w:rsid w:val="00AC506F"/>
    <w:rsid w:val="00AC5314"/>
    <w:rsid w:val="00AC5583"/>
    <w:rsid w:val="00AC5723"/>
    <w:rsid w:val="00AC593C"/>
    <w:rsid w:val="00AC5B3F"/>
    <w:rsid w:val="00AC607E"/>
    <w:rsid w:val="00AC608B"/>
    <w:rsid w:val="00AC61A9"/>
    <w:rsid w:val="00AC6302"/>
    <w:rsid w:val="00AC648C"/>
    <w:rsid w:val="00AC6491"/>
    <w:rsid w:val="00AC6511"/>
    <w:rsid w:val="00AC65BD"/>
    <w:rsid w:val="00AC6885"/>
    <w:rsid w:val="00AC6EFA"/>
    <w:rsid w:val="00AC7727"/>
    <w:rsid w:val="00AC7820"/>
    <w:rsid w:val="00AC787C"/>
    <w:rsid w:val="00AD01D1"/>
    <w:rsid w:val="00AD0AAB"/>
    <w:rsid w:val="00AD14F4"/>
    <w:rsid w:val="00AD1974"/>
    <w:rsid w:val="00AD239A"/>
    <w:rsid w:val="00AD23AA"/>
    <w:rsid w:val="00AD258F"/>
    <w:rsid w:val="00AD2660"/>
    <w:rsid w:val="00AD2688"/>
    <w:rsid w:val="00AD2870"/>
    <w:rsid w:val="00AD2A2E"/>
    <w:rsid w:val="00AD2DEB"/>
    <w:rsid w:val="00AD2E4A"/>
    <w:rsid w:val="00AD30A2"/>
    <w:rsid w:val="00AD33B3"/>
    <w:rsid w:val="00AD33E6"/>
    <w:rsid w:val="00AD34B4"/>
    <w:rsid w:val="00AD34C0"/>
    <w:rsid w:val="00AD373C"/>
    <w:rsid w:val="00AD3863"/>
    <w:rsid w:val="00AD3BDF"/>
    <w:rsid w:val="00AD418F"/>
    <w:rsid w:val="00AD4394"/>
    <w:rsid w:val="00AD493C"/>
    <w:rsid w:val="00AD4957"/>
    <w:rsid w:val="00AD4FD9"/>
    <w:rsid w:val="00AD565E"/>
    <w:rsid w:val="00AD5CE3"/>
    <w:rsid w:val="00AD61FD"/>
    <w:rsid w:val="00AD656D"/>
    <w:rsid w:val="00AD6652"/>
    <w:rsid w:val="00AD6C51"/>
    <w:rsid w:val="00AD6DC3"/>
    <w:rsid w:val="00AD719C"/>
    <w:rsid w:val="00AD727F"/>
    <w:rsid w:val="00AD7776"/>
    <w:rsid w:val="00AD7D64"/>
    <w:rsid w:val="00AD7DBB"/>
    <w:rsid w:val="00AE02E3"/>
    <w:rsid w:val="00AE0591"/>
    <w:rsid w:val="00AE08B6"/>
    <w:rsid w:val="00AE094E"/>
    <w:rsid w:val="00AE11D4"/>
    <w:rsid w:val="00AE1CD0"/>
    <w:rsid w:val="00AE1FEC"/>
    <w:rsid w:val="00AE211C"/>
    <w:rsid w:val="00AE22A8"/>
    <w:rsid w:val="00AE296C"/>
    <w:rsid w:val="00AE2A11"/>
    <w:rsid w:val="00AE2B74"/>
    <w:rsid w:val="00AE3308"/>
    <w:rsid w:val="00AE37FC"/>
    <w:rsid w:val="00AE3F23"/>
    <w:rsid w:val="00AE448A"/>
    <w:rsid w:val="00AE4753"/>
    <w:rsid w:val="00AE4991"/>
    <w:rsid w:val="00AE4B67"/>
    <w:rsid w:val="00AE53A0"/>
    <w:rsid w:val="00AE54C6"/>
    <w:rsid w:val="00AE558B"/>
    <w:rsid w:val="00AE55F1"/>
    <w:rsid w:val="00AE592C"/>
    <w:rsid w:val="00AE5C5A"/>
    <w:rsid w:val="00AE5E86"/>
    <w:rsid w:val="00AE6130"/>
    <w:rsid w:val="00AE622F"/>
    <w:rsid w:val="00AE64BD"/>
    <w:rsid w:val="00AE65B7"/>
    <w:rsid w:val="00AE672D"/>
    <w:rsid w:val="00AE6755"/>
    <w:rsid w:val="00AE67E1"/>
    <w:rsid w:val="00AE6B5D"/>
    <w:rsid w:val="00AE71D1"/>
    <w:rsid w:val="00AE72C5"/>
    <w:rsid w:val="00AE7389"/>
    <w:rsid w:val="00AE7977"/>
    <w:rsid w:val="00AE79A5"/>
    <w:rsid w:val="00AE79EF"/>
    <w:rsid w:val="00AE7D36"/>
    <w:rsid w:val="00AF0269"/>
    <w:rsid w:val="00AF0343"/>
    <w:rsid w:val="00AF0821"/>
    <w:rsid w:val="00AF09B0"/>
    <w:rsid w:val="00AF09C0"/>
    <w:rsid w:val="00AF0AA0"/>
    <w:rsid w:val="00AF11C9"/>
    <w:rsid w:val="00AF11E0"/>
    <w:rsid w:val="00AF14F9"/>
    <w:rsid w:val="00AF18D2"/>
    <w:rsid w:val="00AF1909"/>
    <w:rsid w:val="00AF2335"/>
    <w:rsid w:val="00AF24A0"/>
    <w:rsid w:val="00AF25F9"/>
    <w:rsid w:val="00AF2754"/>
    <w:rsid w:val="00AF2945"/>
    <w:rsid w:val="00AF2B68"/>
    <w:rsid w:val="00AF333C"/>
    <w:rsid w:val="00AF382A"/>
    <w:rsid w:val="00AF3BB6"/>
    <w:rsid w:val="00AF4290"/>
    <w:rsid w:val="00AF430F"/>
    <w:rsid w:val="00AF4339"/>
    <w:rsid w:val="00AF439D"/>
    <w:rsid w:val="00AF43CC"/>
    <w:rsid w:val="00AF4CCC"/>
    <w:rsid w:val="00AF4FE3"/>
    <w:rsid w:val="00AF5509"/>
    <w:rsid w:val="00AF5693"/>
    <w:rsid w:val="00AF5E5F"/>
    <w:rsid w:val="00AF6152"/>
    <w:rsid w:val="00AF61B9"/>
    <w:rsid w:val="00AF6676"/>
    <w:rsid w:val="00AF6839"/>
    <w:rsid w:val="00AF6B7B"/>
    <w:rsid w:val="00AF6E08"/>
    <w:rsid w:val="00AF6E18"/>
    <w:rsid w:val="00AF6EFE"/>
    <w:rsid w:val="00AF7218"/>
    <w:rsid w:val="00AF7691"/>
    <w:rsid w:val="00AF7962"/>
    <w:rsid w:val="00AF7CC6"/>
    <w:rsid w:val="00AF7F7D"/>
    <w:rsid w:val="00B001A0"/>
    <w:rsid w:val="00B0028F"/>
    <w:rsid w:val="00B009E9"/>
    <w:rsid w:val="00B00A7D"/>
    <w:rsid w:val="00B00BDC"/>
    <w:rsid w:val="00B00CE1"/>
    <w:rsid w:val="00B00ED6"/>
    <w:rsid w:val="00B010A3"/>
    <w:rsid w:val="00B01374"/>
    <w:rsid w:val="00B016EA"/>
    <w:rsid w:val="00B0230A"/>
    <w:rsid w:val="00B023F5"/>
    <w:rsid w:val="00B02784"/>
    <w:rsid w:val="00B02898"/>
    <w:rsid w:val="00B02920"/>
    <w:rsid w:val="00B02A13"/>
    <w:rsid w:val="00B02D1F"/>
    <w:rsid w:val="00B02F21"/>
    <w:rsid w:val="00B03005"/>
    <w:rsid w:val="00B035AF"/>
    <w:rsid w:val="00B0377F"/>
    <w:rsid w:val="00B03835"/>
    <w:rsid w:val="00B03848"/>
    <w:rsid w:val="00B039F0"/>
    <w:rsid w:val="00B03A0B"/>
    <w:rsid w:val="00B03AB7"/>
    <w:rsid w:val="00B041CF"/>
    <w:rsid w:val="00B04541"/>
    <w:rsid w:val="00B056CB"/>
    <w:rsid w:val="00B0583D"/>
    <w:rsid w:val="00B05BD1"/>
    <w:rsid w:val="00B05D3C"/>
    <w:rsid w:val="00B05FB7"/>
    <w:rsid w:val="00B06059"/>
    <w:rsid w:val="00B06EC3"/>
    <w:rsid w:val="00B07292"/>
    <w:rsid w:val="00B07438"/>
    <w:rsid w:val="00B074F5"/>
    <w:rsid w:val="00B07583"/>
    <w:rsid w:val="00B07674"/>
    <w:rsid w:val="00B077B5"/>
    <w:rsid w:val="00B07B2D"/>
    <w:rsid w:val="00B07C4F"/>
    <w:rsid w:val="00B07E63"/>
    <w:rsid w:val="00B10069"/>
    <w:rsid w:val="00B103D4"/>
    <w:rsid w:val="00B105C0"/>
    <w:rsid w:val="00B10E41"/>
    <w:rsid w:val="00B10F85"/>
    <w:rsid w:val="00B114AC"/>
    <w:rsid w:val="00B114AD"/>
    <w:rsid w:val="00B116DF"/>
    <w:rsid w:val="00B119F1"/>
    <w:rsid w:val="00B11D51"/>
    <w:rsid w:val="00B12CD0"/>
    <w:rsid w:val="00B12EEB"/>
    <w:rsid w:val="00B12FF0"/>
    <w:rsid w:val="00B13155"/>
    <w:rsid w:val="00B133A1"/>
    <w:rsid w:val="00B13494"/>
    <w:rsid w:val="00B13A1B"/>
    <w:rsid w:val="00B13C29"/>
    <w:rsid w:val="00B13EAE"/>
    <w:rsid w:val="00B13F30"/>
    <w:rsid w:val="00B141E1"/>
    <w:rsid w:val="00B145E3"/>
    <w:rsid w:val="00B14733"/>
    <w:rsid w:val="00B1480F"/>
    <w:rsid w:val="00B14C07"/>
    <w:rsid w:val="00B14C50"/>
    <w:rsid w:val="00B14C56"/>
    <w:rsid w:val="00B14CD0"/>
    <w:rsid w:val="00B14F56"/>
    <w:rsid w:val="00B156C3"/>
    <w:rsid w:val="00B15863"/>
    <w:rsid w:val="00B15B38"/>
    <w:rsid w:val="00B15B3B"/>
    <w:rsid w:val="00B1685E"/>
    <w:rsid w:val="00B17221"/>
    <w:rsid w:val="00B1757B"/>
    <w:rsid w:val="00B17A7A"/>
    <w:rsid w:val="00B17AE4"/>
    <w:rsid w:val="00B17D40"/>
    <w:rsid w:val="00B20241"/>
    <w:rsid w:val="00B202E0"/>
    <w:rsid w:val="00B20538"/>
    <w:rsid w:val="00B20586"/>
    <w:rsid w:val="00B2109D"/>
    <w:rsid w:val="00B214C5"/>
    <w:rsid w:val="00B2153F"/>
    <w:rsid w:val="00B218A1"/>
    <w:rsid w:val="00B21B29"/>
    <w:rsid w:val="00B21B8F"/>
    <w:rsid w:val="00B21D93"/>
    <w:rsid w:val="00B21F2B"/>
    <w:rsid w:val="00B21F9E"/>
    <w:rsid w:val="00B2222D"/>
    <w:rsid w:val="00B2229B"/>
    <w:rsid w:val="00B22375"/>
    <w:rsid w:val="00B227D0"/>
    <w:rsid w:val="00B22ADA"/>
    <w:rsid w:val="00B22BDD"/>
    <w:rsid w:val="00B232EA"/>
    <w:rsid w:val="00B23948"/>
    <w:rsid w:val="00B23A56"/>
    <w:rsid w:val="00B23D26"/>
    <w:rsid w:val="00B24109"/>
    <w:rsid w:val="00B24A3E"/>
    <w:rsid w:val="00B24DDB"/>
    <w:rsid w:val="00B25275"/>
    <w:rsid w:val="00B25382"/>
    <w:rsid w:val="00B2556C"/>
    <w:rsid w:val="00B255BA"/>
    <w:rsid w:val="00B255D4"/>
    <w:rsid w:val="00B257B1"/>
    <w:rsid w:val="00B25905"/>
    <w:rsid w:val="00B25BCA"/>
    <w:rsid w:val="00B25C3A"/>
    <w:rsid w:val="00B25D29"/>
    <w:rsid w:val="00B25D97"/>
    <w:rsid w:val="00B26427"/>
    <w:rsid w:val="00B26B67"/>
    <w:rsid w:val="00B279D8"/>
    <w:rsid w:val="00B27CF9"/>
    <w:rsid w:val="00B27D9B"/>
    <w:rsid w:val="00B27FCF"/>
    <w:rsid w:val="00B30E49"/>
    <w:rsid w:val="00B30F4F"/>
    <w:rsid w:val="00B30F75"/>
    <w:rsid w:val="00B30F9A"/>
    <w:rsid w:val="00B315AA"/>
    <w:rsid w:val="00B31921"/>
    <w:rsid w:val="00B323ED"/>
    <w:rsid w:val="00B32687"/>
    <w:rsid w:val="00B32770"/>
    <w:rsid w:val="00B3323C"/>
    <w:rsid w:val="00B332E6"/>
    <w:rsid w:val="00B333D5"/>
    <w:rsid w:val="00B334BF"/>
    <w:rsid w:val="00B3353A"/>
    <w:rsid w:val="00B335E0"/>
    <w:rsid w:val="00B33867"/>
    <w:rsid w:val="00B341D9"/>
    <w:rsid w:val="00B343C3"/>
    <w:rsid w:val="00B347D7"/>
    <w:rsid w:val="00B349DA"/>
    <w:rsid w:val="00B34DF0"/>
    <w:rsid w:val="00B34EA8"/>
    <w:rsid w:val="00B351ED"/>
    <w:rsid w:val="00B356E1"/>
    <w:rsid w:val="00B35790"/>
    <w:rsid w:val="00B3600B"/>
    <w:rsid w:val="00B361D5"/>
    <w:rsid w:val="00B36491"/>
    <w:rsid w:val="00B364CD"/>
    <w:rsid w:val="00B366D4"/>
    <w:rsid w:val="00B367FD"/>
    <w:rsid w:val="00B368E3"/>
    <w:rsid w:val="00B369CF"/>
    <w:rsid w:val="00B36A4F"/>
    <w:rsid w:val="00B378F9"/>
    <w:rsid w:val="00B37BEF"/>
    <w:rsid w:val="00B37D62"/>
    <w:rsid w:val="00B4022C"/>
    <w:rsid w:val="00B40C70"/>
    <w:rsid w:val="00B4104F"/>
    <w:rsid w:val="00B4121D"/>
    <w:rsid w:val="00B416C3"/>
    <w:rsid w:val="00B41B4E"/>
    <w:rsid w:val="00B41C80"/>
    <w:rsid w:val="00B41E94"/>
    <w:rsid w:val="00B4203A"/>
    <w:rsid w:val="00B4223C"/>
    <w:rsid w:val="00B422AE"/>
    <w:rsid w:val="00B422DA"/>
    <w:rsid w:val="00B422DF"/>
    <w:rsid w:val="00B424D9"/>
    <w:rsid w:val="00B42993"/>
    <w:rsid w:val="00B42C44"/>
    <w:rsid w:val="00B42E9C"/>
    <w:rsid w:val="00B42FF4"/>
    <w:rsid w:val="00B43C0B"/>
    <w:rsid w:val="00B43C13"/>
    <w:rsid w:val="00B441D1"/>
    <w:rsid w:val="00B44791"/>
    <w:rsid w:val="00B447F9"/>
    <w:rsid w:val="00B449E7"/>
    <w:rsid w:val="00B44DEB"/>
    <w:rsid w:val="00B44F71"/>
    <w:rsid w:val="00B4508E"/>
    <w:rsid w:val="00B45744"/>
    <w:rsid w:val="00B45B2A"/>
    <w:rsid w:val="00B45B40"/>
    <w:rsid w:val="00B4618E"/>
    <w:rsid w:val="00B46C7F"/>
    <w:rsid w:val="00B47659"/>
    <w:rsid w:val="00B4774F"/>
    <w:rsid w:val="00B477A2"/>
    <w:rsid w:val="00B47AEA"/>
    <w:rsid w:val="00B5083A"/>
    <w:rsid w:val="00B508A6"/>
    <w:rsid w:val="00B50904"/>
    <w:rsid w:val="00B50954"/>
    <w:rsid w:val="00B50A55"/>
    <w:rsid w:val="00B50B6D"/>
    <w:rsid w:val="00B50C44"/>
    <w:rsid w:val="00B50F89"/>
    <w:rsid w:val="00B513E3"/>
    <w:rsid w:val="00B51A6A"/>
    <w:rsid w:val="00B51B43"/>
    <w:rsid w:val="00B52109"/>
    <w:rsid w:val="00B52423"/>
    <w:rsid w:val="00B527CD"/>
    <w:rsid w:val="00B53005"/>
    <w:rsid w:val="00B5375F"/>
    <w:rsid w:val="00B53ABC"/>
    <w:rsid w:val="00B53C46"/>
    <w:rsid w:val="00B541AF"/>
    <w:rsid w:val="00B5458B"/>
    <w:rsid w:val="00B5488A"/>
    <w:rsid w:val="00B54B41"/>
    <w:rsid w:val="00B54DEB"/>
    <w:rsid w:val="00B5507E"/>
    <w:rsid w:val="00B5541C"/>
    <w:rsid w:val="00B5569E"/>
    <w:rsid w:val="00B566A2"/>
    <w:rsid w:val="00B56EBC"/>
    <w:rsid w:val="00B57037"/>
    <w:rsid w:val="00B57BD7"/>
    <w:rsid w:val="00B60196"/>
    <w:rsid w:val="00B60209"/>
    <w:rsid w:val="00B604D1"/>
    <w:rsid w:val="00B60556"/>
    <w:rsid w:val="00B6069D"/>
    <w:rsid w:val="00B60D52"/>
    <w:rsid w:val="00B60DC2"/>
    <w:rsid w:val="00B60E02"/>
    <w:rsid w:val="00B60F6B"/>
    <w:rsid w:val="00B61076"/>
    <w:rsid w:val="00B611FB"/>
    <w:rsid w:val="00B612DF"/>
    <w:rsid w:val="00B61460"/>
    <w:rsid w:val="00B61527"/>
    <w:rsid w:val="00B61D26"/>
    <w:rsid w:val="00B61E92"/>
    <w:rsid w:val="00B62045"/>
    <w:rsid w:val="00B62112"/>
    <w:rsid w:val="00B62652"/>
    <w:rsid w:val="00B62787"/>
    <w:rsid w:val="00B62B8A"/>
    <w:rsid w:val="00B6381A"/>
    <w:rsid w:val="00B63910"/>
    <w:rsid w:val="00B63C4F"/>
    <w:rsid w:val="00B64599"/>
    <w:rsid w:val="00B646A1"/>
    <w:rsid w:val="00B648CF"/>
    <w:rsid w:val="00B64D3C"/>
    <w:rsid w:val="00B650D6"/>
    <w:rsid w:val="00B65209"/>
    <w:rsid w:val="00B6602D"/>
    <w:rsid w:val="00B663A4"/>
    <w:rsid w:val="00B664D8"/>
    <w:rsid w:val="00B66E9E"/>
    <w:rsid w:val="00B66ED0"/>
    <w:rsid w:val="00B670D5"/>
    <w:rsid w:val="00B671EB"/>
    <w:rsid w:val="00B67262"/>
    <w:rsid w:val="00B67B26"/>
    <w:rsid w:val="00B70408"/>
    <w:rsid w:val="00B70509"/>
    <w:rsid w:val="00B70662"/>
    <w:rsid w:val="00B70833"/>
    <w:rsid w:val="00B708C4"/>
    <w:rsid w:val="00B70C68"/>
    <w:rsid w:val="00B70D35"/>
    <w:rsid w:val="00B7121C"/>
    <w:rsid w:val="00B7163A"/>
    <w:rsid w:val="00B717CB"/>
    <w:rsid w:val="00B71828"/>
    <w:rsid w:val="00B71C8B"/>
    <w:rsid w:val="00B71D8F"/>
    <w:rsid w:val="00B72438"/>
    <w:rsid w:val="00B724E7"/>
    <w:rsid w:val="00B72699"/>
    <w:rsid w:val="00B726CD"/>
    <w:rsid w:val="00B72786"/>
    <w:rsid w:val="00B72801"/>
    <w:rsid w:val="00B72BAA"/>
    <w:rsid w:val="00B72CDC"/>
    <w:rsid w:val="00B7310A"/>
    <w:rsid w:val="00B73143"/>
    <w:rsid w:val="00B73351"/>
    <w:rsid w:val="00B73771"/>
    <w:rsid w:val="00B73A94"/>
    <w:rsid w:val="00B73C05"/>
    <w:rsid w:val="00B73F7E"/>
    <w:rsid w:val="00B7466C"/>
    <w:rsid w:val="00B74872"/>
    <w:rsid w:val="00B74D03"/>
    <w:rsid w:val="00B75288"/>
    <w:rsid w:val="00B75421"/>
    <w:rsid w:val="00B7547F"/>
    <w:rsid w:val="00B75516"/>
    <w:rsid w:val="00B756A3"/>
    <w:rsid w:val="00B758AC"/>
    <w:rsid w:val="00B759CE"/>
    <w:rsid w:val="00B76206"/>
    <w:rsid w:val="00B76216"/>
    <w:rsid w:val="00B764EA"/>
    <w:rsid w:val="00B76534"/>
    <w:rsid w:val="00B76917"/>
    <w:rsid w:val="00B770D5"/>
    <w:rsid w:val="00B772B2"/>
    <w:rsid w:val="00B77378"/>
    <w:rsid w:val="00B7742B"/>
    <w:rsid w:val="00B775C7"/>
    <w:rsid w:val="00B7773D"/>
    <w:rsid w:val="00B778AD"/>
    <w:rsid w:val="00B77B80"/>
    <w:rsid w:val="00B80163"/>
    <w:rsid w:val="00B80264"/>
    <w:rsid w:val="00B8046F"/>
    <w:rsid w:val="00B805D5"/>
    <w:rsid w:val="00B80D0E"/>
    <w:rsid w:val="00B80F3A"/>
    <w:rsid w:val="00B810AF"/>
    <w:rsid w:val="00B814A6"/>
    <w:rsid w:val="00B81545"/>
    <w:rsid w:val="00B82B84"/>
    <w:rsid w:val="00B8351D"/>
    <w:rsid w:val="00B83549"/>
    <w:rsid w:val="00B83C74"/>
    <w:rsid w:val="00B83D70"/>
    <w:rsid w:val="00B8437D"/>
    <w:rsid w:val="00B84556"/>
    <w:rsid w:val="00B8483E"/>
    <w:rsid w:val="00B84918"/>
    <w:rsid w:val="00B84BEE"/>
    <w:rsid w:val="00B84C0A"/>
    <w:rsid w:val="00B84FAB"/>
    <w:rsid w:val="00B85416"/>
    <w:rsid w:val="00B8552B"/>
    <w:rsid w:val="00B8598F"/>
    <w:rsid w:val="00B85CCB"/>
    <w:rsid w:val="00B866DF"/>
    <w:rsid w:val="00B869A2"/>
    <w:rsid w:val="00B86C72"/>
    <w:rsid w:val="00B86D66"/>
    <w:rsid w:val="00B8731B"/>
    <w:rsid w:val="00B87959"/>
    <w:rsid w:val="00B8798F"/>
    <w:rsid w:val="00B87B69"/>
    <w:rsid w:val="00B900E0"/>
    <w:rsid w:val="00B9023A"/>
    <w:rsid w:val="00B90577"/>
    <w:rsid w:val="00B90627"/>
    <w:rsid w:val="00B906AF"/>
    <w:rsid w:val="00B906CA"/>
    <w:rsid w:val="00B90737"/>
    <w:rsid w:val="00B90880"/>
    <w:rsid w:val="00B909F0"/>
    <w:rsid w:val="00B90A49"/>
    <w:rsid w:val="00B90E62"/>
    <w:rsid w:val="00B91C21"/>
    <w:rsid w:val="00B91C71"/>
    <w:rsid w:val="00B91D7F"/>
    <w:rsid w:val="00B925C6"/>
    <w:rsid w:val="00B92692"/>
    <w:rsid w:val="00B92986"/>
    <w:rsid w:val="00B92E67"/>
    <w:rsid w:val="00B92FA2"/>
    <w:rsid w:val="00B93570"/>
    <w:rsid w:val="00B937E0"/>
    <w:rsid w:val="00B939E1"/>
    <w:rsid w:val="00B94525"/>
    <w:rsid w:val="00B9463C"/>
    <w:rsid w:val="00B94875"/>
    <w:rsid w:val="00B94991"/>
    <w:rsid w:val="00B94AF0"/>
    <w:rsid w:val="00B950E9"/>
    <w:rsid w:val="00B95817"/>
    <w:rsid w:val="00B95A9C"/>
    <w:rsid w:val="00B95C88"/>
    <w:rsid w:val="00B95CFB"/>
    <w:rsid w:val="00B95E67"/>
    <w:rsid w:val="00B960B3"/>
    <w:rsid w:val="00B9633B"/>
    <w:rsid w:val="00B96776"/>
    <w:rsid w:val="00B96A69"/>
    <w:rsid w:val="00B970C9"/>
    <w:rsid w:val="00B971C0"/>
    <w:rsid w:val="00B972E2"/>
    <w:rsid w:val="00B973FC"/>
    <w:rsid w:val="00B97F70"/>
    <w:rsid w:val="00BA004F"/>
    <w:rsid w:val="00BA0895"/>
    <w:rsid w:val="00BA0A64"/>
    <w:rsid w:val="00BA0B10"/>
    <w:rsid w:val="00BA137D"/>
    <w:rsid w:val="00BA174E"/>
    <w:rsid w:val="00BA17AC"/>
    <w:rsid w:val="00BA1BF0"/>
    <w:rsid w:val="00BA1C17"/>
    <w:rsid w:val="00BA1F22"/>
    <w:rsid w:val="00BA1F84"/>
    <w:rsid w:val="00BA21DE"/>
    <w:rsid w:val="00BA26A8"/>
    <w:rsid w:val="00BA30F1"/>
    <w:rsid w:val="00BA3197"/>
    <w:rsid w:val="00BA32B7"/>
    <w:rsid w:val="00BA34C5"/>
    <w:rsid w:val="00BA34DE"/>
    <w:rsid w:val="00BA3505"/>
    <w:rsid w:val="00BA3535"/>
    <w:rsid w:val="00BA3652"/>
    <w:rsid w:val="00BA368D"/>
    <w:rsid w:val="00BA37A7"/>
    <w:rsid w:val="00BA44EC"/>
    <w:rsid w:val="00BA488D"/>
    <w:rsid w:val="00BA4A2C"/>
    <w:rsid w:val="00BA4A32"/>
    <w:rsid w:val="00BA4B27"/>
    <w:rsid w:val="00BA4B57"/>
    <w:rsid w:val="00BA4BE2"/>
    <w:rsid w:val="00BA4D88"/>
    <w:rsid w:val="00BA52ED"/>
    <w:rsid w:val="00BA53F4"/>
    <w:rsid w:val="00BA54FD"/>
    <w:rsid w:val="00BA59BF"/>
    <w:rsid w:val="00BA5AC8"/>
    <w:rsid w:val="00BA5D05"/>
    <w:rsid w:val="00BA61F8"/>
    <w:rsid w:val="00BA62D8"/>
    <w:rsid w:val="00BA6465"/>
    <w:rsid w:val="00BA663E"/>
    <w:rsid w:val="00BA6ADF"/>
    <w:rsid w:val="00BA6E09"/>
    <w:rsid w:val="00BA6E55"/>
    <w:rsid w:val="00BA71A7"/>
    <w:rsid w:val="00BA7422"/>
    <w:rsid w:val="00BA759B"/>
    <w:rsid w:val="00BA766E"/>
    <w:rsid w:val="00BA7AA9"/>
    <w:rsid w:val="00BB0061"/>
    <w:rsid w:val="00BB012E"/>
    <w:rsid w:val="00BB0140"/>
    <w:rsid w:val="00BB051C"/>
    <w:rsid w:val="00BB057B"/>
    <w:rsid w:val="00BB16DF"/>
    <w:rsid w:val="00BB16ED"/>
    <w:rsid w:val="00BB24E2"/>
    <w:rsid w:val="00BB2811"/>
    <w:rsid w:val="00BB29B3"/>
    <w:rsid w:val="00BB2C79"/>
    <w:rsid w:val="00BB3991"/>
    <w:rsid w:val="00BB491C"/>
    <w:rsid w:val="00BB4B72"/>
    <w:rsid w:val="00BB4CD4"/>
    <w:rsid w:val="00BB4E6B"/>
    <w:rsid w:val="00BB5100"/>
    <w:rsid w:val="00BB5364"/>
    <w:rsid w:val="00BB558E"/>
    <w:rsid w:val="00BB62B1"/>
    <w:rsid w:val="00BB6F72"/>
    <w:rsid w:val="00BB7494"/>
    <w:rsid w:val="00BB75B8"/>
    <w:rsid w:val="00BC0B72"/>
    <w:rsid w:val="00BC0BCE"/>
    <w:rsid w:val="00BC0C8D"/>
    <w:rsid w:val="00BC1001"/>
    <w:rsid w:val="00BC1743"/>
    <w:rsid w:val="00BC1946"/>
    <w:rsid w:val="00BC1CE3"/>
    <w:rsid w:val="00BC1E9C"/>
    <w:rsid w:val="00BC1FDB"/>
    <w:rsid w:val="00BC2039"/>
    <w:rsid w:val="00BC20A8"/>
    <w:rsid w:val="00BC2260"/>
    <w:rsid w:val="00BC2641"/>
    <w:rsid w:val="00BC2718"/>
    <w:rsid w:val="00BC2B79"/>
    <w:rsid w:val="00BC2BD5"/>
    <w:rsid w:val="00BC2D3C"/>
    <w:rsid w:val="00BC2D9B"/>
    <w:rsid w:val="00BC2DFB"/>
    <w:rsid w:val="00BC3782"/>
    <w:rsid w:val="00BC3BBC"/>
    <w:rsid w:val="00BC3D3B"/>
    <w:rsid w:val="00BC4374"/>
    <w:rsid w:val="00BC445B"/>
    <w:rsid w:val="00BC478A"/>
    <w:rsid w:val="00BC4C08"/>
    <w:rsid w:val="00BC4E19"/>
    <w:rsid w:val="00BC4EA0"/>
    <w:rsid w:val="00BC5390"/>
    <w:rsid w:val="00BC6218"/>
    <w:rsid w:val="00BC62D3"/>
    <w:rsid w:val="00BC6736"/>
    <w:rsid w:val="00BC6A83"/>
    <w:rsid w:val="00BC7147"/>
    <w:rsid w:val="00BC7968"/>
    <w:rsid w:val="00BC79D5"/>
    <w:rsid w:val="00BC7B2B"/>
    <w:rsid w:val="00BD00D1"/>
    <w:rsid w:val="00BD0345"/>
    <w:rsid w:val="00BD06EA"/>
    <w:rsid w:val="00BD0715"/>
    <w:rsid w:val="00BD08F8"/>
    <w:rsid w:val="00BD0DB5"/>
    <w:rsid w:val="00BD1277"/>
    <w:rsid w:val="00BD1752"/>
    <w:rsid w:val="00BD1D9C"/>
    <w:rsid w:val="00BD1F3D"/>
    <w:rsid w:val="00BD22F9"/>
    <w:rsid w:val="00BD2350"/>
    <w:rsid w:val="00BD23F7"/>
    <w:rsid w:val="00BD24E9"/>
    <w:rsid w:val="00BD25C0"/>
    <w:rsid w:val="00BD294C"/>
    <w:rsid w:val="00BD2A66"/>
    <w:rsid w:val="00BD2AD5"/>
    <w:rsid w:val="00BD2FB9"/>
    <w:rsid w:val="00BD33C4"/>
    <w:rsid w:val="00BD36F7"/>
    <w:rsid w:val="00BD3860"/>
    <w:rsid w:val="00BD3AB7"/>
    <w:rsid w:val="00BD3E94"/>
    <w:rsid w:val="00BD3F6D"/>
    <w:rsid w:val="00BD4019"/>
    <w:rsid w:val="00BD4331"/>
    <w:rsid w:val="00BD43CB"/>
    <w:rsid w:val="00BD43F1"/>
    <w:rsid w:val="00BD44AE"/>
    <w:rsid w:val="00BD4734"/>
    <w:rsid w:val="00BD4B51"/>
    <w:rsid w:val="00BD521F"/>
    <w:rsid w:val="00BD52F9"/>
    <w:rsid w:val="00BD5310"/>
    <w:rsid w:val="00BD546B"/>
    <w:rsid w:val="00BD5619"/>
    <w:rsid w:val="00BD56AF"/>
    <w:rsid w:val="00BD579D"/>
    <w:rsid w:val="00BD57F4"/>
    <w:rsid w:val="00BD5AF2"/>
    <w:rsid w:val="00BD5B72"/>
    <w:rsid w:val="00BD5F8E"/>
    <w:rsid w:val="00BD610E"/>
    <w:rsid w:val="00BD63E1"/>
    <w:rsid w:val="00BD6430"/>
    <w:rsid w:val="00BD6690"/>
    <w:rsid w:val="00BD69D2"/>
    <w:rsid w:val="00BD6BF1"/>
    <w:rsid w:val="00BD6C05"/>
    <w:rsid w:val="00BD723C"/>
    <w:rsid w:val="00BD7452"/>
    <w:rsid w:val="00BD7480"/>
    <w:rsid w:val="00BD7814"/>
    <w:rsid w:val="00BD79DA"/>
    <w:rsid w:val="00BD7B04"/>
    <w:rsid w:val="00BD7D50"/>
    <w:rsid w:val="00BD7FDC"/>
    <w:rsid w:val="00BE03F9"/>
    <w:rsid w:val="00BE095A"/>
    <w:rsid w:val="00BE0B8A"/>
    <w:rsid w:val="00BE11C8"/>
    <w:rsid w:val="00BE1475"/>
    <w:rsid w:val="00BE161B"/>
    <w:rsid w:val="00BE17FA"/>
    <w:rsid w:val="00BE1B89"/>
    <w:rsid w:val="00BE1EA4"/>
    <w:rsid w:val="00BE1F43"/>
    <w:rsid w:val="00BE1F4C"/>
    <w:rsid w:val="00BE1F51"/>
    <w:rsid w:val="00BE2143"/>
    <w:rsid w:val="00BE225E"/>
    <w:rsid w:val="00BE234C"/>
    <w:rsid w:val="00BE2820"/>
    <w:rsid w:val="00BE29FF"/>
    <w:rsid w:val="00BE2A5D"/>
    <w:rsid w:val="00BE2E21"/>
    <w:rsid w:val="00BE2E66"/>
    <w:rsid w:val="00BE35B3"/>
    <w:rsid w:val="00BE3815"/>
    <w:rsid w:val="00BE3824"/>
    <w:rsid w:val="00BE42AB"/>
    <w:rsid w:val="00BE47DC"/>
    <w:rsid w:val="00BE4AAF"/>
    <w:rsid w:val="00BE4B62"/>
    <w:rsid w:val="00BE4F48"/>
    <w:rsid w:val="00BE5185"/>
    <w:rsid w:val="00BE53BF"/>
    <w:rsid w:val="00BE5403"/>
    <w:rsid w:val="00BE54B6"/>
    <w:rsid w:val="00BE5509"/>
    <w:rsid w:val="00BE576C"/>
    <w:rsid w:val="00BE5993"/>
    <w:rsid w:val="00BE5E59"/>
    <w:rsid w:val="00BE5EE6"/>
    <w:rsid w:val="00BE673A"/>
    <w:rsid w:val="00BE68A9"/>
    <w:rsid w:val="00BE6DBE"/>
    <w:rsid w:val="00BE6F1C"/>
    <w:rsid w:val="00BE721B"/>
    <w:rsid w:val="00BE730B"/>
    <w:rsid w:val="00BE761A"/>
    <w:rsid w:val="00BE795D"/>
    <w:rsid w:val="00BF002A"/>
    <w:rsid w:val="00BF0A43"/>
    <w:rsid w:val="00BF0E35"/>
    <w:rsid w:val="00BF1280"/>
    <w:rsid w:val="00BF133F"/>
    <w:rsid w:val="00BF1576"/>
    <w:rsid w:val="00BF15D5"/>
    <w:rsid w:val="00BF15FA"/>
    <w:rsid w:val="00BF192C"/>
    <w:rsid w:val="00BF21EA"/>
    <w:rsid w:val="00BF2517"/>
    <w:rsid w:val="00BF29BF"/>
    <w:rsid w:val="00BF2BD5"/>
    <w:rsid w:val="00BF2DB4"/>
    <w:rsid w:val="00BF307E"/>
    <w:rsid w:val="00BF319B"/>
    <w:rsid w:val="00BF397E"/>
    <w:rsid w:val="00BF3A06"/>
    <w:rsid w:val="00BF3D40"/>
    <w:rsid w:val="00BF3ECF"/>
    <w:rsid w:val="00BF4362"/>
    <w:rsid w:val="00BF4506"/>
    <w:rsid w:val="00BF4A56"/>
    <w:rsid w:val="00BF4A80"/>
    <w:rsid w:val="00BF4AB5"/>
    <w:rsid w:val="00BF5C5E"/>
    <w:rsid w:val="00BF5D0C"/>
    <w:rsid w:val="00BF5D50"/>
    <w:rsid w:val="00BF5F5A"/>
    <w:rsid w:val="00BF6128"/>
    <w:rsid w:val="00BF62C9"/>
    <w:rsid w:val="00BF6BBB"/>
    <w:rsid w:val="00BF73C2"/>
    <w:rsid w:val="00BF7608"/>
    <w:rsid w:val="00C009A3"/>
    <w:rsid w:val="00C00D5A"/>
    <w:rsid w:val="00C00E44"/>
    <w:rsid w:val="00C01443"/>
    <w:rsid w:val="00C01D00"/>
    <w:rsid w:val="00C01EB3"/>
    <w:rsid w:val="00C02679"/>
    <w:rsid w:val="00C027E5"/>
    <w:rsid w:val="00C02FFB"/>
    <w:rsid w:val="00C031FD"/>
    <w:rsid w:val="00C03316"/>
    <w:rsid w:val="00C03572"/>
    <w:rsid w:val="00C0360B"/>
    <w:rsid w:val="00C03757"/>
    <w:rsid w:val="00C038BF"/>
    <w:rsid w:val="00C039BC"/>
    <w:rsid w:val="00C03A0B"/>
    <w:rsid w:val="00C03A4D"/>
    <w:rsid w:val="00C03BC7"/>
    <w:rsid w:val="00C03D1E"/>
    <w:rsid w:val="00C04866"/>
    <w:rsid w:val="00C048FC"/>
    <w:rsid w:val="00C04965"/>
    <w:rsid w:val="00C0499D"/>
    <w:rsid w:val="00C04CCE"/>
    <w:rsid w:val="00C04E22"/>
    <w:rsid w:val="00C05018"/>
    <w:rsid w:val="00C05391"/>
    <w:rsid w:val="00C053C4"/>
    <w:rsid w:val="00C053FE"/>
    <w:rsid w:val="00C056A1"/>
    <w:rsid w:val="00C05F09"/>
    <w:rsid w:val="00C05FD6"/>
    <w:rsid w:val="00C064FC"/>
    <w:rsid w:val="00C065A7"/>
    <w:rsid w:val="00C0678F"/>
    <w:rsid w:val="00C0680E"/>
    <w:rsid w:val="00C0718E"/>
    <w:rsid w:val="00C0752E"/>
    <w:rsid w:val="00C07BB0"/>
    <w:rsid w:val="00C100A4"/>
    <w:rsid w:val="00C101F4"/>
    <w:rsid w:val="00C10B72"/>
    <w:rsid w:val="00C10DF6"/>
    <w:rsid w:val="00C11210"/>
    <w:rsid w:val="00C11952"/>
    <w:rsid w:val="00C11E2F"/>
    <w:rsid w:val="00C11EFA"/>
    <w:rsid w:val="00C120E3"/>
    <w:rsid w:val="00C124E6"/>
    <w:rsid w:val="00C131CA"/>
    <w:rsid w:val="00C133AE"/>
    <w:rsid w:val="00C1353F"/>
    <w:rsid w:val="00C1367B"/>
    <w:rsid w:val="00C13C71"/>
    <w:rsid w:val="00C13D71"/>
    <w:rsid w:val="00C13DE0"/>
    <w:rsid w:val="00C1403B"/>
    <w:rsid w:val="00C14B9B"/>
    <w:rsid w:val="00C14C94"/>
    <w:rsid w:val="00C14F42"/>
    <w:rsid w:val="00C150B8"/>
    <w:rsid w:val="00C150BF"/>
    <w:rsid w:val="00C152B6"/>
    <w:rsid w:val="00C1542A"/>
    <w:rsid w:val="00C1554A"/>
    <w:rsid w:val="00C15664"/>
    <w:rsid w:val="00C15A82"/>
    <w:rsid w:val="00C15D49"/>
    <w:rsid w:val="00C15E45"/>
    <w:rsid w:val="00C16416"/>
    <w:rsid w:val="00C167CC"/>
    <w:rsid w:val="00C16CB6"/>
    <w:rsid w:val="00C16DFC"/>
    <w:rsid w:val="00C171A6"/>
    <w:rsid w:val="00C173EF"/>
    <w:rsid w:val="00C1799B"/>
    <w:rsid w:val="00C17B79"/>
    <w:rsid w:val="00C17BF9"/>
    <w:rsid w:val="00C201D1"/>
    <w:rsid w:val="00C208E4"/>
    <w:rsid w:val="00C20CDA"/>
    <w:rsid w:val="00C2128C"/>
    <w:rsid w:val="00C2142C"/>
    <w:rsid w:val="00C214F2"/>
    <w:rsid w:val="00C215CD"/>
    <w:rsid w:val="00C21CB6"/>
    <w:rsid w:val="00C21D1D"/>
    <w:rsid w:val="00C21E87"/>
    <w:rsid w:val="00C22314"/>
    <w:rsid w:val="00C22351"/>
    <w:rsid w:val="00C223D0"/>
    <w:rsid w:val="00C22BCE"/>
    <w:rsid w:val="00C232BE"/>
    <w:rsid w:val="00C2350C"/>
    <w:rsid w:val="00C237CA"/>
    <w:rsid w:val="00C23B9F"/>
    <w:rsid w:val="00C23C42"/>
    <w:rsid w:val="00C244A9"/>
    <w:rsid w:val="00C247F9"/>
    <w:rsid w:val="00C249AB"/>
    <w:rsid w:val="00C24D0E"/>
    <w:rsid w:val="00C25901"/>
    <w:rsid w:val="00C2599A"/>
    <w:rsid w:val="00C25B93"/>
    <w:rsid w:val="00C25CD1"/>
    <w:rsid w:val="00C25EFF"/>
    <w:rsid w:val="00C266B7"/>
    <w:rsid w:val="00C26716"/>
    <w:rsid w:val="00C269FF"/>
    <w:rsid w:val="00C27308"/>
    <w:rsid w:val="00C27408"/>
    <w:rsid w:val="00C27BEB"/>
    <w:rsid w:val="00C27CEA"/>
    <w:rsid w:val="00C30167"/>
    <w:rsid w:val="00C301DD"/>
    <w:rsid w:val="00C305C0"/>
    <w:rsid w:val="00C30830"/>
    <w:rsid w:val="00C308DF"/>
    <w:rsid w:val="00C30AA8"/>
    <w:rsid w:val="00C3142A"/>
    <w:rsid w:val="00C315EE"/>
    <w:rsid w:val="00C317B6"/>
    <w:rsid w:val="00C318D9"/>
    <w:rsid w:val="00C31929"/>
    <w:rsid w:val="00C322DE"/>
    <w:rsid w:val="00C324B1"/>
    <w:rsid w:val="00C32B1A"/>
    <w:rsid w:val="00C32FA6"/>
    <w:rsid w:val="00C3359D"/>
    <w:rsid w:val="00C33967"/>
    <w:rsid w:val="00C3435D"/>
    <w:rsid w:val="00C343C5"/>
    <w:rsid w:val="00C34AA4"/>
    <w:rsid w:val="00C34DC1"/>
    <w:rsid w:val="00C350CC"/>
    <w:rsid w:val="00C35327"/>
    <w:rsid w:val="00C35596"/>
    <w:rsid w:val="00C355F5"/>
    <w:rsid w:val="00C358AD"/>
    <w:rsid w:val="00C35D11"/>
    <w:rsid w:val="00C35D94"/>
    <w:rsid w:val="00C36508"/>
    <w:rsid w:val="00C3661E"/>
    <w:rsid w:val="00C3676B"/>
    <w:rsid w:val="00C368EF"/>
    <w:rsid w:val="00C36DD4"/>
    <w:rsid w:val="00C36E05"/>
    <w:rsid w:val="00C37055"/>
    <w:rsid w:val="00C37532"/>
    <w:rsid w:val="00C37983"/>
    <w:rsid w:val="00C37CCF"/>
    <w:rsid w:val="00C4000B"/>
    <w:rsid w:val="00C40602"/>
    <w:rsid w:val="00C4095A"/>
    <w:rsid w:val="00C40FEB"/>
    <w:rsid w:val="00C4115C"/>
    <w:rsid w:val="00C41554"/>
    <w:rsid w:val="00C41E97"/>
    <w:rsid w:val="00C4202B"/>
    <w:rsid w:val="00C4220D"/>
    <w:rsid w:val="00C423D8"/>
    <w:rsid w:val="00C42BB5"/>
    <w:rsid w:val="00C42C04"/>
    <w:rsid w:val="00C42D61"/>
    <w:rsid w:val="00C42FFE"/>
    <w:rsid w:val="00C4304B"/>
    <w:rsid w:val="00C430BD"/>
    <w:rsid w:val="00C43278"/>
    <w:rsid w:val="00C44089"/>
    <w:rsid w:val="00C4408E"/>
    <w:rsid w:val="00C44608"/>
    <w:rsid w:val="00C44B65"/>
    <w:rsid w:val="00C44E0F"/>
    <w:rsid w:val="00C44E78"/>
    <w:rsid w:val="00C44F5D"/>
    <w:rsid w:val="00C44F8D"/>
    <w:rsid w:val="00C4533E"/>
    <w:rsid w:val="00C45C44"/>
    <w:rsid w:val="00C45F24"/>
    <w:rsid w:val="00C46296"/>
    <w:rsid w:val="00C46400"/>
    <w:rsid w:val="00C46A6A"/>
    <w:rsid w:val="00C46B12"/>
    <w:rsid w:val="00C46C74"/>
    <w:rsid w:val="00C473BA"/>
    <w:rsid w:val="00C4774F"/>
    <w:rsid w:val="00C47952"/>
    <w:rsid w:val="00C47D95"/>
    <w:rsid w:val="00C47DD2"/>
    <w:rsid w:val="00C47DD4"/>
    <w:rsid w:val="00C50279"/>
    <w:rsid w:val="00C504B1"/>
    <w:rsid w:val="00C50719"/>
    <w:rsid w:val="00C50ACB"/>
    <w:rsid w:val="00C50ACD"/>
    <w:rsid w:val="00C50DF5"/>
    <w:rsid w:val="00C51090"/>
    <w:rsid w:val="00C51676"/>
    <w:rsid w:val="00C5195A"/>
    <w:rsid w:val="00C51A3C"/>
    <w:rsid w:val="00C51ACE"/>
    <w:rsid w:val="00C51E81"/>
    <w:rsid w:val="00C525A0"/>
    <w:rsid w:val="00C52A1B"/>
    <w:rsid w:val="00C52B1B"/>
    <w:rsid w:val="00C52D1F"/>
    <w:rsid w:val="00C53098"/>
    <w:rsid w:val="00C530E3"/>
    <w:rsid w:val="00C538DC"/>
    <w:rsid w:val="00C53F0E"/>
    <w:rsid w:val="00C53F3F"/>
    <w:rsid w:val="00C540BD"/>
    <w:rsid w:val="00C5470E"/>
    <w:rsid w:val="00C54825"/>
    <w:rsid w:val="00C54BC8"/>
    <w:rsid w:val="00C54E6F"/>
    <w:rsid w:val="00C551DB"/>
    <w:rsid w:val="00C5564F"/>
    <w:rsid w:val="00C55A34"/>
    <w:rsid w:val="00C55E4E"/>
    <w:rsid w:val="00C55FB8"/>
    <w:rsid w:val="00C561B3"/>
    <w:rsid w:val="00C5675F"/>
    <w:rsid w:val="00C568BA"/>
    <w:rsid w:val="00C56D87"/>
    <w:rsid w:val="00C56DFB"/>
    <w:rsid w:val="00C5735A"/>
    <w:rsid w:val="00C57390"/>
    <w:rsid w:val="00C573C8"/>
    <w:rsid w:val="00C574AD"/>
    <w:rsid w:val="00C576EA"/>
    <w:rsid w:val="00C57AE7"/>
    <w:rsid w:val="00C57B2C"/>
    <w:rsid w:val="00C57B62"/>
    <w:rsid w:val="00C57BB1"/>
    <w:rsid w:val="00C6034D"/>
    <w:rsid w:val="00C605E6"/>
    <w:rsid w:val="00C60848"/>
    <w:rsid w:val="00C60916"/>
    <w:rsid w:val="00C60989"/>
    <w:rsid w:val="00C609B4"/>
    <w:rsid w:val="00C60E21"/>
    <w:rsid w:val="00C60E6A"/>
    <w:rsid w:val="00C6104F"/>
    <w:rsid w:val="00C6137A"/>
    <w:rsid w:val="00C613AC"/>
    <w:rsid w:val="00C61B89"/>
    <w:rsid w:val="00C62B60"/>
    <w:rsid w:val="00C62BD2"/>
    <w:rsid w:val="00C630B3"/>
    <w:rsid w:val="00C633C0"/>
    <w:rsid w:val="00C63496"/>
    <w:rsid w:val="00C635A8"/>
    <w:rsid w:val="00C6387E"/>
    <w:rsid w:val="00C63894"/>
    <w:rsid w:val="00C638DC"/>
    <w:rsid w:val="00C638DE"/>
    <w:rsid w:val="00C63BF3"/>
    <w:rsid w:val="00C63DB9"/>
    <w:rsid w:val="00C64228"/>
    <w:rsid w:val="00C64A56"/>
    <w:rsid w:val="00C64D5A"/>
    <w:rsid w:val="00C65B48"/>
    <w:rsid w:val="00C65E76"/>
    <w:rsid w:val="00C660EA"/>
    <w:rsid w:val="00C66198"/>
    <w:rsid w:val="00C667E8"/>
    <w:rsid w:val="00C66A5C"/>
    <w:rsid w:val="00C66B49"/>
    <w:rsid w:val="00C66C63"/>
    <w:rsid w:val="00C66C92"/>
    <w:rsid w:val="00C66FC0"/>
    <w:rsid w:val="00C67603"/>
    <w:rsid w:val="00C677D3"/>
    <w:rsid w:val="00C6789A"/>
    <w:rsid w:val="00C679FE"/>
    <w:rsid w:val="00C67A25"/>
    <w:rsid w:val="00C67CDA"/>
    <w:rsid w:val="00C70243"/>
    <w:rsid w:val="00C704DE"/>
    <w:rsid w:val="00C70568"/>
    <w:rsid w:val="00C7057A"/>
    <w:rsid w:val="00C705E7"/>
    <w:rsid w:val="00C708F1"/>
    <w:rsid w:val="00C70A48"/>
    <w:rsid w:val="00C70C31"/>
    <w:rsid w:val="00C70EB4"/>
    <w:rsid w:val="00C7156E"/>
    <w:rsid w:val="00C7168D"/>
    <w:rsid w:val="00C71A62"/>
    <w:rsid w:val="00C71C92"/>
    <w:rsid w:val="00C71FEA"/>
    <w:rsid w:val="00C72279"/>
    <w:rsid w:val="00C726D0"/>
    <w:rsid w:val="00C72E43"/>
    <w:rsid w:val="00C7309E"/>
    <w:rsid w:val="00C73112"/>
    <w:rsid w:val="00C738CF"/>
    <w:rsid w:val="00C73AF9"/>
    <w:rsid w:val="00C74526"/>
    <w:rsid w:val="00C7490C"/>
    <w:rsid w:val="00C75161"/>
    <w:rsid w:val="00C75639"/>
    <w:rsid w:val="00C76665"/>
    <w:rsid w:val="00C76674"/>
    <w:rsid w:val="00C769DC"/>
    <w:rsid w:val="00C7737B"/>
    <w:rsid w:val="00C77440"/>
    <w:rsid w:val="00C778AD"/>
    <w:rsid w:val="00C77B2D"/>
    <w:rsid w:val="00C77DEF"/>
    <w:rsid w:val="00C8013E"/>
    <w:rsid w:val="00C8051E"/>
    <w:rsid w:val="00C80739"/>
    <w:rsid w:val="00C807E8"/>
    <w:rsid w:val="00C80C94"/>
    <w:rsid w:val="00C80D5D"/>
    <w:rsid w:val="00C80DE0"/>
    <w:rsid w:val="00C810A8"/>
    <w:rsid w:val="00C81617"/>
    <w:rsid w:val="00C8183F"/>
    <w:rsid w:val="00C81930"/>
    <w:rsid w:val="00C81DCE"/>
    <w:rsid w:val="00C82732"/>
    <w:rsid w:val="00C82892"/>
    <w:rsid w:val="00C82B63"/>
    <w:rsid w:val="00C83154"/>
    <w:rsid w:val="00C835A0"/>
    <w:rsid w:val="00C836EE"/>
    <w:rsid w:val="00C83714"/>
    <w:rsid w:val="00C83847"/>
    <w:rsid w:val="00C8452A"/>
    <w:rsid w:val="00C84682"/>
    <w:rsid w:val="00C8471D"/>
    <w:rsid w:val="00C84860"/>
    <w:rsid w:val="00C84FD2"/>
    <w:rsid w:val="00C852E7"/>
    <w:rsid w:val="00C85A88"/>
    <w:rsid w:val="00C85D28"/>
    <w:rsid w:val="00C85E53"/>
    <w:rsid w:val="00C85EC3"/>
    <w:rsid w:val="00C85EE9"/>
    <w:rsid w:val="00C85F5F"/>
    <w:rsid w:val="00C867A8"/>
    <w:rsid w:val="00C86995"/>
    <w:rsid w:val="00C86D87"/>
    <w:rsid w:val="00C86F27"/>
    <w:rsid w:val="00C87165"/>
    <w:rsid w:val="00C877C7"/>
    <w:rsid w:val="00C87C09"/>
    <w:rsid w:val="00C87C37"/>
    <w:rsid w:val="00C87E5E"/>
    <w:rsid w:val="00C87E75"/>
    <w:rsid w:val="00C9011F"/>
    <w:rsid w:val="00C90203"/>
    <w:rsid w:val="00C90363"/>
    <w:rsid w:val="00C9044B"/>
    <w:rsid w:val="00C9099A"/>
    <w:rsid w:val="00C91613"/>
    <w:rsid w:val="00C91680"/>
    <w:rsid w:val="00C91712"/>
    <w:rsid w:val="00C917F3"/>
    <w:rsid w:val="00C91816"/>
    <w:rsid w:val="00C91D20"/>
    <w:rsid w:val="00C92584"/>
    <w:rsid w:val="00C92837"/>
    <w:rsid w:val="00C929BE"/>
    <w:rsid w:val="00C934F4"/>
    <w:rsid w:val="00C93806"/>
    <w:rsid w:val="00C93E72"/>
    <w:rsid w:val="00C9415A"/>
    <w:rsid w:val="00C9429E"/>
    <w:rsid w:val="00C944E5"/>
    <w:rsid w:val="00C94A94"/>
    <w:rsid w:val="00C958F5"/>
    <w:rsid w:val="00C95B93"/>
    <w:rsid w:val="00C95EA2"/>
    <w:rsid w:val="00C95F80"/>
    <w:rsid w:val="00C9607E"/>
    <w:rsid w:val="00C96601"/>
    <w:rsid w:val="00C969F6"/>
    <w:rsid w:val="00C96F63"/>
    <w:rsid w:val="00C9735E"/>
    <w:rsid w:val="00C973CA"/>
    <w:rsid w:val="00C97881"/>
    <w:rsid w:val="00C97BB5"/>
    <w:rsid w:val="00C97C2C"/>
    <w:rsid w:val="00CA030A"/>
    <w:rsid w:val="00CA0328"/>
    <w:rsid w:val="00CA058E"/>
    <w:rsid w:val="00CA07B1"/>
    <w:rsid w:val="00CA1624"/>
    <w:rsid w:val="00CA173D"/>
    <w:rsid w:val="00CA1935"/>
    <w:rsid w:val="00CA1B00"/>
    <w:rsid w:val="00CA20F3"/>
    <w:rsid w:val="00CA21EB"/>
    <w:rsid w:val="00CA2342"/>
    <w:rsid w:val="00CA2608"/>
    <w:rsid w:val="00CA2698"/>
    <w:rsid w:val="00CA27C2"/>
    <w:rsid w:val="00CA2925"/>
    <w:rsid w:val="00CA2B6F"/>
    <w:rsid w:val="00CA3116"/>
    <w:rsid w:val="00CA31A7"/>
    <w:rsid w:val="00CA33D7"/>
    <w:rsid w:val="00CA34C0"/>
    <w:rsid w:val="00CA36D8"/>
    <w:rsid w:val="00CA37B2"/>
    <w:rsid w:val="00CA3B3D"/>
    <w:rsid w:val="00CA3EAA"/>
    <w:rsid w:val="00CA4361"/>
    <w:rsid w:val="00CA47AB"/>
    <w:rsid w:val="00CA4A43"/>
    <w:rsid w:val="00CA4E84"/>
    <w:rsid w:val="00CA4F66"/>
    <w:rsid w:val="00CA5A92"/>
    <w:rsid w:val="00CA63EC"/>
    <w:rsid w:val="00CA67DF"/>
    <w:rsid w:val="00CA6ACA"/>
    <w:rsid w:val="00CA6C59"/>
    <w:rsid w:val="00CA6D6D"/>
    <w:rsid w:val="00CA6E04"/>
    <w:rsid w:val="00CA6F36"/>
    <w:rsid w:val="00CA6FE2"/>
    <w:rsid w:val="00CA7286"/>
    <w:rsid w:val="00CA7387"/>
    <w:rsid w:val="00CA75DB"/>
    <w:rsid w:val="00CA77F4"/>
    <w:rsid w:val="00CA7827"/>
    <w:rsid w:val="00CA7B8F"/>
    <w:rsid w:val="00CA7BAA"/>
    <w:rsid w:val="00CB0176"/>
    <w:rsid w:val="00CB01F0"/>
    <w:rsid w:val="00CB05D4"/>
    <w:rsid w:val="00CB0B11"/>
    <w:rsid w:val="00CB0E3E"/>
    <w:rsid w:val="00CB17EB"/>
    <w:rsid w:val="00CB1F9A"/>
    <w:rsid w:val="00CB1FB5"/>
    <w:rsid w:val="00CB2009"/>
    <w:rsid w:val="00CB211B"/>
    <w:rsid w:val="00CB2568"/>
    <w:rsid w:val="00CB25FC"/>
    <w:rsid w:val="00CB2930"/>
    <w:rsid w:val="00CB2942"/>
    <w:rsid w:val="00CB2B0F"/>
    <w:rsid w:val="00CB30F8"/>
    <w:rsid w:val="00CB3723"/>
    <w:rsid w:val="00CB37FC"/>
    <w:rsid w:val="00CB380F"/>
    <w:rsid w:val="00CB3B5A"/>
    <w:rsid w:val="00CB3CFE"/>
    <w:rsid w:val="00CB3D6B"/>
    <w:rsid w:val="00CB3E77"/>
    <w:rsid w:val="00CB3F98"/>
    <w:rsid w:val="00CB471E"/>
    <w:rsid w:val="00CB4837"/>
    <w:rsid w:val="00CB4871"/>
    <w:rsid w:val="00CB48FA"/>
    <w:rsid w:val="00CB4D03"/>
    <w:rsid w:val="00CB59D3"/>
    <w:rsid w:val="00CB5CD1"/>
    <w:rsid w:val="00CB5CE1"/>
    <w:rsid w:val="00CB6ACD"/>
    <w:rsid w:val="00CB6BA8"/>
    <w:rsid w:val="00CB6C1B"/>
    <w:rsid w:val="00CB6E24"/>
    <w:rsid w:val="00CB7964"/>
    <w:rsid w:val="00CC006E"/>
    <w:rsid w:val="00CC0119"/>
    <w:rsid w:val="00CC0F33"/>
    <w:rsid w:val="00CC0F5F"/>
    <w:rsid w:val="00CC0F7A"/>
    <w:rsid w:val="00CC193A"/>
    <w:rsid w:val="00CC199E"/>
    <w:rsid w:val="00CC1A1E"/>
    <w:rsid w:val="00CC1A62"/>
    <w:rsid w:val="00CC1C15"/>
    <w:rsid w:val="00CC1E34"/>
    <w:rsid w:val="00CC1E45"/>
    <w:rsid w:val="00CC1F35"/>
    <w:rsid w:val="00CC22A0"/>
    <w:rsid w:val="00CC24B3"/>
    <w:rsid w:val="00CC260E"/>
    <w:rsid w:val="00CC26BB"/>
    <w:rsid w:val="00CC2B4F"/>
    <w:rsid w:val="00CC2B58"/>
    <w:rsid w:val="00CC3008"/>
    <w:rsid w:val="00CC3109"/>
    <w:rsid w:val="00CC33C3"/>
    <w:rsid w:val="00CC3D98"/>
    <w:rsid w:val="00CC4104"/>
    <w:rsid w:val="00CC4365"/>
    <w:rsid w:val="00CC4416"/>
    <w:rsid w:val="00CC45BF"/>
    <w:rsid w:val="00CC47AC"/>
    <w:rsid w:val="00CC526B"/>
    <w:rsid w:val="00CC5814"/>
    <w:rsid w:val="00CC59B4"/>
    <w:rsid w:val="00CC5A0E"/>
    <w:rsid w:val="00CC5F72"/>
    <w:rsid w:val="00CC61CD"/>
    <w:rsid w:val="00CC63D9"/>
    <w:rsid w:val="00CC661A"/>
    <w:rsid w:val="00CC6631"/>
    <w:rsid w:val="00CC6BD3"/>
    <w:rsid w:val="00CC6BE9"/>
    <w:rsid w:val="00CC75E4"/>
    <w:rsid w:val="00CC779D"/>
    <w:rsid w:val="00CC7E64"/>
    <w:rsid w:val="00CD01F3"/>
    <w:rsid w:val="00CD0232"/>
    <w:rsid w:val="00CD03E0"/>
    <w:rsid w:val="00CD0F2F"/>
    <w:rsid w:val="00CD0F4C"/>
    <w:rsid w:val="00CD0FDA"/>
    <w:rsid w:val="00CD114B"/>
    <w:rsid w:val="00CD1530"/>
    <w:rsid w:val="00CD15D8"/>
    <w:rsid w:val="00CD19D9"/>
    <w:rsid w:val="00CD1E2B"/>
    <w:rsid w:val="00CD1F8B"/>
    <w:rsid w:val="00CD2277"/>
    <w:rsid w:val="00CD22A1"/>
    <w:rsid w:val="00CD2365"/>
    <w:rsid w:val="00CD237D"/>
    <w:rsid w:val="00CD23CB"/>
    <w:rsid w:val="00CD25CB"/>
    <w:rsid w:val="00CD27B5"/>
    <w:rsid w:val="00CD280A"/>
    <w:rsid w:val="00CD2A6F"/>
    <w:rsid w:val="00CD2AE6"/>
    <w:rsid w:val="00CD2C8C"/>
    <w:rsid w:val="00CD3210"/>
    <w:rsid w:val="00CD3677"/>
    <w:rsid w:val="00CD3B88"/>
    <w:rsid w:val="00CD3DA5"/>
    <w:rsid w:val="00CD484A"/>
    <w:rsid w:val="00CD53F4"/>
    <w:rsid w:val="00CD599A"/>
    <w:rsid w:val="00CD59A6"/>
    <w:rsid w:val="00CD5D1C"/>
    <w:rsid w:val="00CD5EE7"/>
    <w:rsid w:val="00CD5F16"/>
    <w:rsid w:val="00CD601E"/>
    <w:rsid w:val="00CD694C"/>
    <w:rsid w:val="00CD6C93"/>
    <w:rsid w:val="00CD6D25"/>
    <w:rsid w:val="00CD78EF"/>
    <w:rsid w:val="00CD78F0"/>
    <w:rsid w:val="00CD7DC6"/>
    <w:rsid w:val="00CE002E"/>
    <w:rsid w:val="00CE0247"/>
    <w:rsid w:val="00CE0468"/>
    <w:rsid w:val="00CE12CC"/>
    <w:rsid w:val="00CE1424"/>
    <w:rsid w:val="00CE1705"/>
    <w:rsid w:val="00CE173A"/>
    <w:rsid w:val="00CE17DE"/>
    <w:rsid w:val="00CE190E"/>
    <w:rsid w:val="00CE200C"/>
    <w:rsid w:val="00CE224C"/>
    <w:rsid w:val="00CE2373"/>
    <w:rsid w:val="00CE25BF"/>
    <w:rsid w:val="00CE2A5F"/>
    <w:rsid w:val="00CE2BEC"/>
    <w:rsid w:val="00CE2D09"/>
    <w:rsid w:val="00CE2D74"/>
    <w:rsid w:val="00CE2E71"/>
    <w:rsid w:val="00CE3596"/>
    <w:rsid w:val="00CE38EF"/>
    <w:rsid w:val="00CE3A1C"/>
    <w:rsid w:val="00CE3C2C"/>
    <w:rsid w:val="00CE4360"/>
    <w:rsid w:val="00CE44E9"/>
    <w:rsid w:val="00CE4816"/>
    <w:rsid w:val="00CE55BA"/>
    <w:rsid w:val="00CE5923"/>
    <w:rsid w:val="00CE5975"/>
    <w:rsid w:val="00CE5CF7"/>
    <w:rsid w:val="00CE5E0D"/>
    <w:rsid w:val="00CE5EF8"/>
    <w:rsid w:val="00CE5F71"/>
    <w:rsid w:val="00CE66F7"/>
    <w:rsid w:val="00CE6C00"/>
    <w:rsid w:val="00CE6CA2"/>
    <w:rsid w:val="00CE7201"/>
    <w:rsid w:val="00CE7BD3"/>
    <w:rsid w:val="00CE7CAE"/>
    <w:rsid w:val="00CF0DF9"/>
    <w:rsid w:val="00CF10BB"/>
    <w:rsid w:val="00CF11FA"/>
    <w:rsid w:val="00CF1373"/>
    <w:rsid w:val="00CF157E"/>
    <w:rsid w:val="00CF1647"/>
    <w:rsid w:val="00CF1780"/>
    <w:rsid w:val="00CF1A0A"/>
    <w:rsid w:val="00CF1C30"/>
    <w:rsid w:val="00CF1E54"/>
    <w:rsid w:val="00CF27AB"/>
    <w:rsid w:val="00CF297D"/>
    <w:rsid w:val="00CF2DB8"/>
    <w:rsid w:val="00CF3207"/>
    <w:rsid w:val="00CF3607"/>
    <w:rsid w:val="00CF36E8"/>
    <w:rsid w:val="00CF3921"/>
    <w:rsid w:val="00CF4850"/>
    <w:rsid w:val="00CF4C07"/>
    <w:rsid w:val="00CF51D7"/>
    <w:rsid w:val="00CF52FE"/>
    <w:rsid w:val="00CF5DC1"/>
    <w:rsid w:val="00CF639C"/>
    <w:rsid w:val="00CF689C"/>
    <w:rsid w:val="00CF69A6"/>
    <w:rsid w:val="00CF74C3"/>
    <w:rsid w:val="00CF781A"/>
    <w:rsid w:val="00CF7825"/>
    <w:rsid w:val="00CF78CE"/>
    <w:rsid w:val="00CF7BB6"/>
    <w:rsid w:val="00CF7CC8"/>
    <w:rsid w:val="00CF7F25"/>
    <w:rsid w:val="00D0004E"/>
    <w:rsid w:val="00D000FF"/>
    <w:rsid w:val="00D00823"/>
    <w:rsid w:val="00D00A5D"/>
    <w:rsid w:val="00D01299"/>
    <w:rsid w:val="00D01358"/>
    <w:rsid w:val="00D01434"/>
    <w:rsid w:val="00D01537"/>
    <w:rsid w:val="00D016D7"/>
    <w:rsid w:val="00D01DFB"/>
    <w:rsid w:val="00D02145"/>
    <w:rsid w:val="00D02179"/>
    <w:rsid w:val="00D02597"/>
    <w:rsid w:val="00D027CF"/>
    <w:rsid w:val="00D02820"/>
    <w:rsid w:val="00D02E19"/>
    <w:rsid w:val="00D02FD6"/>
    <w:rsid w:val="00D03043"/>
    <w:rsid w:val="00D03267"/>
    <w:rsid w:val="00D03810"/>
    <w:rsid w:val="00D03947"/>
    <w:rsid w:val="00D03DEF"/>
    <w:rsid w:val="00D046FC"/>
    <w:rsid w:val="00D047BC"/>
    <w:rsid w:val="00D049E5"/>
    <w:rsid w:val="00D049ED"/>
    <w:rsid w:val="00D04B01"/>
    <w:rsid w:val="00D051DA"/>
    <w:rsid w:val="00D052F6"/>
    <w:rsid w:val="00D0591A"/>
    <w:rsid w:val="00D05990"/>
    <w:rsid w:val="00D059A2"/>
    <w:rsid w:val="00D05B0E"/>
    <w:rsid w:val="00D05E7A"/>
    <w:rsid w:val="00D05EB5"/>
    <w:rsid w:val="00D06101"/>
    <w:rsid w:val="00D0625F"/>
    <w:rsid w:val="00D062FD"/>
    <w:rsid w:val="00D06324"/>
    <w:rsid w:val="00D064F3"/>
    <w:rsid w:val="00D0653F"/>
    <w:rsid w:val="00D066AD"/>
    <w:rsid w:val="00D067B1"/>
    <w:rsid w:val="00D06828"/>
    <w:rsid w:val="00D06B84"/>
    <w:rsid w:val="00D06C65"/>
    <w:rsid w:val="00D071FF"/>
    <w:rsid w:val="00D07C93"/>
    <w:rsid w:val="00D100B2"/>
    <w:rsid w:val="00D1033B"/>
    <w:rsid w:val="00D10721"/>
    <w:rsid w:val="00D10820"/>
    <w:rsid w:val="00D10A2E"/>
    <w:rsid w:val="00D10B84"/>
    <w:rsid w:val="00D10F8B"/>
    <w:rsid w:val="00D117E4"/>
    <w:rsid w:val="00D1188F"/>
    <w:rsid w:val="00D11CBC"/>
    <w:rsid w:val="00D11CC0"/>
    <w:rsid w:val="00D11E8C"/>
    <w:rsid w:val="00D11F60"/>
    <w:rsid w:val="00D1245F"/>
    <w:rsid w:val="00D128ED"/>
    <w:rsid w:val="00D1293B"/>
    <w:rsid w:val="00D1301D"/>
    <w:rsid w:val="00D1313D"/>
    <w:rsid w:val="00D1360D"/>
    <w:rsid w:val="00D13A77"/>
    <w:rsid w:val="00D13DEC"/>
    <w:rsid w:val="00D142F2"/>
    <w:rsid w:val="00D14449"/>
    <w:rsid w:val="00D144A8"/>
    <w:rsid w:val="00D14510"/>
    <w:rsid w:val="00D14891"/>
    <w:rsid w:val="00D14F25"/>
    <w:rsid w:val="00D153C1"/>
    <w:rsid w:val="00D15454"/>
    <w:rsid w:val="00D155A4"/>
    <w:rsid w:val="00D15698"/>
    <w:rsid w:val="00D15D09"/>
    <w:rsid w:val="00D1696C"/>
    <w:rsid w:val="00D16B35"/>
    <w:rsid w:val="00D16FF5"/>
    <w:rsid w:val="00D170BB"/>
    <w:rsid w:val="00D17124"/>
    <w:rsid w:val="00D1717D"/>
    <w:rsid w:val="00D17861"/>
    <w:rsid w:val="00D178C9"/>
    <w:rsid w:val="00D17CB4"/>
    <w:rsid w:val="00D17D47"/>
    <w:rsid w:val="00D17DB2"/>
    <w:rsid w:val="00D20187"/>
    <w:rsid w:val="00D2019D"/>
    <w:rsid w:val="00D2088F"/>
    <w:rsid w:val="00D20E35"/>
    <w:rsid w:val="00D20EA2"/>
    <w:rsid w:val="00D211F0"/>
    <w:rsid w:val="00D21AD0"/>
    <w:rsid w:val="00D21D9F"/>
    <w:rsid w:val="00D2204D"/>
    <w:rsid w:val="00D2209F"/>
    <w:rsid w:val="00D221B2"/>
    <w:rsid w:val="00D22748"/>
    <w:rsid w:val="00D227BF"/>
    <w:rsid w:val="00D22B16"/>
    <w:rsid w:val="00D230BA"/>
    <w:rsid w:val="00D23300"/>
    <w:rsid w:val="00D23B9A"/>
    <w:rsid w:val="00D2485D"/>
    <w:rsid w:val="00D24DF3"/>
    <w:rsid w:val="00D24FF1"/>
    <w:rsid w:val="00D255E5"/>
    <w:rsid w:val="00D25909"/>
    <w:rsid w:val="00D25B58"/>
    <w:rsid w:val="00D25EA2"/>
    <w:rsid w:val="00D25F42"/>
    <w:rsid w:val="00D26373"/>
    <w:rsid w:val="00D2654A"/>
    <w:rsid w:val="00D2671E"/>
    <w:rsid w:val="00D269A8"/>
    <w:rsid w:val="00D2750E"/>
    <w:rsid w:val="00D279E4"/>
    <w:rsid w:val="00D27BB3"/>
    <w:rsid w:val="00D27BCA"/>
    <w:rsid w:val="00D27CE9"/>
    <w:rsid w:val="00D27F7A"/>
    <w:rsid w:val="00D30D71"/>
    <w:rsid w:val="00D30E00"/>
    <w:rsid w:val="00D314E9"/>
    <w:rsid w:val="00D3154D"/>
    <w:rsid w:val="00D315AA"/>
    <w:rsid w:val="00D3179C"/>
    <w:rsid w:val="00D3179E"/>
    <w:rsid w:val="00D318B6"/>
    <w:rsid w:val="00D319A1"/>
    <w:rsid w:val="00D31BBC"/>
    <w:rsid w:val="00D31DAC"/>
    <w:rsid w:val="00D31F9E"/>
    <w:rsid w:val="00D32425"/>
    <w:rsid w:val="00D32437"/>
    <w:rsid w:val="00D3263F"/>
    <w:rsid w:val="00D32703"/>
    <w:rsid w:val="00D32896"/>
    <w:rsid w:val="00D32E29"/>
    <w:rsid w:val="00D32E2F"/>
    <w:rsid w:val="00D33070"/>
    <w:rsid w:val="00D3324A"/>
    <w:rsid w:val="00D332EC"/>
    <w:rsid w:val="00D33AFB"/>
    <w:rsid w:val="00D33C1F"/>
    <w:rsid w:val="00D33F8E"/>
    <w:rsid w:val="00D34092"/>
    <w:rsid w:val="00D341A6"/>
    <w:rsid w:val="00D346B7"/>
    <w:rsid w:val="00D351B5"/>
    <w:rsid w:val="00D35259"/>
    <w:rsid w:val="00D35488"/>
    <w:rsid w:val="00D35782"/>
    <w:rsid w:val="00D35878"/>
    <w:rsid w:val="00D3588B"/>
    <w:rsid w:val="00D35C2A"/>
    <w:rsid w:val="00D35F8B"/>
    <w:rsid w:val="00D36350"/>
    <w:rsid w:val="00D3723E"/>
    <w:rsid w:val="00D3760A"/>
    <w:rsid w:val="00D37C29"/>
    <w:rsid w:val="00D37E6F"/>
    <w:rsid w:val="00D40002"/>
    <w:rsid w:val="00D40217"/>
    <w:rsid w:val="00D4049D"/>
    <w:rsid w:val="00D4095E"/>
    <w:rsid w:val="00D40B83"/>
    <w:rsid w:val="00D40E92"/>
    <w:rsid w:val="00D40F55"/>
    <w:rsid w:val="00D40F71"/>
    <w:rsid w:val="00D41735"/>
    <w:rsid w:val="00D41B86"/>
    <w:rsid w:val="00D41C00"/>
    <w:rsid w:val="00D41CB4"/>
    <w:rsid w:val="00D41CDF"/>
    <w:rsid w:val="00D41D76"/>
    <w:rsid w:val="00D41EDD"/>
    <w:rsid w:val="00D422FC"/>
    <w:rsid w:val="00D4262A"/>
    <w:rsid w:val="00D42675"/>
    <w:rsid w:val="00D42795"/>
    <w:rsid w:val="00D4297F"/>
    <w:rsid w:val="00D42C9E"/>
    <w:rsid w:val="00D42CBE"/>
    <w:rsid w:val="00D42CF2"/>
    <w:rsid w:val="00D4327C"/>
    <w:rsid w:val="00D43BDA"/>
    <w:rsid w:val="00D4432E"/>
    <w:rsid w:val="00D447B4"/>
    <w:rsid w:val="00D447BE"/>
    <w:rsid w:val="00D44907"/>
    <w:rsid w:val="00D44955"/>
    <w:rsid w:val="00D44DED"/>
    <w:rsid w:val="00D4535E"/>
    <w:rsid w:val="00D4587F"/>
    <w:rsid w:val="00D458D5"/>
    <w:rsid w:val="00D45BED"/>
    <w:rsid w:val="00D45ECE"/>
    <w:rsid w:val="00D464C1"/>
    <w:rsid w:val="00D467E9"/>
    <w:rsid w:val="00D46941"/>
    <w:rsid w:val="00D46DD4"/>
    <w:rsid w:val="00D47000"/>
    <w:rsid w:val="00D47889"/>
    <w:rsid w:val="00D4790A"/>
    <w:rsid w:val="00D50071"/>
    <w:rsid w:val="00D5068E"/>
    <w:rsid w:val="00D50BD3"/>
    <w:rsid w:val="00D50D0B"/>
    <w:rsid w:val="00D50D8B"/>
    <w:rsid w:val="00D50EA7"/>
    <w:rsid w:val="00D51FA8"/>
    <w:rsid w:val="00D51FBD"/>
    <w:rsid w:val="00D52247"/>
    <w:rsid w:val="00D52746"/>
    <w:rsid w:val="00D52BFB"/>
    <w:rsid w:val="00D52E9B"/>
    <w:rsid w:val="00D52F69"/>
    <w:rsid w:val="00D53598"/>
    <w:rsid w:val="00D53A82"/>
    <w:rsid w:val="00D53C6C"/>
    <w:rsid w:val="00D53E51"/>
    <w:rsid w:val="00D54005"/>
    <w:rsid w:val="00D544D9"/>
    <w:rsid w:val="00D5497E"/>
    <w:rsid w:val="00D54A6A"/>
    <w:rsid w:val="00D54E6A"/>
    <w:rsid w:val="00D54EF0"/>
    <w:rsid w:val="00D55186"/>
    <w:rsid w:val="00D552D8"/>
    <w:rsid w:val="00D5532E"/>
    <w:rsid w:val="00D5546D"/>
    <w:rsid w:val="00D55BBC"/>
    <w:rsid w:val="00D55BD9"/>
    <w:rsid w:val="00D55C22"/>
    <w:rsid w:val="00D55D09"/>
    <w:rsid w:val="00D56234"/>
    <w:rsid w:val="00D56423"/>
    <w:rsid w:val="00D56664"/>
    <w:rsid w:val="00D566C9"/>
    <w:rsid w:val="00D56BD4"/>
    <w:rsid w:val="00D57138"/>
    <w:rsid w:val="00D577B1"/>
    <w:rsid w:val="00D57B17"/>
    <w:rsid w:val="00D57C7D"/>
    <w:rsid w:val="00D603E2"/>
    <w:rsid w:val="00D603EF"/>
    <w:rsid w:val="00D60614"/>
    <w:rsid w:val="00D6093C"/>
    <w:rsid w:val="00D609A4"/>
    <w:rsid w:val="00D60C0C"/>
    <w:rsid w:val="00D60C99"/>
    <w:rsid w:val="00D60CAB"/>
    <w:rsid w:val="00D60D97"/>
    <w:rsid w:val="00D60E91"/>
    <w:rsid w:val="00D61111"/>
    <w:rsid w:val="00D614AB"/>
    <w:rsid w:val="00D6155B"/>
    <w:rsid w:val="00D6197D"/>
    <w:rsid w:val="00D61D6F"/>
    <w:rsid w:val="00D625F5"/>
    <w:rsid w:val="00D626C5"/>
    <w:rsid w:val="00D62845"/>
    <w:rsid w:val="00D62CBF"/>
    <w:rsid w:val="00D634BD"/>
    <w:rsid w:val="00D63B6A"/>
    <w:rsid w:val="00D63D3F"/>
    <w:rsid w:val="00D63DE6"/>
    <w:rsid w:val="00D63FF9"/>
    <w:rsid w:val="00D64453"/>
    <w:rsid w:val="00D644C8"/>
    <w:rsid w:val="00D644E3"/>
    <w:rsid w:val="00D64758"/>
    <w:rsid w:val="00D64C78"/>
    <w:rsid w:val="00D64E07"/>
    <w:rsid w:val="00D654F0"/>
    <w:rsid w:val="00D655B5"/>
    <w:rsid w:val="00D65717"/>
    <w:rsid w:val="00D65B0F"/>
    <w:rsid w:val="00D65C96"/>
    <w:rsid w:val="00D65FE1"/>
    <w:rsid w:val="00D6659D"/>
    <w:rsid w:val="00D6675B"/>
    <w:rsid w:val="00D668CE"/>
    <w:rsid w:val="00D66A7A"/>
    <w:rsid w:val="00D66C1D"/>
    <w:rsid w:val="00D66D00"/>
    <w:rsid w:val="00D66DD2"/>
    <w:rsid w:val="00D66FC4"/>
    <w:rsid w:val="00D6706B"/>
    <w:rsid w:val="00D67217"/>
    <w:rsid w:val="00D675A8"/>
    <w:rsid w:val="00D6764A"/>
    <w:rsid w:val="00D67688"/>
    <w:rsid w:val="00D67889"/>
    <w:rsid w:val="00D67CB7"/>
    <w:rsid w:val="00D700A3"/>
    <w:rsid w:val="00D70193"/>
    <w:rsid w:val="00D702D5"/>
    <w:rsid w:val="00D702ED"/>
    <w:rsid w:val="00D7032A"/>
    <w:rsid w:val="00D70369"/>
    <w:rsid w:val="00D708D4"/>
    <w:rsid w:val="00D70DED"/>
    <w:rsid w:val="00D71074"/>
    <w:rsid w:val="00D712CA"/>
    <w:rsid w:val="00D71D96"/>
    <w:rsid w:val="00D722DF"/>
    <w:rsid w:val="00D72434"/>
    <w:rsid w:val="00D72514"/>
    <w:rsid w:val="00D72F3F"/>
    <w:rsid w:val="00D733F6"/>
    <w:rsid w:val="00D7390F"/>
    <w:rsid w:val="00D73A8F"/>
    <w:rsid w:val="00D73BF0"/>
    <w:rsid w:val="00D73EAC"/>
    <w:rsid w:val="00D73F5B"/>
    <w:rsid w:val="00D74184"/>
    <w:rsid w:val="00D7426F"/>
    <w:rsid w:val="00D74371"/>
    <w:rsid w:val="00D74423"/>
    <w:rsid w:val="00D748DA"/>
    <w:rsid w:val="00D74B5F"/>
    <w:rsid w:val="00D74C22"/>
    <w:rsid w:val="00D74C39"/>
    <w:rsid w:val="00D74E51"/>
    <w:rsid w:val="00D7545E"/>
    <w:rsid w:val="00D7557C"/>
    <w:rsid w:val="00D7569B"/>
    <w:rsid w:val="00D759EB"/>
    <w:rsid w:val="00D75A52"/>
    <w:rsid w:val="00D75C2A"/>
    <w:rsid w:val="00D75ED6"/>
    <w:rsid w:val="00D761A5"/>
    <w:rsid w:val="00D76411"/>
    <w:rsid w:val="00D76574"/>
    <w:rsid w:val="00D76FC8"/>
    <w:rsid w:val="00D771BF"/>
    <w:rsid w:val="00D773BD"/>
    <w:rsid w:val="00D7771D"/>
    <w:rsid w:val="00D77CCE"/>
    <w:rsid w:val="00D77D44"/>
    <w:rsid w:val="00D77F3A"/>
    <w:rsid w:val="00D77F60"/>
    <w:rsid w:val="00D80865"/>
    <w:rsid w:val="00D80AEC"/>
    <w:rsid w:val="00D80D93"/>
    <w:rsid w:val="00D81466"/>
    <w:rsid w:val="00D8151E"/>
    <w:rsid w:val="00D8155E"/>
    <w:rsid w:val="00D8184F"/>
    <w:rsid w:val="00D8196A"/>
    <w:rsid w:val="00D81D75"/>
    <w:rsid w:val="00D81F2D"/>
    <w:rsid w:val="00D820F4"/>
    <w:rsid w:val="00D822F2"/>
    <w:rsid w:val="00D82521"/>
    <w:rsid w:val="00D82793"/>
    <w:rsid w:val="00D827AA"/>
    <w:rsid w:val="00D8296E"/>
    <w:rsid w:val="00D82AA4"/>
    <w:rsid w:val="00D82AD0"/>
    <w:rsid w:val="00D83149"/>
    <w:rsid w:val="00D8318C"/>
    <w:rsid w:val="00D835CD"/>
    <w:rsid w:val="00D83CDB"/>
    <w:rsid w:val="00D83D31"/>
    <w:rsid w:val="00D8402F"/>
    <w:rsid w:val="00D8478A"/>
    <w:rsid w:val="00D8489A"/>
    <w:rsid w:val="00D84BF7"/>
    <w:rsid w:val="00D84F57"/>
    <w:rsid w:val="00D8581C"/>
    <w:rsid w:val="00D85BF9"/>
    <w:rsid w:val="00D865BB"/>
    <w:rsid w:val="00D865C9"/>
    <w:rsid w:val="00D8697F"/>
    <w:rsid w:val="00D86C1E"/>
    <w:rsid w:val="00D875B3"/>
    <w:rsid w:val="00D87793"/>
    <w:rsid w:val="00D87913"/>
    <w:rsid w:val="00D87C1A"/>
    <w:rsid w:val="00D87FA6"/>
    <w:rsid w:val="00D90353"/>
    <w:rsid w:val="00D9043F"/>
    <w:rsid w:val="00D904B4"/>
    <w:rsid w:val="00D90585"/>
    <w:rsid w:val="00D90693"/>
    <w:rsid w:val="00D906D7"/>
    <w:rsid w:val="00D908BF"/>
    <w:rsid w:val="00D9119B"/>
    <w:rsid w:val="00D91406"/>
    <w:rsid w:val="00D9175A"/>
    <w:rsid w:val="00D91B6B"/>
    <w:rsid w:val="00D91BA5"/>
    <w:rsid w:val="00D92F16"/>
    <w:rsid w:val="00D92FE3"/>
    <w:rsid w:val="00D93249"/>
    <w:rsid w:val="00D93353"/>
    <w:rsid w:val="00D93354"/>
    <w:rsid w:val="00D93519"/>
    <w:rsid w:val="00D936AB"/>
    <w:rsid w:val="00D93BC6"/>
    <w:rsid w:val="00D93C8E"/>
    <w:rsid w:val="00D93E37"/>
    <w:rsid w:val="00D93F18"/>
    <w:rsid w:val="00D93F84"/>
    <w:rsid w:val="00D940F5"/>
    <w:rsid w:val="00D94219"/>
    <w:rsid w:val="00D942DE"/>
    <w:rsid w:val="00D94484"/>
    <w:rsid w:val="00D94872"/>
    <w:rsid w:val="00D94B6D"/>
    <w:rsid w:val="00D9538B"/>
    <w:rsid w:val="00D9553E"/>
    <w:rsid w:val="00D958E3"/>
    <w:rsid w:val="00D95FC5"/>
    <w:rsid w:val="00D9602B"/>
    <w:rsid w:val="00D961A2"/>
    <w:rsid w:val="00D963D3"/>
    <w:rsid w:val="00D9654D"/>
    <w:rsid w:val="00D9681C"/>
    <w:rsid w:val="00D969BA"/>
    <w:rsid w:val="00D96B6C"/>
    <w:rsid w:val="00D96E54"/>
    <w:rsid w:val="00D97054"/>
    <w:rsid w:val="00D97583"/>
    <w:rsid w:val="00D97955"/>
    <w:rsid w:val="00DA0D4F"/>
    <w:rsid w:val="00DA132B"/>
    <w:rsid w:val="00DA255A"/>
    <w:rsid w:val="00DA2639"/>
    <w:rsid w:val="00DA2AB6"/>
    <w:rsid w:val="00DA2B5D"/>
    <w:rsid w:val="00DA2BF7"/>
    <w:rsid w:val="00DA2EBE"/>
    <w:rsid w:val="00DA3229"/>
    <w:rsid w:val="00DA3D00"/>
    <w:rsid w:val="00DA3E52"/>
    <w:rsid w:val="00DA3E63"/>
    <w:rsid w:val="00DA47EA"/>
    <w:rsid w:val="00DA47F1"/>
    <w:rsid w:val="00DA4823"/>
    <w:rsid w:val="00DA5447"/>
    <w:rsid w:val="00DA59BC"/>
    <w:rsid w:val="00DA5A01"/>
    <w:rsid w:val="00DA5A9E"/>
    <w:rsid w:val="00DA5AE4"/>
    <w:rsid w:val="00DA6AB9"/>
    <w:rsid w:val="00DA6E52"/>
    <w:rsid w:val="00DA7AEB"/>
    <w:rsid w:val="00DA7B68"/>
    <w:rsid w:val="00DA7B6D"/>
    <w:rsid w:val="00DA7E3A"/>
    <w:rsid w:val="00DB0007"/>
    <w:rsid w:val="00DB0032"/>
    <w:rsid w:val="00DB0BD1"/>
    <w:rsid w:val="00DB0C70"/>
    <w:rsid w:val="00DB0E77"/>
    <w:rsid w:val="00DB1133"/>
    <w:rsid w:val="00DB119F"/>
    <w:rsid w:val="00DB1499"/>
    <w:rsid w:val="00DB1651"/>
    <w:rsid w:val="00DB1835"/>
    <w:rsid w:val="00DB1ADF"/>
    <w:rsid w:val="00DB1D05"/>
    <w:rsid w:val="00DB1F65"/>
    <w:rsid w:val="00DB2AC8"/>
    <w:rsid w:val="00DB2C8B"/>
    <w:rsid w:val="00DB34AA"/>
    <w:rsid w:val="00DB3529"/>
    <w:rsid w:val="00DB3B47"/>
    <w:rsid w:val="00DB3F88"/>
    <w:rsid w:val="00DB4185"/>
    <w:rsid w:val="00DB4794"/>
    <w:rsid w:val="00DB4BF3"/>
    <w:rsid w:val="00DB4CE7"/>
    <w:rsid w:val="00DB4D68"/>
    <w:rsid w:val="00DB504C"/>
    <w:rsid w:val="00DB580C"/>
    <w:rsid w:val="00DB5A22"/>
    <w:rsid w:val="00DB5D4D"/>
    <w:rsid w:val="00DB5DA3"/>
    <w:rsid w:val="00DB606F"/>
    <w:rsid w:val="00DB6507"/>
    <w:rsid w:val="00DB6B23"/>
    <w:rsid w:val="00DB750C"/>
    <w:rsid w:val="00DB7948"/>
    <w:rsid w:val="00DB7A0E"/>
    <w:rsid w:val="00DB7B32"/>
    <w:rsid w:val="00DC022B"/>
    <w:rsid w:val="00DC044C"/>
    <w:rsid w:val="00DC05B6"/>
    <w:rsid w:val="00DC0741"/>
    <w:rsid w:val="00DC080B"/>
    <w:rsid w:val="00DC10B3"/>
    <w:rsid w:val="00DC11BD"/>
    <w:rsid w:val="00DC1238"/>
    <w:rsid w:val="00DC18CC"/>
    <w:rsid w:val="00DC1CAF"/>
    <w:rsid w:val="00DC21F8"/>
    <w:rsid w:val="00DC23AE"/>
    <w:rsid w:val="00DC24F7"/>
    <w:rsid w:val="00DC29C0"/>
    <w:rsid w:val="00DC2AE9"/>
    <w:rsid w:val="00DC3339"/>
    <w:rsid w:val="00DC347F"/>
    <w:rsid w:val="00DC35BF"/>
    <w:rsid w:val="00DC3B6D"/>
    <w:rsid w:val="00DC3D1F"/>
    <w:rsid w:val="00DC3FAE"/>
    <w:rsid w:val="00DC4924"/>
    <w:rsid w:val="00DC4C74"/>
    <w:rsid w:val="00DC4D86"/>
    <w:rsid w:val="00DC4E2D"/>
    <w:rsid w:val="00DC4F26"/>
    <w:rsid w:val="00DC5114"/>
    <w:rsid w:val="00DC59FA"/>
    <w:rsid w:val="00DC5C1B"/>
    <w:rsid w:val="00DC5E56"/>
    <w:rsid w:val="00DC640D"/>
    <w:rsid w:val="00DC6669"/>
    <w:rsid w:val="00DC6725"/>
    <w:rsid w:val="00DC6748"/>
    <w:rsid w:val="00DC68BC"/>
    <w:rsid w:val="00DC6BCB"/>
    <w:rsid w:val="00DC6D11"/>
    <w:rsid w:val="00DC7203"/>
    <w:rsid w:val="00DC7369"/>
    <w:rsid w:val="00DC789A"/>
    <w:rsid w:val="00DC7C81"/>
    <w:rsid w:val="00DC7DA8"/>
    <w:rsid w:val="00DD0237"/>
    <w:rsid w:val="00DD02EE"/>
    <w:rsid w:val="00DD0364"/>
    <w:rsid w:val="00DD0556"/>
    <w:rsid w:val="00DD0630"/>
    <w:rsid w:val="00DD075F"/>
    <w:rsid w:val="00DD15BC"/>
    <w:rsid w:val="00DD1963"/>
    <w:rsid w:val="00DD1AC7"/>
    <w:rsid w:val="00DD1E3E"/>
    <w:rsid w:val="00DD2208"/>
    <w:rsid w:val="00DD220D"/>
    <w:rsid w:val="00DD2255"/>
    <w:rsid w:val="00DD228D"/>
    <w:rsid w:val="00DD2A23"/>
    <w:rsid w:val="00DD2C29"/>
    <w:rsid w:val="00DD319E"/>
    <w:rsid w:val="00DD3721"/>
    <w:rsid w:val="00DD3A78"/>
    <w:rsid w:val="00DD3C52"/>
    <w:rsid w:val="00DD3EB1"/>
    <w:rsid w:val="00DD47B4"/>
    <w:rsid w:val="00DD4D59"/>
    <w:rsid w:val="00DD5390"/>
    <w:rsid w:val="00DD5861"/>
    <w:rsid w:val="00DD599C"/>
    <w:rsid w:val="00DD5AC7"/>
    <w:rsid w:val="00DD5BAB"/>
    <w:rsid w:val="00DD5F17"/>
    <w:rsid w:val="00DD6A4F"/>
    <w:rsid w:val="00DD6FFC"/>
    <w:rsid w:val="00DD70FF"/>
    <w:rsid w:val="00DD74EB"/>
    <w:rsid w:val="00DD7800"/>
    <w:rsid w:val="00DD7821"/>
    <w:rsid w:val="00DD786B"/>
    <w:rsid w:val="00DD7BE0"/>
    <w:rsid w:val="00DD7BF8"/>
    <w:rsid w:val="00DE0941"/>
    <w:rsid w:val="00DE0B38"/>
    <w:rsid w:val="00DE123A"/>
    <w:rsid w:val="00DE12D8"/>
    <w:rsid w:val="00DE1407"/>
    <w:rsid w:val="00DE14AD"/>
    <w:rsid w:val="00DE160F"/>
    <w:rsid w:val="00DE1792"/>
    <w:rsid w:val="00DE1A29"/>
    <w:rsid w:val="00DE1B4D"/>
    <w:rsid w:val="00DE1FE2"/>
    <w:rsid w:val="00DE20E9"/>
    <w:rsid w:val="00DE20EC"/>
    <w:rsid w:val="00DE2230"/>
    <w:rsid w:val="00DE241E"/>
    <w:rsid w:val="00DE2423"/>
    <w:rsid w:val="00DE2462"/>
    <w:rsid w:val="00DE25CC"/>
    <w:rsid w:val="00DE27CA"/>
    <w:rsid w:val="00DE2D4B"/>
    <w:rsid w:val="00DE3406"/>
    <w:rsid w:val="00DE34B9"/>
    <w:rsid w:val="00DE3791"/>
    <w:rsid w:val="00DE3CF4"/>
    <w:rsid w:val="00DE3E19"/>
    <w:rsid w:val="00DE3F8B"/>
    <w:rsid w:val="00DE4502"/>
    <w:rsid w:val="00DE4548"/>
    <w:rsid w:val="00DE484E"/>
    <w:rsid w:val="00DE48A2"/>
    <w:rsid w:val="00DE4A42"/>
    <w:rsid w:val="00DE54B1"/>
    <w:rsid w:val="00DE5819"/>
    <w:rsid w:val="00DE5B9C"/>
    <w:rsid w:val="00DE6203"/>
    <w:rsid w:val="00DE623D"/>
    <w:rsid w:val="00DE645A"/>
    <w:rsid w:val="00DE6B29"/>
    <w:rsid w:val="00DE6C6A"/>
    <w:rsid w:val="00DE6F64"/>
    <w:rsid w:val="00DE756D"/>
    <w:rsid w:val="00DE762A"/>
    <w:rsid w:val="00DE7AC8"/>
    <w:rsid w:val="00DE7B39"/>
    <w:rsid w:val="00DE7B92"/>
    <w:rsid w:val="00DE7D19"/>
    <w:rsid w:val="00DE7F6D"/>
    <w:rsid w:val="00DF0237"/>
    <w:rsid w:val="00DF04A1"/>
    <w:rsid w:val="00DF0A22"/>
    <w:rsid w:val="00DF0D6D"/>
    <w:rsid w:val="00DF11D3"/>
    <w:rsid w:val="00DF1328"/>
    <w:rsid w:val="00DF139F"/>
    <w:rsid w:val="00DF166B"/>
    <w:rsid w:val="00DF166C"/>
    <w:rsid w:val="00DF1851"/>
    <w:rsid w:val="00DF1881"/>
    <w:rsid w:val="00DF1A84"/>
    <w:rsid w:val="00DF1AC8"/>
    <w:rsid w:val="00DF20F5"/>
    <w:rsid w:val="00DF218B"/>
    <w:rsid w:val="00DF2249"/>
    <w:rsid w:val="00DF22E9"/>
    <w:rsid w:val="00DF2A90"/>
    <w:rsid w:val="00DF2E78"/>
    <w:rsid w:val="00DF3065"/>
    <w:rsid w:val="00DF3136"/>
    <w:rsid w:val="00DF3156"/>
    <w:rsid w:val="00DF3295"/>
    <w:rsid w:val="00DF32EC"/>
    <w:rsid w:val="00DF340B"/>
    <w:rsid w:val="00DF3661"/>
    <w:rsid w:val="00DF394F"/>
    <w:rsid w:val="00DF3957"/>
    <w:rsid w:val="00DF3BA4"/>
    <w:rsid w:val="00DF3BB4"/>
    <w:rsid w:val="00DF3BFA"/>
    <w:rsid w:val="00DF3C49"/>
    <w:rsid w:val="00DF3E27"/>
    <w:rsid w:val="00DF3F13"/>
    <w:rsid w:val="00DF4174"/>
    <w:rsid w:val="00DF4707"/>
    <w:rsid w:val="00DF47AC"/>
    <w:rsid w:val="00DF49EA"/>
    <w:rsid w:val="00DF4E5D"/>
    <w:rsid w:val="00DF503B"/>
    <w:rsid w:val="00DF5058"/>
    <w:rsid w:val="00DF506C"/>
    <w:rsid w:val="00DF5337"/>
    <w:rsid w:val="00DF56F1"/>
    <w:rsid w:val="00DF5AA7"/>
    <w:rsid w:val="00DF5C40"/>
    <w:rsid w:val="00DF5D3E"/>
    <w:rsid w:val="00DF5E94"/>
    <w:rsid w:val="00DF63F3"/>
    <w:rsid w:val="00DF65E1"/>
    <w:rsid w:val="00DF68B6"/>
    <w:rsid w:val="00DF7476"/>
    <w:rsid w:val="00DF7668"/>
    <w:rsid w:val="00DF77F9"/>
    <w:rsid w:val="00DF787D"/>
    <w:rsid w:val="00DF78FB"/>
    <w:rsid w:val="00DF7C3A"/>
    <w:rsid w:val="00DF7DD7"/>
    <w:rsid w:val="00E00196"/>
    <w:rsid w:val="00E00527"/>
    <w:rsid w:val="00E00EEB"/>
    <w:rsid w:val="00E010D9"/>
    <w:rsid w:val="00E0130A"/>
    <w:rsid w:val="00E014E8"/>
    <w:rsid w:val="00E01617"/>
    <w:rsid w:val="00E01739"/>
    <w:rsid w:val="00E017E5"/>
    <w:rsid w:val="00E0202F"/>
    <w:rsid w:val="00E0251B"/>
    <w:rsid w:val="00E025C6"/>
    <w:rsid w:val="00E027CB"/>
    <w:rsid w:val="00E02AE7"/>
    <w:rsid w:val="00E02B84"/>
    <w:rsid w:val="00E02C5A"/>
    <w:rsid w:val="00E033D5"/>
    <w:rsid w:val="00E0356F"/>
    <w:rsid w:val="00E0362E"/>
    <w:rsid w:val="00E03754"/>
    <w:rsid w:val="00E03BD8"/>
    <w:rsid w:val="00E0460D"/>
    <w:rsid w:val="00E04B6B"/>
    <w:rsid w:val="00E05171"/>
    <w:rsid w:val="00E05595"/>
    <w:rsid w:val="00E055F8"/>
    <w:rsid w:val="00E058D2"/>
    <w:rsid w:val="00E05A38"/>
    <w:rsid w:val="00E05F05"/>
    <w:rsid w:val="00E060E3"/>
    <w:rsid w:val="00E06293"/>
    <w:rsid w:val="00E0630C"/>
    <w:rsid w:val="00E066E6"/>
    <w:rsid w:val="00E06A22"/>
    <w:rsid w:val="00E06B73"/>
    <w:rsid w:val="00E0702F"/>
    <w:rsid w:val="00E0719A"/>
    <w:rsid w:val="00E074E4"/>
    <w:rsid w:val="00E077D7"/>
    <w:rsid w:val="00E07D30"/>
    <w:rsid w:val="00E105B6"/>
    <w:rsid w:val="00E1075B"/>
    <w:rsid w:val="00E109B2"/>
    <w:rsid w:val="00E109F3"/>
    <w:rsid w:val="00E11481"/>
    <w:rsid w:val="00E1151D"/>
    <w:rsid w:val="00E1152C"/>
    <w:rsid w:val="00E1287A"/>
    <w:rsid w:val="00E128C8"/>
    <w:rsid w:val="00E128CB"/>
    <w:rsid w:val="00E13082"/>
    <w:rsid w:val="00E13358"/>
    <w:rsid w:val="00E13732"/>
    <w:rsid w:val="00E139A0"/>
    <w:rsid w:val="00E13AE1"/>
    <w:rsid w:val="00E13CD4"/>
    <w:rsid w:val="00E152FE"/>
    <w:rsid w:val="00E159D9"/>
    <w:rsid w:val="00E15A67"/>
    <w:rsid w:val="00E15B9C"/>
    <w:rsid w:val="00E162CD"/>
    <w:rsid w:val="00E16592"/>
    <w:rsid w:val="00E16667"/>
    <w:rsid w:val="00E17A93"/>
    <w:rsid w:val="00E17C9E"/>
    <w:rsid w:val="00E20133"/>
    <w:rsid w:val="00E20490"/>
    <w:rsid w:val="00E207EF"/>
    <w:rsid w:val="00E2104D"/>
    <w:rsid w:val="00E21119"/>
    <w:rsid w:val="00E21666"/>
    <w:rsid w:val="00E21E3F"/>
    <w:rsid w:val="00E225E0"/>
    <w:rsid w:val="00E227CC"/>
    <w:rsid w:val="00E22BA0"/>
    <w:rsid w:val="00E22E62"/>
    <w:rsid w:val="00E22EBA"/>
    <w:rsid w:val="00E23020"/>
    <w:rsid w:val="00E23171"/>
    <w:rsid w:val="00E23363"/>
    <w:rsid w:val="00E239AF"/>
    <w:rsid w:val="00E23AFE"/>
    <w:rsid w:val="00E2409F"/>
    <w:rsid w:val="00E240F3"/>
    <w:rsid w:val="00E242D5"/>
    <w:rsid w:val="00E24573"/>
    <w:rsid w:val="00E246A4"/>
    <w:rsid w:val="00E2480E"/>
    <w:rsid w:val="00E24CFD"/>
    <w:rsid w:val="00E24E48"/>
    <w:rsid w:val="00E24F34"/>
    <w:rsid w:val="00E25AA1"/>
    <w:rsid w:val="00E25AE6"/>
    <w:rsid w:val="00E2609F"/>
    <w:rsid w:val="00E26C94"/>
    <w:rsid w:val="00E27383"/>
    <w:rsid w:val="00E27E04"/>
    <w:rsid w:val="00E3008A"/>
    <w:rsid w:val="00E30336"/>
    <w:rsid w:val="00E3048E"/>
    <w:rsid w:val="00E30F79"/>
    <w:rsid w:val="00E31040"/>
    <w:rsid w:val="00E31099"/>
    <w:rsid w:val="00E312C2"/>
    <w:rsid w:val="00E31B6A"/>
    <w:rsid w:val="00E31D92"/>
    <w:rsid w:val="00E3200B"/>
    <w:rsid w:val="00E32339"/>
    <w:rsid w:val="00E32BB7"/>
    <w:rsid w:val="00E32C3C"/>
    <w:rsid w:val="00E32C47"/>
    <w:rsid w:val="00E32EFB"/>
    <w:rsid w:val="00E331F5"/>
    <w:rsid w:val="00E33639"/>
    <w:rsid w:val="00E33815"/>
    <w:rsid w:val="00E338FD"/>
    <w:rsid w:val="00E339B7"/>
    <w:rsid w:val="00E33AB6"/>
    <w:rsid w:val="00E34150"/>
    <w:rsid w:val="00E34383"/>
    <w:rsid w:val="00E343CD"/>
    <w:rsid w:val="00E344AD"/>
    <w:rsid w:val="00E34554"/>
    <w:rsid w:val="00E35019"/>
    <w:rsid w:val="00E35169"/>
    <w:rsid w:val="00E352CD"/>
    <w:rsid w:val="00E35BAE"/>
    <w:rsid w:val="00E35C0B"/>
    <w:rsid w:val="00E35C86"/>
    <w:rsid w:val="00E35D1B"/>
    <w:rsid w:val="00E35EF3"/>
    <w:rsid w:val="00E3613E"/>
    <w:rsid w:val="00E36741"/>
    <w:rsid w:val="00E368B2"/>
    <w:rsid w:val="00E37118"/>
    <w:rsid w:val="00E37499"/>
    <w:rsid w:val="00E374C3"/>
    <w:rsid w:val="00E376B6"/>
    <w:rsid w:val="00E379D7"/>
    <w:rsid w:val="00E37C21"/>
    <w:rsid w:val="00E37C57"/>
    <w:rsid w:val="00E40245"/>
    <w:rsid w:val="00E40B35"/>
    <w:rsid w:val="00E40BFE"/>
    <w:rsid w:val="00E4115F"/>
    <w:rsid w:val="00E411EC"/>
    <w:rsid w:val="00E411F9"/>
    <w:rsid w:val="00E41338"/>
    <w:rsid w:val="00E41890"/>
    <w:rsid w:val="00E41B80"/>
    <w:rsid w:val="00E41CC4"/>
    <w:rsid w:val="00E41F20"/>
    <w:rsid w:val="00E421AA"/>
    <w:rsid w:val="00E421D0"/>
    <w:rsid w:val="00E42FDD"/>
    <w:rsid w:val="00E4374A"/>
    <w:rsid w:val="00E43C92"/>
    <w:rsid w:val="00E43E0D"/>
    <w:rsid w:val="00E43F35"/>
    <w:rsid w:val="00E44092"/>
    <w:rsid w:val="00E44BDA"/>
    <w:rsid w:val="00E44C98"/>
    <w:rsid w:val="00E44F44"/>
    <w:rsid w:val="00E450BE"/>
    <w:rsid w:val="00E455E1"/>
    <w:rsid w:val="00E45B79"/>
    <w:rsid w:val="00E45C1B"/>
    <w:rsid w:val="00E45E25"/>
    <w:rsid w:val="00E45FDF"/>
    <w:rsid w:val="00E463D5"/>
    <w:rsid w:val="00E4650E"/>
    <w:rsid w:val="00E46547"/>
    <w:rsid w:val="00E468FF"/>
    <w:rsid w:val="00E46CE9"/>
    <w:rsid w:val="00E471BF"/>
    <w:rsid w:val="00E471FD"/>
    <w:rsid w:val="00E472AE"/>
    <w:rsid w:val="00E47467"/>
    <w:rsid w:val="00E47743"/>
    <w:rsid w:val="00E50272"/>
    <w:rsid w:val="00E504E6"/>
    <w:rsid w:val="00E506DF"/>
    <w:rsid w:val="00E5081B"/>
    <w:rsid w:val="00E50995"/>
    <w:rsid w:val="00E50A73"/>
    <w:rsid w:val="00E50D8A"/>
    <w:rsid w:val="00E50DE2"/>
    <w:rsid w:val="00E51463"/>
    <w:rsid w:val="00E514CE"/>
    <w:rsid w:val="00E519B2"/>
    <w:rsid w:val="00E5229A"/>
    <w:rsid w:val="00E52565"/>
    <w:rsid w:val="00E52796"/>
    <w:rsid w:val="00E5296F"/>
    <w:rsid w:val="00E52C07"/>
    <w:rsid w:val="00E52F0B"/>
    <w:rsid w:val="00E53036"/>
    <w:rsid w:val="00E533EA"/>
    <w:rsid w:val="00E536A0"/>
    <w:rsid w:val="00E53B3D"/>
    <w:rsid w:val="00E53B90"/>
    <w:rsid w:val="00E53C19"/>
    <w:rsid w:val="00E543DE"/>
    <w:rsid w:val="00E5487D"/>
    <w:rsid w:val="00E54CE9"/>
    <w:rsid w:val="00E54D33"/>
    <w:rsid w:val="00E55032"/>
    <w:rsid w:val="00E551E9"/>
    <w:rsid w:val="00E55422"/>
    <w:rsid w:val="00E55B83"/>
    <w:rsid w:val="00E55C6E"/>
    <w:rsid w:val="00E55DDE"/>
    <w:rsid w:val="00E56196"/>
    <w:rsid w:val="00E562CF"/>
    <w:rsid w:val="00E562F1"/>
    <w:rsid w:val="00E5636A"/>
    <w:rsid w:val="00E56381"/>
    <w:rsid w:val="00E56570"/>
    <w:rsid w:val="00E56695"/>
    <w:rsid w:val="00E566E9"/>
    <w:rsid w:val="00E5688A"/>
    <w:rsid w:val="00E56957"/>
    <w:rsid w:val="00E56967"/>
    <w:rsid w:val="00E56EEE"/>
    <w:rsid w:val="00E56EF5"/>
    <w:rsid w:val="00E570FE"/>
    <w:rsid w:val="00E57813"/>
    <w:rsid w:val="00E57D4E"/>
    <w:rsid w:val="00E57E4B"/>
    <w:rsid w:val="00E57E92"/>
    <w:rsid w:val="00E600EA"/>
    <w:rsid w:val="00E6011C"/>
    <w:rsid w:val="00E60623"/>
    <w:rsid w:val="00E607B4"/>
    <w:rsid w:val="00E6084A"/>
    <w:rsid w:val="00E6089E"/>
    <w:rsid w:val="00E60FB2"/>
    <w:rsid w:val="00E612E4"/>
    <w:rsid w:val="00E61740"/>
    <w:rsid w:val="00E6189F"/>
    <w:rsid w:val="00E61C51"/>
    <w:rsid w:val="00E61CCD"/>
    <w:rsid w:val="00E61CF7"/>
    <w:rsid w:val="00E61EC6"/>
    <w:rsid w:val="00E62131"/>
    <w:rsid w:val="00E62154"/>
    <w:rsid w:val="00E621AD"/>
    <w:rsid w:val="00E62443"/>
    <w:rsid w:val="00E625A4"/>
    <w:rsid w:val="00E62822"/>
    <w:rsid w:val="00E631BE"/>
    <w:rsid w:val="00E6324D"/>
    <w:rsid w:val="00E63883"/>
    <w:rsid w:val="00E63A4E"/>
    <w:rsid w:val="00E63BB9"/>
    <w:rsid w:val="00E63DE9"/>
    <w:rsid w:val="00E6407A"/>
    <w:rsid w:val="00E6408A"/>
    <w:rsid w:val="00E644F5"/>
    <w:rsid w:val="00E646DC"/>
    <w:rsid w:val="00E646ED"/>
    <w:rsid w:val="00E64796"/>
    <w:rsid w:val="00E648E3"/>
    <w:rsid w:val="00E64D40"/>
    <w:rsid w:val="00E64E5A"/>
    <w:rsid w:val="00E64EB1"/>
    <w:rsid w:val="00E65027"/>
    <w:rsid w:val="00E650C1"/>
    <w:rsid w:val="00E6523B"/>
    <w:rsid w:val="00E65350"/>
    <w:rsid w:val="00E656D2"/>
    <w:rsid w:val="00E65D04"/>
    <w:rsid w:val="00E66566"/>
    <w:rsid w:val="00E66906"/>
    <w:rsid w:val="00E669FC"/>
    <w:rsid w:val="00E66D7A"/>
    <w:rsid w:val="00E66D9E"/>
    <w:rsid w:val="00E671D8"/>
    <w:rsid w:val="00E67749"/>
    <w:rsid w:val="00E67922"/>
    <w:rsid w:val="00E679F9"/>
    <w:rsid w:val="00E67A49"/>
    <w:rsid w:val="00E67E6D"/>
    <w:rsid w:val="00E67F15"/>
    <w:rsid w:val="00E7008D"/>
    <w:rsid w:val="00E701B4"/>
    <w:rsid w:val="00E7052F"/>
    <w:rsid w:val="00E705DE"/>
    <w:rsid w:val="00E70666"/>
    <w:rsid w:val="00E708ED"/>
    <w:rsid w:val="00E7095D"/>
    <w:rsid w:val="00E70B7C"/>
    <w:rsid w:val="00E70D39"/>
    <w:rsid w:val="00E71098"/>
    <w:rsid w:val="00E710D0"/>
    <w:rsid w:val="00E7128D"/>
    <w:rsid w:val="00E712F1"/>
    <w:rsid w:val="00E713BC"/>
    <w:rsid w:val="00E71844"/>
    <w:rsid w:val="00E71923"/>
    <w:rsid w:val="00E71AA9"/>
    <w:rsid w:val="00E7205F"/>
    <w:rsid w:val="00E721B4"/>
    <w:rsid w:val="00E72217"/>
    <w:rsid w:val="00E726C6"/>
    <w:rsid w:val="00E72891"/>
    <w:rsid w:val="00E728B6"/>
    <w:rsid w:val="00E72E14"/>
    <w:rsid w:val="00E73393"/>
    <w:rsid w:val="00E734DB"/>
    <w:rsid w:val="00E73674"/>
    <w:rsid w:val="00E736E0"/>
    <w:rsid w:val="00E73D6C"/>
    <w:rsid w:val="00E73E9F"/>
    <w:rsid w:val="00E73F46"/>
    <w:rsid w:val="00E7435A"/>
    <w:rsid w:val="00E74691"/>
    <w:rsid w:val="00E749AB"/>
    <w:rsid w:val="00E749D7"/>
    <w:rsid w:val="00E74A77"/>
    <w:rsid w:val="00E74D2E"/>
    <w:rsid w:val="00E74DB7"/>
    <w:rsid w:val="00E75071"/>
    <w:rsid w:val="00E7521B"/>
    <w:rsid w:val="00E752BF"/>
    <w:rsid w:val="00E75D63"/>
    <w:rsid w:val="00E7669E"/>
    <w:rsid w:val="00E768A9"/>
    <w:rsid w:val="00E76B51"/>
    <w:rsid w:val="00E76EAC"/>
    <w:rsid w:val="00E76F01"/>
    <w:rsid w:val="00E76FC5"/>
    <w:rsid w:val="00E7763C"/>
    <w:rsid w:val="00E779B0"/>
    <w:rsid w:val="00E77BDD"/>
    <w:rsid w:val="00E77BE9"/>
    <w:rsid w:val="00E77FDC"/>
    <w:rsid w:val="00E8028B"/>
    <w:rsid w:val="00E804B8"/>
    <w:rsid w:val="00E808C9"/>
    <w:rsid w:val="00E80906"/>
    <w:rsid w:val="00E80AD1"/>
    <w:rsid w:val="00E81328"/>
    <w:rsid w:val="00E82112"/>
    <w:rsid w:val="00E82215"/>
    <w:rsid w:val="00E82408"/>
    <w:rsid w:val="00E827C5"/>
    <w:rsid w:val="00E82A90"/>
    <w:rsid w:val="00E82AC8"/>
    <w:rsid w:val="00E82F03"/>
    <w:rsid w:val="00E8308E"/>
    <w:rsid w:val="00E830BD"/>
    <w:rsid w:val="00E833E0"/>
    <w:rsid w:val="00E83A16"/>
    <w:rsid w:val="00E83AF8"/>
    <w:rsid w:val="00E83C1D"/>
    <w:rsid w:val="00E83C9B"/>
    <w:rsid w:val="00E83CB4"/>
    <w:rsid w:val="00E84336"/>
    <w:rsid w:val="00E8457D"/>
    <w:rsid w:val="00E847EE"/>
    <w:rsid w:val="00E84BF2"/>
    <w:rsid w:val="00E84FD3"/>
    <w:rsid w:val="00E85231"/>
    <w:rsid w:val="00E85573"/>
    <w:rsid w:val="00E85959"/>
    <w:rsid w:val="00E85F2D"/>
    <w:rsid w:val="00E8628C"/>
    <w:rsid w:val="00E862F3"/>
    <w:rsid w:val="00E8632A"/>
    <w:rsid w:val="00E87328"/>
    <w:rsid w:val="00E873EE"/>
    <w:rsid w:val="00E87547"/>
    <w:rsid w:val="00E87C60"/>
    <w:rsid w:val="00E87CBE"/>
    <w:rsid w:val="00E90064"/>
    <w:rsid w:val="00E903D2"/>
    <w:rsid w:val="00E905C9"/>
    <w:rsid w:val="00E908DD"/>
    <w:rsid w:val="00E90D56"/>
    <w:rsid w:val="00E91279"/>
    <w:rsid w:val="00E9162B"/>
    <w:rsid w:val="00E9195A"/>
    <w:rsid w:val="00E91C80"/>
    <w:rsid w:val="00E91E45"/>
    <w:rsid w:val="00E9266B"/>
    <w:rsid w:val="00E927CA"/>
    <w:rsid w:val="00E9289E"/>
    <w:rsid w:val="00E92C32"/>
    <w:rsid w:val="00E92F3E"/>
    <w:rsid w:val="00E92FB8"/>
    <w:rsid w:val="00E93201"/>
    <w:rsid w:val="00E93B1F"/>
    <w:rsid w:val="00E93B85"/>
    <w:rsid w:val="00E9465F"/>
    <w:rsid w:val="00E948D7"/>
    <w:rsid w:val="00E94A10"/>
    <w:rsid w:val="00E94CB6"/>
    <w:rsid w:val="00E94EFC"/>
    <w:rsid w:val="00E9540C"/>
    <w:rsid w:val="00E95BD5"/>
    <w:rsid w:val="00E95D2C"/>
    <w:rsid w:val="00E96164"/>
    <w:rsid w:val="00E962F0"/>
    <w:rsid w:val="00E96582"/>
    <w:rsid w:val="00E96ABD"/>
    <w:rsid w:val="00E96AC9"/>
    <w:rsid w:val="00E97104"/>
    <w:rsid w:val="00E971E0"/>
    <w:rsid w:val="00E97284"/>
    <w:rsid w:val="00E973B7"/>
    <w:rsid w:val="00E97B7A"/>
    <w:rsid w:val="00EA0044"/>
    <w:rsid w:val="00EA00E6"/>
    <w:rsid w:val="00EA01CC"/>
    <w:rsid w:val="00EA0277"/>
    <w:rsid w:val="00EA02D4"/>
    <w:rsid w:val="00EA08B0"/>
    <w:rsid w:val="00EA0C48"/>
    <w:rsid w:val="00EA0DE3"/>
    <w:rsid w:val="00EA104E"/>
    <w:rsid w:val="00EA138D"/>
    <w:rsid w:val="00EA1890"/>
    <w:rsid w:val="00EA1B10"/>
    <w:rsid w:val="00EA1C01"/>
    <w:rsid w:val="00EA1C8B"/>
    <w:rsid w:val="00EA1EA9"/>
    <w:rsid w:val="00EA20C9"/>
    <w:rsid w:val="00EA2330"/>
    <w:rsid w:val="00EA26DB"/>
    <w:rsid w:val="00EA27F0"/>
    <w:rsid w:val="00EA29E7"/>
    <w:rsid w:val="00EA2A18"/>
    <w:rsid w:val="00EA326E"/>
    <w:rsid w:val="00EA3815"/>
    <w:rsid w:val="00EA3B95"/>
    <w:rsid w:val="00EA3BC4"/>
    <w:rsid w:val="00EA3E07"/>
    <w:rsid w:val="00EA41EC"/>
    <w:rsid w:val="00EA46FC"/>
    <w:rsid w:val="00EA4F3A"/>
    <w:rsid w:val="00EA5126"/>
    <w:rsid w:val="00EA51D7"/>
    <w:rsid w:val="00EA54FF"/>
    <w:rsid w:val="00EA5592"/>
    <w:rsid w:val="00EA55EC"/>
    <w:rsid w:val="00EA5608"/>
    <w:rsid w:val="00EA5668"/>
    <w:rsid w:val="00EA5C7B"/>
    <w:rsid w:val="00EA5DEA"/>
    <w:rsid w:val="00EA5E15"/>
    <w:rsid w:val="00EA6082"/>
    <w:rsid w:val="00EA6574"/>
    <w:rsid w:val="00EA659B"/>
    <w:rsid w:val="00EA6B66"/>
    <w:rsid w:val="00EA6FD6"/>
    <w:rsid w:val="00EA75CA"/>
    <w:rsid w:val="00EA75CE"/>
    <w:rsid w:val="00EB0227"/>
    <w:rsid w:val="00EB03D8"/>
    <w:rsid w:val="00EB0A73"/>
    <w:rsid w:val="00EB0D1C"/>
    <w:rsid w:val="00EB0E9C"/>
    <w:rsid w:val="00EB1002"/>
    <w:rsid w:val="00EB1061"/>
    <w:rsid w:val="00EB10E7"/>
    <w:rsid w:val="00EB1113"/>
    <w:rsid w:val="00EB1146"/>
    <w:rsid w:val="00EB17C7"/>
    <w:rsid w:val="00EB1929"/>
    <w:rsid w:val="00EB2309"/>
    <w:rsid w:val="00EB23B8"/>
    <w:rsid w:val="00EB2824"/>
    <w:rsid w:val="00EB30B4"/>
    <w:rsid w:val="00EB345B"/>
    <w:rsid w:val="00EB3A20"/>
    <w:rsid w:val="00EB3C61"/>
    <w:rsid w:val="00EB4521"/>
    <w:rsid w:val="00EB4614"/>
    <w:rsid w:val="00EB498F"/>
    <w:rsid w:val="00EB5265"/>
    <w:rsid w:val="00EB53F1"/>
    <w:rsid w:val="00EB5878"/>
    <w:rsid w:val="00EB5A33"/>
    <w:rsid w:val="00EB5ACB"/>
    <w:rsid w:val="00EB6108"/>
    <w:rsid w:val="00EB6865"/>
    <w:rsid w:val="00EB68F9"/>
    <w:rsid w:val="00EB7447"/>
    <w:rsid w:val="00EB766D"/>
    <w:rsid w:val="00EB76D0"/>
    <w:rsid w:val="00EB7729"/>
    <w:rsid w:val="00EB78AA"/>
    <w:rsid w:val="00EB7AFE"/>
    <w:rsid w:val="00EB7E1F"/>
    <w:rsid w:val="00EC0251"/>
    <w:rsid w:val="00EC02AF"/>
    <w:rsid w:val="00EC036C"/>
    <w:rsid w:val="00EC0515"/>
    <w:rsid w:val="00EC06F6"/>
    <w:rsid w:val="00EC0879"/>
    <w:rsid w:val="00EC11A7"/>
    <w:rsid w:val="00EC163A"/>
    <w:rsid w:val="00EC1DB0"/>
    <w:rsid w:val="00EC1E99"/>
    <w:rsid w:val="00EC2069"/>
    <w:rsid w:val="00EC22C6"/>
    <w:rsid w:val="00EC2631"/>
    <w:rsid w:val="00EC278B"/>
    <w:rsid w:val="00EC28CC"/>
    <w:rsid w:val="00EC28F0"/>
    <w:rsid w:val="00EC2A67"/>
    <w:rsid w:val="00EC2C20"/>
    <w:rsid w:val="00EC3274"/>
    <w:rsid w:val="00EC33C5"/>
    <w:rsid w:val="00EC3477"/>
    <w:rsid w:val="00EC3567"/>
    <w:rsid w:val="00EC38C4"/>
    <w:rsid w:val="00EC3A41"/>
    <w:rsid w:val="00EC400D"/>
    <w:rsid w:val="00EC4B1A"/>
    <w:rsid w:val="00EC4E7B"/>
    <w:rsid w:val="00EC4FC7"/>
    <w:rsid w:val="00EC58B9"/>
    <w:rsid w:val="00EC59D4"/>
    <w:rsid w:val="00EC5A21"/>
    <w:rsid w:val="00EC5BDB"/>
    <w:rsid w:val="00EC6018"/>
    <w:rsid w:val="00EC6395"/>
    <w:rsid w:val="00EC64B4"/>
    <w:rsid w:val="00EC655C"/>
    <w:rsid w:val="00EC68B7"/>
    <w:rsid w:val="00EC6DA4"/>
    <w:rsid w:val="00EC6E8F"/>
    <w:rsid w:val="00EC707B"/>
    <w:rsid w:val="00EC718E"/>
    <w:rsid w:val="00EC7A09"/>
    <w:rsid w:val="00EC7A3E"/>
    <w:rsid w:val="00EC7BD3"/>
    <w:rsid w:val="00EC7FF1"/>
    <w:rsid w:val="00ED09E1"/>
    <w:rsid w:val="00ED0CB4"/>
    <w:rsid w:val="00ED0DE4"/>
    <w:rsid w:val="00ED120C"/>
    <w:rsid w:val="00ED12AA"/>
    <w:rsid w:val="00ED181C"/>
    <w:rsid w:val="00ED1839"/>
    <w:rsid w:val="00ED1942"/>
    <w:rsid w:val="00ED1982"/>
    <w:rsid w:val="00ED1BE3"/>
    <w:rsid w:val="00ED1EAB"/>
    <w:rsid w:val="00ED2413"/>
    <w:rsid w:val="00ED264F"/>
    <w:rsid w:val="00ED27C2"/>
    <w:rsid w:val="00ED2C87"/>
    <w:rsid w:val="00ED2F34"/>
    <w:rsid w:val="00ED3027"/>
    <w:rsid w:val="00ED332F"/>
    <w:rsid w:val="00ED354B"/>
    <w:rsid w:val="00ED3DC9"/>
    <w:rsid w:val="00ED4AA2"/>
    <w:rsid w:val="00ED504D"/>
    <w:rsid w:val="00ED5208"/>
    <w:rsid w:val="00ED55EB"/>
    <w:rsid w:val="00ED5DCF"/>
    <w:rsid w:val="00ED6414"/>
    <w:rsid w:val="00ED6DC7"/>
    <w:rsid w:val="00ED76BB"/>
    <w:rsid w:val="00ED79C5"/>
    <w:rsid w:val="00ED7A16"/>
    <w:rsid w:val="00ED7D40"/>
    <w:rsid w:val="00ED7EB6"/>
    <w:rsid w:val="00ED7FA9"/>
    <w:rsid w:val="00EE0275"/>
    <w:rsid w:val="00EE0572"/>
    <w:rsid w:val="00EE08C3"/>
    <w:rsid w:val="00EE0A4E"/>
    <w:rsid w:val="00EE0CE3"/>
    <w:rsid w:val="00EE0E4B"/>
    <w:rsid w:val="00EE0F14"/>
    <w:rsid w:val="00EE10AC"/>
    <w:rsid w:val="00EE10CB"/>
    <w:rsid w:val="00EE14CE"/>
    <w:rsid w:val="00EE15DD"/>
    <w:rsid w:val="00EE165B"/>
    <w:rsid w:val="00EE1A60"/>
    <w:rsid w:val="00EE1DA7"/>
    <w:rsid w:val="00EE265D"/>
    <w:rsid w:val="00EE2C2F"/>
    <w:rsid w:val="00EE33B0"/>
    <w:rsid w:val="00EE388C"/>
    <w:rsid w:val="00EE4577"/>
    <w:rsid w:val="00EE4660"/>
    <w:rsid w:val="00EE4DE7"/>
    <w:rsid w:val="00EE54E3"/>
    <w:rsid w:val="00EE5829"/>
    <w:rsid w:val="00EE5EA4"/>
    <w:rsid w:val="00EE64D7"/>
    <w:rsid w:val="00EE65C5"/>
    <w:rsid w:val="00EE67F5"/>
    <w:rsid w:val="00EE7152"/>
    <w:rsid w:val="00EE722F"/>
    <w:rsid w:val="00EE73D2"/>
    <w:rsid w:val="00EE7684"/>
    <w:rsid w:val="00EE7844"/>
    <w:rsid w:val="00EE7A4A"/>
    <w:rsid w:val="00EE7F5C"/>
    <w:rsid w:val="00EF0435"/>
    <w:rsid w:val="00EF044D"/>
    <w:rsid w:val="00EF0591"/>
    <w:rsid w:val="00EF06B2"/>
    <w:rsid w:val="00EF0889"/>
    <w:rsid w:val="00EF0899"/>
    <w:rsid w:val="00EF0C63"/>
    <w:rsid w:val="00EF0FDA"/>
    <w:rsid w:val="00EF10F9"/>
    <w:rsid w:val="00EF11B9"/>
    <w:rsid w:val="00EF14E3"/>
    <w:rsid w:val="00EF1530"/>
    <w:rsid w:val="00EF1532"/>
    <w:rsid w:val="00EF17BF"/>
    <w:rsid w:val="00EF1D61"/>
    <w:rsid w:val="00EF2271"/>
    <w:rsid w:val="00EF2674"/>
    <w:rsid w:val="00EF272C"/>
    <w:rsid w:val="00EF2753"/>
    <w:rsid w:val="00EF298B"/>
    <w:rsid w:val="00EF29D5"/>
    <w:rsid w:val="00EF2DD5"/>
    <w:rsid w:val="00EF2E7C"/>
    <w:rsid w:val="00EF2ED9"/>
    <w:rsid w:val="00EF30EA"/>
    <w:rsid w:val="00EF3161"/>
    <w:rsid w:val="00EF3249"/>
    <w:rsid w:val="00EF3724"/>
    <w:rsid w:val="00EF39F6"/>
    <w:rsid w:val="00EF4011"/>
    <w:rsid w:val="00EF42AC"/>
    <w:rsid w:val="00EF43A8"/>
    <w:rsid w:val="00EF44D9"/>
    <w:rsid w:val="00EF45E1"/>
    <w:rsid w:val="00EF4637"/>
    <w:rsid w:val="00EF48E4"/>
    <w:rsid w:val="00EF49A7"/>
    <w:rsid w:val="00EF5207"/>
    <w:rsid w:val="00EF5468"/>
    <w:rsid w:val="00EF5877"/>
    <w:rsid w:val="00EF587F"/>
    <w:rsid w:val="00EF5940"/>
    <w:rsid w:val="00EF5D72"/>
    <w:rsid w:val="00EF603D"/>
    <w:rsid w:val="00EF6546"/>
    <w:rsid w:val="00EF68C8"/>
    <w:rsid w:val="00EF6C14"/>
    <w:rsid w:val="00EF6CA8"/>
    <w:rsid w:val="00EF6E1C"/>
    <w:rsid w:val="00EF6E5D"/>
    <w:rsid w:val="00EF7077"/>
    <w:rsid w:val="00EF7627"/>
    <w:rsid w:val="00EF7E27"/>
    <w:rsid w:val="00EF7E69"/>
    <w:rsid w:val="00F00015"/>
    <w:rsid w:val="00F000D3"/>
    <w:rsid w:val="00F002DA"/>
    <w:rsid w:val="00F00861"/>
    <w:rsid w:val="00F009BF"/>
    <w:rsid w:val="00F01038"/>
    <w:rsid w:val="00F01345"/>
    <w:rsid w:val="00F01360"/>
    <w:rsid w:val="00F01419"/>
    <w:rsid w:val="00F01494"/>
    <w:rsid w:val="00F0151F"/>
    <w:rsid w:val="00F01943"/>
    <w:rsid w:val="00F01BDD"/>
    <w:rsid w:val="00F01EB7"/>
    <w:rsid w:val="00F01FF2"/>
    <w:rsid w:val="00F022BA"/>
    <w:rsid w:val="00F02501"/>
    <w:rsid w:val="00F02536"/>
    <w:rsid w:val="00F02569"/>
    <w:rsid w:val="00F0354E"/>
    <w:rsid w:val="00F038EC"/>
    <w:rsid w:val="00F03BC5"/>
    <w:rsid w:val="00F046D0"/>
    <w:rsid w:val="00F04C68"/>
    <w:rsid w:val="00F04EED"/>
    <w:rsid w:val="00F055E8"/>
    <w:rsid w:val="00F058F1"/>
    <w:rsid w:val="00F063A3"/>
    <w:rsid w:val="00F06488"/>
    <w:rsid w:val="00F06AB8"/>
    <w:rsid w:val="00F06D9C"/>
    <w:rsid w:val="00F07194"/>
    <w:rsid w:val="00F0741E"/>
    <w:rsid w:val="00F07655"/>
    <w:rsid w:val="00F1033F"/>
    <w:rsid w:val="00F10750"/>
    <w:rsid w:val="00F107E0"/>
    <w:rsid w:val="00F10D90"/>
    <w:rsid w:val="00F11A6F"/>
    <w:rsid w:val="00F1207E"/>
    <w:rsid w:val="00F12160"/>
    <w:rsid w:val="00F124C4"/>
    <w:rsid w:val="00F12ADE"/>
    <w:rsid w:val="00F12B84"/>
    <w:rsid w:val="00F138C7"/>
    <w:rsid w:val="00F13957"/>
    <w:rsid w:val="00F13A1F"/>
    <w:rsid w:val="00F140E2"/>
    <w:rsid w:val="00F1450C"/>
    <w:rsid w:val="00F14788"/>
    <w:rsid w:val="00F14901"/>
    <w:rsid w:val="00F14E72"/>
    <w:rsid w:val="00F15137"/>
    <w:rsid w:val="00F152EA"/>
    <w:rsid w:val="00F15666"/>
    <w:rsid w:val="00F15791"/>
    <w:rsid w:val="00F159B8"/>
    <w:rsid w:val="00F15B4D"/>
    <w:rsid w:val="00F16731"/>
    <w:rsid w:val="00F16F69"/>
    <w:rsid w:val="00F176BA"/>
    <w:rsid w:val="00F20091"/>
    <w:rsid w:val="00F2009D"/>
    <w:rsid w:val="00F2052E"/>
    <w:rsid w:val="00F206EB"/>
    <w:rsid w:val="00F20714"/>
    <w:rsid w:val="00F2097E"/>
    <w:rsid w:val="00F20B20"/>
    <w:rsid w:val="00F20D42"/>
    <w:rsid w:val="00F20DA5"/>
    <w:rsid w:val="00F20E14"/>
    <w:rsid w:val="00F21E1A"/>
    <w:rsid w:val="00F21EFE"/>
    <w:rsid w:val="00F224A1"/>
    <w:rsid w:val="00F233A7"/>
    <w:rsid w:val="00F233EC"/>
    <w:rsid w:val="00F234ED"/>
    <w:rsid w:val="00F23C78"/>
    <w:rsid w:val="00F23D30"/>
    <w:rsid w:val="00F242AA"/>
    <w:rsid w:val="00F242CE"/>
    <w:rsid w:val="00F24386"/>
    <w:rsid w:val="00F24756"/>
    <w:rsid w:val="00F24868"/>
    <w:rsid w:val="00F24969"/>
    <w:rsid w:val="00F24D46"/>
    <w:rsid w:val="00F25AA7"/>
    <w:rsid w:val="00F25AB7"/>
    <w:rsid w:val="00F26FFD"/>
    <w:rsid w:val="00F274BC"/>
    <w:rsid w:val="00F27932"/>
    <w:rsid w:val="00F27E83"/>
    <w:rsid w:val="00F3004A"/>
    <w:rsid w:val="00F306E9"/>
    <w:rsid w:val="00F30B15"/>
    <w:rsid w:val="00F3112D"/>
    <w:rsid w:val="00F3175E"/>
    <w:rsid w:val="00F31A88"/>
    <w:rsid w:val="00F32628"/>
    <w:rsid w:val="00F32D21"/>
    <w:rsid w:val="00F32E4F"/>
    <w:rsid w:val="00F32F54"/>
    <w:rsid w:val="00F33143"/>
    <w:rsid w:val="00F33E86"/>
    <w:rsid w:val="00F34023"/>
    <w:rsid w:val="00F342C1"/>
    <w:rsid w:val="00F342E8"/>
    <w:rsid w:val="00F348F8"/>
    <w:rsid w:val="00F34BFE"/>
    <w:rsid w:val="00F353A9"/>
    <w:rsid w:val="00F35807"/>
    <w:rsid w:val="00F35834"/>
    <w:rsid w:val="00F35997"/>
    <w:rsid w:val="00F35B64"/>
    <w:rsid w:val="00F35C68"/>
    <w:rsid w:val="00F35C80"/>
    <w:rsid w:val="00F35E20"/>
    <w:rsid w:val="00F3606C"/>
    <w:rsid w:val="00F3625A"/>
    <w:rsid w:val="00F362EE"/>
    <w:rsid w:val="00F36635"/>
    <w:rsid w:val="00F3679E"/>
    <w:rsid w:val="00F37032"/>
    <w:rsid w:val="00F373E5"/>
    <w:rsid w:val="00F374E9"/>
    <w:rsid w:val="00F37778"/>
    <w:rsid w:val="00F37A61"/>
    <w:rsid w:val="00F37CAF"/>
    <w:rsid w:val="00F37EAE"/>
    <w:rsid w:val="00F408DE"/>
    <w:rsid w:val="00F40F24"/>
    <w:rsid w:val="00F411E4"/>
    <w:rsid w:val="00F412FA"/>
    <w:rsid w:val="00F41627"/>
    <w:rsid w:val="00F4167D"/>
    <w:rsid w:val="00F4198E"/>
    <w:rsid w:val="00F41A37"/>
    <w:rsid w:val="00F41E83"/>
    <w:rsid w:val="00F41EA9"/>
    <w:rsid w:val="00F42445"/>
    <w:rsid w:val="00F425EF"/>
    <w:rsid w:val="00F426AB"/>
    <w:rsid w:val="00F42B3B"/>
    <w:rsid w:val="00F42B41"/>
    <w:rsid w:val="00F42B44"/>
    <w:rsid w:val="00F42CEF"/>
    <w:rsid w:val="00F43846"/>
    <w:rsid w:val="00F43B55"/>
    <w:rsid w:val="00F43D20"/>
    <w:rsid w:val="00F43D98"/>
    <w:rsid w:val="00F43E26"/>
    <w:rsid w:val="00F43FF9"/>
    <w:rsid w:val="00F44C85"/>
    <w:rsid w:val="00F453CD"/>
    <w:rsid w:val="00F454DA"/>
    <w:rsid w:val="00F455E8"/>
    <w:rsid w:val="00F456E5"/>
    <w:rsid w:val="00F457F5"/>
    <w:rsid w:val="00F45F86"/>
    <w:rsid w:val="00F4630A"/>
    <w:rsid w:val="00F4656D"/>
    <w:rsid w:val="00F4679A"/>
    <w:rsid w:val="00F46AE3"/>
    <w:rsid w:val="00F46EF5"/>
    <w:rsid w:val="00F47333"/>
    <w:rsid w:val="00F475CB"/>
    <w:rsid w:val="00F478A5"/>
    <w:rsid w:val="00F47900"/>
    <w:rsid w:val="00F479CD"/>
    <w:rsid w:val="00F47B50"/>
    <w:rsid w:val="00F47D6D"/>
    <w:rsid w:val="00F47EC1"/>
    <w:rsid w:val="00F47EF2"/>
    <w:rsid w:val="00F47F2B"/>
    <w:rsid w:val="00F50252"/>
    <w:rsid w:val="00F50850"/>
    <w:rsid w:val="00F50AFD"/>
    <w:rsid w:val="00F50CB3"/>
    <w:rsid w:val="00F50F76"/>
    <w:rsid w:val="00F5207E"/>
    <w:rsid w:val="00F5242C"/>
    <w:rsid w:val="00F5243D"/>
    <w:rsid w:val="00F52E7B"/>
    <w:rsid w:val="00F531E3"/>
    <w:rsid w:val="00F5327C"/>
    <w:rsid w:val="00F532FE"/>
    <w:rsid w:val="00F53348"/>
    <w:rsid w:val="00F538F2"/>
    <w:rsid w:val="00F54336"/>
    <w:rsid w:val="00F5436A"/>
    <w:rsid w:val="00F54533"/>
    <w:rsid w:val="00F54547"/>
    <w:rsid w:val="00F5498E"/>
    <w:rsid w:val="00F54C9A"/>
    <w:rsid w:val="00F54D76"/>
    <w:rsid w:val="00F54E75"/>
    <w:rsid w:val="00F5514D"/>
    <w:rsid w:val="00F551AB"/>
    <w:rsid w:val="00F552AB"/>
    <w:rsid w:val="00F55720"/>
    <w:rsid w:val="00F55936"/>
    <w:rsid w:val="00F559A3"/>
    <w:rsid w:val="00F5658C"/>
    <w:rsid w:val="00F566C8"/>
    <w:rsid w:val="00F56DF9"/>
    <w:rsid w:val="00F56F98"/>
    <w:rsid w:val="00F57771"/>
    <w:rsid w:val="00F57CD8"/>
    <w:rsid w:val="00F606E8"/>
    <w:rsid w:val="00F60BD2"/>
    <w:rsid w:val="00F6130C"/>
    <w:rsid w:val="00F618B5"/>
    <w:rsid w:val="00F61AA5"/>
    <w:rsid w:val="00F61F1C"/>
    <w:rsid w:val="00F62392"/>
    <w:rsid w:val="00F6256F"/>
    <w:rsid w:val="00F62DFD"/>
    <w:rsid w:val="00F635DC"/>
    <w:rsid w:val="00F639F9"/>
    <w:rsid w:val="00F63C02"/>
    <w:rsid w:val="00F63C6F"/>
    <w:rsid w:val="00F63D1C"/>
    <w:rsid w:val="00F642F1"/>
    <w:rsid w:val="00F645A3"/>
    <w:rsid w:val="00F649ED"/>
    <w:rsid w:val="00F64A2B"/>
    <w:rsid w:val="00F64C57"/>
    <w:rsid w:val="00F64F8F"/>
    <w:rsid w:val="00F65683"/>
    <w:rsid w:val="00F65A3B"/>
    <w:rsid w:val="00F65D83"/>
    <w:rsid w:val="00F66384"/>
    <w:rsid w:val="00F665A1"/>
    <w:rsid w:val="00F666F8"/>
    <w:rsid w:val="00F668AE"/>
    <w:rsid w:val="00F669AC"/>
    <w:rsid w:val="00F66B2F"/>
    <w:rsid w:val="00F66DB3"/>
    <w:rsid w:val="00F67214"/>
    <w:rsid w:val="00F67239"/>
    <w:rsid w:val="00F674EA"/>
    <w:rsid w:val="00F6759C"/>
    <w:rsid w:val="00F67741"/>
    <w:rsid w:val="00F6783F"/>
    <w:rsid w:val="00F679E5"/>
    <w:rsid w:val="00F67B4F"/>
    <w:rsid w:val="00F67B74"/>
    <w:rsid w:val="00F67EA6"/>
    <w:rsid w:val="00F67EB7"/>
    <w:rsid w:val="00F702B4"/>
    <w:rsid w:val="00F70CF1"/>
    <w:rsid w:val="00F71143"/>
    <w:rsid w:val="00F71599"/>
    <w:rsid w:val="00F71CD7"/>
    <w:rsid w:val="00F72274"/>
    <w:rsid w:val="00F729F6"/>
    <w:rsid w:val="00F72AE7"/>
    <w:rsid w:val="00F72E86"/>
    <w:rsid w:val="00F72E95"/>
    <w:rsid w:val="00F7361F"/>
    <w:rsid w:val="00F73C2A"/>
    <w:rsid w:val="00F73CD2"/>
    <w:rsid w:val="00F73EFE"/>
    <w:rsid w:val="00F73F13"/>
    <w:rsid w:val="00F745B4"/>
    <w:rsid w:val="00F74800"/>
    <w:rsid w:val="00F74987"/>
    <w:rsid w:val="00F74A55"/>
    <w:rsid w:val="00F75034"/>
    <w:rsid w:val="00F750AF"/>
    <w:rsid w:val="00F75898"/>
    <w:rsid w:val="00F75A04"/>
    <w:rsid w:val="00F76137"/>
    <w:rsid w:val="00F764E1"/>
    <w:rsid w:val="00F76838"/>
    <w:rsid w:val="00F76B13"/>
    <w:rsid w:val="00F76C23"/>
    <w:rsid w:val="00F76E71"/>
    <w:rsid w:val="00F76EC8"/>
    <w:rsid w:val="00F77012"/>
    <w:rsid w:val="00F774AB"/>
    <w:rsid w:val="00F7758B"/>
    <w:rsid w:val="00F77819"/>
    <w:rsid w:val="00F779AA"/>
    <w:rsid w:val="00F77A53"/>
    <w:rsid w:val="00F77B1F"/>
    <w:rsid w:val="00F8002D"/>
    <w:rsid w:val="00F8020A"/>
    <w:rsid w:val="00F804A0"/>
    <w:rsid w:val="00F8063E"/>
    <w:rsid w:val="00F806BE"/>
    <w:rsid w:val="00F80E3D"/>
    <w:rsid w:val="00F80E8C"/>
    <w:rsid w:val="00F81436"/>
    <w:rsid w:val="00F814D8"/>
    <w:rsid w:val="00F81735"/>
    <w:rsid w:val="00F81848"/>
    <w:rsid w:val="00F8190D"/>
    <w:rsid w:val="00F81D5B"/>
    <w:rsid w:val="00F820A2"/>
    <w:rsid w:val="00F824FC"/>
    <w:rsid w:val="00F8250F"/>
    <w:rsid w:val="00F83365"/>
    <w:rsid w:val="00F8364F"/>
    <w:rsid w:val="00F83C13"/>
    <w:rsid w:val="00F83C19"/>
    <w:rsid w:val="00F83C7B"/>
    <w:rsid w:val="00F83DB9"/>
    <w:rsid w:val="00F83E07"/>
    <w:rsid w:val="00F8449B"/>
    <w:rsid w:val="00F84BB3"/>
    <w:rsid w:val="00F84E83"/>
    <w:rsid w:val="00F84FE9"/>
    <w:rsid w:val="00F855F9"/>
    <w:rsid w:val="00F857DF"/>
    <w:rsid w:val="00F85B8C"/>
    <w:rsid w:val="00F864B1"/>
    <w:rsid w:val="00F866DA"/>
    <w:rsid w:val="00F86D52"/>
    <w:rsid w:val="00F86D7F"/>
    <w:rsid w:val="00F8717F"/>
    <w:rsid w:val="00F876B7"/>
    <w:rsid w:val="00F87739"/>
    <w:rsid w:val="00F900C7"/>
    <w:rsid w:val="00F901C7"/>
    <w:rsid w:val="00F90246"/>
    <w:rsid w:val="00F903DA"/>
    <w:rsid w:val="00F90685"/>
    <w:rsid w:val="00F90BD5"/>
    <w:rsid w:val="00F90F1E"/>
    <w:rsid w:val="00F913AB"/>
    <w:rsid w:val="00F9149F"/>
    <w:rsid w:val="00F915D3"/>
    <w:rsid w:val="00F919E7"/>
    <w:rsid w:val="00F91E99"/>
    <w:rsid w:val="00F92279"/>
    <w:rsid w:val="00F92516"/>
    <w:rsid w:val="00F92C70"/>
    <w:rsid w:val="00F93164"/>
    <w:rsid w:val="00F93422"/>
    <w:rsid w:val="00F934D1"/>
    <w:rsid w:val="00F93576"/>
    <w:rsid w:val="00F93A1E"/>
    <w:rsid w:val="00F93C7C"/>
    <w:rsid w:val="00F93C87"/>
    <w:rsid w:val="00F93E1F"/>
    <w:rsid w:val="00F94145"/>
    <w:rsid w:val="00F94348"/>
    <w:rsid w:val="00F9436B"/>
    <w:rsid w:val="00F94433"/>
    <w:rsid w:val="00F9463E"/>
    <w:rsid w:val="00F946F7"/>
    <w:rsid w:val="00F94AC7"/>
    <w:rsid w:val="00F94BF5"/>
    <w:rsid w:val="00F94CD0"/>
    <w:rsid w:val="00F955AB"/>
    <w:rsid w:val="00F95D60"/>
    <w:rsid w:val="00F965A9"/>
    <w:rsid w:val="00F967B4"/>
    <w:rsid w:val="00F96D39"/>
    <w:rsid w:val="00F96D42"/>
    <w:rsid w:val="00F96F50"/>
    <w:rsid w:val="00F9715A"/>
    <w:rsid w:val="00F975DF"/>
    <w:rsid w:val="00F978A3"/>
    <w:rsid w:val="00F978B3"/>
    <w:rsid w:val="00F97DE6"/>
    <w:rsid w:val="00F97EBD"/>
    <w:rsid w:val="00FA0397"/>
    <w:rsid w:val="00FA04C6"/>
    <w:rsid w:val="00FA0563"/>
    <w:rsid w:val="00FA08C7"/>
    <w:rsid w:val="00FA0AB5"/>
    <w:rsid w:val="00FA0BE6"/>
    <w:rsid w:val="00FA16D1"/>
    <w:rsid w:val="00FA1A58"/>
    <w:rsid w:val="00FA259E"/>
    <w:rsid w:val="00FA276F"/>
    <w:rsid w:val="00FA2B07"/>
    <w:rsid w:val="00FA2D53"/>
    <w:rsid w:val="00FA2E9A"/>
    <w:rsid w:val="00FA3B16"/>
    <w:rsid w:val="00FA3E23"/>
    <w:rsid w:val="00FA3F62"/>
    <w:rsid w:val="00FA4199"/>
    <w:rsid w:val="00FA427B"/>
    <w:rsid w:val="00FA4301"/>
    <w:rsid w:val="00FA48C8"/>
    <w:rsid w:val="00FA4A81"/>
    <w:rsid w:val="00FA4C82"/>
    <w:rsid w:val="00FA4C8D"/>
    <w:rsid w:val="00FA4F54"/>
    <w:rsid w:val="00FA5227"/>
    <w:rsid w:val="00FA5C0D"/>
    <w:rsid w:val="00FA5E16"/>
    <w:rsid w:val="00FA5F6B"/>
    <w:rsid w:val="00FA6940"/>
    <w:rsid w:val="00FA6991"/>
    <w:rsid w:val="00FA6DBD"/>
    <w:rsid w:val="00FA6F74"/>
    <w:rsid w:val="00FA6FEF"/>
    <w:rsid w:val="00FA7890"/>
    <w:rsid w:val="00FA796A"/>
    <w:rsid w:val="00FA79CD"/>
    <w:rsid w:val="00FA79EF"/>
    <w:rsid w:val="00FA7CFE"/>
    <w:rsid w:val="00FA7D0E"/>
    <w:rsid w:val="00FB0257"/>
    <w:rsid w:val="00FB0357"/>
    <w:rsid w:val="00FB0843"/>
    <w:rsid w:val="00FB0A0D"/>
    <w:rsid w:val="00FB1073"/>
    <w:rsid w:val="00FB1384"/>
    <w:rsid w:val="00FB1871"/>
    <w:rsid w:val="00FB1B72"/>
    <w:rsid w:val="00FB1C6A"/>
    <w:rsid w:val="00FB1DBE"/>
    <w:rsid w:val="00FB2589"/>
    <w:rsid w:val="00FB260F"/>
    <w:rsid w:val="00FB2C1B"/>
    <w:rsid w:val="00FB307A"/>
    <w:rsid w:val="00FB30BB"/>
    <w:rsid w:val="00FB3151"/>
    <w:rsid w:val="00FB3175"/>
    <w:rsid w:val="00FB3410"/>
    <w:rsid w:val="00FB3A8D"/>
    <w:rsid w:val="00FB3D73"/>
    <w:rsid w:val="00FB3DE1"/>
    <w:rsid w:val="00FB40F9"/>
    <w:rsid w:val="00FB4397"/>
    <w:rsid w:val="00FB44D9"/>
    <w:rsid w:val="00FB485B"/>
    <w:rsid w:val="00FB485C"/>
    <w:rsid w:val="00FB4ACF"/>
    <w:rsid w:val="00FB4F73"/>
    <w:rsid w:val="00FB4FF9"/>
    <w:rsid w:val="00FB56C2"/>
    <w:rsid w:val="00FB589F"/>
    <w:rsid w:val="00FB5911"/>
    <w:rsid w:val="00FB597F"/>
    <w:rsid w:val="00FB5F48"/>
    <w:rsid w:val="00FB5F5E"/>
    <w:rsid w:val="00FB66A8"/>
    <w:rsid w:val="00FB66C8"/>
    <w:rsid w:val="00FB67BF"/>
    <w:rsid w:val="00FB690F"/>
    <w:rsid w:val="00FB691F"/>
    <w:rsid w:val="00FB6AB6"/>
    <w:rsid w:val="00FB6BF0"/>
    <w:rsid w:val="00FB6C9D"/>
    <w:rsid w:val="00FB70E4"/>
    <w:rsid w:val="00FB71DC"/>
    <w:rsid w:val="00FB723F"/>
    <w:rsid w:val="00FB7DA9"/>
    <w:rsid w:val="00FB7F13"/>
    <w:rsid w:val="00FC0474"/>
    <w:rsid w:val="00FC05ED"/>
    <w:rsid w:val="00FC098A"/>
    <w:rsid w:val="00FC0A71"/>
    <w:rsid w:val="00FC0D56"/>
    <w:rsid w:val="00FC0DAD"/>
    <w:rsid w:val="00FC0F7A"/>
    <w:rsid w:val="00FC10C0"/>
    <w:rsid w:val="00FC1191"/>
    <w:rsid w:val="00FC12A6"/>
    <w:rsid w:val="00FC13B2"/>
    <w:rsid w:val="00FC149E"/>
    <w:rsid w:val="00FC1988"/>
    <w:rsid w:val="00FC1CC7"/>
    <w:rsid w:val="00FC1DBF"/>
    <w:rsid w:val="00FC2179"/>
    <w:rsid w:val="00FC22E6"/>
    <w:rsid w:val="00FC2349"/>
    <w:rsid w:val="00FC23C4"/>
    <w:rsid w:val="00FC23E4"/>
    <w:rsid w:val="00FC2DE4"/>
    <w:rsid w:val="00FC2E4D"/>
    <w:rsid w:val="00FC301D"/>
    <w:rsid w:val="00FC3096"/>
    <w:rsid w:val="00FC32BB"/>
    <w:rsid w:val="00FC3C2C"/>
    <w:rsid w:val="00FC3CDF"/>
    <w:rsid w:val="00FC44BE"/>
    <w:rsid w:val="00FC46E1"/>
    <w:rsid w:val="00FC4B09"/>
    <w:rsid w:val="00FC4BB4"/>
    <w:rsid w:val="00FC4D48"/>
    <w:rsid w:val="00FC4E0A"/>
    <w:rsid w:val="00FC4EA3"/>
    <w:rsid w:val="00FC517C"/>
    <w:rsid w:val="00FC54FB"/>
    <w:rsid w:val="00FC5836"/>
    <w:rsid w:val="00FC5A5E"/>
    <w:rsid w:val="00FC5B87"/>
    <w:rsid w:val="00FC611F"/>
    <w:rsid w:val="00FC6365"/>
    <w:rsid w:val="00FC65D5"/>
    <w:rsid w:val="00FC6703"/>
    <w:rsid w:val="00FC684A"/>
    <w:rsid w:val="00FC6879"/>
    <w:rsid w:val="00FC68E1"/>
    <w:rsid w:val="00FC78A8"/>
    <w:rsid w:val="00FC799D"/>
    <w:rsid w:val="00FC7CD2"/>
    <w:rsid w:val="00FC7D4C"/>
    <w:rsid w:val="00FD0C51"/>
    <w:rsid w:val="00FD1534"/>
    <w:rsid w:val="00FD183E"/>
    <w:rsid w:val="00FD185B"/>
    <w:rsid w:val="00FD19BC"/>
    <w:rsid w:val="00FD1BFD"/>
    <w:rsid w:val="00FD1E3B"/>
    <w:rsid w:val="00FD24B6"/>
    <w:rsid w:val="00FD24E8"/>
    <w:rsid w:val="00FD2B3E"/>
    <w:rsid w:val="00FD2BCA"/>
    <w:rsid w:val="00FD2C47"/>
    <w:rsid w:val="00FD323E"/>
    <w:rsid w:val="00FD32C0"/>
    <w:rsid w:val="00FD3536"/>
    <w:rsid w:val="00FD3DE7"/>
    <w:rsid w:val="00FD3FE2"/>
    <w:rsid w:val="00FD431F"/>
    <w:rsid w:val="00FD474A"/>
    <w:rsid w:val="00FD508C"/>
    <w:rsid w:val="00FD55BC"/>
    <w:rsid w:val="00FD5C89"/>
    <w:rsid w:val="00FD6194"/>
    <w:rsid w:val="00FD63FC"/>
    <w:rsid w:val="00FD64D1"/>
    <w:rsid w:val="00FD6B0C"/>
    <w:rsid w:val="00FD748B"/>
    <w:rsid w:val="00FD77B9"/>
    <w:rsid w:val="00FD7ED9"/>
    <w:rsid w:val="00FE00BD"/>
    <w:rsid w:val="00FE1225"/>
    <w:rsid w:val="00FE155C"/>
    <w:rsid w:val="00FE1671"/>
    <w:rsid w:val="00FE18E6"/>
    <w:rsid w:val="00FE19C0"/>
    <w:rsid w:val="00FE1F84"/>
    <w:rsid w:val="00FE1FB0"/>
    <w:rsid w:val="00FE2347"/>
    <w:rsid w:val="00FE287B"/>
    <w:rsid w:val="00FE30F7"/>
    <w:rsid w:val="00FE31CF"/>
    <w:rsid w:val="00FE32B3"/>
    <w:rsid w:val="00FE3533"/>
    <w:rsid w:val="00FE3742"/>
    <w:rsid w:val="00FE3A14"/>
    <w:rsid w:val="00FE3E1A"/>
    <w:rsid w:val="00FE3E30"/>
    <w:rsid w:val="00FE404D"/>
    <w:rsid w:val="00FE4156"/>
    <w:rsid w:val="00FE44C8"/>
    <w:rsid w:val="00FE460F"/>
    <w:rsid w:val="00FE46A3"/>
    <w:rsid w:val="00FE46F8"/>
    <w:rsid w:val="00FE4BF0"/>
    <w:rsid w:val="00FE4C74"/>
    <w:rsid w:val="00FE4CB6"/>
    <w:rsid w:val="00FE4D11"/>
    <w:rsid w:val="00FE5431"/>
    <w:rsid w:val="00FE5843"/>
    <w:rsid w:val="00FE58CE"/>
    <w:rsid w:val="00FE5AAB"/>
    <w:rsid w:val="00FE5EB6"/>
    <w:rsid w:val="00FE5F09"/>
    <w:rsid w:val="00FE5F6A"/>
    <w:rsid w:val="00FE67AD"/>
    <w:rsid w:val="00FE6CE0"/>
    <w:rsid w:val="00FE6D86"/>
    <w:rsid w:val="00FE7146"/>
    <w:rsid w:val="00FE7638"/>
    <w:rsid w:val="00FF0208"/>
    <w:rsid w:val="00FF05B8"/>
    <w:rsid w:val="00FF065A"/>
    <w:rsid w:val="00FF07BF"/>
    <w:rsid w:val="00FF07C4"/>
    <w:rsid w:val="00FF0E7C"/>
    <w:rsid w:val="00FF1977"/>
    <w:rsid w:val="00FF1EAE"/>
    <w:rsid w:val="00FF1FA4"/>
    <w:rsid w:val="00FF20F5"/>
    <w:rsid w:val="00FF297C"/>
    <w:rsid w:val="00FF34F9"/>
    <w:rsid w:val="00FF37C6"/>
    <w:rsid w:val="00FF3D64"/>
    <w:rsid w:val="00FF4165"/>
    <w:rsid w:val="00FF4886"/>
    <w:rsid w:val="00FF4BB1"/>
    <w:rsid w:val="00FF4FB2"/>
    <w:rsid w:val="00FF5A4D"/>
    <w:rsid w:val="00FF616E"/>
    <w:rsid w:val="00FF61A0"/>
    <w:rsid w:val="00FF6F78"/>
    <w:rsid w:val="00FF7109"/>
    <w:rsid w:val="00FF74C3"/>
    <w:rsid w:val="00FF77F6"/>
    <w:rsid w:val="00FF7B5E"/>
    <w:rsid w:val="00FF7B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72236D"/>
  <w15:docId w15:val="{BEC87F4D-2749-4B26-B0F3-F85AE9397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6FF1"/>
    <w:pPr>
      <w:overflowPunct w:val="0"/>
      <w:autoSpaceDE w:val="0"/>
      <w:autoSpaceDN w:val="0"/>
      <w:adjustRightInd w:val="0"/>
      <w:textAlignment w:val="baseline"/>
    </w:pPr>
    <w:rPr>
      <w:rFonts w:ascii="Garamond" w:hAnsi="Garamond"/>
      <w:sz w:val="22"/>
      <w:lang w:val="en-GB"/>
    </w:rPr>
  </w:style>
  <w:style w:type="paragraph" w:styleId="Heading1">
    <w:name w:val="heading 1"/>
    <w:aliases w:val="H1,fejezetcim,buta nev"/>
    <w:basedOn w:val="HeadingBase"/>
    <w:next w:val="BodyText"/>
    <w:link w:val="Heading1Char"/>
    <w:uiPriority w:val="9"/>
    <w:qFormat/>
    <w:rsid w:val="000F6FF1"/>
    <w:pPr>
      <w:spacing w:after="180"/>
      <w:jc w:val="center"/>
      <w:outlineLvl w:val="0"/>
    </w:pPr>
    <w:rPr>
      <w:smallCaps/>
      <w:spacing w:val="20"/>
      <w:sz w:val="21"/>
    </w:rPr>
  </w:style>
  <w:style w:type="paragraph" w:styleId="Heading2">
    <w:name w:val="heading 2"/>
    <w:aliases w:val="Al cím"/>
    <w:basedOn w:val="HeadingBase"/>
    <w:next w:val="BodyText"/>
    <w:link w:val="Heading2Char"/>
    <w:qFormat/>
    <w:rsid w:val="000F6FF1"/>
    <w:pPr>
      <w:spacing w:after="170"/>
      <w:outlineLvl w:val="1"/>
    </w:pPr>
    <w:rPr>
      <w:caps/>
    </w:rPr>
  </w:style>
  <w:style w:type="paragraph" w:styleId="Heading3">
    <w:name w:val="heading 3"/>
    <w:aliases w:val="Címsor 3_t"/>
    <w:basedOn w:val="HeadingBase"/>
    <w:next w:val="BodyText"/>
    <w:link w:val="Heading3Char"/>
    <w:uiPriority w:val="9"/>
    <w:qFormat/>
    <w:rsid w:val="000F6FF1"/>
    <w:pPr>
      <w:spacing w:after="240"/>
      <w:outlineLvl w:val="2"/>
    </w:pPr>
    <w:rPr>
      <w:i/>
    </w:rPr>
  </w:style>
  <w:style w:type="paragraph" w:styleId="Heading4">
    <w:name w:val="heading 4"/>
    <w:basedOn w:val="HeadingBase"/>
    <w:next w:val="BodyText"/>
    <w:link w:val="Heading4Char"/>
    <w:uiPriority w:val="9"/>
    <w:qFormat/>
    <w:rsid w:val="000F6FF1"/>
    <w:pPr>
      <w:outlineLvl w:val="3"/>
    </w:pPr>
    <w:rPr>
      <w:smallCaps/>
      <w:sz w:val="23"/>
    </w:rPr>
  </w:style>
  <w:style w:type="paragraph" w:styleId="Heading5">
    <w:name w:val="heading 5"/>
    <w:basedOn w:val="HeadingBase"/>
    <w:next w:val="BodyText"/>
    <w:link w:val="Heading5Char"/>
    <w:uiPriority w:val="9"/>
    <w:qFormat/>
    <w:rsid w:val="000F6FF1"/>
    <w:pPr>
      <w:outlineLvl w:val="4"/>
    </w:pPr>
  </w:style>
  <w:style w:type="paragraph" w:styleId="Heading6">
    <w:name w:val="heading 6"/>
    <w:basedOn w:val="HeadingBase"/>
    <w:next w:val="BodyText"/>
    <w:link w:val="Heading6Char"/>
    <w:uiPriority w:val="9"/>
    <w:qFormat/>
    <w:rsid w:val="000F6FF1"/>
    <w:pPr>
      <w:outlineLvl w:val="5"/>
    </w:pPr>
    <w:rPr>
      <w:i/>
    </w:rPr>
  </w:style>
  <w:style w:type="paragraph" w:styleId="Heading7">
    <w:name w:val="heading 7"/>
    <w:basedOn w:val="HeadingBase"/>
    <w:next w:val="BodyText"/>
    <w:link w:val="Heading7Char"/>
    <w:uiPriority w:val="9"/>
    <w:qFormat/>
    <w:rsid w:val="000F6FF1"/>
    <w:pPr>
      <w:outlineLvl w:val="6"/>
    </w:pPr>
    <w:rPr>
      <w:smallCaps/>
      <w:sz w:val="23"/>
    </w:rPr>
  </w:style>
  <w:style w:type="paragraph" w:styleId="Heading8">
    <w:name w:val="heading 8"/>
    <w:basedOn w:val="HeadingBase"/>
    <w:next w:val="BodyText"/>
    <w:link w:val="Heading8Char"/>
    <w:uiPriority w:val="9"/>
    <w:qFormat/>
    <w:rsid w:val="000F6FF1"/>
    <w:pPr>
      <w:outlineLvl w:val="7"/>
    </w:pPr>
    <w:rPr>
      <w:i/>
    </w:rPr>
  </w:style>
  <w:style w:type="paragraph" w:styleId="Heading9">
    <w:name w:val="heading 9"/>
    <w:basedOn w:val="HeadingBase"/>
    <w:next w:val="BodyText"/>
    <w:link w:val="Heading9Char"/>
    <w:uiPriority w:val="9"/>
    <w:qFormat/>
    <w:rsid w:val="000F6FF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fejezetcim Char,buta nev Char"/>
    <w:link w:val="Heading1"/>
    <w:uiPriority w:val="99"/>
    <w:rsid w:val="00C94788"/>
    <w:rPr>
      <w:rFonts w:ascii="Cambria" w:eastAsia="Times New Roman" w:hAnsi="Cambria" w:cs="Times New Roman"/>
      <w:b/>
      <w:bCs/>
      <w:kern w:val="32"/>
      <w:sz w:val="32"/>
      <w:szCs w:val="32"/>
      <w:lang w:val="en-GB"/>
    </w:rPr>
  </w:style>
  <w:style w:type="character" w:customStyle="1" w:styleId="Heading2Char">
    <w:name w:val="Heading 2 Char"/>
    <w:aliases w:val="Al cím Char"/>
    <w:link w:val="Heading2"/>
    <w:locked/>
    <w:rsid w:val="00985D53"/>
    <w:rPr>
      <w:caps/>
      <w:kern w:val="20"/>
      <w:sz w:val="24"/>
    </w:rPr>
  </w:style>
  <w:style w:type="character" w:customStyle="1" w:styleId="Heading3Char">
    <w:name w:val="Heading 3 Char"/>
    <w:aliases w:val="Címsor 3_t Char"/>
    <w:link w:val="Heading3"/>
    <w:uiPriority w:val="9"/>
    <w:semiHidden/>
    <w:rsid w:val="00C94788"/>
    <w:rPr>
      <w:rFonts w:ascii="Cambria" w:eastAsia="Times New Roman" w:hAnsi="Cambria" w:cs="Times New Roman"/>
      <w:b/>
      <w:bCs/>
      <w:sz w:val="26"/>
      <w:szCs w:val="26"/>
      <w:lang w:val="en-GB"/>
    </w:rPr>
  </w:style>
  <w:style w:type="character" w:customStyle="1" w:styleId="Heading4Char">
    <w:name w:val="Heading 4 Char"/>
    <w:link w:val="Heading4"/>
    <w:uiPriority w:val="9"/>
    <w:semiHidden/>
    <w:rsid w:val="00C94788"/>
    <w:rPr>
      <w:rFonts w:ascii="Calibri" w:eastAsia="Times New Roman" w:hAnsi="Calibri" w:cs="Times New Roman"/>
      <w:b/>
      <w:bCs/>
      <w:sz w:val="28"/>
      <w:szCs w:val="28"/>
      <w:lang w:val="en-GB"/>
    </w:rPr>
  </w:style>
  <w:style w:type="character" w:customStyle="1" w:styleId="Heading5Char">
    <w:name w:val="Heading 5 Char"/>
    <w:link w:val="Heading5"/>
    <w:uiPriority w:val="9"/>
    <w:semiHidden/>
    <w:rsid w:val="00C94788"/>
    <w:rPr>
      <w:rFonts w:ascii="Calibri" w:eastAsia="Times New Roman" w:hAnsi="Calibri" w:cs="Times New Roman"/>
      <w:b/>
      <w:bCs/>
      <w:i/>
      <w:iCs/>
      <w:sz w:val="26"/>
      <w:szCs w:val="26"/>
      <w:lang w:val="en-GB"/>
    </w:rPr>
  </w:style>
  <w:style w:type="character" w:customStyle="1" w:styleId="Heading6Char">
    <w:name w:val="Heading 6 Char"/>
    <w:link w:val="Heading6"/>
    <w:uiPriority w:val="9"/>
    <w:semiHidden/>
    <w:rsid w:val="00C94788"/>
    <w:rPr>
      <w:rFonts w:ascii="Calibri" w:eastAsia="Times New Roman" w:hAnsi="Calibri" w:cs="Times New Roman"/>
      <w:b/>
      <w:bCs/>
      <w:sz w:val="22"/>
      <w:szCs w:val="22"/>
      <w:lang w:val="en-GB"/>
    </w:rPr>
  </w:style>
  <w:style w:type="character" w:customStyle="1" w:styleId="Heading7Char">
    <w:name w:val="Heading 7 Char"/>
    <w:link w:val="Heading7"/>
    <w:uiPriority w:val="9"/>
    <w:locked/>
    <w:rsid w:val="00372F9F"/>
    <w:rPr>
      <w:rFonts w:cs="Times New Roman"/>
      <w:smallCaps/>
      <w:kern w:val="20"/>
      <w:sz w:val="23"/>
    </w:rPr>
  </w:style>
  <w:style w:type="character" w:customStyle="1" w:styleId="Heading8Char">
    <w:name w:val="Heading 8 Char"/>
    <w:link w:val="Heading8"/>
    <w:uiPriority w:val="9"/>
    <w:semiHidden/>
    <w:rsid w:val="00C94788"/>
    <w:rPr>
      <w:rFonts w:ascii="Calibri" w:eastAsia="Times New Roman" w:hAnsi="Calibri" w:cs="Times New Roman"/>
      <w:i/>
      <w:iCs/>
      <w:sz w:val="24"/>
      <w:szCs w:val="24"/>
      <w:lang w:val="en-GB"/>
    </w:rPr>
  </w:style>
  <w:style w:type="character" w:customStyle="1" w:styleId="Heading9Char">
    <w:name w:val="Heading 9 Char"/>
    <w:link w:val="Heading9"/>
    <w:uiPriority w:val="9"/>
    <w:semiHidden/>
    <w:rsid w:val="00C94788"/>
    <w:rPr>
      <w:rFonts w:ascii="Cambria" w:eastAsia="Times New Roman" w:hAnsi="Cambria" w:cs="Times New Roman"/>
      <w:sz w:val="22"/>
      <w:szCs w:val="22"/>
      <w:lang w:val="en-GB"/>
    </w:rPr>
  </w:style>
  <w:style w:type="paragraph" w:customStyle="1" w:styleId="HeadingBase">
    <w:name w:val="Heading Base"/>
    <w:basedOn w:val="BodyText"/>
    <w:next w:val="BodyText"/>
    <w:rsid w:val="000F6FF1"/>
    <w:pPr>
      <w:keepNext/>
      <w:keepLines/>
      <w:spacing w:after="0"/>
      <w:jc w:val="left"/>
    </w:pPr>
    <w:rPr>
      <w:kern w:val="20"/>
    </w:rPr>
  </w:style>
  <w:style w:type="paragraph" w:styleId="BodyText">
    <w:name w:val="Body Text"/>
    <w:basedOn w:val="Normal"/>
    <w:link w:val="BodyTextChar"/>
    <w:rsid w:val="000F6FF1"/>
    <w:pPr>
      <w:spacing w:after="120" w:line="240" w:lineRule="atLeast"/>
      <w:jc w:val="both"/>
    </w:pPr>
    <w:rPr>
      <w:rFonts w:ascii="Times New Roman" w:hAnsi="Times New Roman"/>
      <w:sz w:val="24"/>
      <w:lang w:val="en-US"/>
    </w:rPr>
  </w:style>
  <w:style w:type="character" w:customStyle="1" w:styleId="BodyTextChar">
    <w:name w:val="Body Text Char"/>
    <w:link w:val="BodyText"/>
    <w:locked/>
    <w:rsid w:val="00A72FE8"/>
    <w:rPr>
      <w:rFonts w:cs="Times New Roman"/>
      <w:sz w:val="24"/>
    </w:rPr>
  </w:style>
  <w:style w:type="paragraph" w:customStyle="1" w:styleId="FootnoteBase">
    <w:name w:val="Footnote Base"/>
    <w:basedOn w:val="BodyText"/>
    <w:link w:val="FootnoteBaseChar"/>
    <w:rsid w:val="000F6FF1"/>
    <w:pPr>
      <w:keepLines/>
      <w:spacing w:line="200" w:lineRule="atLeast"/>
    </w:pPr>
    <w:rPr>
      <w:sz w:val="16"/>
    </w:rPr>
  </w:style>
  <w:style w:type="paragraph" w:styleId="MessageHeader">
    <w:name w:val="Message Header"/>
    <w:basedOn w:val="BodyText"/>
    <w:link w:val="MessageHeaderChar"/>
    <w:uiPriority w:val="99"/>
    <w:semiHidden/>
    <w:rsid w:val="000F6FF1"/>
    <w:pPr>
      <w:keepLines/>
      <w:tabs>
        <w:tab w:val="left" w:pos="1080"/>
      </w:tabs>
      <w:ind w:left="1080" w:hanging="1080"/>
      <w:jc w:val="left"/>
    </w:pPr>
    <w:rPr>
      <w:caps/>
      <w:sz w:val="18"/>
    </w:rPr>
  </w:style>
  <w:style w:type="character" w:customStyle="1" w:styleId="MessageHeaderChar">
    <w:name w:val="Message Header Char"/>
    <w:link w:val="MessageHeader"/>
    <w:uiPriority w:val="99"/>
    <w:semiHidden/>
    <w:rsid w:val="00C94788"/>
    <w:rPr>
      <w:rFonts w:ascii="Cambria" w:eastAsia="Times New Roman" w:hAnsi="Cambria" w:cs="Times New Roman"/>
      <w:sz w:val="24"/>
      <w:szCs w:val="24"/>
      <w:shd w:val="pct20" w:color="auto" w:fill="auto"/>
      <w:lang w:val="en-GB"/>
    </w:rPr>
  </w:style>
  <w:style w:type="paragraph" w:customStyle="1" w:styleId="BlockQuotation">
    <w:name w:val="Block Quotation"/>
    <w:basedOn w:val="BodyText"/>
    <w:rsid w:val="000F6FF1"/>
    <w:pPr>
      <w:keepLines/>
      <w:ind w:left="720" w:right="720"/>
    </w:pPr>
  </w:style>
  <w:style w:type="paragraph" w:customStyle="1" w:styleId="BodyTextKeep">
    <w:name w:val="Body Text Keep"/>
    <w:basedOn w:val="BodyText"/>
    <w:rsid w:val="000F6FF1"/>
    <w:pPr>
      <w:keepNext/>
    </w:pPr>
  </w:style>
  <w:style w:type="paragraph" w:styleId="Caption">
    <w:name w:val="caption"/>
    <w:basedOn w:val="Picture"/>
    <w:next w:val="BodyText"/>
    <w:uiPriority w:val="35"/>
    <w:qFormat/>
    <w:rsid w:val="000F6FF1"/>
    <w:pPr>
      <w:spacing w:line="220" w:lineRule="atLeast"/>
    </w:pPr>
    <w:rPr>
      <w:i/>
      <w:sz w:val="18"/>
    </w:rPr>
  </w:style>
  <w:style w:type="paragraph" w:customStyle="1" w:styleId="Picture">
    <w:name w:val="Picture"/>
    <w:basedOn w:val="Normal"/>
    <w:next w:val="Caption"/>
    <w:rsid w:val="000F6FF1"/>
    <w:pPr>
      <w:keepNext/>
    </w:pPr>
  </w:style>
  <w:style w:type="paragraph" w:customStyle="1" w:styleId="DocumentLabel">
    <w:name w:val="Document Label"/>
    <w:next w:val="MessageHeaderFirst"/>
    <w:rsid w:val="000F6FF1"/>
    <w:pPr>
      <w:pBdr>
        <w:top w:val="double" w:sz="6" w:space="8" w:color="808080"/>
        <w:bottom w:val="double" w:sz="6" w:space="8" w:color="808080"/>
      </w:pBdr>
      <w:overflowPunct w:val="0"/>
      <w:autoSpaceDE w:val="0"/>
      <w:autoSpaceDN w:val="0"/>
      <w:adjustRightInd w:val="0"/>
      <w:spacing w:after="40" w:line="240" w:lineRule="atLeast"/>
      <w:jc w:val="center"/>
      <w:textAlignment w:val="baseline"/>
    </w:pPr>
    <w:rPr>
      <w:rFonts w:ascii="Garamond" w:hAnsi="Garamond"/>
      <w:b/>
      <w:caps/>
      <w:spacing w:val="20"/>
      <w:sz w:val="18"/>
    </w:rPr>
  </w:style>
  <w:style w:type="paragraph" w:customStyle="1" w:styleId="MessageHeaderFirst">
    <w:name w:val="Message Header First"/>
    <w:basedOn w:val="MessageHeader"/>
    <w:next w:val="MessageHeader"/>
    <w:rsid w:val="000F6FF1"/>
    <w:pPr>
      <w:spacing w:before="360"/>
    </w:pPr>
  </w:style>
  <w:style w:type="character" w:styleId="EndnoteReference">
    <w:name w:val="endnote reference"/>
    <w:semiHidden/>
    <w:rsid w:val="000F6FF1"/>
    <w:rPr>
      <w:vertAlign w:val="superscript"/>
    </w:rPr>
  </w:style>
  <w:style w:type="paragraph" w:styleId="EndnoteText">
    <w:name w:val="endnote text"/>
    <w:basedOn w:val="FootnoteBase"/>
    <w:link w:val="EndnoteTextChar"/>
    <w:uiPriority w:val="99"/>
    <w:semiHidden/>
    <w:rsid w:val="000F6FF1"/>
  </w:style>
  <w:style w:type="character" w:customStyle="1" w:styleId="EndnoteTextChar">
    <w:name w:val="Endnote Text Char"/>
    <w:link w:val="EndnoteText"/>
    <w:uiPriority w:val="99"/>
    <w:semiHidden/>
    <w:rsid w:val="00C94788"/>
    <w:rPr>
      <w:rFonts w:ascii="Garamond" w:hAnsi="Garamond"/>
      <w:lang w:val="en-GB"/>
    </w:rPr>
  </w:style>
  <w:style w:type="paragraph" w:styleId="Footer">
    <w:name w:val="footer"/>
    <w:basedOn w:val="HeaderBase"/>
    <w:link w:val="FooterChar"/>
    <w:rsid w:val="000F6FF1"/>
    <w:pPr>
      <w:spacing w:before="600"/>
      <w:ind w:right="-240"/>
      <w:jc w:val="center"/>
    </w:pPr>
    <w:rPr>
      <w:kern w:val="18"/>
    </w:rPr>
  </w:style>
  <w:style w:type="character" w:customStyle="1" w:styleId="FooterChar">
    <w:name w:val="Footer Char"/>
    <w:link w:val="Footer"/>
    <w:locked/>
    <w:rsid w:val="008E45D3"/>
    <w:rPr>
      <w:kern w:val="18"/>
      <w:sz w:val="24"/>
    </w:rPr>
  </w:style>
  <w:style w:type="paragraph" w:customStyle="1" w:styleId="HeaderBase">
    <w:name w:val="Header Base"/>
    <w:basedOn w:val="BodyText"/>
    <w:rsid w:val="000F6FF1"/>
    <w:pPr>
      <w:keepLines/>
      <w:tabs>
        <w:tab w:val="center" w:pos="4320"/>
        <w:tab w:val="right" w:pos="8640"/>
      </w:tabs>
      <w:spacing w:after="0"/>
    </w:pPr>
  </w:style>
  <w:style w:type="character" w:styleId="FootnoteReference">
    <w:name w:val="footnote reference"/>
    <w:aliases w:val="16 Point,Superscript 6 Point,Fußnotenzeichen 9,Superscript 6 Point + 11 pt,ftref,fr,Footnote Ref in FtNote,Footnote Reference Number,SUPERS,SUPERS1,SUPERS2,SUPERS3, BVI fnr,Style 24,o,BVI fnr,Footnote Reference Superscript,Ref,number"/>
    <w:rsid w:val="000F6FF1"/>
    <w:rPr>
      <w:vertAlign w:val="superscript"/>
    </w:rPr>
  </w:style>
  <w:style w:type="paragraph" w:styleId="FootnoteText">
    <w:name w:val="footnote text"/>
    <w:aliases w:val="Geneva 9,Font: Geneva 9,Boston 10,f,single space,Footnote Text Char Char Char Char,Footnote Text Char Char,footnote text,Footnote Text Char2,Footnote Text Char1 Char1,Footnote Text Char Char Char,Footnote Text Char2 Char Char Char,ft,fn"/>
    <w:basedOn w:val="FootnoteBase"/>
    <w:link w:val="FootnoteTextChar"/>
    <w:uiPriority w:val="99"/>
    <w:rsid w:val="000F6FF1"/>
  </w:style>
  <w:style w:type="character" w:customStyle="1" w:styleId="FootnoteTextChar">
    <w:name w:val="Footnote Text Char"/>
    <w:aliases w:val="Geneva 9 Char,Font: Geneva 9 Char,Boston 10 Char,f Char,single space Char,Footnote Text Char Char Char Char Char,Footnote Text Char Char Char1,footnote text Char,Footnote Text Char2 Char,Footnote Text Char1 Char1 Char,ft Char,fn Char"/>
    <w:link w:val="FootnoteText"/>
    <w:uiPriority w:val="99"/>
    <w:rsid w:val="00C94788"/>
    <w:rPr>
      <w:rFonts w:ascii="Garamond" w:hAnsi="Garamond"/>
      <w:lang w:val="en-GB"/>
    </w:rPr>
  </w:style>
  <w:style w:type="paragraph" w:styleId="Header">
    <w:name w:val="header"/>
    <w:basedOn w:val="HeaderBase"/>
    <w:link w:val="HeaderChar"/>
    <w:rsid w:val="000F6FF1"/>
    <w:pPr>
      <w:spacing w:after="660"/>
      <w:jc w:val="center"/>
    </w:pPr>
    <w:rPr>
      <w:smallCaps/>
      <w:kern w:val="18"/>
    </w:rPr>
  </w:style>
  <w:style w:type="character" w:customStyle="1" w:styleId="HeaderChar">
    <w:name w:val="Header Char"/>
    <w:link w:val="Header"/>
    <w:locked/>
    <w:rsid w:val="008E45D3"/>
    <w:rPr>
      <w:smallCaps/>
      <w:kern w:val="18"/>
      <w:sz w:val="24"/>
    </w:rPr>
  </w:style>
  <w:style w:type="character" w:customStyle="1" w:styleId="Lead-inEmphasis">
    <w:name w:val="Lead-in Emphasis"/>
    <w:rsid w:val="000F6FF1"/>
    <w:rPr>
      <w:caps/>
      <w:sz w:val="19"/>
    </w:rPr>
  </w:style>
  <w:style w:type="character" w:styleId="LineNumber">
    <w:name w:val="line number"/>
    <w:uiPriority w:val="99"/>
    <w:semiHidden/>
    <w:rsid w:val="000F6FF1"/>
    <w:rPr>
      <w:sz w:val="18"/>
    </w:rPr>
  </w:style>
  <w:style w:type="paragraph" w:styleId="List">
    <w:name w:val="List"/>
    <w:basedOn w:val="BodyText"/>
    <w:uiPriority w:val="99"/>
    <w:semiHidden/>
    <w:rsid w:val="000F6FF1"/>
    <w:pPr>
      <w:ind w:left="360" w:hanging="360"/>
    </w:pPr>
  </w:style>
  <w:style w:type="paragraph" w:styleId="MacroText">
    <w:name w:val="macro"/>
    <w:basedOn w:val="BodyText"/>
    <w:link w:val="MacroTextChar"/>
    <w:uiPriority w:val="99"/>
    <w:semiHidden/>
    <w:rsid w:val="000F6FF1"/>
    <w:pPr>
      <w:spacing w:line="240" w:lineRule="auto"/>
      <w:jc w:val="left"/>
    </w:pPr>
    <w:rPr>
      <w:rFonts w:ascii="Courier New" w:hAnsi="Courier New"/>
    </w:rPr>
  </w:style>
  <w:style w:type="character" w:customStyle="1" w:styleId="MacroTextChar">
    <w:name w:val="Macro Text Char"/>
    <w:link w:val="MacroText"/>
    <w:uiPriority w:val="99"/>
    <w:semiHidden/>
    <w:rsid w:val="00C94788"/>
    <w:rPr>
      <w:rFonts w:ascii="Courier New" w:hAnsi="Courier New" w:cs="Courier New"/>
      <w:lang w:val="en-GB"/>
    </w:rPr>
  </w:style>
  <w:style w:type="character" w:styleId="PageNumber">
    <w:name w:val="page number"/>
    <w:rsid w:val="000F6FF1"/>
    <w:rPr>
      <w:rFonts w:cs="Times New Roman"/>
    </w:rPr>
  </w:style>
  <w:style w:type="character" w:customStyle="1" w:styleId="Superscript">
    <w:name w:val="Superscript"/>
    <w:rsid w:val="000F6FF1"/>
    <w:rPr>
      <w:vertAlign w:val="superscript"/>
    </w:rPr>
  </w:style>
  <w:style w:type="character" w:customStyle="1" w:styleId="MessageHeaderLabel">
    <w:name w:val="Message Header Label"/>
    <w:rsid w:val="000F6FF1"/>
    <w:rPr>
      <w:b/>
      <w:sz w:val="18"/>
    </w:rPr>
  </w:style>
  <w:style w:type="paragraph" w:styleId="Date">
    <w:name w:val="Date"/>
    <w:basedOn w:val="BodyText"/>
    <w:link w:val="DateChar"/>
    <w:uiPriority w:val="99"/>
    <w:semiHidden/>
    <w:rsid w:val="000F6FF1"/>
    <w:pPr>
      <w:spacing w:after="0"/>
      <w:jc w:val="left"/>
    </w:pPr>
  </w:style>
  <w:style w:type="character" w:customStyle="1" w:styleId="DateChar">
    <w:name w:val="Date Char"/>
    <w:link w:val="Date"/>
    <w:uiPriority w:val="99"/>
    <w:semiHidden/>
    <w:rsid w:val="00C94788"/>
    <w:rPr>
      <w:rFonts w:ascii="Garamond" w:hAnsi="Garamond"/>
      <w:sz w:val="22"/>
      <w:lang w:val="en-GB"/>
    </w:rPr>
  </w:style>
  <w:style w:type="paragraph" w:styleId="List5">
    <w:name w:val="List 5"/>
    <w:basedOn w:val="List"/>
    <w:uiPriority w:val="99"/>
    <w:semiHidden/>
    <w:rsid w:val="000F6FF1"/>
    <w:pPr>
      <w:ind w:left="1800"/>
    </w:pPr>
  </w:style>
  <w:style w:type="paragraph" w:styleId="List4">
    <w:name w:val="List 4"/>
    <w:basedOn w:val="List"/>
    <w:uiPriority w:val="99"/>
    <w:semiHidden/>
    <w:rsid w:val="000F6FF1"/>
    <w:pPr>
      <w:ind w:left="1440"/>
    </w:pPr>
  </w:style>
  <w:style w:type="paragraph" w:styleId="List3">
    <w:name w:val="List 3"/>
    <w:basedOn w:val="List"/>
    <w:uiPriority w:val="99"/>
    <w:semiHidden/>
    <w:rsid w:val="000F6FF1"/>
    <w:pPr>
      <w:ind w:left="1080"/>
    </w:pPr>
  </w:style>
  <w:style w:type="paragraph" w:styleId="List2">
    <w:name w:val="List 2"/>
    <w:basedOn w:val="List"/>
    <w:uiPriority w:val="99"/>
    <w:semiHidden/>
    <w:rsid w:val="000F6FF1"/>
    <w:pPr>
      <w:ind w:left="720"/>
    </w:pPr>
  </w:style>
  <w:style w:type="character" w:styleId="Emphasis">
    <w:name w:val="Emphasis"/>
    <w:uiPriority w:val="20"/>
    <w:qFormat/>
    <w:rsid w:val="000F6FF1"/>
    <w:rPr>
      <w:caps/>
      <w:sz w:val="19"/>
    </w:rPr>
  </w:style>
  <w:style w:type="paragraph" w:styleId="Closing">
    <w:name w:val="Closing"/>
    <w:basedOn w:val="Normal"/>
    <w:next w:val="SignatureName"/>
    <w:link w:val="ClosingChar"/>
    <w:uiPriority w:val="99"/>
    <w:semiHidden/>
    <w:rsid w:val="000F6FF1"/>
    <w:pPr>
      <w:spacing w:line="220" w:lineRule="atLeast"/>
    </w:pPr>
  </w:style>
  <w:style w:type="character" w:customStyle="1" w:styleId="ClosingChar">
    <w:name w:val="Closing Char"/>
    <w:link w:val="Closing"/>
    <w:uiPriority w:val="99"/>
    <w:semiHidden/>
    <w:rsid w:val="00C94788"/>
    <w:rPr>
      <w:rFonts w:ascii="Garamond" w:hAnsi="Garamond"/>
      <w:sz w:val="22"/>
      <w:lang w:val="en-GB"/>
    </w:rPr>
  </w:style>
  <w:style w:type="paragraph" w:customStyle="1" w:styleId="SignatureName">
    <w:name w:val="Signature Name"/>
    <w:basedOn w:val="Signature"/>
    <w:next w:val="SignatureJobTitle"/>
    <w:rsid w:val="000F6FF1"/>
  </w:style>
  <w:style w:type="paragraph" w:styleId="Signature">
    <w:name w:val="Signature"/>
    <w:basedOn w:val="BodyText"/>
    <w:next w:val="SignatureJobTitle"/>
    <w:link w:val="SignatureChar"/>
    <w:uiPriority w:val="99"/>
    <w:semiHidden/>
    <w:rsid w:val="000F6FF1"/>
    <w:pPr>
      <w:keepNext/>
      <w:keepLines/>
      <w:spacing w:before="660" w:after="0"/>
    </w:pPr>
  </w:style>
  <w:style w:type="character" w:customStyle="1" w:styleId="SignatureChar">
    <w:name w:val="Signature Char"/>
    <w:link w:val="Signature"/>
    <w:uiPriority w:val="99"/>
    <w:semiHidden/>
    <w:rsid w:val="00C94788"/>
    <w:rPr>
      <w:rFonts w:ascii="Garamond" w:hAnsi="Garamond"/>
      <w:sz w:val="22"/>
      <w:lang w:val="en-GB"/>
    </w:rPr>
  </w:style>
  <w:style w:type="paragraph" w:customStyle="1" w:styleId="SignatureJobTitle">
    <w:name w:val="Signature Job Title"/>
    <w:basedOn w:val="Signature"/>
    <w:next w:val="ReferenceInitials"/>
    <w:rsid w:val="000F6FF1"/>
    <w:pPr>
      <w:spacing w:before="0"/>
    </w:pPr>
  </w:style>
  <w:style w:type="paragraph" w:customStyle="1" w:styleId="ReferenceInitials">
    <w:name w:val="Reference Initials"/>
    <w:basedOn w:val="BodyText"/>
    <w:next w:val="Enclosure"/>
    <w:rsid w:val="000F6FF1"/>
    <w:pPr>
      <w:keepNext/>
      <w:keepLines/>
      <w:spacing w:after="0"/>
    </w:pPr>
  </w:style>
  <w:style w:type="paragraph" w:customStyle="1" w:styleId="Enclosure">
    <w:name w:val="Enclosure"/>
    <w:basedOn w:val="BodyText"/>
    <w:next w:val="Normal"/>
    <w:rsid w:val="000F6FF1"/>
    <w:pPr>
      <w:keepLines/>
      <w:spacing w:before="220"/>
    </w:pPr>
  </w:style>
  <w:style w:type="paragraph" w:styleId="CommentText">
    <w:name w:val="annotation text"/>
    <w:basedOn w:val="FootnoteBase"/>
    <w:link w:val="CommentTextChar"/>
    <w:uiPriority w:val="99"/>
    <w:rsid w:val="000F6FF1"/>
  </w:style>
  <w:style w:type="character" w:customStyle="1" w:styleId="CommentTextChar">
    <w:name w:val="Comment Text Char"/>
    <w:basedOn w:val="FootnoteBaseChar"/>
    <w:link w:val="CommentText"/>
    <w:uiPriority w:val="99"/>
    <w:locked/>
    <w:rsid w:val="00A72FE8"/>
    <w:rPr>
      <w:rFonts w:cs="Times New Roman"/>
      <w:sz w:val="16"/>
    </w:rPr>
  </w:style>
  <w:style w:type="character" w:styleId="CommentReference">
    <w:name w:val="annotation reference"/>
    <w:uiPriority w:val="99"/>
    <w:rsid w:val="000F6FF1"/>
    <w:rPr>
      <w:sz w:val="16"/>
    </w:rPr>
  </w:style>
  <w:style w:type="paragraph" w:styleId="BodyText2">
    <w:name w:val="Body Text 2"/>
    <w:basedOn w:val="Normal"/>
    <w:link w:val="BodyText2Char"/>
    <w:uiPriority w:val="99"/>
    <w:semiHidden/>
    <w:rsid w:val="000F6FF1"/>
    <w:rPr>
      <w:rFonts w:ascii="Times New Roman" w:hAnsi="Times New Roman"/>
      <w:sz w:val="24"/>
      <w:lang w:val="en-US"/>
    </w:rPr>
  </w:style>
  <w:style w:type="character" w:customStyle="1" w:styleId="BodyText2Char">
    <w:name w:val="Body Text 2 Char"/>
    <w:link w:val="BodyText2"/>
    <w:uiPriority w:val="99"/>
    <w:semiHidden/>
    <w:locked/>
    <w:rsid w:val="008E45D3"/>
    <w:rPr>
      <w:sz w:val="24"/>
    </w:rPr>
  </w:style>
  <w:style w:type="paragraph" w:styleId="NormalIndent">
    <w:name w:val="Normal Indent"/>
    <w:basedOn w:val="Normal"/>
    <w:uiPriority w:val="99"/>
    <w:semiHidden/>
    <w:rsid w:val="000F6FF1"/>
    <w:pPr>
      <w:ind w:left="720"/>
    </w:pPr>
  </w:style>
  <w:style w:type="paragraph" w:styleId="ListContinue">
    <w:name w:val="List Continue"/>
    <w:basedOn w:val="List"/>
    <w:uiPriority w:val="99"/>
    <w:semiHidden/>
    <w:rsid w:val="000F6FF1"/>
    <w:pPr>
      <w:ind w:left="720" w:right="720" w:firstLine="0"/>
    </w:pPr>
  </w:style>
  <w:style w:type="paragraph" w:styleId="ListContinue2">
    <w:name w:val="List Continue 2"/>
    <w:basedOn w:val="ListContinue"/>
    <w:uiPriority w:val="99"/>
    <w:semiHidden/>
    <w:rsid w:val="000F6FF1"/>
    <w:pPr>
      <w:ind w:left="1080"/>
    </w:pPr>
  </w:style>
  <w:style w:type="paragraph" w:styleId="ListContinue3">
    <w:name w:val="List Continue 3"/>
    <w:basedOn w:val="ListContinue"/>
    <w:uiPriority w:val="99"/>
    <w:semiHidden/>
    <w:rsid w:val="000F6FF1"/>
    <w:pPr>
      <w:ind w:left="1440"/>
    </w:pPr>
  </w:style>
  <w:style w:type="paragraph" w:styleId="ListContinue4">
    <w:name w:val="List Continue 4"/>
    <w:basedOn w:val="ListContinue"/>
    <w:uiPriority w:val="99"/>
    <w:semiHidden/>
    <w:rsid w:val="000F6FF1"/>
    <w:pPr>
      <w:ind w:left="1800"/>
    </w:pPr>
  </w:style>
  <w:style w:type="paragraph" w:styleId="ListContinue5">
    <w:name w:val="List Continue 5"/>
    <w:basedOn w:val="ListContinue"/>
    <w:uiPriority w:val="99"/>
    <w:semiHidden/>
    <w:rsid w:val="000F6FF1"/>
    <w:pPr>
      <w:ind w:left="2160"/>
    </w:pPr>
  </w:style>
  <w:style w:type="paragraph" w:customStyle="1" w:styleId="CompanyName">
    <w:name w:val="Company Name"/>
    <w:basedOn w:val="BodyText"/>
    <w:rsid w:val="000F6FF1"/>
    <w:pPr>
      <w:keepLines/>
      <w:framePr w:w="8640" w:h="1440" w:wrap="notBeside" w:vAnchor="page" w:hAnchor="margin" w:xAlign="center" w:y="889"/>
      <w:spacing w:after="40"/>
      <w:jc w:val="center"/>
    </w:pPr>
    <w:rPr>
      <w:caps/>
      <w:spacing w:val="75"/>
    </w:rPr>
  </w:style>
  <w:style w:type="paragraph" w:customStyle="1" w:styleId="ReturnAddress">
    <w:name w:val="Return Address"/>
    <w:rsid w:val="000F6FF1"/>
    <w:pPr>
      <w:framePr w:w="8640" w:hSpace="187" w:vSpace="187" w:wrap="notBeside" w:vAnchor="page" w:hAnchor="page" w:x="1729" w:y="15409" w:anchorLock="1"/>
      <w:tabs>
        <w:tab w:val="left" w:pos="2160"/>
      </w:tabs>
      <w:overflowPunct w:val="0"/>
      <w:autoSpaceDE w:val="0"/>
      <w:autoSpaceDN w:val="0"/>
      <w:adjustRightInd w:val="0"/>
      <w:spacing w:line="240" w:lineRule="atLeast"/>
      <w:ind w:right="-240"/>
      <w:jc w:val="center"/>
      <w:textAlignment w:val="baseline"/>
    </w:pPr>
    <w:rPr>
      <w:rFonts w:ascii="Garamond" w:hAnsi="Garamond"/>
      <w:caps/>
      <w:spacing w:val="30"/>
      <w:sz w:val="15"/>
    </w:rPr>
  </w:style>
  <w:style w:type="character" w:customStyle="1" w:styleId="Slogan">
    <w:name w:val="Slogan"/>
    <w:rsid w:val="000F6FF1"/>
    <w:rPr>
      <w:i/>
      <w:spacing w:val="70"/>
      <w:sz w:val="21"/>
    </w:rPr>
  </w:style>
  <w:style w:type="paragraph" w:customStyle="1" w:styleId="MessageHeaderLast">
    <w:name w:val="Message Header Last"/>
    <w:basedOn w:val="MessageHeader"/>
    <w:next w:val="BodyText"/>
    <w:rsid w:val="000F6FF1"/>
    <w:pPr>
      <w:pBdr>
        <w:bottom w:val="single" w:sz="6" w:space="18" w:color="808080"/>
      </w:pBdr>
      <w:spacing w:after="360"/>
    </w:pPr>
  </w:style>
  <w:style w:type="paragraph" w:styleId="EnvelopeAddress">
    <w:name w:val="envelope address"/>
    <w:basedOn w:val="Normal"/>
    <w:uiPriority w:val="99"/>
    <w:semiHidden/>
    <w:rsid w:val="000F6FF1"/>
    <w:pPr>
      <w:framePr w:w="7920" w:h="1980" w:hRule="exact" w:hSpace="180" w:wrap="auto" w:hAnchor="page" w:xAlign="center" w:yAlign="bottom"/>
      <w:ind w:left="2880"/>
    </w:pPr>
    <w:rPr>
      <w:sz w:val="24"/>
    </w:rPr>
  </w:style>
  <w:style w:type="paragraph" w:styleId="EnvelopeReturn">
    <w:name w:val="envelope return"/>
    <w:basedOn w:val="Normal"/>
    <w:uiPriority w:val="99"/>
    <w:semiHidden/>
    <w:rsid w:val="000F6FF1"/>
  </w:style>
  <w:style w:type="paragraph" w:styleId="ListBullet">
    <w:name w:val="List Bullet"/>
    <w:basedOn w:val="List"/>
    <w:uiPriority w:val="99"/>
    <w:semiHidden/>
    <w:rsid w:val="000F6FF1"/>
    <w:pPr>
      <w:ind w:left="720" w:right="720"/>
    </w:pPr>
  </w:style>
  <w:style w:type="paragraph" w:styleId="ListNumber">
    <w:name w:val="List Number"/>
    <w:basedOn w:val="List"/>
    <w:uiPriority w:val="99"/>
    <w:semiHidden/>
    <w:rsid w:val="000F6FF1"/>
    <w:pPr>
      <w:ind w:left="720" w:right="720"/>
    </w:pPr>
  </w:style>
  <w:style w:type="paragraph" w:styleId="ListBullet3">
    <w:name w:val="List Bullet 3"/>
    <w:basedOn w:val="ListBullet"/>
    <w:uiPriority w:val="99"/>
    <w:semiHidden/>
    <w:rsid w:val="000F6FF1"/>
    <w:pPr>
      <w:ind w:left="1440"/>
    </w:pPr>
  </w:style>
  <w:style w:type="paragraph" w:styleId="ListBullet2">
    <w:name w:val="List Bullet 2"/>
    <w:basedOn w:val="ListBullet"/>
    <w:uiPriority w:val="99"/>
    <w:semiHidden/>
    <w:rsid w:val="000F6FF1"/>
    <w:pPr>
      <w:ind w:left="1080"/>
    </w:pPr>
  </w:style>
  <w:style w:type="paragraph" w:styleId="ListBullet5">
    <w:name w:val="List Bullet 5"/>
    <w:basedOn w:val="ListBullet"/>
    <w:uiPriority w:val="99"/>
    <w:semiHidden/>
    <w:rsid w:val="000F6FF1"/>
    <w:pPr>
      <w:ind w:left="2160"/>
    </w:pPr>
  </w:style>
  <w:style w:type="paragraph" w:styleId="ListBullet4">
    <w:name w:val="List Bullet 4"/>
    <w:basedOn w:val="ListBullet"/>
    <w:uiPriority w:val="99"/>
    <w:semiHidden/>
    <w:rsid w:val="000F6FF1"/>
    <w:pPr>
      <w:ind w:left="1800"/>
    </w:pPr>
  </w:style>
  <w:style w:type="paragraph" w:styleId="ListNumber2">
    <w:name w:val="List Number 2"/>
    <w:basedOn w:val="ListNumber"/>
    <w:uiPriority w:val="99"/>
    <w:semiHidden/>
    <w:rsid w:val="000F6FF1"/>
    <w:pPr>
      <w:ind w:left="1080"/>
    </w:pPr>
  </w:style>
  <w:style w:type="paragraph" w:styleId="ListNumber3">
    <w:name w:val="List Number 3"/>
    <w:basedOn w:val="ListNumber"/>
    <w:uiPriority w:val="99"/>
    <w:semiHidden/>
    <w:rsid w:val="000F6FF1"/>
    <w:pPr>
      <w:ind w:left="1440"/>
    </w:pPr>
  </w:style>
  <w:style w:type="paragraph" w:styleId="ListNumber4">
    <w:name w:val="List Number 4"/>
    <w:basedOn w:val="ListNumber"/>
    <w:uiPriority w:val="99"/>
    <w:semiHidden/>
    <w:rsid w:val="000F6FF1"/>
    <w:pPr>
      <w:ind w:left="1800"/>
    </w:pPr>
  </w:style>
  <w:style w:type="paragraph" w:styleId="ListNumber5">
    <w:name w:val="List Number 5"/>
    <w:basedOn w:val="ListNumber"/>
    <w:uiPriority w:val="99"/>
    <w:semiHidden/>
    <w:rsid w:val="000F6FF1"/>
    <w:pPr>
      <w:ind w:left="2160"/>
    </w:pPr>
  </w:style>
  <w:style w:type="paragraph" w:styleId="BodyText3">
    <w:name w:val="Body Text 3"/>
    <w:basedOn w:val="Normal"/>
    <w:link w:val="BodyText3Char"/>
    <w:uiPriority w:val="99"/>
    <w:semiHidden/>
    <w:rsid w:val="000F6FF1"/>
    <w:pPr>
      <w:jc w:val="center"/>
    </w:pPr>
    <w:rPr>
      <w:rFonts w:ascii="Times New Roman" w:hAnsi="Times New Roman"/>
      <w:b/>
      <w:caps/>
      <w:sz w:val="36"/>
    </w:rPr>
  </w:style>
  <w:style w:type="character" w:customStyle="1" w:styleId="BodyText3Char">
    <w:name w:val="Body Text 3 Char"/>
    <w:link w:val="BodyText3"/>
    <w:uiPriority w:val="99"/>
    <w:semiHidden/>
    <w:rsid w:val="00C94788"/>
    <w:rPr>
      <w:rFonts w:ascii="Garamond" w:hAnsi="Garamond"/>
      <w:sz w:val="16"/>
      <w:szCs w:val="16"/>
      <w:lang w:val="en-GB"/>
    </w:rPr>
  </w:style>
  <w:style w:type="paragraph" w:customStyle="1" w:styleId="NormalwithHungheader">
    <w:name w:val="Normal with Hung header"/>
    <w:basedOn w:val="Normal"/>
    <w:next w:val="Header"/>
    <w:rsid w:val="000F6FF1"/>
    <w:rPr>
      <w:rFonts w:ascii="Times New Roman" w:hAnsi="Times New Roman"/>
      <w:sz w:val="24"/>
      <w:lang w:val="hu-HU"/>
    </w:rPr>
  </w:style>
  <w:style w:type="character" w:styleId="Hyperlink">
    <w:name w:val="Hyperlink"/>
    <w:uiPriority w:val="99"/>
    <w:rsid w:val="000F6FF1"/>
    <w:rPr>
      <w:color w:val="0000FF"/>
      <w:u w:val="single"/>
    </w:rPr>
  </w:style>
  <w:style w:type="character" w:styleId="FollowedHyperlink">
    <w:name w:val="FollowedHyperlink"/>
    <w:uiPriority w:val="99"/>
    <w:semiHidden/>
    <w:rsid w:val="000F6FF1"/>
    <w:rPr>
      <w:color w:val="800080"/>
      <w:u w:val="single"/>
    </w:rPr>
  </w:style>
  <w:style w:type="paragraph" w:styleId="BodyTextIndent">
    <w:name w:val="Body Text Indent"/>
    <w:basedOn w:val="Normal"/>
    <w:link w:val="BodyTextIndentChar"/>
    <w:uiPriority w:val="99"/>
    <w:semiHidden/>
    <w:rsid w:val="000F6FF1"/>
    <w:pPr>
      <w:spacing w:after="120"/>
      <w:ind w:left="714" w:hanging="708"/>
    </w:pPr>
    <w:rPr>
      <w:rFonts w:ascii="Times New Roman" w:hAnsi="Times New Roman"/>
      <w:lang w:val="hu-HU"/>
    </w:rPr>
  </w:style>
  <w:style w:type="character" w:customStyle="1" w:styleId="BodyTextIndentChar">
    <w:name w:val="Body Text Indent Char"/>
    <w:link w:val="BodyTextIndent"/>
    <w:uiPriority w:val="99"/>
    <w:semiHidden/>
    <w:rsid w:val="00C94788"/>
    <w:rPr>
      <w:rFonts w:ascii="Garamond" w:hAnsi="Garamond"/>
      <w:sz w:val="22"/>
      <w:lang w:val="en-GB"/>
    </w:rPr>
  </w:style>
  <w:style w:type="paragraph" w:styleId="TOC1">
    <w:name w:val="toc 1"/>
    <w:basedOn w:val="Heading1"/>
    <w:next w:val="Normal"/>
    <w:autoRedefine/>
    <w:uiPriority w:val="39"/>
    <w:rsid w:val="00D1360D"/>
    <w:pPr>
      <w:keepNext w:val="0"/>
      <w:keepLines w:val="0"/>
      <w:tabs>
        <w:tab w:val="left" w:pos="440"/>
        <w:tab w:val="right" w:leader="dot" w:pos="9345"/>
      </w:tabs>
      <w:spacing w:after="0" w:line="240" w:lineRule="auto"/>
      <w:jc w:val="left"/>
      <w:outlineLvl w:val="9"/>
    </w:pPr>
    <w:rPr>
      <w:rFonts w:ascii="Calibri" w:hAnsi="Calibri"/>
      <w:b/>
      <w:bCs/>
      <w:iCs/>
      <w:smallCaps w:val="0"/>
      <w:noProof/>
      <w:spacing w:val="0"/>
      <w:kern w:val="0"/>
      <w:sz w:val="22"/>
      <w:szCs w:val="22"/>
      <w:lang w:val="en-GB"/>
    </w:rPr>
  </w:style>
  <w:style w:type="paragraph" w:styleId="TOC2">
    <w:name w:val="toc 2"/>
    <w:basedOn w:val="Normal"/>
    <w:next w:val="Normal"/>
    <w:autoRedefine/>
    <w:uiPriority w:val="39"/>
    <w:rsid w:val="00CE38EF"/>
    <w:pPr>
      <w:tabs>
        <w:tab w:val="left" w:pos="880"/>
        <w:tab w:val="left" w:pos="1134"/>
        <w:tab w:val="right" w:leader="dot" w:pos="9345"/>
      </w:tabs>
      <w:ind w:left="220"/>
    </w:pPr>
    <w:rPr>
      <w:rFonts w:ascii="Calibri" w:hAnsi="Calibri" w:cs="Calibri"/>
      <w:bCs/>
      <w:noProof/>
      <w:szCs w:val="22"/>
    </w:rPr>
  </w:style>
  <w:style w:type="paragraph" w:styleId="TOC3">
    <w:name w:val="toc 3"/>
    <w:basedOn w:val="Normal"/>
    <w:next w:val="Normal"/>
    <w:autoRedefine/>
    <w:uiPriority w:val="39"/>
    <w:rsid w:val="000F6FF1"/>
    <w:pPr>
      <w:ind w:left="440"/>
    </w:pPr>
    <w:rPr>
      <w:rFonts w:ascii="Times New Roman" w:hAnsi="Times New Roman"/>
      <w:sz w:val="24"/>
      <w:szCs w:val="24"/>
    </w:rPr>
  </w:style>
  <w:style w:type="paragraph" w:styleId="TOC4">
    <w:name w:val="toc 4"/>
    <w:basedOn w:val="Normal"/>
    <w:next w:val="Normal"/>
    <w:autoRedefine/>
    <w:uiPriority w:val="39"/>
    <w:semiHidden/>
    <w:rsid w:val="000F6FF1"/>
    <w:pPr>
      <w:ind w:left="660"/>
    </w:pPr>
    <w:rPr>
      <w:rFonts w:ascii="Times New Roman" w:hAnsi="Times New Roman"/>
      <w:szCs w:val="24"/>
    </w:rPr>
  </w:style>
  <w:style w:type="paragraph" w:styleId="TOC5">
    <w:name w:val="toc 5"/>
    <w:basedOn w:val="Normal"/>
    <w:next w:val="Normal"/>
    <w:autoRedefine/>
    <w:uiPriority w:val="39"/>
    <w:semiHidden/>
    <w:rsid w:val="000F6FF1"/>
    <w:pPr>
      <w:ind w:left="880"/>
    </w:pPr>
    <w:rPr>
      <w:rFonts w:ascii="Times New Roman" w:hAnsi="Times New Roman"/>
      <w:szCs w:val="24"/>
    </w:rPr>
  </w:style>
  <w:style w:type="paragraph" w:styleId="TOC6">
    <w:name w:val="toc 6"/>
    <w:basedOn w:val="Normal"/>
    <w:next w:val="Normal"/>
    <w:autoRedefine/>
    <w:uiPriority w:val="39"/>
    <w:semiHidden/>
    <w:rsid w:val="000F6FF1"/>
    <w:pPr>
      <w:ind w:left="1100"/>
    </w:pPr>
    <w:rPr>
      <w:rFonts w:ascii="Times New Roman" w:hAnsi="Times New Roman"/>
      <w:szCs w:val="24"/>
    </w:rPr>
  </w:style>
  <w:style w:type="paragraph" w:styleId="TOC7">
    <w:name w:val="toc 7"/>
    <w:basedOn w:val="Normal"/>
    <w:next w:val="Normal"/>
    <w:autoRedefine/>
    <w:uiPriority w:val="39"/>
    <w:semiHidden/>
    <w:rsid w:val="000F6FF1"/>
    <w:pPr>
      <w:ind w:left="1320"/>
    </w:pPr>
    <w:rPr>
      <w:rFonts w:ascii="Times New Roman" w:hAnsi="Times New Roman"/>
      <w:szCs w:val="24"/>
    </w:rPr>
  </w:style>
  <w:style w:type="paragraph" w:styleId="TOC8">
    <w:name w:val="toc 8"/>
    <w:basedOn w:val="Normal"/>
    <w:next w:val="Normal"/>
    <w:autoRedefine/>
    <w:uiPriority w:val="39"/>
    <w:semiHidden/>
    <w:rsid w:val="000F6FF1"/>
    <w:pPr>
      <w:ind w:left="1540"/>
    </w:pPr>
    <w:rPr>
      <w:rFonts w:ascii="Times New Roman" w:hAnsi="Times New Roman"/>
      <w:szCs w:val="24"/>
    </w:rPr>
  </w:style>
  <w:style w:type="paragraph" w:styleId="TOC9">
    <w:name w:val="toc 9"/>
    <w:basedOn w:val="Normal"/>
    <w:next w:val="Normal"/>
    <w:autoRedefine/>
    <w:uiPriority w:val="39"/>
    <w:semiHidden/>
    <w:rsid w:val="000F6FF1"/>
    <w:pPr>
      <w:ind w:left="1760"/>
    </w:pPr>
    <w:rPr>
      <w:rFonts w:ascii="Times New Roman" w:hAnsi="Times New Roman"/>
      <w:szCs w:val="24"/>
    </w:rPr>
  </w:style>
  <w:style w:type="paragraph" w:styleId="BodyTextIndent2">
    <w:name w:val="Body Text Indent 2"/>
    <w:basedOn w:val="Normal"/>
    <w:link w:val="BodyTextIndent2Char"/>
    <w:uiPriority w:val="99"/>
    <w:semiHidden/>
    <w:rsid w:val="000F6FF1"/>
    <w:pPr>
      <w:spacing w:after="120" w:line="480" w:lineRule="auto"/>
      <w:ind w:left="360"/>
    </w:pPr>
  </w:style>
  <w:style w:type="character" w:customStyle="1" w:styleId="BodyTextIndent2Char">
    <w:name w:val="Body Text Indent 2 Char"/>
    <w:link w:val="BodyTextIndent2"/>
    <w:uiPriority w:val="99"/>
    <w:semiHidden/>
    <w:rsid w:val="00C94788"/>
    <w:rPr>
      <w:rFonts w:ascii="Garamond" w:hAnsi="Garamond"/>
      <w:sz w:val="22"/>
      <w:lang w:val="en-GB"/>
    </w:rPr>
  </w:style>
  <w:style w:type="paragraph" w:styleId="Index1">
    <w:name w:val="index 1"/>
    <w:basedOn w:val="Normal"/>
    <w:next w:val="Normal"/>
    <w:autoRedefine/>
    <w:uiPriority w:val="99"/>
    <w:semiHidden/>
    <w:rsid w:val="000F6FF1"/>
    <w:pPr>
      <w:ind w:left="220" w:hanging="220"/>
    </w:pPr>
    <w:rPr>
      <w:rFonts w:ascii="Times New Roman" w:hAnsi="Times New Roman"/>
      <w:sz w:val="18"/>
      <w:szCs w:val="18"/>
    </w:rPr>
  </w:style>
  <w:style w:type="paragraph" w:styleId="Index2">
    <w:name w:val="index 2"/>
    <w:basedOn w:val="Normal"/>
    <w:next w:val="Normal"/>
    <w:autoRedefine/>
    <w:uiPriority w:val="99"/>
    <w:semiHidden/>
    <w:rsid w:val="000F6FF1"/>
    <w:pPr>
      <w:ind w:left="440" w:hanging="220"/>
    </w:pPr>
    <w:rPr>
      <w:rFonts w:ascii="Times New Roman" w:hAnsi="Times New Roman"/>
      <w:sz w:val="18"/>
      <w:szCs w:val="18"/>
    </w:rPr>
  </w:style>
  <w:style w:type="paragraph" w:styleId="Index3">
    <w:name w:val="index 3"/>
    <w:basedOn w:val="Normal"/>
    <w:next w:val="Normal"/>
    <w:autoRedefine/>
    <w:uiPriority w:val="99"/>
    <w:semiHidden/>
    <w:rsid w:val="000F6FF1"/>
    <w:pPr>
      <w:ind w:left="660" w:hanging="220"/>
    </w:pPr>
    <w:rPr>
      <w:rFonts w:ascii="Times New Roman" w:hAnsi="Times New Roman"/>
      <w:sz w:val="18"/>
      <w:szCs w:val="18"/>
    </w:rPr>
  </w:style>
  <w:style w:type="paragraph" w:styleId="Index4">
    <w:name w:val="index 4"/>
    <w:basedOn w:val="Normal"/>
    <w:next w:val="Normal"/>
    <w:autoRedefine/>
    <w:uiPriority w:val="99"/>
    <w:semiHidden/>
    <w:rsid w:val="000F6FF1"/>
    <w:pPr>
      <w:ind w:left="880" w:hanging="220"/>
    </w:pPr>
    <w:rPr>
      <w:rFonts w:ascii="Times New Roman" w:hAnsi="Times New Roman"/>
      <w:sz w:val="18"/>
      <w:szCs w:val="18"/>
    </w:rPr>
  </w:style>
  <w:style w:type="paragraph" w:styleId="Index5">
    <w:name w:val="index 5"/>
    <w:basedOn w:val="Normal"/>
    <w:next w:val="Normal"/>
    <w:autoRedefine/>
    <w:uiPriority w:val="99"/>
    <w:semiHidden/>
    <w:rsid w:val="000F6FF1"/>
    <w:pPr>
      <w:ind w:left="1100" w:hanging="220"/>
    </w:pPr>
    <w:rPr>
      <w:rFonts w:ascii="Times New Roman" w:hAnsi="Times New Roman"/>
      <w:sz w:val="18"/>
      <w:szCs w:val="18"/>
    </w:rPr>
  </w:style>
  <w:style w:type="paragraph" w:styleId="Index6">
    <w:name w:val="index 6"/>
    <w:basedOn w:val="Normal"/>
    <w:next w:val="Normal"/>
    <w:autoRedefine/>
    <w:uiPriority w:val="99"/>
    <w:semiHidden/>
    <w:rsid w:val="000F6FF1"/>
    <w:pPr>
      <w:ind w:left="1320" w:hanging="220"/>
    </w:pPr>
    <w:rPr>
      <w:rFonts w:ascii="Times New Roman" w:hAnsi="Times New Roman"/>
      <w:sz w:val="18"/>
      <w:szCs w:val="18"/>
    </w:rPr>
  </w:style>
  <w:style w:type="paragraph" w:styleId="Index7">
    <w:name w:val="index 7"/>
    <w:basedOn w:val="Normal"/>
    <w:next w:val="Normal"/>
    <w:autoRedefine/>
    <w:uiPriority w:val="99"/>
    <w:semiHidden/>
    <w:rsid w:val="000F6FF1"/>
    <w:pPr>
      <w:ind w:left="1540" w:hanging="220"/>
    </w:pPr>
    <w:rPr>
      <w:rFonts w:ascii="Times New Roman" w:hAnsi="Times New Roman"/>
      <w:sz w:val="18"/>
      <w:szCs w:val="18"/>
    </w:rPr>
  </w:style>
  <w:style w:type="paragraph" w:styleId="Index8">
    <w:name w:val="index 8"/>
    <w:basedOn w:val="Normal"/>
    <w:next w:val="Normal"/>
    <w:autoRedefine/>
    <w:uiPriority w:val="99"/>
    <w:semiHidden/>
    <w:rsid w:val="000F6FF1"/>
    <w:pPr>
      <w:ind w:left="1760" w:hanging="220"/>
    </w:pPr>
    <w:rPr>
      <w:rFonts w:ascii="Times New Roman" w:hAnsi="Times New Roman"/>
      <w:sz w:val="18"/>
      <w:szCs w:val="18"/>
    </w:rPr>
  </w:style>
  <w:style w:type="paragraph" w:styleId="Index9">
    <w:name w:val="index 9"/>
    <w:basedOn w:val="Normal"/>
    <w:next w:val="Normal"/>
    <w:autoRedefine/>
    <w:uiPriority w:val="99"/>
    <w:semiHidden/>
    <w:rsid w:val="000F6FF1"/>
    <w:pPr>
      <w:ind w:left="1980" w:hanging="220"/>
    </w:pPr>
    <w:rPr>
      <w:rFonts w:ascii="Times New Roman" w:hAnsi="Times New Roman"/>
      <w:sz w:val="18"/>
      <w:szCs w:val="18"/>
    </w:rPr>
  </w:style>
  <w:style w:type="paragraph" w:styleId="IndexHeading">
    <w:name w:val="index heading"/>
    <w:basedOn w:val="Normal"/>
    <w:next w:val="Index1"/>
    <w:uiPriority w:val="99"/>
    <w:semiHidden/>
    <w:rsid w:val="000F6FF1"/>
    <w:pPr>
      <w:spacing w:before="240" w:after="120"/>
      <w:jc w:val="center"/>
    </w:pPr>
    <w:rPr>
      <w:rFonts w:ascii="Times New Roman" w:hAnsi="Times New Roman"/>
      <w:b/>
      <w:bCs/>
      <w:sz w:val="26"/>
      <w:szCs w:val="26"/>
    </w:rPr>
  </w:style>
  <w:style w:type="paragraph" w:styleId="NormalWeb">
    <w:name w:val="Normal (Web)"/>
    <w:aliases w:val=" webb"/>
    <w:basedOn w:val="Normal"/>
    <w:uiPriority w:val="99"/>
    <w:rsid w:val="000F6FF1"/>
    <w:pPr>
      <w:overflowPunct/>
      <w:autoSpaceDE/>
      <w:autoSpaceDN/>
      <w:adjustRightInd/>
      <w:spacing w:before="100" w:beforeAutospacing="1" w:after="100" w:afterAutospacing="1"/>
      <w:textAlignment w:val="auto"/>
    </w:pPr>
    <w:rPr>
      <w:rFonts w:ascii="Times New Roman" w:hAnsi="Times New Roman"/>
      <w:sz w:val="24"/>
      <w:szCs w:val="24"/>
      <w:lang w:val="en-US"/>
    </w:rPr>
  </w:style>
  <w:style w:type="table" w:styleId="TableGrid">
    <w:name w:val="Table Grid"/>
    <w:basedOn w:val="TableNormal"/>
    <w:uiPriority w:val="59"/>
    <w:rsid w:val="002B05B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lainlinksneverexpand">
    <w:name w:val="plainlinksneverexpand"/>
    <w:rsid w:val="000F6FF1"/>
    <w:rPr>
      <w:rFonts w:cs="Times New Roman"/>
    </w:rPr>
  </w:style>
  <w:style w:type="paragraph" w:customStyle="1" w:styleId="msolistparagraph0">
    <w:name w:val="msolistparagraph"/>
    <w:basedOn w:val="Normal"/>
    <w:rsid w:val="00170909"/>
    <w:pPr>
      <w:overflowPunct/>
      <w:autoSpaceDE/>
      <w:autoSpaceDN/>
      <w:adjustRightInd/>
      <w:spacing w:after="200" w:line="276" w:lineRule="auto"/>
      <w:ind w:left="720"/>
      <w:textAlignment w:val="auto"/>
    </w:pPr>
    <w:rPr>
      <w:rFonts w:ascii="Calibri" w:hAnsi="Calibri"/>
      <w:szCs w:val="22"/>
      <w:lang w:val="en-US"/>
    </w:rPr>
  </w:style>
  <w:style w:type="character" w:customStyle="1" w:styleId="mw-formatted-date">
    <w:name w:val="mw-formatted-date"/>
    <w:rsid w:val="00FD77B9"/>
  </w:style>
  <w:style w:type="character" w:customStyle="1" w:styleId="googqs-tidbit1">
    <w:name w:val="goog_qs-tidbit1"/>
    <w:rsid w:val="005C30CD"/>
  </w:style>
  <w:style w:type="paragraph" w:styleId="HTMLAddress">
    <w:name w:val="HTML Address"/>
    <w:basedOn w:val="Normal"/>
    <w:link w:val="HTMLAddressChar"/>
    <w:uiPriority w:val="99"/>
    <w:semiHidden/>
    <w:unhideWhenUsed/>
    <w:rsid w:val="005C30CD"/>
    <w:pPr>
      <w:overflowPunct/>
      <w:autoSpaceDE/>
      <w:autoSpaceDN/>
      <w:adjustRightInd/>
      <w:textAlignment w:val="auto"/>
    </w:pPr>
    <w:rPr>
      <w:rFonts w:ascii="Times New Roman" w:hAnsi="Times New Roman"/>
      <w:sz w:val="17"/>
      <w:szCs w:val="17"/>
      <w:lang w:val="en-US"/>
    </w:rPr>
  </w:style>
  <w:style w:type="character" w:customStyle="1" w:styleId="HTMLAddressChar">
    <w:name w:val="HTML Address Char"/>
    <w:link w:val="HTMLAddress"/>
    <w:uiPriority w:val="99"/>
    <w:semiHidden/>
    <w:locked/>
    <w:rsid w:val="005C30CD"/>
    <w:rPr>
      <w:sz w:val="17"/>
    </w:rPr>
  </w:style>
  <w:style w:type="character" w:customStyle="1" w:styleId="searchword">
    <w:name w:val="searchword"/>
    <w:rsid w:val="005C30CD"/>
    <w:rPr>
      <w:shd w:val="clear" w:color="auto" w:fill="FFFFA0"/>
    </w:rPr>
  </w:style>
  <w:style w:type="paragraph" w:customStyle="1" w:styleId="firmaname1">
    <w:name w:val="firmaname1"/>
    <w:basedOn w:val="Normal"/>
    <w:rsid w:val="005C30CD"/>
    <w:pPr>
      <w:overflowPunct/>
      <w:autoSpaceDE/>
      <w:autoSpaceDN/>
      <w:adjustRightInd/>
      <w:spacing w:before="120"/>
      <w:textAlignment w:val="auto"/>
    </w:pPr>
    <w:rPr>
      <w:rFonts w:ascii="Times New Roman" w:hAnsi="Times New Roman"/>
      <w:b/>
      <w:bCs/>
      <w:color w:val="353535"/>
      <w:sz w:val="16"/>
      <w:szCs w:val="16"/>
      <w:lang w:val="en-US"/>
    </w:rPr>
  </w:style>
  <w:style w:type="character" w:customStyle="1" w:styleId="postal-code">
    <w:name w:val="postal-code"/>
    <w:rsid w:val="005C30CD"/>
    <w:rPr>
      <w:rFonts w:cs="Times New Roman"/>
    </w:rPr>
  </w:style>
  <w:style w:type="character" w:customStyle="1" w:styleId="region">
    <w:name w:val="region"/>
    <w:rsid w:val="005C30CD"/>
    <w:rPr>
      <w:rFonts w:cs="Times New Roman"/>
    </w:rPr>
  </w:style>
  <w:style w:type="character" w:customStyle="1" w:styleId="hps">
    <w:name w:val="hps"/>
    <w:rsid w:val="004169AA"/>
    <w:rPr>
      <w:rFonts w:cs="Times New Roman"/>
    </w:rPr>
  </w:style>
  <w:style w:type="character" w:customStyle="1" w:styleId="atn">
    <w:name w:val="atn"/>
    <w:rsid w:val="004169AA"/>
    <w:rPr>
      <w:rFonts w:cs="Times New Roman"/>
    </w:rPr>
  </w:style>
  <w:style w:type="paragraph" w:customStyle="1" w:styleId="C1PlainText">
    <w:name w:val="C1 Plain Text"/>
    <w:basedOn w:val="Normal"/>
    <w:rsid w:val="00326E07"/>
    <w:pPr>
      <w:spacing w:before="120" w:after="120"/>
      <w:ind w:left="1298"/>
      <w:jc w:val="both"/>
    </w:pPr>
    <w:rPr>
      <w:rFonts w:ascii="Times New Roman" w:hAnsi="Times New Roman"/>
      <w:sz w:val="24"/>
    </w:rPr>
  </w:style>
  <w:style w:type="paragraph" w:customStyle="1" w:styleId="Technical4">
    <w:name w:val="Technical 4"/>
    <w:rsid w:val="00052E54"/>
    <w:pPr>
      <w:tabs>
        <w:tab w:val="left" w:pos="-720"/>
      </w:tabs>
      <w:suppressAutoHyphens/>
    </w:pPr>
    <w:rPr>
      <w:rFonts w:ascii="Dutch Roman 10.20pt" w:eastAsia="SimSun" w:hAnsi="Dutch Roman 10.20pt"/>
      <w:b/>
    </w:rPr>
  </w:style>
  <w:style w:type="character" w:customStyle="1" w:styleId="shorttext">
    <w:name w:val="short_text"/>
    <w:rsid w:val="00675FC0"/>
    <w:rPr>
      <w:rFonts w:cs="Times New Roman"/>
    </w:rPr>
  </w:style>
  <w:style w:type="character" w:customStyle="1" w:styleId="gt-icon-text1">
    <w:name w:val="gt-icon-text1"/>
    <w:rsid w:val="003137E3"/>
    <w:rPr>
      <w:rFonts w:cs="Times New Roman"/>
    </w:rPr>
  </w:style>
  <w:style w:type="paragraph" w:customStyle="1" w:styleId="Continuingbullets">
    <w:name w:val="Continuing bullets"/>
    <w:rsid w:val="00F551AB"/>
    <w:pPr>
      <w:tabs>
        <w:tab w:val="left" w:pos="1152"/>
      </w:tabs>
      <w:spacing w:before="120" w:line="264" w:lineRule="exact"/>
      <w:ind w:left="1152" w:right="720" w:hanging="432"/>
      <w:jc w:val="both"/>
    </w:pPr>
    <w:rPr>
      <w:rFonts w:ascii="Tms Rmn" w:hAnsi="Tms Rmn"/>
      <w:sz w:val="24"/>
    </w:rPr>
  </w:style>
  <w:style w:type="paragraph" w:customStyle="1" w:styleId="Default">
    <w:name w:val="Default"/>
    <w:rsid w:val="0057467C"/>
    <w:pPr>
      <w:autoSpaceDE w:val="0"/>
      <w:autoSpaceDN w:val="0"/>
      <w:adjustRightInd w:val="0"/>
    </w:pPr>
    <w:rPr>
      <w:rFonts w:ascii="DJAIAN+TimesNewRoman" w:hAnsi="DJAIAN+TimesNewRoman" w:cs="DJAIAN+TimesNewRoman"/>
      <w:color w:val="000000"/>
      <w:sz w:val="24"/>
      <w:szCs w:val="24"/>
    </w:rPr>
  </w:style>
  <w:style w:type="paragraph" w:styleId="BalloonText">
    <w:name w:val="Balloon Text"/>
    <w:basedOn w:val="Normal"/>
    <w:link w:val="BalloonTextChar"/>
    <w:uiPriority w:val="99"/>
    <w:semiHidden/>
    <w:unhideWhenUsed/>
    <w:rsid w:val="00394846"/>
    <w:rPr>
      <w:rFonts w:ascii="Tahoma" w:hAnsi="Tahoma"/>
      <w:sz w:val="16"/>
      <w:szCs w:val="16"/>
    </w:rPr>
  </w:style>
  <w:style w:type="character" w:customStyle="1" w:styleId="BalloonTextChar">
    <w:name w:val="Balloon Text Char"/>
    <w:link w:val="BalloonText"/>
    <w:uiPriority w:val="99"/>
    <w:semiHidden/>
    <w:locked/>
    <w:rsid w:val="00394846"/>
    <w:rPr>
      <w:rFonts w:ascii="Tahoma" w:hAnsi="Tahoma"/>
      <w:sz w:val="16"/>
      <w:lang w:val="en-GB" w:eastAsia="x-none"/>
    </w:rPr>
  </w:style>
  <w:style w:type="character" w:styleId="HTMLTypewriter">
    <w:name w:val="HTML Typewriter"/>
    <w:uiPriority w:val="99"/>
    <w:semiHidden/>
    <w:unhideWhenUsed/>
    <w:rsid w:val="008E45D3"/>
    <w:rPr>
      <w:rFonts w:ascii="Courier New" w:eastAsia="Times New Roman" w:hAnsi="Courier New"/>
      <w:sz w:val="20"/>
    </w:rPr>
  </w:style>
  <w:style w:type="paragraph" w:styleId="PlainText">
    <w:name w:val="Plain Text"/>
    <w:basedOn w:val="Normal"/>
    <w:link w:val="PlainTextChar"/>
    <w:unhideWhenUsed/>
    <w:rsid w:val="008E45D3"/>
    <w:pPr>
      <w:overflowPunct/>
      <w:autoSpaceDE/>
      <w:autoSpaceDN/>
      <w:adjustRightInd/>
      <w:textAlignment w:val="auto"/>
    </w:pPr>
    <w:rPr>
      <w:rFonts w:ascii="Arial" w:hAnsi="Arial"/>
      <w:color w:val="0000FF"/>
      <w:sz w:val="24"/>
      <w:szCs w:val="24"/>
      <w:lang w:val="en-US"/>
    </w:rPr>
  </w:style>
  <w:style w:type="character" w:customStyle="1" w:styleId="PlainTextChar">
    <w:name w:val="Plain Text Char"/>
    <w:link w:val="PlainText"/>
    <w:uiPriority w:val="99"/>
    <w:locked/>
    <w:rsid w:val="008E45D3"/>
    <w:rPr>
      <w:rFonts w:ascii="Arial" w:hAnsi="Arial"/>
      <w:color w:val="0000FF"/>
      <w:sz w:val="24"/>
    </w:rPr>
  </w:style>
  <w:style w:type="paragraph" w:customStyle="1" w:styleId="Style2">
    <w:name w:val="Style2"/>
    <w:rsid w:val="008E45D3"/>
    <w:pPr>
      <w:widowControl w:val="0"/>
      <w:snapToGrid w:val="0"/>
    </w:pPr>
    <w:rPr>
      <w:spacing w:val="-1"/>
      <w:kern w:val="3276"/>
      <w:position w:val="-1"/>
      <w:sz w:val="24"/>
      <w:lang w:eastAsia="ru-RU"/>
    </w:rPr>
  </w:style>
  <w:style w:type="character" w:customStyle="1" w:styleId="apple-converted-space">
    <w:name w:val="apple-converted-space"/>
    <w:rsid w:val="008E45D3"/>
  </w:style>
  <w:style w:type="character" w:customStyle="1" w:styleId="apple-style-span">
    <w:name w:val="apple-style-span"/>
    <w:rsid w:val="008E45D3"/>
  </w:style>
  <w:style w:type="character" w:customStyle="1" w:styleId="yshortcuts">
    <w:name w:val="yshortcuts"/>
    <w:rsid w:val="00E64EB1"/>
  </w:style>
  <w:style w:type="paragraph" w:customStyle="1" w:styleId="yiv2085383778msonormal">
    <w:name w:val="yiv2085383778msonormal"/>
    <w:basedOn w:val="Normal"/>
    <w:rsid w:val="00136BAB"/>
    <w:pPr>
      <w:overflowPunct/>
      <w:autoSpaceDE/>
      <w:autoSpaceDN/>
      <w:adjustRightInd/>
      <w:spacing w:before="100" w:beforeAutospacing="1" w:after="100" w:afterAutospacing="1"/>
      <w:textAlignment w:val="auto"/>
    </w:pPr>
    <w:rPr>
      <w:rFonts w:ascii="Times New Roman" w:hAnsi="Times New Roman"/>
      <w:sz w:val="24"/>
      <w:szCs w:val="24"/>
      <w:lang w:val="en-US"/>
    </w:rPr>
  </w:style>
  <w:style w:type="paragraph" w:styleId="ListParagraph">
    <w:name w:val="List Paragraph"/>
    <w:aliases w:val="Bullit,List Paragraph1,Bullets"/>
    <w:basedOn w:val="Normal"/>
    <w:link w:val="ListParagraphChar"/>
    <w:uiPriority w:val="34"/>
    <w:qFormat/>
    <w:rsid w:val="00C25B93"/>
    <w:pPr>
      <w:overflowPunct/>
      <w:autoSpaceDE/>
      <w:autoSpaceDN/>
      <w:adjustRightInd/>
      <w:spacing w:after="200" w:line="276" w:lineRule="auto"/>
      <w:ind w:left="720"/>
      <w:contextualSpacing/>
      <w:textAlignment w:val="auto"/>
    </w:pPr>
    <w:rPr>
      <w:rFonts w:ascii="Calibri" w:hAnsi="Calibri"/>
      <w:szCs w:val="22"/>
      <w:lang w:val="en-US"/>
    </w:rPr>
  </w:style>
  <w:style w:type="paragraph" w:styleId="Subtitle">
    <w:name w:val="Subtitle"/>
    <w:basedOn w:val="Normal"/>
    <w:link w:val="SubtitleChar"/>
    <w:uiPriority w:val="11"/>
    <w:qFormat/>
    <w:rsid w:val="00EF42AC"/>
    <w:pPr>
      <w:overflowPunct/>
      <w:autoSpaceDE/>
      <w:autoSpaceDN/>
      <w:adjustRightInd/>
      <w:jc w:val="center"/>
      <w:textAlignment w:val="auto"/>
    </w:pPr>
    <w:rPr>
      <w:rFonts w:ascii="Times New Roman" w:hAnsi="Times New Roman"/>
      <w:b/>
      <w:sz w:val="28"/>
      <w:u w:val="single"/>
      <w:lang w:eastAsia="en-GB"/>
    </w:rPr>
  </w:style>
  <w:style w:type="character" w:customStyle="1" w:styleId="SubtitleChar">
    <w:name w:val="Subtitle Char"/>
    <w:link w:val="Subtitle"/>
    <w:uiPriority w:val="11"/>
    <w:locked/>
    <w:rsid w:val="00EF42AC"/>
    <w:rPr>
      <w:rFonts w:cs="Times New Roman"/>
      <w:b/>
      <w:sz w:val="28"/>
      <w:u w:val="single"/>
      <w:lang w:val="en-GB" w:eastAsia="en-GB"/>
    </w:rPr>
  </w:style>
  <w:style w:type="paragraph" w:styleId="CommentSubject">
    <w:name w:val="annotation subject"/>
    <w:basedOn w:val="CommentText"/>
    <w:next w:val="CommentText"/>
    <w:link w:val="CommentSubjectChar"/>
    <w:uiPriority w:val="99"/>
    <w:semiHidden/>
    <w:unhideWhenUsed/>
    <w:rsid w:val="00A72FE8"/>
    <w:pPr>
      <w:keepLines w:val="0"/>
      <w:spacing w:after="0" w:line="240" w:lineRule="auto"/>
      <w:jc w:val="left"/>
    </w:pPr>
    <w:rPr>
      <w:rFonts w:ascii="Garamond" w:hAnsi="Garamond"/>
      <w:b/>
      <w:bCs/>
      <w:sz w:val="20"/>
      <w:lang w:val="en-GB"/>
    </w:rPr>
  </w:style>
  <w:style w:type="character" w:customStyle="1" w:styleId="CommentSubjectChar">
    <w:name w:val="Comment Subject Char"/>
    <w:link w:val="CommentSubject"/>
    <w:uiPriority w:val="99"/>
    <w:semiHidden/>
    <w:locked/>
    <w:rsid w:val="00A72FE8"/>
    <w:rPr>
      <w:rFonts w:ascii="Garamond" w:hAnsi="Garamond" w:cs="Times New Roman"/>
      <w:b/>
      <w:bCs/>
      <w:sz w:val="16"/>
      <w:lang w:val="en-GB" w:eastAsia="x-none"/>
    </w:rPr>
  </w:style>
  <w:style w:type="character" w:customStyle="1" w:styleId="FootnoteBaseChar">
    <w:name w:val="Footnote Base Char"/>
    <w:link w:val="FootnoteBase"/>
    <w:locked/>
    <w:rsid w:val="00A72FE8"/>
    <w:rPr>
      <w:rFonts w:cs="Times New Roman"/>
      <w:sz w:val="16"/>
    </w:rPr>
  </w:style>
  <w:style w:type="paragraph" w:customStyle="1" w:styleId="BodytextparagraphsEXSUM">
    <w:name w:val="Body text paragraphs EX SUM"/>
    <w:basedOn w:val="BodyText"/>
    <w:link w:val="BodytextparagraphsEXSUMChar"/>
    <w:qFormat/>
    <w:rsid w:val="00F85B8C"/>
    <w:pPr>
      <w:numPr>
        <w:numId w:val="2"/>
      </w:numPr>
      <w:overflowPunct/>
      <w:autoSpaceDE/>
      <w:autoSpaceDN/>
      <w:adjustRightInd/>
      <w:spacing w:before="120" w:line="240" w:lineRule="auto"/>
      <w:textAlignment w:val="auto"/>
    </w:pPr>
    <w:rPr>
      <w:sz w:val="22"/>
      <w:szCs w:val="22"/>
      <w:lang w:val="en-GB" w:eastAsia="x-none"/>
    </w:rPr>
  </w:style>
  <w:style w:type="character" w:customStyle="1" w:styleId="BodytextparagraphsEXSUMChar">
    <w:name w:val="Body text paragraphs EX SUM Char"/>
    <w:link w:val="BodytextparagraphsEXSUM"/>
    <w:locked/>
    <w:rsid w:val="00F85B8C"/>
    <w:rPr>
      <w:sz w:val="22"/>
      <w:szCs w:val="22"/>
      <w:lang w:val="en-GB" w:eastAsia="x-none"/>
    </w:rPr>
  </w:style>
  <w:style w:type="character" w:styleId="Strong">
    <w:name w:val="Strong"/>
    <w:uiPriority w:val="22"/>
    <w:qFormat/>
    <w:rsid w:val="00883AC8"/>
    <w:rPr>
      <w:rFonts w:cs="Times New Roman"/>
      <w:b/>
      <w:bCs/>
    </w:rPr>
  </w:style>
  <w:style w:type="paragraph" w:customStyle="1" w:styleId="Heading21">
    <w:name w:val="Heading 21"/>
    <w:basedOn w:val="Normal"/>
    <w:next w:val="Normal"/>
    <w:uiPriority w:val="9"/>
    <w:unhideWhenUsed/>
    <w:qFormat/>
    <w:rsid w:val="00A75C0F"/>
    <w:pPr>
      <w:pBdr>
        <w:top w:val="single" w:sz="24" w:space="0" w:color="DBE5F1"/>
        <w:left w:val="single" w:sz="24" w:space="0" w:color="DBE5F1"/>
        <w:bottom w:val="single" w:sz="24" w:space="0" w:color="DBE5F1"/>
        <w:right w:val="single" w:sz="24" w:space="0" w:color="DBE5F1"/>
      </w:pBdr>
      <w:shd w:val="clear" w:color="auto" w:fill="DBE5F1"/>
      <w:overflowPunct/>
      <w:autoSpaceDE/>
      <w:autoSpaceDN/>
      <w:adjustRightInd/>
      <w:spacing w:before="200" w:line="276" w:lineRule="auto"/>
      <w:textAlignment w:val="auto"/>
      <w:outlineLvl w:val="1"/>
    </w:pPr>
    <w:rPr>
      <w:rFonts w:ascii="Calibri" w:hAnsi="Calibri"/>
      <w:caps/>
      <w:spacing w:val="15"/>
      <w:szCs w:val="22"/>
      <w:lang w:val="en-US"/>
    </w:rPr>
  </w:style>
  <w:style w:type="character" w:customStyle="1" w:styleId="ListParagraphChar">
    <w:name w:val="List Paragraph Char"/>
    <w:aliases w:val="Bullit Char,List Paragraph1 Char,Bullets Char"/>
    <w:link w:val="ListParagraph"/>
    <w:uiPriority w:val="34"/>
    <w:locked/>
    <w:rsid w:val="00FB589F"/>
    <w:rPr>
      <w:rFonts w:ascii="Calibri" w:eastAsia="Times New Roman" w:hAnsi="Calibri" w:cs="Times New Roman"/>
      <w:sz w:val="22"/>
      <w:szCs w:val="22"/>
    </w:rPr>
  </w:style>
  <w:style w:type="paragraph" w:customStyle="1" w:styleId="Heading11">
    <w:name w:val="Heading 11"/>
    <w:basedOn w:val="Normal"/>
    <w:next w:val="Normal"/>
    <w:uiPriority w:val="9"/>
    <w:qFormat/>
    <w:rsid w:val="00B25382"/>
    <w:pPr>
      <w:pBdr>
        <w:top w:val="single" w:sz="24" w:space="0" w:color="4F81BD"/>
        <w:left w:val="single" w:sz="24" w:space="0" w:color="4F81BD"/>
        <w:bottom w:val="single" w:sz="24" w:space="0" w:color="4F81BD"/>
        <w:right w:val="single" w:sz="24" w:space="0" w:color="4F81BD"/>
      </w:pBdr>
      <w:shd w:val="clear" w:color="auto" w:fill="4F81BD"/>
      <w:overflowPunct/>
      <w:autoSpaceDE/>
      <w:autoSpaceDN/>
      <w:adjustRightInd/>
      <w:spacing w:before="200" w:line="276" w:lineRule="auto"/>
      <w:textAlignment w:val="auto"/>
      <w:outlineLvl w:val="0"/>
    </w:pPr>
    <w:rPr>
      <w:rFonts w:asciiTheme="minorHAnsi" w:eastAsiaTheme="minorEastAsia" w:hAnsiTheme="minorHAnsi" w:cstheme="minorBidi"/>
      <w:b/>
      <w:bCs/>
      <w:caps/>
      <w:color w:val="FFFFFF"/>
      <w:spacing w:val="15"/>
      <w:szCs w:val="22"/>
      <w:lang w:val="en-US"/>
    </w:rPr>
  </w:style>
  <w:style w:type="table" w:styleId="MediumShading2-Accent4">
    <w:name w:val="Medium Shading 2 Accent 4"/>
    <w:basedOn w:val="TableNormal"/>
    <w:uiPriority w:val="64"/>
    <w:rsid w:val="000625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5">
    <w:name w:val="Light List Accent 5"/>
    <w:basedOn w:val="TableNormal"/>
    <w:uiPriority w:val="61"/>
    <w:rsid w:val="000625C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
    <w:name w:val="Light List"/>
    <w:basedOn w:val="TableNormal"/>
    <w:uiPriority w:val="61"/>
    <w:rsid w:val="000625C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1">
    <w:name w:val="Medium List 1"/>
    <w:basedOn w:val="TableNormal"/>
    <w:uiPriority w:val="65"/>
    <w:rsid w:val="000625C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4">
    <w:name w:val="Medium List 1 Accent 4"/>
    <w:basedOn w:val="TableNormal"/>
    <w:uiPriority w:val="65"/>
    <w:rsid w:val="000625CB"/>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Shading2-Accent5">
    <w:name w:val="Medium Shading 2 Accent 5"/>
    <w:basedOn w:val="TableNormal"/>
    <w:uiPriority w:val="64"/>
    <w:rsid w:val="000625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rsid w:val="000625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
    <w:name w:val="Colorful List"/>
    <w:basedOn w:val="TableNormal"/>
    <w:uiPriority w:val="72"/>
    <w:rsid w:val="000625CB"/>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3">
    <w:name w:val="Colorful List Accent 3"/>
    <w:basedOn w:val="TableNormal"/>
    <w:uiPriority w:val="72"/>
    <w:rsid w:val="000625CB"/>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Grid-Accent5">
    <w:name w:val="Colorful Grid Accent 5"/>
    <w:basedOn w:val="TableNormal"/>
    <w:uiPriority w:val="73"/>
    <w:rsid w:val="000625CB"/>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List-Accent1">
    <w:name w:val="Light List Accent 1"/>
    <w:basedOn w:val="TableNormal"/>
    <w:uiPriority w:val="61"/>
    <w:rsid w:val="000625C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a3">
    <w:name w:val="Pa3"/>
    <w:basedOn w:val="Normal"/>
    <w:next w:val="Normal"/>
    <w:uiPriority w:val="99"/>
    <w:rsid w:val="00D74C22"/>
    <w:pPr>
      <w:overflowPunct/>
      <w:spacing w:line="141" w:lineRule="atLeast"/>
      <w:textAlignment w:val="auto"/>
    </w:pPr>
    <w:rPr>
      <w:rFonts w:ascii="Arial" w:eastAsia="Calibri" w:hAnsi="Arial"/>
      <w:sz w:val="24"/>
      <w:szCs w:val="24"/>
      <w:lang w:val="en-US"/>
    </w:rPr>
  </w:style>
  <w:style w:type="paragraph" w:customStyle="1" w:styleId="Heading31">
    <w:name w:val="Heading 31"/>
    <w:basedOn w:val="Heading51"/>
    <w:next w:val="Normal"/>
    <w:uiPriority w:val="9"/>
    <w:unhideWhenUsed/>
    <w:qFormat/>
    <w:rsid w:val="00FD55BC"/>
  </w:style>
  <w:style w:type="paragraph" w:customStyle="1" w:styleId="Heading51">
    <w:name w:val="Heading 51"/>
    <w:basedOn w:val="Normal"/>
    <w:next w:val="Normal"/>
    <w:uiPriority w:val="9"/>
    <w:unhideWhenUsed/>
    <w:qFormat/>
    <w:rsid w:val="00FD55BC"/>
    <w:pPr>
      <w:pBdr>
        <w:bottom w:val="single" w:sz="6" w:space="1" w:color="4F81BD"/>
      </w:pBdr>
      <w:overflowPunct/>
      <w:autoSpaceDE/>
      <w:autoSpaceDN/>
      <w:adjustRightInd/>
      <w:spacing w:before="300" w:line="276" w:lineRule="auto"/>
      <w:textAlignment w:val="auto"/>
      <w:outlineLvl w:val="4"/>
    </w:pPr>
    <w:rPr>
      <w:rFonts w:asciiTheme="minorHAnsi" w:hAnsiTheme="minorHAnsi" w:cstheme="minorBidi"/>
      <w:b/>
      <w:caps/>
      <w:spacing w:val="10"/>
      <w:szCs w:val="22"/>
      <w:lang w:val="en-US"/>
    </w:rPr>
  </w:style>
  <w:style w:type="paragraph" w:styleId="NoSpacing">
    <w:name w:val="No Spacing"/>
    <w:uiPriority w:val="1"/>
    <w:qFormat/>
    <w:rsid w:val="005D1E74"/>
    <w:rPr>
      <w:rFonts w:asciiTheme="minorHAnsi" w:eastAsiaTheme="minorHAnsi" w:hAnsiTheme="minorHAnsi" w:cstheme="minorBidi"/>
      <w:sz w:val="22"/>
      <w:szCs w:val="22"/>
    </w:rPr>
  </w:style>
  <w:style w:type="character" w:customStyle="1" w:styleId="read-more-text1">
    <w:name w:val="read-more-text1"/>
    <w:basedOn w:val="DefaultParagraphFont"/>
    <w:rsid w:val="00063D23"/>
    <w:rPr>
      <w:vanish/>
      <w:webHidden w:val="0"/>
      <w:specVanish w:val="0"/>
    </w:rPr>
  </w:style>
  <w:style w:type="paragraph" w:styleId="Title">
    <w:name w:val="Title"/>
    <w:basedOn w:val="Normal"/>
    <w:next w:val="Normal"/>
    <w:link w:val="TitleChar1"/>
    <w:uiPriority w:val="99"/>
    <w:qFormat/>
    <w:rsid w:val="000E3572"/>
    <w:pPr>
      <w:pBdr>
        <w:bottom w:val="single" w:sz="8" w:space="4" w:color="4F81BD"/>
      </w:pBdr>
      <w:overflowPunct/>
      <w:autoSpaceDE/>
      <w:autoSpaceDN/>
      <w:adjustRightInd/>
      <w:spacing w:after="300"/>
      <w:contextualSpacing/>
      <w:textAlignment w:val="auto"/>
    </w:pPr>
    <w:rPr>
      <w:rFonts w:ascii="Cambria" w:hAnsi="Cambria"/>
      <w:color w:val="17365D"/>
      <w:spacing w:val="5"/>
      <w:kern w:val="28"/>
      <w:sz w:val="52"/>
      <w:szCs w:val="52"/>
      <w:lang w:val="es-ES"/>
    </w:rPr>
  </w:style>
  <w:style w:type="character" w:customStyle="1" w:styleId="TitleChar">
    <w:name w:val="Title Char"/>
    <w:basedOn w:val="DefaultParagraphFont"/>
    <w:uiPriority w:val="99"/>
    <w:rsid w:val="000E3572"/>
    <w:rPr>
      <w:rFonts w:asciiTheme="majorHAnsi" w:eastAsiaTheme="majorEastAsia" w:hAnsiTheme="majorHAnsi" w:cstheme="majorBidi"/>
      <w:color w:val="17365D" w:themeColor="text2" w:themeShade="BF"/>
      <w:spacing w:val="5"/>
      <w:kern w:val="28"/>
      <w:sz w:val="52"/>
      <w:szCs w:val="52"/>
      <w:lang w:val="en-GB"/>
    </w:rPr>
  </w:style>
  <w:style w:type="character" w:customStyle="1" w:styleId="TitleChar1">
    <w:name w:val="Title Char1"/>
    <w:basedOn w:val="DefaultParagraphFont"/>
    <w:link w:val="Title"/>
    <w:uiPriority w:val="10"/>
    <w:rsid w:val="000E3572"/>
    <w:rPr>
      <w:rFonts w:ascii="Cambria" w:hAnsi="Cambria"/>
      <w:color w:val="17365D"/>
      <w:spacing w:val="5"/>
      <w:kern w:val="28"/>
      <w:sz w:val="52"/>
      <w:szCs w:val="52"/>
      <w:lang w:val="es-ES"/>
    </w:rPr>
  </w:style>
  <w:style w:type="character" w:customStyle="1" w:styleId="undpStyle">
    <w:name w:val="undpStyle"/>
    <w:rsid w:val="002F1243"/>
    <w:rPr>
      <w:rFonts w:ascii="Calibri" w:hAnsi="Calibri" w:cs="Calibri"/>
      <w:sz w:val="22"/>
      <w:szCs w:val="22"/>
    </w:rPr>
  </w:style>
  <w:style w:type="paragraph" w:customStyle="1" w:styleId="npara">
    <w:name w:val="npara"/>
    <w:rsid w:val="002F1243"/>
    <w:pPr>
      <w:spacing w:after="100" w:line="276" w:lineRule="auto"/>
    </w:pPr>
    <w:rPr>
      <w:rFonts w:ascii="Arial" w:eastAsia="Arial" w:hAnsi="Arial" w:cs="Arial"/>
    </w:rPr>
  </w:style>
  <w:style w:type="paragraph" w:customStyle="1" w:styleId="DefaultText">
    <w:name w:val="Default Text"/>
    <w:basedOn w:val="Normal"/>
    <w:rsid w:val="00192615"/>
    <w:pPr>
      <w:overflowPunct/>
      <w:jc w:val="both"/>
      <w:textAlignment w:val="auto"/>
    </w:pPr>
    <w:rPr>
      <w:rFonts w:ascii="Times New Roman" w:hAnsi="Times New Roman"/>
      <w:sz w:val="24"/>
      <w:szCs w:val="24"/>
      <w:lang w:val="en-US"/>
    </w:rPr>
  </w:style>
  <w:style w:type="paragraph" w:customStyle="1" w:styleId="BodyText21">
    <w:name w:val="Body Text 21"/>
    <w:basedOn w:val="Normal"/>
    <w:rsid w:val="00520EF8"/>
    <w:pPr>
      <w:widowControl w:val="0"/>
      <w:overflowPunct/>
      <w:autoSpaceDE/>
      <w:autoSpaceDN/>
      <w:adjustRightInd/>
      <w:spacing w:before="240"/>
      <w:jc w:val="both"/>
      <w:textAlignment w:val="auto"/>
    </w:pPr>
    <w:rPr>
      <w:rFonts w:ascii="Times New Roman" w:hAnsi="Times New Roman"/>
      <w:snapToGrid w:val="0"/>
      <w:lang w:val="en-US"/>
    </w:rPr>
  </w:style>
  <w:style w:type="paragraph" w:customStyle="1" w:styleId="FootnoteReference1">
    <w:name w:val="Footnote Reference1"/>
    <w:basedOn w:val="Normal"/>
    <w:rsid w:val="00520EF8"/>
    <w:pPr>
      <w:overflowPunct/>
      <w:autoSpaceDE/>
      <w:autoSpaceDN/>
      <w:adjustRightInd/>
      <w:textAlignment w:val="auto"/>
    </w:pPr>
    <w:rPr>
      <w:rFonts w:ascii="Times" w:hAnsi="Times"/>
      <w:snapToGrid w:val="0"/>
      <w:position w:val="7"/>
      <w:lang w:val="en-US"/>
    </w:rPr>
  </w:style>
  <w:style w:type="character" w:customStyle="1" w:styleId="st1">
    <w:name w:val="st1"/>
    <w:basedOn w:val="DefaultParagraphFont"/>
    <w:rsid w:val="002D12AE"/>
  </w:style>
  <w:style w:type="paragraph" w:customStyle="1" w:styleId="a">
    <w:name w:val="Стиль"/>
    <w:basedOn w:val="Normal"/>
    <w:rsid w:val="003F58A5"/>
    <w:pPr>
      <w:suppressAutoHyphens/>
      <w:overflowPunct/>
      <w:spacing w:line="288" w:lineRule="auto"/>
      <w:textAlignment w:val="center"/>
    </w:pPr>
    <w:rPr>
      <w:rFonts w:ascii="Times New Roman" w:hAnsi="Times New Roman"/>
      <w:color w:val="000000"/>
      <w:sz w:val="24"/>
      <w:szCs w:val="24"/>
      <w:lang w:val="en-US" w:eastAsia="ru-RU"/>
    </w:rPr>
  </w:style>
  <w:style w:type="character" w:customStyle="1" w:styleId="FootnoteTextChar1">
    <w:name w:val="Footnote Text Char1"/>
    <w:uiPriority w:val="99"/>
    <w:locked/>
    <w:rsid w:val="00484F4E"/>
    <w:rPr>
      <w:rFonts w:ascii="Arial" w:hAnsi="Arial"/>
      <w:sz w:val="18"/>
      <w:szCs w:val="20"/>
    </w:rPr>
  </w:style>
  <w:style w:type="character" w:customStyle="1" w:styleId="st">
    <w:name w:val="st"/>
    <w:basedOn w:val="DefaultParagraphFont"/>
    <w:rsid w:val="008F1CBC"/>
  </w:style>
  <w:style w:type="character" w:customStyle="1" w:styleId="BodyText1">
    <w:name w:val="Body Text1"/>
    <w:rsid w:val="009647C3"/>
    <w:rPr>
      <w:rFonts w:ascii="Arial" w:hAnsi="Arial" w:cs="Arial"/>
      <w:sz w:val="21"/>
      <w:szCs w:val="21"/>
    </w:rPr>
  </w:style>
  <w:style w:type="paragraph" w:customStyle="1" w:styleId="f4">
    <w:name w:val="f4"/>
    <w:semiHidden/>
    <w:rsid w:val="00683959"/>
    <w:pPr>
      <w:widowControl w:val="0"/>
    </w:pPr>
    <w:rPr>
      <w:rFonts w:ascii="CG Times" w:eastAsia="SimSun" w:hAnsi="CG Times"/>
      <w:sz w:val="22"/>
      <w:lang w:eastAsia="zh-CN"/>
    </w:rPr>
  </w:style>
  <w:style w:type="character" w:customStyle="1" w:styleId="A9">
    <w:name w:val="A9"/>
    <w:uiPriority w:val="99"/>
    <w:rsid w:val="001478D7"/>
    <w:rPr>
      <w:rFonts w:ascii="Avenir LT Std 45 Book" w:hAnsi="Avenir LT Std 45 Book" w:cs="Avenir LT Std 45 Book"/>
      <w:color w:val="3D4442"/>
      <w:sz w:val="11"/>
      <w:szCs w:val="11"/>
    </w:rPr>
  </w:style>
  <w:style w:type="character" w:customStyle="1" w:styleId="59-2-1">
    <w:name w:val="59-2-1"/>
    <w:basedOn w:val="DefaultParagraphFont"/>
    <w:rsid w:val="00C929BE"/>
  </w:style>
  <w:style w:type="paragraph" w:customStyle="1" w:styleId="CharCharCharCharCharCharCharCharCharCharCharCharChar">
    <w:name w:val="Char Char Char Char Char Char Char Char Char Char Char Char Char"/>
    <w:basedOn w:val="Normal"/>
    <w:rsid w:val="00A9580D"/>
    <w:pPr>
      <w:overflowPunct/>
      <w:autoSpaceDE/>
      <w:autoSpaceDN/>
      <w:adjustRightInd/>
      <w:spacing w:after="160" w:line="240" w:lineRule="exact"/>
      <w:textAlignment w:val="auto"/>
    </w:pPr>
    <w:rPr>
      <w:rFonts w:ascii="Calibri" w:eastAsia="SimSun" w:hAnsi="Calibri"/>
      <w:kern w:val="2"/>
      <w:sz w:val="21"/>
      <w:szCs w:val="22"/>
      <w:lang w:val="en-US" w:eastAsia="zh-CN"/>
    </w:rPr>
  </w:style>
  <w:style w:type="character" w:customStyle="1" w:styleId="FootnoteCharacters">
    <w:name w:val="Footnote Characters"/>
    <w:rsid w:val="00744D76"/>
    <w:rPr>
      <w:vertAlign w:val="superscript"/>
    </w:rPr>
  </w:style>
  <w:style w:type="character" w:customStyle="1" w:styleId="A6">
    <w:name w:val="A6"/>
    <w:uiPriority w:val="99"/>
    <w:rsid w:val="004E0DCA"/>
    <w:rPr>
      <w:rFonts w:cs="Myriad Pro Light"/>
      <w:color w:val="211D1E"/>
      <w:sz w:val="19"/>
      <w:szCs w:val="19"/>
    </w:rPr>
  </w:style>
  <w:style w:type="character" w:customStyle="1" w:styleId="a0">
    <w:name w:val="a"/>
    <w:basedOn w:val="DefaultParagraphFont"/>
    <w:rsid w:val="0039453C"/>
  </w:style>
  <w:style w:type="character" w:customStyle="1" w:styleId="il">
    <w:name w:val="il"/>
    <w:basedOn w:val="DefaultParagraphFont"/>
    <w:rsid w:val="009B1A34"/>
  </w:style>
  <w:style w:type="character" w:customStyle="1" w:styleId="tgc">
    <w:name w:val="_tgc"/>
    <w:basedOn w:val="DefaultParagraphFont"/>
    <w:rsid w:val="00867D2C"/>
  </w:style>
  <w:style w:type="character" w:customStyle="1" w:styleId="regionaltitle">
    <w:name w:val="regional_title"/>
    <w:basedOn w:val="DefaultParagraphFont"/>
    <w:rsid w:val="00E33639"/>
    <w:rPr>
      <w:rFonts w:ascii="Trebuchet MS" w:hAnsi="Trebuchet MS" w:hint="default"/>
    </w:rPr>
  </w:style>
  <w:style w:type="paragraph" w:customStyle="1" w:styleId="BPBodytext">
    <w:name w:val="BP_Bodytext"/>
    <w:basedOn w:val="Normal"/>
    <w:qFormat/>
    <w:rsid w:val="008A3C63"/>
    <w:pPr>
      <w:overflowPunct/>
      <w:autoSpaceDE/>
      <w:autoSpaceDN/>
      <w:adjustRightInd/>
      <w:ind w:firstLine="567"/>
      <w:jc w:val="both"/>
      <w:textAlignment w:val="auto"/>
    </w:pPr>
    <w:rPr>
      <w:rFonts w:asciiTheme="minorHAnsi" w:eastAsia="Calibri" w:hAnsiTheme="minorHAnsi"/>
      <w:sz w:val="24"/>
      <w:szCs w:val="22"/>
      <w:lang w:val="sv-SE"/>
    </w:rPr>
  </w:style>
  <w:style w:type="paragraph" w:customStyle="1" w:styleId="ParaCharChar">
    <w:name w:val="Para Char Char"/>
    <w:basedOn w:val="Normal"/>
    <w:autoRedefine/>
    <w:rsid w:val="00026EA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autoSpaceDE/>
      <w:adjustRightInd/>
      <w:spacing w:before="120"/>
      <w:ind w:right="-7"/>
    </w:pPr>
    <w:rPr>
      <w:rFonts w:ascii="Arial" w:eastAsia="Arial Unicode MS" w:hAnsi="Arial" w:cs="Arial"/>
      <w:sz w:val="20"/>
      <w:lang w:val="en-US"/>
    </w:rPr>
  </w:style>
  <w:style w:type="paragraph" w:styleId="BlockText">
    <w:name w:val="Block Text"/>
    <w:basedOn w:val="Normal"/>
    <w:rsid w:val="00313A90"/>
    <w:pPr>
      <w:overflowPunct/>
      <w:autoSpaceDE/>
      <w:autoSpaceDN/>
      <w:adjustRightInd/>
      <w:textAlignment w:val="auto"/>
    </w:pPr>
    <w:rPr>
      <w:rFonts w:ascii="Times New Roman" w:hAnsi="Times New Roman"/>
      <w:sz w:val="24"/>
    </w:rPr>
  </w:style>
  <w:style w:type="paragraph" w:customStyle="1" w:styleId="BlockLine">
    <w:name w:val="Block Line"/>
    <w:basedOn w:val="Normal"/>
    <w:next w:val="Normal"/>
    <w:rsid w:val="00313A90"/>
    <w:pPr>
      <w:pBdr>
        <w:top w:val="single" w:sz="6" w:space="1" w:color="auto"/>
        <w:between w:val="single" w:sz="6" w:space="1" w:color="auto"/>
      </w:pBdr>
      <w:overflowPunct/>
      <w:autoSpaceDE/>
      <w:autoSpaceDN/>
      <w:adjustRightInd/>
      <w:spacing w:before="240"/>
      <w:ind w:left="1700"/>
      <w:textAlignment w:val="auto"/>
    </w:pPr>
    <w:rPr>
      <w:rFonts w:ascii="Times New Roman" w:hAnsi="Times New Roman"/>
      <w:sz w:val="24"/>
    </w:rPr>
  </w:style>
  <w:style w:type="character" w:customStyle="1" w:styleId="heading60">
    <w:name w:val="heading6"/>
    <w:basedOn w:val="DefaultParagraphFont"/>
    <w:rsid w:val="00964FED"/>
    <w:rPr>
      <w:vanish w:val="0"/>
      <w:webHidden w:val="0"/>
      <w:color w:val="FFFFFF"/>
      <w:sz w:val="27"/>
      <w:szCs w:val="27"/>
      <w:specVanish w:val="0"/>
    </w:rPr>
  </w:style>
  <w:style w:type="paragraph" w:customStyle="1" w:styleId="NumberedParas">
    <w:name w:val="Numbered Paras"/>
    <w:basedOn w:val="Normal"/>
    <w:link w:val="NumberedParasChar"/>
    <w:qFormat/>
    <w:rsid w:val="006F5A79"/>
    <w:pPr>
      <w:numPr>
        <w:numId w:val="16"/>
      </w:numPr>
      <w:overflowPunct/>
      <w:autoSpaceDE/>
      <w:autoSpaceDN/>
      <w:adjustRightInd/>
      <w:ind w:left="0" w:firstLine="0"/>
      <w:jc w:val="both"/>
      <w:textAlignment w:val="auto"/>
    </w:pPr>
    <w:rPr>
      <w:rFonts w:ascii="Times New Roman" w:hAnsi="Times New Roman"/>
      <w:noProof/>
      <w:sz w:val="24"/>
      <w:szCs w:val="22"/>
      <w:lang w:val="en-US"/>
    </w:rPr>
  </w:style>
  <w:style w:type="character" w:customStyle="1" w:styleId="NumberedParasChar">
    <w:name w:val="Numbered Paras Char"/>
    <w:basedOn w:val="DefaultParagraphFont"/>
    <w:link w:val="NumberedParas"/>
    <w:rsid w:val="006F5A79"/>
    <w:rPr>
      <w:noProof/>
      <w:sz w:val="24"/>
      <w:szCs w:val="22"/>
    </w:rPr>
  </w:style>
  <w:style w:type="paragraph" w:customStyle="1" w:styleId="calibribody">
    <w:name w:val="calibri body"/>
    <w:basedOn w:val="Normal"/>
    <w:rsid w:val="0081542A"/>
    <w:pPr>
      <w:widowControl w:val="0"/>
      <w:overflowPunct/>
      <w:spacing w:after="240" w:line="300" w:lineRule="atLeast"/>
      <w:textAlignment w:val="auto"/>
    </w:pPr>
    <w:rPr>
      <w:rFonts w:asciiTheme="minorHAnsi" w:hAnsiTheme="minorHAnsi"/>
      <w:sz w:val="24"/>
      <w:szCs w:val="24"/>
    </w:rPr>
  </w:style>
  <w:style w:type="paragraph" w:customStyle="1" w:styleId="calibriBody0">
    <w:name w:val="calibri (Body)"/>
    <w:basedOn w:val="calibribody"/>
    <w:rsid w:val="0081542A"/>
  </w:style>
  <w:style w:type="paragraph" w:styleId="Revision">
    <w:name w:val="Revision"/>
    <w:hidden/>
    <w:uiPriority w:val="99"/>
    <w:semiHidden/>
    <w:rsid w:val="001749E4"/>
    <w:rPr>
      <w:rFonts w:ascii="Garamond" w:hAnsi="Garamond"/>
      <w:sz w:val="22"/>
      <w:lang w:val="en-GB"/>
    </w:rPr>
  </w:style>
  <w:style w:type="paragraph" w:customStyle="1" w:styleId="CM7">
    <w:name w:val="CM7"/>
    <w:basedOn w:val="Normal"/>
    <w:next w:val="Normal"/>
    <w:uiPriority w:val="99"/>
    <w:rsid w:val="00BA3505"/>
    <w:pPr>
      <w:widowControl w:val="0"/>
      <w:overflowPunct/>
      <w:textAlignment w:val="auto"/>
    </w:pPr>
    <w:rPr>
      <w:rFonts w:ascii="Times New Roman PSMT" w:hAnsi="Times New Roman PSMT"/>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3334">
      <w:bodyDiv w:val="1"/>
      <w:marLeft w:val="0"/>
      <w:marRight w:val="0"/>
      <w:marTop w:val="0"/>
      <w:marBottom w:val="0"/>
      <w:divBdr>
        <w:top w:val="none" w:sz="0" w:space="0" w:color="auto"/>
        <w:left w:val="none" w:sz="0" w:space="0" w:color="auto"/>
        <w:bottom w:val="none" w:sz="0" w:space="0" w:color="auto"/>
        <w:right w:val="none" w:sz="0" w:space="0" w:color="auto"/>
      </w:divBdr>
    </w:div>
    <w:div w:id="19937680">
      <w:bodyDiv w:val="1"/>
      <w:marLeft w:val="0"/>
      <w:marRight w:val="0"/>
      <w:marTop w:val="0"/>
      <w:marBottom w:val="0"/>
      <w:divBdr>
        <w:top w:val="none" w:sz="0" w:space="0" w:color="auto"/>
        <w:left w:val="none" w:sz="0" w:space="0" w:color="auto"/>
        <w:bottom w:val="none" w:sz="0" w:space="0" w:color="auto"/>
        <w:right w:val="none" w:sz="0" w:space="0" w:color="auto"/>
      </w:divBdr>
      <w:divsChild>
        <w:div w:id="263727781">
          <w:marLeft w:val="0"/>
          <w:marRight w:val="0"/>
          <w:marTop w:val="0"/>
          <w:marBottom w:val="0"/>
          <w:divBdr>
            <w:top w:val="none" w:sz="0" w:space="0" w:color="auto"/>
            <w:left w:val="none" w:sz="0" w:space="0" w:color="auto"/>
            <w:bottom w:val="none" w:sz="0" w:space="0" w:color="auto"/>
            <w:right w:val="none" w:sz="0" w:space="0" w:color="auto"/>
          </w:divBdr>
        </w:div>
        <w:div w:id="13504024">
          <w:marLeft w:val="0"/>
          <w:marRight w:val="0"/>
          <w:marTop w:val="0"/>
          <w:marBottom w:val="0"/>
          <w:divBdr>
            <w:top w:val="none" w:sz="0" w:space="0" w:color="auto"/>
            <w:left w:val="none" w:sz="0" w:space="0" w:color="auto"/>
            <w:bottom w:val="none" w:sz="0" w:space="0" w:color="auto"/>
            <w:right w:val="none" w:sz="0" w:space="0" w:color="auto"/>
          </w:divBdr>
        </w:div>
        <w:div w:id="1226138914">
          <w:marLeft w:val="0"/>
          <w:marRight w:val="0"/>
          <w:marTop w:val="0"/>
          <w:marBottom w:val="0"/>
          <w:divBdr>
            <w:top w:val="none" w:sz="0" w:space="0" w:color="auto"/>
            <w:left w:val="none" w:sz="0" w:space="0" w:color="auto"/>
            <w:bottom w:val="none" w:sz="0" w:space="0" w:color="auto"/>
            <w:right w:val="none" w:sz="0" w:space="0" w:color="auto"/>
          </w:divBdr>
        </w:div>
        <w:div w:id="1937245513">
          <w:marLeft w:val="0"/>
          <w:marRight w:val="0"/>
          <w:marTop w:val="0"/>
          <w:marBottom w:val="0"/>
          <w:divBdr>
            <w:top w:val="none" w:sz="0" w:space="0" w:color="auto"/>
            <w:left w:val="none" w:sz="0" w:space="0" w:color="auto"/>
            <w:bottom w:val="none" w:sz="0" w:space="0" w:color="auto"/>
            <w:right w:val="none" w:sz="0" w:space="0" w:color="auto"/>
          </w:divBdr>
        </w:div>
        <w:div w:id="1096442441">
          <w:marLeft w:val="0"/>
          <w:marRight w:val="0"/>
          <w:marTop w:val="0"/>
          <w:marBottom w:val="0"/>
          <w:divBdr>
            <w:top w:val="none" w:sz="0" w:space="0" w:color="auto"/>
            <w:left w:val="none" w:sz="0" w:space="0" w:color="auto"/>
            <w:bottom w:val="none" w:sz="0" w:space="0" w:color="auto"/>
            <w:right w:val="none" w:sz="0" w:space="0" w:color="auto"/>
          </w:divBdr>
        </w:div>
        <w:div w:id="983851682">
          <w:marLeft w:val="0"/>
          <w:marRight w:val="0"/>
          <w:marTop w:val="0"/>
          <w:marBottom w:val="0"/>
          <w:divBdr>
            <w:top w:val="none" w:sz="0" w:space="0" w:color="auto"/>
            <w:left w:val="none" w:sz="0" w:space="0" w:color="auto"/>
            <w:bottom w:val="none" w:sz="0" w:space="0" w:color="auto"/>
            <w:right w:val="none" w:sz="0" w:space="0" w:color="auto"/>
          </w:divBdr>
        </w:div>
        <w:div w:id="2120025128">
          <w:marLeft w:val="0"/>
          <w:marRight w:val="0"/>
          <w:marTop w:val="0"/>
          <w:marBottom w:val="0"/>
          <w:divBdr>
            <w:top w:val="none" w:sz="0" w:space="0" w:color="auto"/>
            <w:left w:val="none" w:sz="0" w:space="0" w:color="auto"/>
            <w:bottom w:val="none" w:sz="0" w:space="0" w:color="auto"/>
            <w:right w:val="none" w:sz="0" w:space="0" w:color="auto"/>
          </w:divBdr>
        </w:div>
      </w:divsChild>
    </w:div>
    <w:div w:id="29843496">
      <w:bodyDiv w:val="1"/>
      <w:marLeft w:val="0"/>
      <w:marRight w:val="0"/>
      <w:marTop w:val="0"/>
      <w:marBottom w:val="0"/>
      <w:divBdr>
        <w:top w:val="none" w:sz="0" w:space="0" w:color="auto"/>
        <w:left w:val="none" w:sz="0" w:space="0" w:color="auto"/>
        <w:bottom w:val="none" w:sz="0" w:space="0" w:color="auto"/>
        <w:right w:val="none" w:sz="0" w:space="0" w:color="auto"/>
      </w:divBdr>
    </w:div>
    <w:div w:id="35933142">
      <w:bodyDiv w:val="1"/>
      <w:marLeft w:val="0"/>
      <w:marRight w:val="0"/>
      <w:marTop w:val="0"/>
      <w:marBottom w:val="0"/>
      <w:divBdr>
        <w:top w:val="none" w:sz="0" w:space="0" w:color="auto"/>
        <w:left w:val="none" w:sz="0" w:space="0" w:color="auto"/>
        <w:bottom w:val="none" w:sz="0" w:space="0" w:color="auto"/>
        <w:right w:val="none" w:sz="0" w:space="0" w:color="auto"/>
      </w:divBdr>
    </w:div>
    <w:div w:id="49380101">
      <w:bodyDiv w:val="1"/>
      <w:marLeft w:val="0"/>
      <w:marRight w:val="0"/>
      <w:marTop w:val="0"/>
      <w:marBottom w:val="0"/>
      <w:divBdr>
        <w:top w:val="none" w:sz="0" w:space="0" w:color="auto"/>
        <w:left w:val="none" w:sz="0" w:space="0" w:color="auto"/>
        <w:bottom w:val="none" w:sz="0" w:space="0" w:color="auto"/>
        <w:right w:val="none" w:sz="0" w:space="0" w:color="auto"/>
      </w:divBdr>
    </w:div>
    <w:div w:id="52124353">
      <w:bodyDiv w:val="1"/>
      <w:marLeft w:val="0"/>
      <w:marRight w:val="0"/>
      <w:marTop w:val="0"/>
      <w:marBottom w:val="0"/>
      <w:divBdr>
        <w:top w:val="none" w:sz="0" w:space="0" w:color="auto"/>
        <w:left w:val="none" w:sz="0" w:space="0" w:color="auto"/>
        <w:bottom w:val="none" w:sz="0" w:space="0" w:color="auto"/>
        <w:right w:val="none" w:sz="0" w:space="0" w:color="auto"/>
      </w:divBdr>
    </w:div>
    <w:div w:id="59250992">
      <w:bodyDiv w:val="1"/>
      <w:marLeft w:val="0"/>
      <w:marRight w:val="0"/>
      <w:marTop w:val="0"/>
      <w:marBottom w:val="0"/>
      <w:divBdr>
        <w:top w:val="none" w:sz="0" w:space="0" w:color="auto"/>
        <w:left w:val="none" w:sz="0" w:space="0" w:color="auto"/>
        <w:bottom w:val="none" w:sz="0" w:space="0" w:color="auto"/>
        <w:right w:val="none" w:sz="0" w:space="0" w:color="auto"/>
      </w:divBdr>
    </w:div>
    <w:div w:id="65568667">
      <w:bodyDiv w:val="1"/>
      <w:marLeft w:val="0"/>
      <w:marRight w:val="0"/>
      <w:marTop w:val="0"/>
      <w:marBottom w:val="0"/>
      <w:divBdr>
        <w:top w:val="none" w:sz="0" w:space="0" w:color="auto"/>
        <w:left w:val="none" w:sz="0" w:space="0" w:color="auto"/>
        <w:bottom w:val="none" w:sz="0" w:space="0" w:color="auto"/>
        <w:right w:val="none" w:sz="0" w:space="0" w:color="auto"/>
      </w:divBdr>
    </w:div>
    <w:div w:id="70006154">
      <w:bodyDiv w:val="1"/>
      <w:marLeft w:val="0"/>
      <w:marRight w:val="0"/>
      <w:marTop w:val="0"/>
      <w:marBottom w:val="0"/>
      <w:divBdr>
        <w:top w:val="none" w:sz="0" w:space="0" w:color="auto"/>
        <w:left w:val="none" w:sz="0" w:space="0" w:color="auto"/>
        <w:bottom w:val="none" w:sz="0" w:space="0" w:color="auto"/>
        <w:right w:val="none" w:sz="0" w:space="0" w:color="auto"/>
      </w:divBdr>
      <w:divsChild>
        <w:div w:id="1277254572">
          <w:marLeft w:val="1440"/>
          <w:marRight w:val="0"/>
          <w:marTop w:val="120"/>
          <w:marBottom w:val="120"/>
          <w:divBdr>
            <w:top w:val="none" w:sz="0" w:space="0" w:color="auto"/>
            <w:left w:val="none" w:sz="0" w:space="0" w:color="auto"/>
            <w:bottom w:val="none" w:sz="0" w:space="0" w:color="auto"/>
            <w:right w:val="none" w:sz="0" w:space="0" w:color="auto"/>
          </w:divBdr>
        </w:div>
      </w:divsChild>
    </w:div>
    <w:div w:id="75439197">
      <w:bodyDiv w:val="1"/>
      <w:marLeft w:val="0"/>
      <w:marRight w:val="0"/>
      <w:marTop w:val="0"/>
      <w:marBottom w:val="0"/>
      <w:divBdr>
        <w:top w:val="none" w:sz="0" w:space="0" w:color="auto"/>
        <w:left w:val="none" w:sz="0" w:space="0" w:color="auto"/>
        <w:bottom w:val="none" w:sz="0" w:space="0" w:color="auto"/>
        <w:right w:val="none" w:sz="0" w:space="0" w:color="auto"/>
      </w:divBdr>
    </w:div>
    <w:div w:id="98186563">
      <w:bodyDiv w:val="1"/>
      <w:marLeft w:val="0"/>
      <w:marRight w:val="0"/>
      <w:marTop w:val="0"/>
      <w:marBottom w:val="0"/>
      <w:divBdr>
        <w:top w:val="none" w:sz="0" w:space="0" w:color="auto"/>
        <w:left w:val="none" w:sz="0" w:space="0" w:color="auto"/>
        <w:bottom w:val="none" w:sz="0" w:space="0" w:color="auto"/>
        <w:right w:val="none" w:sz="0" w:space="0" w:color="auto"/>
      </w:divBdr>
    </w:div>
    <w:div w:id="106388701">
      <w:bodyDiv w:val="1"/>
      <w:marLeft w:val="0"/>
      <w:marRight w:val="0"/>
      <w:marTop w:val="0"/>
      <w:marBottom w:val="0"/>
      <w:divBdr>
        <w:top w:val="none" w:sz="0" w:space="0" w:color="auto"/>
        <w:left w:val="none" w:sz="0" w:space="0" w:color="auto"/>
        <w:bottom w:val="none" w:sz="0" w:space="0" w:color="auto"/>
        <w:right w:val="none" w:sz="0" w:space="0" w:color="auto"/>
      </w:divBdr>
      <w:divsChild>
        <w:div w:id="93019151">
          <w:marLeft w:val="576"/>
          <w:marRight w:val="0"/>
          <w:marTop w:val="60"/>
          <w:marBottom w:val="60"/>
          <w:divBdr>
            <w:top w:val="none" w:sz="0" w:space="0" w:color="auto"/>
            <w:left w:val="none" w:sz="0" w:space="0" w:color="auto"/>
            <w:bottom w:val="none" w:sz="0" w:space="0" w:color="auto"/>
            <w:right w:val="none" w:sz="0" w:space="0" w:color="auto"/>
          </w:divBdr>
        </w:div>
        <w:div w:id="597177122">
          <w:marLeft w:val="576"/>
          <w:marRight w:val="0"/>
          <w:marTop w:val="60"/>
          <w:marBottom w:val="60"/>
          <w:divBdr>
            <w:top w:val="none" w:sz="0" w:space="0" w:color="auto"/>
            <w:left w:val="none" w:sz="0" w:space="0" w:color="auto"/>
            <w:bottom w:val="none" w:sz="0" w:space="0" w:color="auto"/>
            <w:right w:val="none" w:sz="0" w:space="0" w:color="auto"/>
          </w:divBdr>
        </w:div>
        <w:div w:id="2092508165">
          <w:marLeft w:val="576"/>
          <w:marRight w:val="0"/>
          <w:marTop w:val="60"/>
          <w:marBottom w:val="60"/>
          <w:divBdr>
            <w:top w:val="none" w:sz="0" w:space="0" w:color="auto"/>
            <w:left w:val="none" w:sz="0" w:space="0" w:color="auto"/>
            <w:bottom w:val="none" w:sz="0" w:space="0" w:color="auto"/>
            <w:right w:val="none" w:sz="0" w:space="0" w:color="auto"/>
          </w:divBdr>
        </w:div>
        <w:div w:id="281962655">
          <w:marLeft w:val="576"/>
          <w:marRight w:val="0"/>
          <w:marTop w:val="60"/>
          <w:marBottom w:val="60"/>
          <w:divBdr>
            <w:top w:val="none" w:sz="0" w:space="0" w:color="auto"/>
            <w:left w:val="none" w:sz="0" w:space="0" w:color="auto"/>
            <w:bottom w:val="none" w:sz="0" w:space="0" w:color="auto"/>
            <w:right w:val="none" w:sz="0" w:space="0" w:color="auto"/>
          </w:divBdr>
        </w:div>
        <w:div w:id="720372072">
          <w:marLeft w:val="576"/>
          <w:marRight w:val="0"/>
          <w:marTop w:val="60"/>
          <w:marBottom w:val="60"/>
          <w:divBdr>
            <w:top w:val="none" w:sz="0" w:space="0" w:color="auto"/>
            <w:left w:val="none" w:sz="0" w:space="0" w:color="auto"/>
            <w:bottom w:val="none" w:sz="0" w:space="0" w:color="auto"/>
            <w:right w:val="none" w:sz="0" w:space="0" w:color="auto"/>
          </w:divBdr>
        </w:div>
      </w:divsChild>
    </w:div>
    <w:div w:id="107284671">
      <w:bodyDiv w:val="1"/>
      <w:marLeft w:val="0"/>
      <w:marRight w:val="0"/>
      <w:marTop w:val="0"/>
      <w:marBottom w:val="0"/>
      <w:divBdr>
        <w:top w:val="none" w:sz="0" w:space="0" w:color="auto"/>
        <w:left w:val="none" w:sz="0" w:space="0" w:color="auto"/>
        <w:bottom w:val="none" w:sz="0" w:space="0" w:color="auto"/>
        <w:right w:val="none" w:sz="0" w:space="0" w:color="auto"/>
      </w:divBdr>
    </w:div>
    <w:div w:id="125785532">
      <w:bodyDiv w:val="1"/>
      <w:marLeft w:val="0"/>
      <w:marRight w:val="0"/>
      <w:marTop w:val="0"/>
      <w:marBottom w:val="0"/>
      <w:divBdr>
        <w:top w:val="none" w:sz="0" w:space="0" w:color="auto"/>
        <w:left w:val="none" w:sz="0" w:space="0" w:color="auto"/>
        <w:bottom w:val="none" w:sz="0" w:space="0" w:color="auto"/>
        <w:right w:val="none" w:sz="0" w:space="0" w:color="auto"/>
      </w:divBdr>
    </w:div>
    <w:div w:id="140125541">
      <w:bodyDiv w:val="1"/>
      <w:marLeft w:val="0"/>
      <w:marRight w:val="0"/>
      <w:marTop w:val="0"/>
      <w:marBottom w:val="0"/>
      <w:divBdr>
        <w:top w:val="none" w:sz="0" w:space="0" w:color="auto"/>
        <w:left w:val="none" w:sz="0" w:space="0" w:color="auto"/>
        <w:bottom w:val="none" w:sz="0" w:space="0" w:color="auto"/>
        <w:right w:val="none" w:sz="0" w:space="0" w:color="auto"/>
      </w:divBdr>
    </w:div>
    <w:div w:id="149100922">
      <w:bodyDiv w:val="1"/>
      <w:marLeft w:val="0"/>
      <w:marRight w:val="0"/>
      <w:marTop w:val="0"/>
      <w:marBottom w:val="0"/>
      <w:divBdr>
        <w:top w:val="none" w:sz="0" w:space="0" w:color="auto"/>
        <w:left w:val="none" w:sz="0" w:space="0" w:color="auto"/>
        <w:bottom w:val="none" w:sz="0" w:space="0" w:color="auto"/>
        <w:right w:val="none" w:sz="0" w:space="0" w:color="auto"/>
      </w:divBdr>
      <w:divsChild>
        <w:div w:id="1170566212">
          <w:marLeft w:val="979"/>
          <w:marRight w:val="0"/>
          <w:marTop w:val="60"/>
          <w:marBottom w:val="0"/>
          <w:divBdr>
            <w:top w:val="none" w:sz="0" w:space="0" w:color="auto"/>
            <w:left w:val="none" w:sz="0" w:space="0" w:color="auto"/>
            <w:bottom w:val="none" w:sz="0" w:space="0" w:color="auto"/>
            <w:right w:val="none" w:sz="0" w:space="0" w:color="auto"/>
          </w:divBdr>
        </w:div>
      </w:divsChild>
    </w:div>
    <w:div w:id="172888976">
      <w:bodyDiv w:val="1"/>
      <w:marLeft w:val="0"/>
      <w:marRight w:val="0"/>
      <w:marTop w:val="0"/>
      <w:marBottom w:val="0"/>
      <w:divBdr>
        <w:top w:val="none" w:sz="0" w:space="0" w:color="auto"/>
        <w:left w:val="none" w:sz="0" w:space="0" w:color="auto"/>
        <w:bottom w:val="none" w:sz="0" w:space="0" w:color="auto"/>
        <w:right w:val="none" w:sz="0" w:space="0" w:color="auto"/>
      </w:divBdr>
    </w:div>
    <w:div w:id="175073912">
      <w:bodyDiv w:val="1"/>
      <w:marLeft w:val="0"/>
      <w:marRight w:val="0"/>
      <w:marTop w:val="0"/>
      <w:marBottom w:val="0"/>
      <w:divBdr>
        <w:top w:val="none" w:sz="0" w:space="0" w:color="auto"/>
        <w:left w:val="none" w:sz="0" w:space="0" w:color="auto"/>
        <w:bottom w:val="none" w:sz="0" w:space="0" w:color="auto"/>
        <w:right w:val="none" w:sz="0" w:space="0" w:color="auto"/>
      </w:divBdr>
    </w:div>
    <w:div w:id="198324784">
      <w:bodyDiv w:val="1"/>
      <w:marLeft w:val="0"/>
      <w:marRight w:val="0"/>
      <w:marTop w:val="0"/>
      <w:marBottom w:val="0"/>
      <w:divBdr>
        <w:top w:val="none" w:sz="0" w:space="0" w:color="auto"/>
        <w:left w:val="none" w:sz="0" w:space="0" w:color="auto"/>
        <w:bottom w:val="none" w:sz="0" w:space="0" w:color="auto"/>
        <w:right w:val="none" w:sz="0" w:space="0" w:color="auto"/>
      </w:divBdr>
    </w:div>
    <w:div w:id="206183040">
      <w:bodyDiv w:val="1"/>
      <w:marLeft w:val="0"/>
      <w:marRight w:val="0"/>
      <w:marTop w:val="0"/>
      <w:marBottom w:val="0"/>
      <w:divBdr>
        <w:top w:val="none" w:sz="0" w:space="0" w:color="auto"/>
        <w:left w:val="none" w:sz="0" w:space="0" w:color="auto"/>
        <w:bottom w:val="none" w:sz="0" w:space="0" w:color="auto"/>
        <w:right w:val="none" w:sz="0" w:space="0" w:color="auto"/>
      </w:divBdr>
    </w:div>
    <w:div w:id="234438510">
      <w:bodyDiv w:val="1"/>
      <w:marLeft w:val="0"/>
      <w:marRight w:val="0"/>
      <w:marTop w:val="0"/>
      <w:marBottom w:val="0"/>
      <w:divBdr>
        <w:top w:val="none" w:sz="0" w:space="0" w:color="auto"/>
        <w:left w:val="none" w:sz="0" w:space="0" w:color="auto"/>
        <w:bottom w:val="none" w:sz="0" w:space="0" w:color="auto"/>
        <w:right w:val="none" w:sz="0" w:space="0" w:color="auto"/>
      </w:divBdr>
      <w:divsChild>
        <w:div w:id="172116392">
          <w:marLeft w:val="576"/>
          <w:marRight w:val="0"/>
          <w:marTop w:val="60"/>
          <w:marBottom w:val="0"/>
          <w:divBdr>
            <w:top w:val="none" w:sz="0" w:space="0" w:color="auto"/>
            <w:left w:val="none" w:sz="0" w:space="0" w:color="auto"/>
            <w:bottom w:val="none" w:sz="0" w:space="0" w:color="auto"/>
            <w:right w:val="none" w:sz="0" w:space="0" w:color="auto"/>
          </w:divBdr>
        </w:div>
        <w:div w:id="1945454576">
          <w:marLeft w:val="576"/>
          <w:marRight w:val="0"/>
          <w:marTop w:val="60"/>
          <w:marBottom w:val="0"/>
          <w:divBdr>
            <w:top w:val="none" w:sz="0" w:space="0" w:color="auto"/>
            <w:left w:val="none" w:sz="0" w:space="0" w:color="auto"/>
            <w:bottom w:val="none" w:sz="0" w:space="0" w:color="auto"/>
            <w:right w:val="none" w:sz="0" w:space="0" w:color="auto"/>
          </w:divBdr>
        </w:div>
        <w:div w:id="752049986">
          <w:marLeft w:val="576"/>
          <w:marRight w:val="0"/>
          <w:marTop w:val="120"/>
          <w:marBottom w:val="0"/>
          <w:divBdr>
            <w:top w:val="none" w:sz="0" w:space="0" w:color="auto"/>
            <w:left w:val="none" w:sz="0" w:space="0" w:color="auto"/>
            <w:bottom w:val="none" w:sz="0" w:space="0" w:color="auto"/>
            <w:right w:val="none" w:sz="0" w:space="0" w:color="auto"/>
          </w:divBdr>
        </w:div>
        <w:div w:id="583490315">
          <w:marLeft w:val="576"/>
          <w:marRight w:val="0"/>
          <w:marTop w:val="60"/>
          <w:marBottom w:val="0"/>
          <w:divBdr>
            <w:top w:val="none" w:sz="0" w:space="0" w:color="auto"/>
            <w:left w:val="none" w:sz="0" w:space="0" w:color="auto"/>
            <w:bottom w:val="none" w:sz="0" w:space="0" w:color="auto"/>
            <w:right w:val="none" w:sz="0" w:space="0" w:color="auto"/>
          </w:divBdr>
        </w:div>
        <w:div w:id="1063989004">
          <w:marLeft w:val="576"/>
          <w:marRight w:val="0"/>
          <w:marTop w:val="120"/>
          <w:marBottom w:val="0"/>
          <w:divBdr>
            <w:top w:val="none" w:sz="0" w:space="0" w:color="auto"/>
            <w:left w:val="none" w:sz="0" w:space="0" w:color="auto"/>
            <w:bottom w:val="none" w:sz="0" w:space="0" w:color="auto"/>
            <w:right w:val="none" w:sz="0" w:space="0" w:color="auto"/>
          </w:divBdr>
        </w:div>
        <w:div w:id="138114110">
          <w:marLeft w:val="576"/>
          <w:marRight w:val="0"/>
          <w:marTop w:val="120"/>
          <w:marBottom w:val="0"/>
          <w:divBdr>
            <w:top w:val="none" w:sz="0" w:space="0" w:color="auto"/>
            <w:left w:val="none" w:sz="0" w:space="0" w:color="auto"/>
            <w:bottom w:val="none" w:sz="0" w:space="0" w:color="auto"/>
            <w:right w:val="none" w:sz="0" w:space="0" w:color="auto"/>
          </w:divBdr>
        </w:div>
      </w:divsChild>
    </w:div>
    <w:div w:id="241917020">
      <w:bodyDiv w:val="1"/>
      <w:marLeft w:val="0"/>
      <w:marRight w:val="0"/>
      <w:marTop w:val="0"/>
      <w:marBottom w:val="0"/>
      <w:divBdr>
        <w:top w:val="none" w:sz="0" w:space="0" w:color="auto"/>
        <w:left w:val="none" w:sz="0" w:space="0" w:color="auto"/>
        <w:bottom w:val="none" w:sz="0" w:space="0" w:color="auto"/>
        <w:right w:val="none" w:sz="0" w:space="0" w:color="auto"/>
      </w:divBdr>
      <w:divsChild>
        <w:div w:id="985282204">
          <w:marLeft w:val="979"/>
          <w:marRight w:val="0"/>
          <w:marTop w:val="120"/>
          <w:marBottom w:val="120"/>
          <w:divBdr>
            <w:top w:val="none" w:sz="0" w:space="0" w:color="auto"/>
            <w:left w:val="none" w:sz="0" w:space="0" w:color="auto"/>
            <w:bottom w:val="none" w:sz="0" w:space="0" w:color="auto"/>
            <w:right w:val="none" w:sz="0" w:space="0" w:color="auto"/>
          </w:divBdr>
        </w:div>
      </w:divsChild>
    </w:div>
    <w:div w:id="242253589">
      <w:bodyDiv w:val="1"/>
      <w:marLeft w:val="0"/>
      <w:marRight w:val="0"/>
      <w:marTop w:val="0"/>
      <w:marBottom w:val="0"/>
      <w:divBdr>
        <w:top w:val="none" w:sz="0" w:space="0" w:color="auto"/>
        <w:left w:val="none" w:sz="0" w:space="0" w:color="auto"/>
        <w:bottom w:val="none" w:sz="0" w:space="0" w:color="auto"/>
        <w:right w:val="none" w:sz="0" w:space="0" w:color="auto"/>
      </w:divBdr>
    </w:div>
    <w:div w:id="245236363">
      <w:bodyDiv w:val="1"/>
      <w:marLeft w:val="0"/>
      <w:marRight w:val="0"/>
      <w:marTop w:val="0"/>
      <w:marBottom w:val="0"/>
      <w:divBdr>
        <w:top w:val="none" w:sz="0" w:space="0" w:color="auto"/>
        <w:left w:val="none" w:sz="0" w:space="0" w:color="auto"/>
        <w:bottom w:val="none" w:sz="0" w:space="0" w:color="auto"/>
        <w:right w:val="none" w:sz="0" w:space="0" w:color="auto"/>
      </w:divBdr>
    </w:div>
    <w:div w:id="267472373">
      <w:bodyDiv w:val="1"/>
      <w:marLeft w:val="0"/>
      <w:marRight w:val="0"/>
      <w:marTop w:val="0"/>
      <w:marBottom w:val="0"/>
      <w:divBdr>
        <w:top w:val="none" w:sz="0" w:space="0" w:color="auto"/>
        <w:left w:val="none" w:sz="0" w:space="0" w:color="auto"/>
        <w:bottom w:val="none" w:sz="0" w:space="0" w:color="auto"/>
        <w:right w:val="none" w:sz="0" w:space="0" w:color="auto"/>
      </w:divBdr>
    </w:div>
    <w:div w:id="271938331">
      <w:bodyDiv w:val="1"/>
      <w:marLeft w:val="0"/>
      <w:marRight w:val="0"/>
      <w:marTop w:val="0"/>
      <w:marBottom w:val="0"/>
      <w:divBdr>
        <w:top w:val="none" w:sz="0" w:space="0" w:color="auto"/>
        <w:left w:val="none" w:sz="0" w:space="0" w:color="auto"/>
        <w:bottom w:val="none" w:sz="0" w:space="0" w:color="auto"/>
        <w:right w:val="none" w:sz="0" w:space="0" w:color="auto"/>
      </w:divBdr>
    </w:div>
    <w:div w:id="275065211">
      <w:bodyDiv w:val="1"/>
      <w:marLeft w:val="0"/>
      <w:marRight w:val="0"/>
      <w:marTop w:val="0"/>
      <w:marBottom w:val="0"/>
      <w:divBdr>
        <w:top w:val="none" w:sz="0" w:space="0" w:color="auto"/>
        <w:left w:val="none" w:sz="0" w:space="0" w:color="auto"/>
        <w:bottom w:val="none" w:sz="0" w:space="0" w:color="auto"/>
        <w:right w:val="none" w:sz="0" w:space="0" w:color="auto"/>
      </w:divBdr>
    </w:div>
    <w:div w:id="277684876">
      <w:bodyDiv w:val="1"/>
      <w:marLeft w:val="0"/>
      <w:marRight w:val="0"/>
      <w:marTop w:val="0"/>
      <w:marBottom w:val="0"/>
      <w:divBdr>
        <w:top w:val="none" w:sz="0" w:space="0" w:color="auto"/>
        <w:left w:val="none" w:sz="0" w:space="0" w:color="auto"/>
        <w:bottom w:val="none" w:sz="0" w:space="0" w:color="auto"/>
        <w:right w:val="none" w:sz="0" w:space="0" w:color="auto"/>
      </w:divBdr>
    </w:div>
    <w:div w:id="287441906">
      <w:bodyDiv w:val="1"/>
      <w:marLeft w:val="0"/>
      <w:marRight w:val="0"/>
      <w:marTop w:val="0"/>
      <w:marBottom w:val="0"/>
      <w:divBdr>
        <w:top w:val="none" w:sz="0" w:space="0" w:color="auto"/>
        <w:left w:val="none" w:sz="0" w:space="0" w:color="auto"/>
        <w:bottom w:val="none" w:sz="0" w:space="0" w:color="auto"/>
        <w:right w:val="none" w:sz="0" w:space="0" w:color="auto"/>
      </w:divBdr>
      <w:divsChild>
        <w:div w:id="71126859">
          <w:marLeft w:val="576"/>
          <w:marRight w:val="0"/>
          <w:marTop w:val="60"/>
          <w:marBottom w:val="240"/>
          <w:divBdr>
            <w:top w:val="none" w:sz="0" w:space="0" w:color="auto"/>
            <w:left w:val="none" w:sz="0" w:space="0" w:color="auto"/>
            <w:bottom w:val="none" w:sz="0" w:space="0" w:color="auto"/>
            <w:right w:val="none" w:sz="0" w:space="0" w:color="auto"/>
          </w:divBdr>
        </w:div>
        <w:div w:id="636837006">
          <w:marLeft w:val="576"/>
          <w:marRight w:val="0"/>
          <w:marTop w:val="60"/>
          <w:marBottom w:val="240"/>
          <w:divBdr>
            <w:top w:val="none" w:sz="0" w:space="0" w:color="auto"/>
            <w:left w:val="none" w:sz="0" w:space="0" w:color="auto"/>
            <w:bottom w:val="none" w:sz="0" w:space="0" w:color="auto"/>
            <w:right w:val="none" w:sz="0" w:space="0" w:color="auto"/>
          </w:divBdr>
        </w:div>
        <w:div w:id="143204786">
          <w:marLeft w:val="576"/>
          <w:marRight w:val="0"/>
          <w:marTop w:val="60"/>
          <w:marBottom w:val="240"/>
          <w:divBdr>
            <w:top w:val="none" w:sz="0" w:space="0" w:color="auto"/>
            <w:left w:val="none" w:sz="0" w:space="0" w:color="auto"/>
            <w:bottom w:val="none" w:sz="0" w:space="0" w:color="auto"/>
            <w:right w:val="none" w:sz="0" w:space="0" w:color="auto"/>
          </w:divBdr>
        </w:div>
        <w:div w:id="1488282585">
          <w:marLeft w:val="1037"/>
          <w:marRight w:val="0"/>
          <w:marTop w:val="60"/>
          <w:marBottom w:val="120"/>
          <w:divBdr>
            <w:top w:val="none" w:sz="0" w:space="0" w:color="auto"/>
            <w:left w:val="none" w:sz="0" w:space="0" w:color="auto"/>
            <w:bottom w:val="none" w:sz="0" w:space="0" w:color="auto"/>
            <w:right w:val="none" w:sz="0" w:space="0" w:color="auto"/>
          </w:divBdr>
        </w:div>
        <w:div w:id="112290580">
          <w:marLeft w:val="1037"/>
          <w:marRight w:val="0"/>
          <w:marTop w:val="60"/>
          <w:marBottom w:val="120"/>
          <w:divBdr>
            <w:top w:val="none" w:sz="0" w:space="0" w:color="auto"/>
            <w:left w:val="none" w:sz="0" w:space="0" w:color="auto"/>
            <w:bottom w:val="none" w:sz="0" w:space="0" w:color="auto"/>
            <w:right w:val="none" w:sz="0" w:space="0" w:color="auto"/>
          </w:divBdr>
        </w:div>
      </w:divsChild>
    </w:div>
    <w:div w:id="288361829">
      <w:bodyDiv w:val="1"/>
      <w:marLeft w:val="0"/>
      <w:marRight w:val="0"/>
      <w:marTop w:val="0"/>
      <w:marBottom w:val="0"/>
      <w:divBdr>
        <w:top w:val="none" w:sz="0" w:space="0" w:color="auto"/>
        <w:left w:val="none" w:sz="0" w:space="0" w:color="auto"/>
        <w:bottom w:val="none" w:sz="0" w:space="0" w:color="auto"/>
        <w:right w:val="none" w:sz="0" w:space="0" w:color="auto"/>
      </w:divBdr>
    </w:div>
    <w:div w:id="294263536">
      <w:bodyDiv w:val="1"/>
      <w:marLeft w:val="0"/>
      <w:marRight w:val="0"/>
      <w:marTop w:val="0"/>
      <w:marBottom w:val="0"/>
      <w:divBdr>
        <w:top w:val="none" w:sz="0" w:space="0" w:color="auto"/>
        <w:left w:val="none" w:sz="0" w:space="0" w:color="auto"/>
        <w:bottom w:val="none" w:sz="0" w:space="0" w:color="auto"/>
        <w:right w:val="none" w:sz="0" w:space="0" w:color="auto"/>
      </w:divBdr>
    </w:div>
    <w:div w:id="295187280">
      <w:bodyDiv w:val="1"/>
      <w:marLeft w:val="0"/>
      <w:marRight w:val="0"/>
      <w:marTop w:val="0"/>
      <w:marBottom w:val="0"/>
      <w:divBdr>
        <w:top w:val="none" w:sz="0" w:space="0" w:color="auto"/>
        <w:left w:val="none" w:sz="0" w:space="0" w:color="auto"/>
        <w:bottom w:val="none" w:sz="0" w:space="0" w:color="auto"/>
        <w:right w:val="none" w:sz="0" w:space="0" w:color="auto"/>
      </w:divBdr>
    </w:div>
    <w:div w:id="305551909">
      <w:bodyDiv w:val="1"/>
      <w:marLeft w:val="0"/>
      <w:marRight w:val="0"/>
      <w:marTop w:val="0"/>
      <w:marBottom w:val="0"/>
      <w:divBdr>
        <w:top w:val="none" w:sz="0" w:space="0" w:color="auto"/>
        <w:left w:val="none" w:sz="0" w:space="0" w:color="auto"/>
        <w:bottom w:val="none" w:sz="0" w:space="0" w:color="auto"/>
        <w:right w:val="none" w:sz="0" w:space="0" w:color="auto"/>
      </w:divBdr>
    </w:div>
    <w:div w:id="327367732">
      <w:bodyDiv w:val="1"/>
      <w:marLeft w:val="0"/>
      <w:marRight w:val="0"/>
      <w:marTop w:val="0"/>
      <w:marBottom w:val="0"/>
      <w:divBdr>
        <w:top w:val="none" w:sz="0" w:space="0" w:color="auto"/>
        <w:left w:val="none" w:sz="0" w:space="0" w:color="auto"/>
        <w:bottom w:val="none" w:sz="0" w:space="0" w:color="auto"/>
        <w:right w:val="none" w:sz="0" w:space="0" w:color="auto"/>
      </w:divBdr>
    </w:div>
    <w:div w:id="332268172">
      <w:bodyDiv w:val="1"/>
      <w:marLeft w:val="0"/>
      <w:marRight w:val="0"/>
      <w:marTop w:val="0"/>
      <w:marBottom w:val="0"/>
      <w:divBdr>
        <w:top w:val="none" w:sz="0" w:space="0" w:color="auto"/>
        <w:left w:val="none" w:sz="0" w:space="0" w:color="auto"/>
        <w:bottom w:val="none" w:sz="0" w:space="0" w:color="auto"/>
        <w:right w:val="none" w:sz="0" w:space="0" w:color="auto"/>
      </w:divBdr>
    </w:div>
    <w:div w:id="338431288">
      <w:bodyDiv w:val="1"/>
      <w:marLeft w:val="0"/>
      <w:marRight w:val="0"/>
      <w:marTop w:val="0"/>
      <w:marBottom w:val="0"/>
      <w:divBdr>
        <w:top w:val="none" w:sz="0" w:space="0" w:color="auto"/>
        <w:left w:val="none" w:sz="0" w:space="0" w:color="auto"/>
        <w:bottom w:val="none" w:sz="0" w:space="0" w:color="auto"/>
        <w:right w:val="none" w:sz="0" w:space="0" w:color="auto"/>
      </w:divBdr>
      <w:divsChild>
        <w:div w:id="1368799109">
          <w:marLeft w:val="0"/>
          <w:marRight w:val="0"/>
          <w:marTop w:val="0"/>
          <w:marBottom w:val="0"/>
          <w:divBdr>
            <w:top w:val="none" w:sz="0" w:space="0" w:color="auto"/>
            <w:left w:val="none" w:sz="0" w:space="0" w:color="auto"/>
            <w:bottom w:val="none" w:sz="0" w:space="0" w:color="auto"/>
            <w:right w:val="none" w:sz="0" w:space="0" w:color="auto"/>
          </w:divBdr>
          <w:divsChild>
            <w:div w:id="1272666334">
              <w:marLeft w:val="0"/>
              <w:marRight w:val="0"/>
              <w:marTop w:val="0"/>
              <w:marBottom w:val="0"/>
              <w:divBdr>
                <w:top w:val="none" w:sz="0" w:space="0" w:color="auto"/>
                <w:left w:val="none" w:sz="0" w:space="0" w:color="auto"/>
                <w:bottom w:val="none" w:sz="0" w:space="0" w:color="auto"/>
                <w:right w:val="none" w:sz="0" w:space="0" w:color="auto"/>
              </w:divBdr>
              <w:divsChild>
                <w:div w:id="507794713">
                  <w:marLeft w:val="0"/>
                  <w:marRight w:val="0"/>
                  <w:marTop w:val="0"/>
                  <w:marBottom w:val="0"/>
                  <w:divBdr>
                    <w:top w:val="none" w:sz="0" w:space="0" w:color="auto"/>
                    <w:left w:val="none" w:sz="0" w:space="0" w:color="auto"/>
                    <w:bottom w:val="none" w:sz="0" w:space="0" w:color="auto"/>
                    <w:right w:val="none" w:sz="0" w:space="0" w:color="auto"/>
                  </w:divBdr>
                  <w:divsChild>
                    <w:div w:id="1061751035">
                      <w:marLeft w:val="0"/>
                      <w:marRight w:val="0"/>
                      <w:marTop w:val="0"/>
                      <w:marBottom w:val="0"/>
                      <w:divBdr>
                        <w:top w:val="none" w:sz="0" w:space="0" w:color="auto"/>
                        <w:left w:val="none" w:sz="0" w:space="0" w:color="auto"/>
                        <w:bottom w:val="none" w:sz="0" w:space="0" w:color="auto"/>
                        <w:right w:val="none" w:sz="0" w:space="0" w:color="auto"/>
                      </w:divBdr>
                    </w:div>
                    <w:div w:id="2820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932860">
      <w:bodyDiv w:val="1"/>
      <w:marLeft w:val="0"/>
      <w:marRight w:val="0"/>
      <w:marTop w:val="0"/>
      <w:marBottom w:val="0"/>
      <w:divBdr>
        <w:top w:val="none" w:sz="0" w:space="0" w:color="auto"/>
        <w:left w:val="none" w:sz="0" w:space="0" w:color="auto"/>
        <w:bottom w:val="none" w:sz="0" w:space="0" w:color="auto"/>
        <w:right w:val="none" w:sz="0" w:space="0" w:color="auto"/>
      </w:divBdr>
      <w:divsChild>
        <w:div w:id="1692026571">
          <w:marLeft w:val="576"/>
          <w:marRight w:val="0"/>
          <w:marTop w:val="120"/>
          <w:marBottom w:val="120"/>
          <w:divBdr>
            <w:top w:val="none" w:sz="0" w:space="0" w:color="auto"/>
            <w:left w:val="none" w:sz="0" w:space="0" w:color="auto"/>
            <w:bottom w:val="none" w:sz="0" w:space="0" w:color="auto"/>
            <w:right w:val="none" w:sz="0" w:space="0" w:color="auto"/>
          </w:divBdr>
        </w:div>
        <w:div w:id="233442519">
          <w:marLeft w:val="1037"/>
          <w:marRight w:val="0"/>
          <w:marTop w:val="120"/>
          <w:marBottom w:val="120"/>
          <w:divBdr>
            <w:top w:val="none" w:sz="0" w:space="0" w:color="auto"/>
            <w:left w:val="none" w:sz="0" w:space="0" w:color="auto"/>
            <w:bottom w:val="none" w:sz="0" w:space="0" w:color="auto"/>
            <w:right w:val="none" w:sz="0" w:space="0" w:color="auto"/>
          </w:divBdr>
        </w:div>
        <w:div w:id="1156410243">
          <w:marLeft w:val="1037"/>
          <w:marRight w:val="0"/>
          <w:marTop w:val="120"/>
          <w:marBottom w:val="120"/>
          <w:divBdr>
            <w:top w:val="none" w:sz="0" w:space="0" w:color="auto"/>
            <w:left w:val="none" w:sz="0" w:space="0" w:color="auto"/>
            <w:bottom w:val="none" w:sz="0" w:space="0" w:color="auto"/>
            <w:right w:val="none" w:sz="0" w:space="0" w:color="auto"/>
          </w:divBdr>
        </w:div>
        <w:div w:id="1693144350">
          <w:marLeft w:val="1037"/>
          <w:marRight w:val="0"/>
          <w:marTop w:val="120"/>
          <w:marBottom w:val="120"/>
          <w:divBdr>
            <w:top w:val="none" w:sz="0" w:space="0" w:color="auto"/>
            <w:left w:val="none" w:sz="0" w:space="0" w:color="auto"/>
            <w:bottom w:val="none" w:sz="0" w:space="0" w:color="auto"/>
            <w:right w:val="none" w:sz="0" w:space="0" w:color="auto"/>
          </w:divBdr>
        </w:div>
        <w:div w:id="1440835958">
          <w:marLeft w:val="576"/>
          <w:marRight w:val="0"/>
          <w:marTop w:val="120"/>
          <w:marBottom w:val="120"/>
          <w:divBdr>
            <w:top w:val="none" w:sz="0" w:space="0" w:color="auto"/>
            <w:left w:val="none" w:sz="0" w:space="0" w:color="auto"/>
            <w:bottom w:val="none" w:sz="0" w:space="0" w:color="auto"/>
            <w:right w:val="none" w:sz="0" w:space="0" w:color="auto"/>
          </w:divBdr>
        </w:div>
        <w:div w:id="940722391">
          <w:marLeft w:val="1037"/>
          <w:marRight w:val="0"/>
          <w:marTop w:val="120"/>
          <w:marBottom w:val="120"/>
          <w:divBdr>
            <w:top w:val="none" w:sz="0" w:space="0" w:color="auto"/>
            <w:left w:val="none" w:sz="0" w:space="0" w:color="auto"/>
            <w:bottom w:val="none" w:sz="0" w:space="0" w:color="auto"/>
            <w:right w:val="none" w:sz="0" w:space="0" w:color="auto"/>
          </w:divBdr>
        </w:div>
        <w:div w:id="1406684406">
          <w:marLeft w:val="576"/>
          <w:marRight w:val="0"/>
          <w:marTop w:val="120"/>
          <w:marBottom w:val="120"/>
          <w:divBdr>
            <w:top w:val="none" w:sz="0" w:space="0" w:color="auto"/>
            <w:left w:val="none" w:sz="0" w:space="0" w:color="auto"/>
            <w:bottom w:val="none" w:sz="0" w:space="0" w:color="auto"/>
            <w:right w:val="none" w:sz="0" w:space="0" w:color="auto"/>
          </w:divBdr>
        </w:div>
      </w:divsChild>
    </w:div>
    <w:div w:id="358315330">
      <w:bodyDiv w:val="1"/>
      <w:marLeft w:val="0"/>
      <w:marRight w:val="0"/>
      <w:marTop w:val="0"/>
      <w:marBottom w:val="0"/>
      <w:divBdr>
        <w:top w:val="none" w:sz="0" w:space="0" w:color="auto"/>
        <w:left w:val="none" w:sz="0" w:space="0" w:color="auto"/>
        <w:bottom w:val="none" w:sz="0" w:space="0" w:color="auto"/>
        <w:right w:val="none" w:sz="0" w:space="0" w:color="auto"/>
      </w:divBdr>
    </w:div>
    <w:div w:id="360594017">
      <w:bodyDiv w:val="1"/>
      <w:marLeft w:val="0"/>
      <w:marRight w:val="0"/>
      <w:marTop w:val="0"/>
      <w:marBottom w:val="0"/>
      <w:divBdr>
        <w:top w:val="none" w:sz="0" w:space="0" w:color="auto"/>
        <w:left w:val="none" w:sz="0" w:space="0" w:color="auto"/>
        <w:bottom w:val="none" w:sz="0" w:space="0" w:color="auto"/>
        <w:right w:val="none" w:sz="0" w:space="0" w:color="auto"/>
      </w:divBdr>
    </w:div>
    <w:div w:id="383912149">
      <w:bodyDiv w:val="1"/>
      <w:marLeft w:val="0"/>
      <w:marRight w:val="0"/>
      <w:marTop w:val="0"/>
      <w:marBottom w:val="0"/>
      <w:divBdr>
        <w:top w:val="none" w:sz="0" w:space="0" w:color="auto"/>
        <w:left w:val="none" w:sz="0" w:space="0" w:color="auto"/>
        <w:bottom w:val="none" w:sz="0" w:space="0" w:color="auto"/>
        <w:right w:val="none" w:sz="0" w:space="0" w:color="auto"/>
      </w:divBdr>
    </w:div>
    <w:div w:id="404228995">
      <w:bodyDiv w:val="1"/>
      <w:marLeft w:val="0"/>
      <w:marRight w:val="0"/>
      <w:marTop w:val="0"/>
      <w:marBottom w:val="0"/>
      <w:divBdr>
        <w:top w:val="none" w:sz="0" w:space="0" w:color="auto"/>
        <w:left w:val="none" w:sz="0" w:space="0" w:color="auto"/>
        <w:bottom w:val="none" w:sz="0" w:space="0" w:color="auto"/>
        <w:right w:val="none" w:sz="0" w:space="0" w:color="auto"/>
      </w:divBdr>
    </w:div>
    <w:div w:id="425074181">
      <w:bodyDiv w:val="1"/>
      <w:marLeft w:val="0"/>
      <w:marRight w:val="0"/>
      <w:marTop w:val="0"/>
      <w:marBottom w:val="0"/>
      <w:divBdr>
        <w:top w:val="none" w:sz="0" w:space="0" w:color="auto"/>
        <w:left w:val="none" w:sz="0" w:space="0" w:color="auto"/>
        <w:bottom w:val="none" w:sz="0" w:space="0" w:color="auto"/>
        <w:right w:val="none" w:sz="0" w:space="0" w:color="auto"/>
      </w:divBdr>
      <w:divsChild>
        <w:div w:id="1246954860">
          <w:marLeft w:val="0"/>
          <w:marRight w:val="0"/>
          <w:marTop w:val="0"/>
          <w:marBottom w:val="0"/>
          <w:divBdr>
            <w:top w:val="single" w:sz="2" w:space="0" w:color="2E2E2E"/>
            <w:left w:val="single" w:sz="2" w:space="0" w:color="2E2E2E"/>
            <w:bottom w:val="single" w:sz="2" w:space="0" w:color="2E2E2E"/>
            <w:right w:val="single" w:sz="2" w:space="0" w:color="2E2E2E"/>
          </w:divBdr>
          <w:divsChild>
            <w:div w:id="1599100232">
              <w:marLeft w:val="0"/>
              <w:marRight w:val="0"/>
              <w:marTop w:val="0"/>
              <w:marBottom w:val="0"/>
              <w:divBdr>
                <w:top w:val="single" w:sz="6" w:space="0" w:color="C9C9C9"/>
                <w:left w:val="none" w:sz="0" w:space="0" w:color="auto"/>
                <w:bottom w:val="none" w:sz="0" w:space="0" w:color="auto"/>
                <w:right w:val="none" w:sz="0" w:space="0" w:color="auto"/>
              </w:divBdr>
              <w:divsChild>
                <w:div w:id="608507598">
                  <w:marLeft w:val="0"/>
                  <w:marRight w:val="0"/>
                  <w:marTop w:val="0"/>
                  <w:marBottom w:val="0"/>
                  <w:divBdr>
                    <w:top w:val="none" w:sz="0" w:space="0" w:color="auto"/>
                    <w:left w:val="none" w:sz="0" w:space="0" w:color="auto"/>
                    <w:bottom w:val="none" w:sz="0" w:space="0" w:color="auto"/>
                    <w:right w:val="none" w:sz="0" w:space="0" w:color="auto"/>
                  </w:divBdr>
                  <w:divsChild>
                    <w:div w:id="1018461904">
                      <w:marLeft w:val="0"/>
                      <w:marRight w:val="0"/>
                      <w:marTop w:val="0"/>
                      <w:marBottom w:val="0"/>
                      <w:divBdr>
                        <w:top w:val="none" w:sz="0" w:space="0" w:color="auto"/>
                        <w:left w:val="none" w:sz="0" w:space="0" w:color="auto"/>
                        <w:bottom w:val="none" w:sz="0" w:space="0" w:color="auto"/>
                        <w:right w:val="none" w:sz="0" w:space="0" w:color="auto"/>
                      </w:divBdr>
                      <w:divsChild>
                        <w:div w:id="106129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275902">
      <w:bodyDiv w:val="1"/>
      <w:marLeft w:val="0"/>
      <w:marRight w:val="0"/>
      <w:marTop w:val="0"/>
      <w:marBottom w:val="0"/>
      <w:divBdr>
        <w:top w:val="none" w:sz="0" w:space="0" w:color="auto"/>
        <w:left w:val="none" w:sz="0" w:space="0" w:color="auto"/>
        <w:bottom w:val="none" w:sz="0" w:space="0" w:color="auto"/>
        <w:right w:val="none" w:sz="0" w:space="0" w:color="auto"/>
      </w:divBdr>
      <w:divsChild>
        <w:div w:id="1285188443">
          <w:marLeft w:val="0"/>
          <w:marRight w:val="0"/>
          <w:marTop w:val="0"/>
          <w:marBottom w:val="0"/>
          <w:divBdr>
            <w:top w:val="none" w:sz="0" w:space="0" w:color="auto"/>
            <w:left w:val="none" w:sz="0" w:space="0" w:color="auto"/>
            <w:bottom w:val="none" w:sz="0" w:space="0" w:color="auto"/>
            <w:right w:val="none" w:sz="0" w:space="0" w:color="auto"/>
          </w:divBdr>
          <w:divsChild>
            <w:div w:id="838692550">
              <w:marLeft w:val="0"/>
              <w:marRight w:val="0"/>
              <w:marTop w:val="0"/>
              <w:marBottom w:val="0"/>
              <w:divBdr>
                <w:top w:val="none" w:sz="0" w:space="0" w:color="auto"/>
                <w:left w:val="none" w:sz="0" w:space="0" w:color="auto"/>
                <w:bottom w:val="none" w:sz="0" w:space="0" w:color="auto"/>
                <w:right w:val="none" w:sz="0" w:space="0" w:color="auto"/>
              </w:divBdr>
              <w:divsChild>
                <w:div w:id="1306354943">
                  <w:marLeft w:val="0"/>
                  <w:marRight w:val="0"/>
                  <w:marTop w:val="0"/>
                  <w:marBottom w:val="0"/>
                  <w:divBdr>
                    <w:top w:val="none" w:sz="0" w:space="0" w:color="auto"/>
                    <w:left w:val="none" w:sz="0" w:space="0" w:color="auto"/>
                    <w:bottom w:val="none" w:sz="0" w:space="0" w:color="auto"/>
                    <w:right w:val="none" w:sz="0" w:space="0" w:color="auto"/>
                  </w:divBdr>
                  <w:divsChild>
                    <w:div w:id="2039965859">
                      <w:marLeft w:val="0"/>
                      <w:marRight w:val="0"/>
                      <w:marTop w:val="0"/>
                      <w:marBottom w:val="0"/>
                      <w:divBdr>
                        <w:top w:val="none" w:sz="0" w:space="0" w:color="auto"/>
                        <w:left w:val="none" w:sz="0" w:space="0" w:color="auto"/>
                        <w:bottom w:val="none" w:sz="0" w:space="0" w:color="auto"/>
                        <w:right w:val="none" w:sz="0" w:space="0" w:color="auto"/>
                      </w:divBdr>
                      <w:divsChild>
                        <w:div w:id="198783830">
                          <w:marLeft w:val="0"/>
                          <w:marRight w:val="0"/>
                          <w:marTop w:val="0"/>
                          <w:marBottom w:val="0"/>
                          <w:divBdr>
                            <w:top w:val="none" w:sz="0" w:space="0" w:color="auto"/>
                            <w:left w:val="none" w:sz="0" w:space="0" w:color="auto"/>
                            <w:bottom w:val="none" w:sz="0" w:space="0" w:color="auto"/>
                            <w:right w:val="none" w:sz="0" w:space="0" w:color="auto"/>
                          </w:divBdr>
                          <w:divsChild>
                            <w:div w:id="1052075459">
                              <w:marLeft w:val="0"/>
                              <w:marRight w:val="0"/>
                              <w:marTop w:val="0"/>
                              <w:marBottom w:val="0"/>
                              <w:divBdr>
                                <w:top w:val="none" w:sz="0" w:space="0" w:color="auto"/>
                                <w:left w:val="none" w:sz="0" w:space="0" w:color="auto"/>
                                <w:bottom w:val="none" w:sz="0" w:space="0" w:color="auto"/>
                                <w:right w:val="none" w:sz="0" w:space="0" w:color="auto"/>
                              </w:divBdr>
                              <w:divsChild>
                                <w:div w:id="663165572">
                                  <w:marLeft w:val="0"/>
                                  <w:marRight w:val="0"/>
                                  <w:marTop w:val="0"/>
                                  <w:marBottom w:val="0"/>
                                  <w:divBdr>
                                    <w:top w:val="none" w:sz="0" w:space="0" w:color="auto"/>
                                    <w:left w:val="none" w:sz="0" w:space="0" w:color="auto"/>
                                    <w:bottom w:val="none" w:sz="0" w:space="0" w:color="auto"/>
                                    <w:right w:val="none" w:sz="0" w:space="0" w:color="auto"/>
                                  </w:divBdr>
                                  <w:divsChild>
                                    <w:div w:id="417293660">
                                      <w:marLeft w:val="0"/>
                                      <w:marRight w:val="0"/>
                                      <w:marTop w:val="0"/>
                                      <w:marBottom w:val="0"/>
                                      <w:divBdr>
                                        <w:top w:val="none" w:sz="0" w:space="0" w:color="auto"/>
                                        <w:left w:val="none" w:sz="0" w:space="0" w:color="auto"/>
                                        <w:bottom w:val="none" w:sz="0" w:space="0" w:color="auto"/>
                                        <w:right w:val="none" w:sz="0" w:space="0" w:color="auto"/>
                                      </w:divBdr>
                                      <w:divsChild>
                                        <w:div w:id="1813055285">
                                          <w:marLeft w:val="0"/>
                                          <w:marRight w:val="0"/>
                                          <w:marTop w:val="0"/>
                                          <w:marBottom w:val="0"/>
                                          <w:divBdr>
                                            <w:top w:val="none" w:sz="0" w:space="0" w:color="auto"/>
                                            <w:left w:val="none" w:sz="0" w:space="0" w:color="auto"/>
                                            <w:bottom w:val="none" w:sz="0" w:space="0" w:color="auto"/>
                                            <w:right w:val="none" w:sz="0" w:space="0" w:color="auto"/>
                                          </w:divBdr>
                                          <w:divsChild>
                                            <w:div w:id="2057702734">
                                              <w:marLeft w:val="0"/>
                                              <w:marRight w:val="0"/>
                                              <w:marTop w:val="0"/>
                                              <w:marBottom w:val="0"/>
                                              <w:divBdr>
                                                <w:top w:val="none" w:sz="0" w:space="0" w:color="auto"/>
                                                <w:left w:val="none" w:sz="0" w:space="0" w:color="auto"/>
                                                <w:bottom w:val="none" w:sz="0" w:space="0" w:color="auto"/>
                                                <w:right w:val="none" w:sz="0" w:space="0" w:color="auto"/>
                                              </w:divBdr>
                                              <w:divsChild>
                                                <w:div w:id="263809531">
                                                  <w:marLeft w:val="0"/>
                                                  <w:marRight w:val="0"/>
                                                  <w:marTop w:val="0"/>
                                                  <w:marBottom w:val="0"/>
                                                  <w:divBdr>
                                                    <w:top w:val="none" w:sz="0" w:space="0" w:color="auto"/>
                                                    <w:left w:val="none" w:sz="0" w:space="0" w:color="auto"/>
                                                    <w:bottom w:val="none" w:sz="0" w:space="0" w:color="auto"/>
                                                    <w:right w:val="none" w:sz="0" w:space="0" w:color="auto"/>
                                                  </w:divBdr>
                                                  <w:divsChild>
                                                    <w:div w:id="1463572677">
                                                      <w:marLeft w:val="0"/>
                                                      <w:marRight w:val="0"/>
                                                      <w:marTop w:val="0"/>
                                                      <w:marBottom w:val="0"/>
                                                      <w:divBdr>
                                                        <w:top w:val="none" w:sz="0" w:space="0" w:color="auto"/>
                                                        <w:left w:val="none" w:sz="0" w:space="0" w:color="auto"/>
                                                        <w:bottom w:val="none" w:sz="0" w:space="0" w:color="auto"/>
                                                        <w:right w:val="none" w:sz="0" w:space="0" w:color="auto"/>
                                                      </w:divBdr>
                                                      <w:divsChild>
                                                        <w:div w:id="1084688050">
                                                          <w:marLeft w:val="0"/>
                                                          <w:marRight w:val="0"/>
                                                          <w:marTop w:val="0"/>
                                                          <w:marBottom w:val="0"/>
                                                          <w:divBdr>
                                                            <w:top w:val="none" w:sz="0" w:space="0" w:color="auto"/>
                                                            <w:left w:val="none" w:sz="0" w:space="0" w:color="auto"/>
                                                            <w:bottom w:val="none" w:sz="0" w:space="0" w:color="auto"/>
                                                            <w:right w:val="none" w:sz="0" w:space="0" w:color="auto"/>
                                                          </w:divBdr>
                                                          <w:divsChild>
                                                            <w:div w:id="93744294">
                                                              <w:marLeft w:val="0"/>
                                                              <w:marRight w:val="0"/>
                                                              <w:marTop w:val="0"/>
                                                              <w:marBottom w:val="0"/>
                                                              <w:divBdr>
                                                                <w:top w:val="none" w:sz="0" w:space="0" w:color="auto"/>
                                                                <w:left w:val="none" w:sz="0" w:space="0" w:color="auto"/>
                                                                <w:bottom w:val="none" w:sz="0" w:space="0" w:color="auto"/>
                                                                <w:right w:val="none" w:sz="0" w:space="0" w:color="auto"/>
                                                              </w:divBdr>
                                                              <w:divsChild>
                                                                <w:div w:id="1132556072">
                                                                  <w:marLeft w:val="0"/>
                                                                  <w:marRight w:val="0"/>
                                                                  <w:marTop w:val="0"/>
                                                                  <w:marBottom w:val="0"/>
                                                                  <w:divBdr>
                                                                    <w:top w:val="none" w:sz="0" w:space="0" w:color="auto"/>
                                                                    <w:left w:val="none" w:sz="0" w:space="0" w:color="auto"/>
                                                                    <w:bottom w:val="none" w:sz="0" w:space="0" w:color="auto"/>
                                                                    <w:right w:val="none" w:sz="0" w:space="0" w:color="auto"/>
                                                                  </w:divBdr>
                                                                  <w:divsChild>
                                                                    <w:div w:id="1974745918">
                                                                      <w:marLeft w:val="0"/>
                                                                      <w:marRight w:val="0"/>
                                                                      <w:marTop w:val="0"/>
                                                                      <w:marBottom w:val="0"/>
                                                                      <w:divBdr>
                                                                        <w:top w:val="none" w:sz="0" w:space="0" w:color="auto"/>
                                                                        <w:left w:val="none" w:sz="0" w:space="0" w:color="auto"/>
                                                                        <w:bottom w:val="none" w:sz="0" w:space="0" w:color="auto"/>
                                                                        <w:right w:val="none" w:sz="0" w:space="0" w:color="auto"/>
                                                                      </w:divBdr>
                                                                      <w:divsChild>
                                                                        <w:div w:id="1890532639">
                                                                          <w:marLeft w:val="0"/>
                                                                          <w:marRight w:val="0"/>
                                                                          <w:marTop w:val="0"/>
                                                                          <w:marBottom w:val="0"/>
                                                                          <w:divBdr>
                                                                            <w:top w:val="none" w:sz="0" w:space="0" w:color="auto"/>
                                                                            <w:left w:val="none" w:sz="0" w:space="0" w:color="auto"/>
                                                                            <w:bottom w:val="none" w:sz="0" w:space="0" w:color="auto"/>
                                                                            <w:right w:val="none" w:sz="0" w:space="0" w:color="auto"/>
                                                                          </w:divBdr>
                                                                          <w:divsChild>
                                                                            <w:div w:id="999431483">
                                                                              <w:marLeft w:val="0"/>
                                                                              <w:marRight w:val="0"/>
                                                                              <w:marTop w:val="0"/>
                                                                              <w:marBottom w:val="0"/>
                                                                              <w:divBdr>
                                                                                <w:top w:val="none" w:sz="0" w:space="0" w:color="auto"/>
                                                                                <w:left w:val="none" w:sz="0" w:space="0" w:color="auto"/>
                                                                                <w:bottom w:val="none" w:sz="0" w:space="0" w:color="auto"/>
                                                                                <w:right w:val="none" w:sz="0" w:space="0" w:color="auto"/>
                                                                              </w:divBdr>
                                                                              <w:divsChild>
                                                                                <w:div w:id="86023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5541206">
      <w:bodyDiv w:val="1"/>
      <w:marLeft w:val="0"/>
      <w:marRight w:val="0"/>
      <w:marTop w:val="0"/>
      <w:marBottom w:val="0"/>
      <w:divBdr>
        <w:top w:val="none" w:sz="0" w:space="0" w:color="auto"/>
        <w:left w:val="none" w:sz="0" w:space="0" w:color="auto"/>
        <w:bottom w:val="none" w:sz="0" w:space="0" w:color="auto"/>
        <w:right w:val="none" w:sz="0" w:space="0" w:color="auto"/>
      </w:divBdr>
    </w:div>
    <w:div w:id="426389276">
      <w:bodyDiv w:val="1"/>
      <w:marLeft w:val="0"/>
      <w:marRight w:val="0"/>
      <w:marTop w:val="0"/>
      <w:marBottom w:val="0"/>
      <w:divBdr>
        <w:top w:val="none" w:sz="0" w:space="0" w:color="auto"/>
        <w:left w:val="none" w:sz="0" w:space="0" w:color="auto"/>
        <w:bottom w:val="none" w:sz="0" w:space="0" w:color="auto"/>
        <w:right w:val="none" w:sz="0" w:space="0" w:color="auto"/>
      </w:divBdr>
      <w:divsChild>
        <w:div w:id="1100295380">
          <w:marLeft w:val="1037"/>
          <w:marRight w:val="0"/>
          <w:marTop w:val="60"/>
          <w:marBottom w:val="60"/>
          <w:divBdr>
            <w:top w:val="none" w:sz="0" w:space="0" w:color="auto"/>
            <w:left w:val="none" w:sz="0" w:space="0" w:color="auto"/>
            <w:bottom w:val="none" w:sz="0" w:space="0" w:color="auto"/>
            <w:right w:val="none" w:sz="0" w:space="0" w:color="auto"/>
          </w:divBdr>
        </w:div>
        <w:div w:id="1374117503">
          <w:marLeft w:val="1037"/>
          <w:marRight w:val="0"/>
          <w:marTop w:val="60"/>
          <w:marBottom w:val="60"/>
          <w:divBdr>
            <w:top w:val="none" w:sz="0" w:space="0" w:color="auto"/>
            <w:left w:val="none" w:sz="0" w:space="0" w:color="auto"/>
            <w:bottom w:val="none" w:sz="0" w:space="0" w:color="auto"/>
            <w:right w:val="none" w:sz="0" w:space="0" w:color="auto"/>
          </w:divBdr>
        </w:div>
        <w:div w:id="921724452">
          <w:marLeft w:val="1037"/>
          <w:marRight w:val="0"/>
          <w:marTop w:val="60"/>
          <w:marBottom w:val="60"/>
          <w:divBdr>
            <w:top w:val="none" w:sz="0" w:space="0" w:color="auto"/>
            <w:left w:val="none" w:sz="0" w:space="0" w:color="auto"/>
            <w:bottom w:val="none" w:sz="0" w:space="0" w:color="auto"/>
            <w:right w:val="none" w:sz="0" w:space="0" w:color="auto"/>
          </w:divBdr>
        </w:div>
        <w:div w:id="1931619442">
          <w:marLeft w:val="1037"/>
          <w:marRight w:val="0"/>
          <w:marTop w:val="60"/>
          <w:marBottom w:val="60"/>
          <w:divBdr>
            <w:top w:val="none" w:sz="0" w:space="0" w:color="auto"/>
            <w:left w:val="none" w:sz="0" w:space="0" w:color="auto"/>
            <w:bottom w:val="none" w:sz="0" w:space="0" w:color="auto"/>
            <w:right w:val="none" w:sz="0" w:space="0" w:color="auto"/>
          </w:divBdr>
        </w:div>
      </w:divsChild>
    </w:div>
    <w:div w:id="430517062">
      <w:bodyDiv w:val="1"/>
      <w:marLeft w:val="0"/>
      <w:marRight w:val="0"/>
      <w:marTop w:val="0"/>
      <w:marBottom w:val="0"/>
      <w:divBdr>
        <w:top w:val="none" w:sz="0" w:space="0" w:color="auto"/>
        <w:left w:val="none" w:sz="0" w:space="0" w:color="auto"/>
        <w:bottom w:val="none" w:sz="0" w:space="0" w:color="auto"/>
        <w:right w:val="none" w:sz="0" w:space="0" w:color="auto"/>
      </w:divBdr>
      <w:divsChild>
        <w:div w:id="2146001253">
          <w:marLeft w:val="720"/>
          <w:marRight w:val="0"/>
          <w:marTop w:val="60"/>
          <w:marBottom w:val="120"/>
          <w:divBdr>
            <w:top w:val="none" w:sz="0" w:space="0" w:color="auto"/>
            <w:left w:val="none" w:sz="0" w:space="0" w:color="auto"/>
            <w:bottom w:val="none" w:sz="0" w:space="0" w:color="auto"/>
            <w:right w:val="none" w:sz="0" w:space="0" w:color="auto"/>
          </w:divBdr>
        </w:div>
        <w:div w:id="2091923139">
          <w:marLeft w:val="720"/>
          <w:marRight w:val="0"/>
          <w:marTop w:val="60"/>
          <w:marBottom w:val="120"/>
          <w:divBdr>
            <w:top w:val="none" w:sz="0" w:space="0" w:color="auto"/>
            <w:left w:val="none" w:sz="0" w:space="0" w:color="auto"/>
            <w:bottom w:val="none" w:sz="0" w:space="0" w:color="auto"/>
            <w:right w:val="none" w:sz="0" w:space="0" w:color="auto"/>
          </w:divBdr>
        </w:div>
        <w:div w:id="8719253">
          <w:marLeft w:val="720"/>
          <w:marRight w:val="0"/>
          <w:marTop w:val="60"/>
          <w:marBottom w:val="120"/>
          <w:divBdr>
            <w:top w:val="none" w:sz="0" w:space="0" w:color="auto"/>
            <w:left w:val="none" w:sz="0" w:space="0" w:color="auto"/>
            <w:bottom w:val="none" w:sz="0" w:space="0" w:color="auto"/>
            <w:right w:val="none" w:sz="0" w:space="0" w:color="auto"/>
          </w:divBdr>
        </w:div>
        <w:div w:id="315379051">
          <w:marLeft w:val="720"/>
          <w:marRight w:val="0"/>
          <w:marTop w:val="60"/>
          <w:marBottom w:val="120"/>
          <w:divBdr>
            <w:top w:val="none" w:sz="0" w:space="0" w:color="auto"/>
            <w:left w:val="none" w:sz="0" w:space="0" w:color="auto"/>
            <w:bottom w:val="none" w:sz="0" w:space="0" w:color="auto"/>
            <w:right w:val="none" w:sz="0" w:space="0" w:color="auto"/>
          </w:divBdr>
        </w:div>
      </w:divsChild>
    </w:div>
    <w:div w:id="432357514">
      <w:bodyDiv w:val="1"/>
      <w:marLeft w:val="0"/>
      <w:marRight w:val="0"/>
      <w:marTop w:val="0"/>
      <w:marBottom w:val="0"/>
      <w:divBdr>
        <w:top w:val="none" w:sz="0" w:space="0" w:color="auto"/>
        <w:left w:val="none" w:sz="0" w:space="0" w:color="auto"/>
        <w:bottom w:val="none" w:sz="0" w:space="0" w:color="auto"/>
        <w:right w:val="none" w:sz="0" w:space="0" w:color="auto"/>
      </w:divBdr>
    </w:div>
    <w:div w:id="433597222">
      <w:bodyDiv w:val="1"/>
      <w:marLeft w:val="0"/>
      <w:marRight w:val="0"/>
      <w:marTop w:val="0"/>
      <w:marBottom w:val="0"/>
      <w:divBdr>
        <w:top w:val="none" w:sz="0" w:space="0" w:color="auto"/>
        <w:left w:val="none" w:sz="0" w:space="0" w:color="auto"/>
        <w:bottom w:val="none" w:sz="0" w:space="0" w:color="auto"/>
        <w:right w:val="none" w:sz="0" w:space="0" w:color="auto"/>
      </w:divBdr>
      <w:divsChild>
        <w:div w:id="638919429">
          <w:marLeft w:val="0"/>
          <w:marRight w:val="0"/>
          <w:marTop w:val="0"/>
          <w:marBottom w:val="0"/>
          <w:divBdr>
            <w:top w:val="none" w:sz="0" w:space="0" w:color="auto"/>
            <w:left w:val="none" w:sz="0" w:space="0" w:color="auto"/>
            <w:bottom w:val="none" w:sz="0" w:space="0" w:color="auto"/>
            <w:right w:val="none" w:sz="0" w:space="0" w:color="auto"/>
          </w:divBdr>
          <w:divsChild>
            <w:div w:id="67653765">
              <w:marLeft w:val="0"/>
              <w:marRight w:val="0"/>
              <w:marTop w:val="0"/>
              <w:marBottom w:val="0"/>
              <w:divBdr>
                <w:top w:val="none" w:sz="0" w:space="0" w:color="auto"/>
                <w:left w:val="none" w:sz="0" w:space="0" w:color="auto"/>
                <w:bottom w:val="none" w:sz="0" w:space="0" w:color="auto"/>
                <w:right w:val="none" w:sz="0" w:space="0" w:color="auto"/>
              </w:divBdr>
              <w:divsChild>
                <w:div w:id="603224363">
                  <w:marLeft w:val="0"/>
                  <w:marRight w:val="0"/>
                  <w:marTop w:val="0"/>
                  <w:marBottom w:val="375"/>
                  <w:divBdr>
                    <w:top w:val="none" w:sz="0" w:space="0" w:color="auto"/>
                    <w:left w:val="none" w:sz="0" w:space="0" w:color="auto"/>
                    <w:bottom w:val="none" w:sz="0" w:space="0" w:color="auto"/>
                    <w:right w:val="none" w:sz="0" w:space="0" w:color="auto"/>
                  </w:divBdr>
                  <w:divsChild>
                    <w:div w:id="1627001728">
                      <w:marLeft w:val="0"/>
                      <w:marRight w:val="0"/>
                      <w:marTop w:val="0"/>
                      <w:marBottom w:val="0"/>
                      <w:divBdr>
                        <w:top w:val="none" w:sz="0" w:space="0" w:color="auto"/>
                        <w:left w:val="none" w:sz="0" w:space="0" w:color="auto"/>
                        <w:bottom w:val="none" w:sz="0" w:space="0" w:color="auto"/>
                        <w:right w:val="none" w:sz="0" w:space="0" w:color="auto"/>
                      </w:divBdr>
                      <w:divsChild>
                        <w:div w:id="958023624">
                          <w:marLeft w:val="0"/>
                          <w:marRight w:val="0"/>
                          <w:marTop w:val="0"/>
                          <w:marBottom w:val="0"/>
                          <w:divBdr>
                            <w:top w:val="none" w:sz="0" w:space="0" w:color="auto"/>
                            <w:left w:val="none" w:sz="0" w:space="0" w:color="auto"/>
                            <w:bottom w:val="none" w:sz="0" w:space="0" w:color="auto"/>
                            <w:right w:val="none" w:sz="0" w:space="0" w:color="auto"/>
                          </w:divBdr>
                          <w:divsChild>
                            <w:div w:id="671567172">
                              <w:marLeft w:val="0"/>
                              <w:marRight w:val="0"/>
                              <w:marTop w:val="0"/>
                              <w:marBottom w:val="0"/>
                              <w:divBdr>
                                <w:top w:val="none" w:sz="0" w:space="0" w:color="auto"/>
                                <w:left w:val="none" w:sz="0" w:space="0" w:color="auto"/>
                                <w:bottom w:val="none" w:sz="0" w:space="0" w:color="auto"/>
                                <w:right w:val="none" w:sz="0" w:space="0" w:color="auto"/>
                              </w:divBdr>
                              <w:divsChild>
                                <w:div w:id="342249145">
                                  <w:marLeft w:val="0"/>
                                  <w:marRight w:val="0"/>
                                  <w:marTop w:val="0"/>
                                  <w:marBottom w:val="0"/>
                                  <w:divBdr>
                                    <w:top w:val="none" w:sz="0" w:space="0" w:color="auto"/>
                                    <w:left w:val="none" w:sz="0" w:space="0" w:color="auto"/>
                                    <w:bottom w:val="none" w:sz="0" w:space="0" w:color="auto"/>
                                    <w:right w:val="none" w:sz="0" w:space="0" w:color="auto"/>
                                  </w:divBdr>
                                  <w:divsChild>
                                    <w:div w:id="1296791768">
                                      <w:marLeft w:val="0"/>
                                      <w:marRight w:val="0"/>
                                      <w:marTop w:val="0"/>
                                      <w:marBottom w:val="0"/>
                                      <w:divBdr>
                                        <w:top w:val="none" w:sz="0" w:space="0" w:color="auto"/>
                                        <w:left w:val="none" w:sz="0" w:space="0" w:color="auto"/>
                                        <w:bottom w:val="none" w:sz="0" w:space="0" w:color="auto"/>
                                        <w:right w:val="none" w:sz="0" w:space="0" w:color="auto"/>
                                      </w:divBdr>
                                      <w:divsChild>
                                        <w:div w:id="1181580849">
                                          <w:marLeft w:val="150"/>
                                          <w:marRight w:val="150"/>
                                          <w:marTop w:val="0"/>
                                          <w:marBottom w:val="0"/>
                                          <w:divBdr>
                                            <w:top w:val="none" w:sz="0" w:space="0" w:color="auto"/>
                                            <w:left w:val="none" w:sz="0" w:space="0" w:color="auto"/>
                                            <w:bottom w:val="none" w:sz="0" w:space="0" w:color="auto"/>
                                            <w:right w:val="none" w:sz="0" w:space="0" w:color="auto"/>
                                          </w:divBdr>
                                          <w:divsChild>
                                            <w:div w:id="65812262">
                                              <w:marLeft w:val="0"/>
                                              <w:marRight w:val="0"/>
                                              <w:marTop w:val="0"/>
                                              <w:marBottom w:val="0"/>
                                              <w:divBdr>
                                                <w:top w:val="single" w:sz="6" w:space="0" w:color="E7E1CE"/>
                                                <w:left w:val="single" w:sz="6" w:space="0" w:color="E7E1CE"/>
                                                <w:bottom w:val="single" w:sz="6" w:space="0" w:color="E7E1CE"/>
                                                <w:right w:val="single" w:sz="6" w:space="0" w:color="E7E1CE"/>
                                              </w:divBdr>
                                              <w:divsChild>
                                                <w:div w:id="558396447">
                                                  <w:marLeft w:val="0"/>
                                                  <w:marRight w:val="0"/>
                                                  <w:marTop w:val="0"/>
                                                  <w:marBottom w:val="0"/>
                                                  <w:divBdr>
                                                    <w:top w:val="none" w:sz="0" w:space="0" w:color="auto"/>
                                                    <w:left w:val="none" w:sz="0" w:space="0" w:color="auto"/>
                                                    <w:bottom w:val="none" w:sz="0" w:space="0" w:color="auto"/>
                                                    <w:right w:val="none" w:sz="0" w:space="0" w:color="auto"/>
                                                  </w:divBdr>
                                                  <w:divsChild>
                                                    <w:div w:id="424158999">
                                                      <w:marLeft w:val="0"/>
                                                      <w:marRight w:val="0"/>
                                                      <w:marTop w:val="0"/>
                                                      <w:marBottom w:val="0"/>
                                                      <w:divBdr>
                                                        <w:top w:val="none" w:sz="0" w:space="0" w:color="auto"/>
                                                        <w:left w:val="none" w:sz="0" w:space="0" w:color="auto"/>
                                                        <w:bottom w:val="none" w:sz="0" w:space="0" w:color="auto"/>
                                                        <w:right w:val="none" w:sz="0" w:space="0" w:color="auto"/>
                                                      </w:divBdr>
                                                      <w:divsChild>
                                                        <w:div w:id="808982553">
                                                          <w:marLeft w:val="0"/>
                                                          <w:marRight w:val="0"/>
                                                          <w:marTop w:val="0"/>
                                                          <w:marBottom w:val="0"/>
                                                          <w:divBdr>
                                                            <w:top w:val="none" w:sz="0" w:space="0" w:color="auto"/>
                                                            <w:left w:val="none" w:sz="0" w:space="0" w:color="auto"/>
                                                            <w:bottom w:val="none" w:sz="0" w:space="0" w:color="auto"/>
                                                            <w:right w:val="none" w:sz="0" w:space="0" w:color="auto"/>
                                                          </w:divBdr>
                                                          <w:divsChild>
                                                            <w:div w:id="625164921">
                                                              <w:marLeft w:val="0"/>
                                                              <w:marRight w:val="0"/>
                                                              <w:marTop w:val="0"/>
                                                              <w:marBottom w:val="0"/>
                                                              <w:divBdr>
                                                                <w:top w:val="none" w:sz="0" w:space="0" w:color="auto"/>
                                                                <w:left w:val="none" w:sz="0" w:space="0" w:color="auto"/>
                                                                <w:bottom w:val="none" w:sz="0" w:space="0" w:color="auto"/>
                                                                <w:right w:val="none" w:sz="0" w:space="0" w:color="auto"/>
                                                              </w:divBdr>
                                                              <w:divsChild>
                                                                <w:div w:id="551232472">
                                                                  <w:marLeft w:val="0"/>
                                                                  <w:marRight w:val="0"/>
                                                                  <w:marTop w:val="0"/>
                                                                  <w:marBottom w:val="0"/>
                                                                  <w:divBdr>
                                                                    <w:top w:val="none" w:sz="0" w:space="0" w:color="auto"/>
                                                                    <w:left w:val="none" w:sz="0" w:space="0" w:color="auto"/>
                                                                    <w:bottom w:val="none" w:sz="0" w:space="0" w:color="auto"/>
                                                                    <w:right w:val="none" w:sz="0" w:space="0" w:color="auto"/>
                                                                  </w:divBdr>
                                                                  <w:divsChild>
                                                                    <w:div w:id="578562185">
                                                                      <w:marLeft w:val="0"/>
                                                                      <w:marRight w:val="0"/>
                                                                      <w:marTop w:val="0"/>
                                                                      <w:marBottom w:val="0"/>
                                                                      <w:divBdr>
                                                                        <w:top w:val="none" w:sz="0" w:space="0" w:color="auto"/>
                                                                        <w:left w:val="none" w:sz="0" w:space="0" w:color="auto"/>
                                                                        <w:bottom w:val="none" w:sz="0" w:space="0" w:color="auto"/>
                                                                        <w:right w:val="none" w:sz="0" w:space="0" w:color="auto"/>
                                                                      </w:divBdr>
                                                                      <w:divsChild>
                                                                        <w:div w:id="1766026605">
                                                                          <w:marLeft w:val="0"/>
                                                                          <w:marRight w:val="0"/>
                                                                          <w:marTop w:val="0"/>
                                                                          <w:marBottom w:val="0"/>
                                                                          <w:divBdr>
                                                                            <w:top w:val="none" w:sz="0" w:space="0" w:color="auto"/>
                                                                            <w:left w:val="none" w:sz="0" w:space="0" w:color="auto"/>
                                                                            <w:bottom w:val="none" w:sz="0" w:space="0" w:color="auto"/>
                                                                            <w:right w:val="none" w:sz="0" w:space="0" w:color="auto"/>
                                                                          </w:divBdr>
                                                                          <w:divsChild>
                                                                            <w:div w:id="494303710">
                                                                              <w:marLeft w:val="0"/>
                                                                              <w:marRight w:val="0"/>
                                                                              <w:marTop w:val="0"/>
                                                                              <w:marBottom w:val="0"/>
                                                                              <w:divBdr>
                                                                                <w:top w:val="none" w:sz="0" w:space="0" w:color="auto"/>
                                                                                <w:left w:val="none" w:sz="0" w:space="0" w:color="auto"/>
                                                                                <w:bottom w:val="none" w:sz="0" w:space="0" w:color="auto"/>
                                                                                <w:right w:val="none" w:sz="0" w:space="0" w:color="auto"/>
                                                                              </w:divBdr>
                                                                              <w:divsChild>
                                                                                <w:div w:id="1770276743">
                                                                                  <w:marLeft w:val="0"/>
                                                                                  <w:marRight w:val="0"/>
                                                                                  <w:marTop w:val="0"/>
                                                                                  <w:marBottom w:val="0"/>
                                                                                  <w:divBdr>
                                                                                    <w:top w:val="none" w:sz="0" w:space="0" w:color="auto"/>
                                                                                    <w:left w:val="none" w:sz="0" w:space="0" w:color="auto"/>
                                                                                    <w:bottom w:val="none" w:sz="0" w:space="0" w:color="auto"/>
                                                                                    <w:right w:val="none" w:sz="0" w:space="0" w:color="auto"/>
                                                                                  </w:divBdr>
                                                                                  <w:divsChild>
                                                                                    <w:div w:id="22754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0883713">
      <w:bodyDiv w:val="1"/>
      <w:marLeft w:val="0"/>
      <w:marRight w:val="0"/>
      <w:marTop w:val="0"/>
      <w:marBottom w:val="0"/>
      <w:divBdr>
        <w:top w:val="none" w:sz="0" w:space="0" w:color="auto"/>
        <w:left w:val="none" w:sz="0" w:space="0" w:color="auto"/>
        <w:bottom w:val="none" w:sz="0" w:space="0" w:color="auto"/>
        <w:right w:val="none" w:sz="0" w:space="0" w:color="auto"/>
      </w:divBdr>
    </w:div>
    <w:div w:id="460266051">
      <w:bodyDiv w:val="1"/>
      <w:marLeft w:val="0"/>
      <w:marRight w:val="0"/>
      <w:marTop w:val="0"/>
      <w:marBottom w:val="0"/>
      <w:divBdr>
        <w:top w:val="none" w:sz="0" w:space="0" w:color="auto"/>
        <w:left w:val="none" w:sz="0" w:space="0" w:color="auto"/>
        <w:bottom w:val="none" w:sz="0" w:space="0" w:color="auto"/>
        <w:right w:val="none" w:sz="0" w:space="0" w:color="auto"/>
      </w:divBdr>
    </w:div>
    <w:div w:id="473983942">
      <w:bodyDiv w:val="1"/>
      <w:marLeft w:val="0"/>
      <w:marRight w:val="0"/>
      <w:marTop w:val="0"/>
      <w:marBottom w:val="0"/>
      <w:divBdr>
        <w:top w:val="none" w:sz="0" w:space="0" w:color="auto"/>
        <w:left w:val="none" w:sz="0" w:space="0" w:color="auto"/>
        <w:bottom w:val="none" w:sz="0" w:space="0" w:color="auto"/>
        <w:right w:val="none" w:sz="0" w:space="0" w:color="auto"/>
      </w:divBdr>
    </w:div>
    <w:div w:id="492839272">
      <w:bodyDiv w:val="1"/>
      <w:marLeft w:val="0"/>
      <w:marRight w:val="0"/>
      <w:marTop w:val="0"/>
      <w:marBottom w:val="0"/>
      <w:divBdr>
        <w:top w:val="none" w:sz="0" w:space="0" w:color="auto"/>
        <w:left w:val="none" w:sz="0" w:space="0" w:color="auto"/>
        <w:bottom w:val="none" w:sz="0" w:space="0" w:color="auto"/>
        <w:right w:val="none" w:sz="0" w:space="0" w:color="auto"/>
      </w:divBdr>
    </w:div>
    <w:div w:id="503325866">
      <w:bodyDiv w:val="1"/>
      <w:marLeft w:val="0"/>
      <w:marRight w:val="0"/>
      <w:marTop w:val="0"/>
      <w:marBottom w:val="0"/>
      <w:divBdr>
        <w:top w:val="none" w:sz="0" w:space="0" w:color="auto"/>
        <w:left w:val="none" w:sz="0" w:space="0" w:color="auto"/>
        <w:bottom w:val="none" w:sz="0" w:space="0" w:color="auto"/>
        <w:right w:val="none" w:sz="0" w:space="0" w:color="auto"/>
      </w:divBdr>
      <w:divsChild>
        <w:div w:id="1454327001">
          <w:marLeft w:val="720"/>
          <w:marRight w:val="0"/>
          <w:marTop w:val="60"/>
          <w:marBottom w:val="0"/>
          <w:divBdr>
            <w:top w:val="none" w:sz="0" w:space="0" w:color="auto"/>
            <w:left w:val="none" w:sz="0" w:space="0" w:color="auto"/>
            <w:bottom w:val="none" w:sz="0" w:space="0" w:color="auto"/>
            <w:right w:val="none" w:sz="0" w:space="0" w:color="auto"/>
          </w:divBdr>
        </w:div>
        <w:div w:id="394744037">
          <w:marLeft w:val="720"/>
          <w:marRight w:val="0"/>
          <w:marTop w:val="60"/>
          <w:marBottom w:val="0"/>
          <w:divBdr>
            <w:top w:val="none" w:sz="0" w:space="0" w:color="auto"/>
            <w:left w:val="none" w:sz="0" w:space="0" w:color="auto"/>
            <w:bottom w:val="none" w:sz="0" w:space="0" w:color="auto"/>
            <w:right w:val="none" w:sz="0" w:space="0" w:color="auto"/>
          </w:divBdr>
        </w:div>
        <w:div w:id="1822580596">
          <w:marLeft w:val="720"/>
          <w:marRight w:val="0"/>
          <w:marTop w:val="60"/>
          <w:marBottom w:val="120"/>
          <w:divBdr>
            <w:top w:val="none" w:sz="0" w:space="0" w:color="auto"/>
            <w:left w:val="none" w:sz="0" w:space="0" w:color="auto"/>
            <w:bottom w:val="none" w:sz="0" w:space="0" w:color="auto"/>
            <w:right w:val="none" w:sz="0" w:space="0" w:color="auto"/>
          </w:divBdr>
        </w:div>
        <w:div w:id="893353716">
          <w:marLeft w:val="720"/>
          <w:marRight w:val="0"/>
          <w:marTop w:val="60"/>
          <w:marBottom w:val="120"/>
          <w:divBdr>
            <w:top w:val="none" w:sz="0" w:space="0" w:color="auto"/>
            <w:left w:val="none" w:sz="0" w:space="0" w:color="auto"/>
            <w:bottom w:val="none" w:sz="0" w:space="0" w:color="auto"/>
            <w:right w:val="none" w:sz="0" w:space="0" w:color="auto"/>
          </w:divBdr>
        </w:div>
        <w:div w:id="1351175704">
          <w:marLeft w:val="720"/>
          <w:marRight w:val="0"/>
          <w:marTop w:val="60"/>
          <w:marBottom w:val="120"/>
          <w:divBdr>
            <w:top w:val="none" w:sz="0" w:space="0" w:color="auto"/>
            <w:left w:val="none" w:sz="0" w:space="0" w:color="auto"/>
            <w:bottom w:val="none" w:sz="0" w:space="0" w:color="auto"/>
            <w:right w:val="none" w:sz="0" w:space="0" w:color="auto"/>
          </w:divBdr>
        </w:div>
      </w:divsChild>
    </w:div>
    <w:div w:id="516387884">
      <w:bodyDiv w:val="1"/>
      <w:marLeft w:val="0"/>
      <w:marRight w:val="0"/>
      <w:marTop w:val="0"/>
      <w:marBottom w:val="0"/>
      <w:divBdr>
        <w:top w:val="none" w:sz="0" w:space="0" w:color="auto"/>
        <w:left w:val="none" w:sz="0" w:space="0" w:color="auto"/>
        <w:bottom w:val="none" w:sz="0" w:space="0" w:color="auto"/>
        <w:right w:val="none" w:sz="0" w:space="0" w:color="auto"/>
      </w:divBdr>
    </w:div>
    <w:div w:id="531461548">
      <w:bodyDiv w:val="1"/>
      <w:marLeft w:val="0"/>
      <w:marRight w:val="0"/>
      <w:marTop w:val="0"/>
      <w:marBottom w:val="0"/>
      <w:divBdr>
        <w:top w:val="none" w:sz="0" w:space="0" w:color="auto"/>
        <w:left w:val="none" w:sz="0" w:space="0" w:color="auto"/>
        <w:bottom w:val="none" w:sz="0" w:space="0" w:color="auto"/>
        <w:right w:val="none" w:sz="0" w:space="0" w:color="auto"/>
      </w:divBdr>
    </w:div>
    <w:div w:id="559906654">
      <w:bodyDiv w:val="1"/>
      <w:marLeft w:val="0"/>
      <w:marRight w:val="0"/>
      <w:marTop w:val="0"/>
      <w:marBottom w:val="0"/>
      <w:divBdr>
        <w:top w:val="none" w:sz="0" w:space="0" w:color="auto"/>
        <w:left w:val="none" w:sz="0" w:space="0" w:color="auto"/>
        <w:bottom w:val="none" w:sz="0" w:space="0" w:color="auto"/>
        <w:right w:val="none" w:sz="0" w:space="0" w:color="auto"/>
      </w:divBdr>
      <w:divsChild>
        <w:div w:id="1085222239">
          <w:marLeft w:val="0"/>
          <w:marRight w:val="0"/>
          <w:marTop w:val="0"/>
          <w:marBottom w:val="0"/>
          <w:divBdr>
            <w:top w:val="none" w:sz="0" w:space="0" w:color="auto"/>
            <w:left w:val="none" w:sz="0" w:space="0" w:color="auto"/>
            <w:bottom w:val="none" w:sz="0" w:space="0" w:color="auto"/>
            <w:right w:val="none" w:sz="0" w:space="0" w:color="auto"/>
          </w:divBdr>
          <w:divsChild>
            <w:div w:id="1282805372">
              <w:marLeft w:val="0"/>
              <w:marRight w:val="0"/>
              <w:marTop w:val="0"/>
              <w:marBottom w:val="0"/>
              <w:divBdr>
                <w:top w:val="none" w:sz="0" w:space="0" w:color="auto"/>
                <w:left w:val="none" w:sz="0" w:space="0" w:color="auto"/>
                <w:bottom w:val="none" w:sz="0" w:space="0" w:color="auto"/>
                <w:right w:val="none" w:sz="0" w:space="0" w:color="auto"/>
              </w:divBdr>
              <w:divsChild>
                <w:div w:id="20018683">
                  <w:marLeft w:val="0"/>
                  <w:marRight w:val="0"/>
                  <w:marTop w:val="300"/>
                  <w:marBottom w:val="375"/>
                  <w:divBdr>
                    <w:top w:val="none" w:sz="0" w:space="0" w:color="auto"/>
                    <w:left w:val="none" w:sz="0" w:space="0" w:color="auto"/>
                    <w:bottom w:val="none" w:sz="0" w:space="0" w:color="auto"/>
                    <w:right w:val="none" w:sz="0" w:space="0" w:color="auto"/>
                  </w:divBdr>
                  <w:divsChild>
                    <w:div w:id="1688099429">
                      <w:marLeft w:val="0"/>
                      <w:marRight w:val="0"/>
                      <w:marTop w:val="0"/>
                      <w:marBottom w:val="0"/>
                      <w:divBdr>
                        <w:top w:val="none" w:sz="0" w:space="0" w:color="auto"/>
                        <w:left w:val="none" w:sz="0" w:space="0" w:color="auto"/>
                        <w:bottom w:val="none" w:sz="0" w:space="0" w:color="auto"/>
                        <w:right w:val="none" w:sz="0" w:space="0" w:color="auto"/>
                      </w:divBdr>
                      <w:divsChild>
                        <w:div w:id="354423235">
                          <w:marLeft w:val="0"/>
                          <w:marRight w:val="0"/>
                          <w:marTop w:val="0"/>
                          <w:marBottom w:val="0"/>
                          <w:divBdr>
                            <w:top w:val="none" w:sz="0" w:space="0" w:color="auto"/>
                            <w:left w:val="none" w:sz="0" w:space="0" w:color="auto"/>
                            <w:bottom w:val="none" w:sz="0" w:space="0" w:color="auto"/>
                            <w:right w:val="none" w:sz="0" w:space="0" w:color="auto"/>
                          </w:divBdr>
                          <w:divsChild>
                            <w:div w:id="1225485280">
                              <w:marLeft w:val="0"/>
                              <w:marRight w:val="0"/>
                              <w:marTop w:val="0"/>
                              <w:marBottom w:val="0"/>
                              <w:divBdr>
                                <w:top w:val="none" w:sz="0" w:space="0" w:color="auto"/>
                                <w:left w:val="none" w:sz="0" w:space="0" w:color="auto"/>
                                <w:bottom w:val="none" w:sz="0" w:space="0" w:color="auto"/>
                                <w:right w:val="none" w:sz="0" w:space="0" w:color="auto"/>
                              </w:divBdr>
                              <w:divsChild>
                                <w:div w:id="106437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2251332">
      <w:bodyDiv w:val="1"/>
      <w:marLeft w:val="0"/>
      <w:marRight w:val="0"/>
      <w:marTop w:val="0"/>
      <w:marBottom w:val="0"/>
      <w:divBdr>
        <w:top w:val="none" w:sz="0" w:space="0" w:color="auto"/>
        <w:left w:val="none" w:sz="0" w:space="0" w:color="auto"/>
        <w:bottom w:val="none" w:sz="0" w:space="0" w:color="auto"/>
        <w:right w:val="none" w:sz="0" w:space="0" w:color="auto"/>
      </w:divBdr>
      <w:divsChild>
        <w:div w:id="1810391125">
          <w:marLeft w:val="1368"/>
          <w:marRight w:val="0"/>
          <w:marTop w:val="0"/>
          <w:marBottom w:val="0"/>
          <w:divBdr>
            <w:top w:val="none" w:sz="0" w:space="0" w:color="auto"/>
            <w:left w:val="none" w:sz="0" w:space="0" w:color="auto"/>
            <w:bottom w:val="none" w:sz="0" w:space="0" w:color="auto"/>
            <w:right w:val="none" w:sz="0" w:space="0" w:color="auto"/>
          </w:divBdr>
        </w:div>
        <w:div w:id="1769042520">
          <w:marLeft w:val="1368"/>
          <w:marRight w:val="0"/>
          <w:marTop w:val="0"/>
          <w:marBottom w:val="0"/>
          <w:divBdr>
            <w:top w:val="none" w:sz="0" w:space="0" w:color="auto"/>
            <w:left w:val="none" w:sz="0" w:space="0" w:color="auto"/>
            <w:bottom w:val="none" w:sz="0" w:space="0" w:color="auto"/>
            <w:right w:val="none" w:sz="0" w:space="0" w:color="auto"/>
          </w:divBdr>
        </w:div>
        <w:div w:id="2000035424">
          <w:marLeft w:val="1368"/>
          <w:marRight w:val="0"/>
          <w:marTop w:val="0"/>
          <w:marBottom w:val="0"/>
          <w:divBdr>
            <w:top w:val="none" w:sz="0" w:space="0" w:color="auto"/>
            <w:left w:val="none" w:sz="0" w:space="0" w:color="auto"/>
            <w:bottom w:val="none" w:sz="0" w:space="0" w:color="auto"/>
            <w:right w:val="none" w:sz="0" w:space="0" w:color="auto"/>
          </w:divBdr>
        </w:div>
        <w:div w:id="681325469">
          <w:marLeft w:val="1368"/>
          <w:marRight w:val="0"/>
          <w:marTop w:val="0"/>
          <w:marBottom w:val="0"/>
          <w:divBdr>
            <w:top w:val="none" w:sz="0" w:space="0" w:color="auto"/>
            <w:left w:val="none" w:sz="0" w:space="0" w:color="auto"/>
            <w:bottom w:val="none" w:sz="0" w:space="0" w:color="auto"/>
            <w:right w:val="none" w:sz="0" w:space="0" w:color="auto"/>
          </w:divBdr>
        </w:div>
        <w:div w:id="1810129950">
          <w:marLeft w:val="1368"/>
          <w:marRight w:val="0"/>
          <w:marTop w:val="0"/>
          <w:marBottom w:val="0"/>
          <w:divBdr>
            <w:top w:val="none" w:sz="0" w:space="0" w:color="auto"/>
            <w:left w:val="none" w:sz="0" w:space="0" w:color="auto"/>
            <w:bottom w:val="none" w:sz="0" w:space="0" w:color="auto"/>
            <w:right w:val="none" w:sz="0" w:space="0" w:color="auto"/>
          </w:divBdr>
        </w:div>
        <w:div w:id="1049453511">
          <w:marLeft w:val="1368"/>
          <w:marRight w:val="0"/>
          <w:marTop w:val="0"/>
          <w:marBottom w:val="0"/>
          <w:divBdr>
            <w:top w:val="none" w:sz="0" w:space="0" w:color="auto"/>
            <w:left w:val="none" w:sz="0" w:space="0" w:color="auto"/>
            <w:bottom w:val="none" w:sz="0" w:space="0" w:color="auto"/>
            <w:right w:val="none" w:sz="0" w:space="0" w:color="auto"/>
          </w:divBdr>
        </w:div>
        <w:div w:id="951477885">
          <w:marLeft w:val="1368"/>
          <w:marRight w:val="0"/>
          <w:marTop w:val="0"/>
          <w:marBottom w:val="0"/>
          <w:divBdr>
            <w:top w:val="none" w:sz="0" w:space="0" w:color="auto"/>
            <w:left w:val="none" w:sz="0" w:space="0" w:color="auto"/>
            <w:bottom w:val="none" w:sz="0" w:space="0" w:color="auto"/>
            <w:right w:val="none" w:sz="0" w:space="0" w:color="auto"/>
          </w:divBdr>
        </w:div>
        <w:div w:id="2063482542">
          <w:marLeft w:val="1368"/>
          <w:marRight w:val="0"/>
          <w:marTop w:val="0"/>
          <w:marBottom w:val="0"/>
          <w:divBdr>
            <w:top w:val="none" w:sz="0" w:space="0" w:color="auto"/>
            <w:left w:val="none" w:sz="0" w:space="0" w:color="auto"/>
            <w:bottom w:val="none" w:sz="0" w:space="0" w:color="auto"/>
            <w:right w:val="none" w:sz="0" w:space="0" w:color="auto"/>
          </w:divBdr>
        </w:div>
      </w:divsChild>
    </w:div>
    <w:div w:id="564145322">
      <w:bodyDiv w:val="1"/>
      <w:marLeft w:val="0"/>
      <w:marRight w:val="0"/>
      <w:marTop w:val="0"/>
      <w:marBottom w:val="0"/>
      <w:divBdr>
        <w:top w:val="none" w:sz="0" w:space="0" w:color="auto"/>
        <w:left w:val="none" w:sz="0" w:space="0" w:color="auto"/>
        <w:bottom w:val="none" w:sz="0" w:space="0" w:color="auto"/>
        <w:right w:val="none" w:sz="0" w:space="0" w:color="auto"/>
      </w:divBdr>
    </w:div>
    <w:div w:id="582375888">
      <w:bodyDiv w:val="1"/>
      <w:marLeft w:val="0"/>
      <w:marRight w:val="0"/>
      <w:marTop w:val="0"/>
      <w:marBottom w:val="0"/>
      <w:divBdr>
        <w:top w:val="none" w:sz="0" w:space="0" w:color="auto"/>
        <w:left w:val="none" w:sz="0" w:space="0" w:color="auto"/>
        <w:bottom w:val="none" w:sz="0" w:space="0" w:color="auto"/>
        <w:right w:val="none" w:sz="0" w:space="0" w:color="auto"/>
      </w:divBdr>
      <w:divsChild>
        <w:div w:id="146358624">
          <w:marLeft w:val="0"/>
          <w:marRight w:val="0"/>
          <w:marTop w:val="0"/>
          <w:marBottom w:val="0"/>
          <w:divBdr>
            <w:top w:val="none" w:sz="0" w:space="0" w:color="auto"/>
            <w:left w:val="none" w:sz="0" w:space="0" w:color="auto"/>
            <w:bottom w:val="none" w:sz="0" w:space="0" w:color="auto"/>
            <w:right w:val="none" w:sz="0" w:space="0" w:color="auto"/>
          </w:divBdr>
        </w:div>
        <w:div w:id="771242261">
          <w:marLeft w:val="0"/>
          <w:marRight w:val="0"/>
          <w:marTop w:val="0"/>
          <w:marBottom w:val="0"/>
          <w:divBdr>
            <w:top w:val="none" w:sz="0" w:space="0" w:color="auto"/>
            <w:left w:val="none" w:sz="0" w:space="0" w:color="auto"/>
            <w:bottom w:val="none" w:sz="0" w:space="0" w:color="auto"/>
            <w:right w:val="none" w:sz="0" w:space="0" w:color="auto"/>
          </w:divBdr>
        </w:div>
        <w:div w:id="1844779743">
          <w:marLeft w:val="0"/>
          <w:marRight w:val="0"/>
          <w:marTop w:val="0"/>
          <w:marBottom w:val="0"/>
          <w:divBdr>
            <w:top w:val="none" w:sz="0" w:space="0" w:color="auto"/>
            <w:left w:val="none" w:sz="0" w:space="0" w:color="auto"/>
            <w:bottom w:val="none" w:sz="0" w:space="0" w:color="auto"/>
            <w:right w:val="none" w:sz="0" w:space="0" w:color="auto"/>
          </w:divBdr>
        </w:div>
        <w:div w:id="2097506691">
          <w:marLeft w:val="0"/>
          <w:marRight w:val="0"/>
          <w:marTop w:val="0"/>
          <w:marBottom w:val="0"/>
          <w:divBdr>
            <w:top w:val="none" w:sz="0" w:space="0" w:color="auto"/>
            <w:left w:val="none" w:sz="0" w:space="0" w:color="auto"/>
            <w:bottom w:val="none" w:sz="0" w:space="0" w:color="auto"/>
            <w:right w:val="none" w:sz="0" w:space="0" w:color="auto"/>
          </w:divBdr>
        </w:div>
        <w:div w:id="2044211445">
          <w:marLeft w:val="0"/>
          <w:marRight w:val="0"/>
          <w:marTop w:val="0"/>
          <w:marBottom w:val="0"/>
          <w:divBdr>
            <w:top w:val="none" w:sz="0" w:space="0" w:color="auto"/>
            <w:left w:val="none" w:sz="0" w:space="0" w:color="auto"/>
            <w:bottom w:val="none" w:sz="0" w:space="0" w:color="auto"/>
            <w:right w:val="none" w:sz="0" w:space="0" w:color="auto"/>
          </w:divBdr>
        </w:div>
        <w:div w:id="1176921114">
          <w:marLeft w:val="0"/>
          <w:marRight w:val="0"/>
          <w:marTop w:val="0"/>
          <w:marBottom w:val="0"/>
          <w:divBdr>
            <w:top w:val="none" w:sz="0" w:space="0" w:color="auto"/>
            <w:left w:val="none" w:sz="0" w:space="0" w:color="auto"/>
            <w:bottom w:val="none" w:sz="0" w:space="0" w:color="auto"/>
            <w:right w:val="none" w:sz="0" w:space="0" w:color="auto"/>
          </w:divBdr>
        </w:div>
        <w:div w:id="1684013427">
          <w:marLeft w:val="0"/>
          <w:marRight w:val="0"/>
          <w:marTop w:val="0"/>
          <w:marBottom w:val="0"/>
          <w:divBdr>
            <w:top w:val="none" w:sz="0" w:space="0" w:color="auto"/>
            <w:left w:val="none" w:sz="0" w:space="0" w:color="auto"/>
            <w:bottom w:val="none" w:sz="0" w:space="0" w:color="auto"/>
            <w:right w:val="none" w:sz="0" w:space="0" w:color="auto"/>
          </w:divBdr>
        </w:div>
      </w:divsChild>
    </w:div>
    <w:div w:id="587930034">
      <w:bodyDiv w:val="1"/>
      <w:marLeft w:val="0"/>
      <w:marRight w:val="0"/>
      <w:marTop w:val="0"/>
      <w:marBottom w:val="0"/>
      <w:divBdr>
        <w:top w:val="none" w:sz="0" w:space="0" w:color="auto"/>
        <w:left w:val="none" w:sz="0" w:space="0" w:color="auto"/>
        <w:bottom w:val="none" w:sz="0" w:space="0" w:color="auto"/>
        <w:right w:val="none" w:sz="0" w:space="0" w:color="auto"/>
      </w:divBdr>
    </w:div>
    <w:div w:id="610091318">
      <w:bodyDiv w:val="1"/>
      <w:marLeft w:val="0"/>
      <w:marRight w:val="0"/>
      <w:marTop w:val="0"/>
      <w:marBottom w:val="0"/>
      <w:divBdr>
        <w:top w:val="none" w:sz="0" w:space="0" w:color="auto"/>
        <w:left w:val="none" w:sz="0" w:space="0" w:color="auto"/>
        <w:bottom w:val="none" w:sz="0" w:space="0" w:color="auto"/>
        <w:right w:val="none" w:sz="0" w:space="0" w:color="auto"/>
      </w:divBdr>
    </w:div>
    <w:div w:id="612368973">
      <w:bodyDiv w:val="1"/>
      <w:marLeft w:val="0"/>
      <w:marRight w:val="0"/>
      <w:marTop w:val="0"/>
      <w:marBottom w:val="0"/>
      <w:divBdr>
        <w:top w:val="none" w:sz="0" w:space="0" w:color="auto"/>
        <w:left w:val="none" w:sz="0" w:space="0" w:color="auto"/>
        <w:bottom w:val="none" w:sz="0" w:space="0" w:color="auto"/>
        <w:right w:val="none" w:sz="0" w:space="0" w:color="auto"/>
      </w:divBdr>
    </w:div>
    <w:div w:id="617954731">
      <w:bodyDiv w:val="1"/>
      <w:marLeft w:val="0"/>
      <w:marRight w:val="0"/>
      <w:marTop w:val="0"/>
      <w:marBottom w:val="0"/>
      <w:divBdr>
        <w:top w:val="none" w:sz="0" w:space="0" w:color="auto"/>
        <w:left w:val="none" w:sz="0" w:space="0" w:color="auto"/>
        <w:bottom w:val="none" w:sz="0" w:space="0" w:color="auto"/>
        <w:right w:val="none" w:sz="0" w:space="0" w:color="auto"/>
      </w:divBdr>
    </w:div>
    <w:div w:id="623929576">
      <w:bodyDiv w:val="1"/>
      <w:marLeft w:val="0"/>
      <w:marRight w:val="0"/>
      <w:marTop w:val="0"/>
      <w:marBottom w:val="0"/>
      <w:divBdr>
        <w:top w:val="none" w:sz="0" w:space="0" w:color="auto"/>
        <w:left w:val="none" w:sz="0" w:space="0" w:color="auto"/>
        <w:bottom w:val="none" w:sz="0" w:space="0" w:color="auto"/>
        <w:right w:val="none" w:sz="0" w:space="0" w:color="auto"/>
      </w:divBdr>
    </w:div>
    <w:div w:id="643706971">
      <w:bodyDiv w:val="1"/>
      <w:marLeft w:val="0"/>
      <w:marRight w:val="0"/>
      <w:marTop w:val="0"/>
      <w:marBottom w:val="0"/>
      <w:divBdr>
        <w:top w:val="none" w:sz="0" w:space="0" w:color="auto"/>
        <w:left w:val="none" w:sz="0" w:space="0" w:color="auto"/>
        <w:bottom w:val="none" w:sz="0" w:space="0" w:color="auto"/>
        <w:right w:val="none" w:sz="0" w:space="0" w:color="auto"/>
      </w:divBdr>
    </w:div>
    <w:div w:id="668948913">
      <w:bodyDiv w:val="1"/>
      <w:marLeft w:val="0"/>
      <w:marRight w:val="0"/>
      <w:marTop w:val="0"/>
      <w:marBottom w:val="0"/>
      <w:divBdr>
        <w:top w:val="none" w:sz="0" w:space="0" w:color="auto"/>
        <w:left w:val="none" w:sz="0" w:space="0" w:color="auto"/>
        <w:bottom w:val="none" w:sz="0" w:space="0" w:color="auto"/>
        <w:right w:val="none" w:sz="0" w:space="0" w:color="auto"/>
      </w:divBdr>
      <w:divsChild>
        <w:div w:id="343089936">
          <w:marLeft w:val="0"/>
          <w:marRight w:val="0"/>
          <w:marTop w:val="0"/>
          <w:marBottom w:val="0"/>
          <w:divBdr>
            <w:top w:val="none" w:sz="0" w:space="0" w:color="auto"/>
            <w:left w:val="none" w:sz="0" w:space="0" w:color="auto"/>
            <w:bottom w:val="none" w:sz="0" w:space="0" w:color="auto"/>
            <w:right w:val="none" w:sz="0" w:space="0" w:color="auto"/>
          </w:divBdr>
          <w:divsChild>
            <w:div w:id="107160802">
              <w:marLeft w:val="0"/>
              <w:marRight w:val="0"/>
              <w:marTop w:val="0"/>
              <w:marBottom w:val="0"/>
              <w:divBdr>
                <w:top w:val="none" w:sz="0" w:space="0" w:color="auto"/>
                <w:left w:val="none" w:sz="0" w:space="0" w:color="auto"/>
                <w:bottom w:val="none" w:sz="0" w:space="0" w:color="auto"/>
                <w:right w:val="none" w:sz="0" w:space="0" w:color="auto"/>
              </w:divBdr>
              <w:divsChild>
                <w:div w:id="1954284674">
                  <w:marLeft w:val="0"/>
                  <w:marRight w:val="0"/>
                  <w:marTop w:val="0"/>
                  <w:marBottom w:val="0"/>
                  <w:divBdr>
                    <w:top w:val="none" w:sz="0" w:space="0" w:color="auto"/>
                    <w:left w:val="none" w:sz="0" w:space="0" w:color="auto"/>
                    <w:bottom w:val="none" w:sz="0" w:space="0" w:color="auto"/>
                    <w:right w:val="none" w:sz="0" w:space="0" w:color="auto"/>
                  </w:divBdr>
                  <w:divsChild>
                    <w:div w:id="239292728">
                      <w:marLeft w:val="0"/>
                      <w:marRight w:val="0"/>
                      <w:marTop w:val="105"/>
                      <w:marBottom w:val="0"/>
                      <w:divBdr>
                        <w:top w:val="none" w:sz="0" w:space="0" w:color="auto"/>
                        <w:left w:val="none" w:sz="0" w:space="0" w:color="auto"/>
                        <w:bottom w:val="none" w:sz="0" w:space="0" w:color="auto"/>
                        <w:right w:val="none" w:sz="0" w:space="0" w:color="auto"/>
                      </w:divBdr>
                      <w:divsChild>
                        <w:div w:id="955408941">
                          <w:marLeft w:val="0"/>
                          <w:marRight w:val="0"/>
                          <w:marTop w:val="0"/>
                          <w:marBottom w:val="0"/>
                          <w:divBdr>
                            <w:top w:val="none" w:sz="0" w:space="0" w:color="auto"/>
                            <w:left w:val="none" w:sz="0" w:space="0" w:color="auto"/>
                            <w:bottom w:val="none" w:sz="0" w:space="0" w:color="auto"/>
                            <w:right w:val="none" w:sz="0" w:space="0" w:color="auto"/>
                          </w:divBdr>
                          <w:divsChild>
                            <w:div w:id="430396657">
                              <w:marLeft w:val="0"/>
                              <w:marRight w:val="0"/>
                              <w:marTop w:val="0"/>
                              <w:marBottom w:val="0"/>
                              <w:divBdr>
                                <w:top w:val="none" w:sz="0" w:space="0" w:color="auto"/>
                                <w:left w:val="none" w:sz="0" w:space="0" w:color="auto"/>
                                <w:bottom w:val="none" w:sz="0" w:space="0" w:color="auto"/>
                                <w:right w:val="none" w:sz="0" w:space="0" w:color="auto"/>
                              </w:divBdr>
                              <w:divsChild>
                                <w:div w:id="537546081">
                                  <w:marLeft w:val="0"/>
                                  <w:marRight w:val="0"/>
                                  <w:marTop w:val="0"/>
                                  <w:marBottom w:val="0"/>
                                  <w:divBdr>
                                    <w:top w:val="none" w:sz="0" w:space="0" w:color="auto"/>
                                    <w:left w:val="none" w:sz="0" w:space="0" w:color="auto"/>
                                    <w:bottom w:val="none" w:sz="0" w:space="0" w:color="auto"/>
                                    <w:right w:val="none" w:sz="0" w:space="0" w:color="auto"/>
                                  </w:divBdr>
                                  <w:divsChild>
                                    <w:div w:id="233585555">
                                      <w:marLeft w:val="0"/>
                                      <w:marRight w:val="0"/>
                                      <w:marTop w:val="0"/>
                                      <w:marBottom w:val="0"/>
                                      <w:divBdr>
                                        <w:top w:val="none" w:sz="0" w:space="0" w:color="auto"/>
                                        <w:left w:val="none" w:sz="0" w:space="0" w:color="auto"/>
                                        <w:bottom w:val="none" w:sz="0" w:space="0" w:color="auto"/>
                                        <w:right w:val="none" w:sz="0" w:space="0" w:color="auto"/>
                                      </w:divBdr>
                                      <w:divsChild>
                                        <w:div w:id="1837841286">
                                          <w:marLeft w:val="0"/>
                                          <w:marRight w:val="0"/>
                                          <w:marTop w:val="0"/>
                                          <w:marBottom w:val="0"/>
                                          <w:divBdr>
                                            <w:top w:val="none" w:sz="0" w:space="0" w:color="auto"/>
                                            <w:left w:val="none" w:sz="0" w:space="0" w:color="auto"/>
                                            <w:bottom w:val="none" w:sz="0" w:space="0" w:color="auto"/>
                                            <w:right w:val="none" w:sz="0" w:space="0" w:color="auto"/>
                                          </w:divBdr>
                                          <w:divsChild>
                                            <w:div w:id="1797790514">
                                              <w:marLeft w:val="0"/>
                                              <w:marRight w:val="0"/>
                                              <w:marTop w:val="0"/>
                                              <w:marBottom w:val="0"/>
                                              <w:divBdr>
                                                <w:top w:val="none" w:sz="0" w:space="0" w:color="auto"/>
                                                <w:left w:val="none" w:sz="0" w:space="0" w:color="auto"/>
                                                <w:bottom w:val="none" w:sz="0" w:space="0" w:color="auto"/>
                                                <w:right w:val="none" w:sz="0" w:space="0" w:color="auto"/>
                                              </w:divBdr>
                                              <w:divsChild>
                                                <w:div w:id="104430430">
                                                  <w:marLeft w:val="0"/>
                                                  <w:marRight w:val="0"/>
                                                  <w:marTop w:val="0"/>
                                                  <w:marBottom w:val="0"/>
                                                  <w:divBdr>
                                                    <w:top w:val="none" w:sz="0" w:space="0" w:color="auto"/>
                                                    <w:left w:val="none" w:sz="0" w:space="0" w:color="auto"/>
                                                    <w:bottom w:val="none" w:sz="0" w:space="0" w:color="auto"/>
                                                    <w:right w:val="none" w:sz="0" w:space="0" w:color="auto"/>
                                                  </w:divBdr>
                                                  <w:divsChild>
                                                    <w:div w:id="283315414">
                                                      <w:marLeft w:val="0"/>
                                                      <w:marRight w:val="0"/>
                                                      <w:marTop w:val="0"/>
                                                      <w:marBottom w:val="0"/>
                                                      <w:divBdr>
                                                        <w:top w:val="none" w:sz="0" w:space="0" w:color="auto"/>
                                                        <w:left w:val="none" w:sz="0" w:space="0" w:color="auto"/>
                                                        <w:bottom w:val="none" w:sz="0" w:space="0" w:color="auto"/>
                                                        <w:right w:val="none" w:sz="0" w:space="0" w:color="auto"/>
                                                      </w:divBdr>
                                                      <w:divsChild>
                                                        <w:div w:id="18645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2879275">
      <w:bodyDiv w:val="1"/>
      <w:marLeft w:val="0"/>
      <w:marRight w:val="0"/>
      <w:marTop w:val="0"/>
      <w:marBottom w:val="0"/>
      <w:divBdr>
        <w:top w:val="none" w:sz="0" w:space="0" w:color="auto"/>
        <w:left w:val="none" w:sz="0" w:space="0" w:color="auto"/>
        <w:bottom w:val="none" w:sz="0" w:space="0" w:color="auto"/>
        <w:right w:val="none" w:sz="0" w:space="0" w:color="auto"/>
      </w:divBdr>
    </w:div>
    <w:div w:id="697852486">
      <w:bodyDiv w:val="1"/>
      <w:marLeft w:val="0"/>
      <w:marRight w:val="0"/>
      <w:marTop w:val="0"/>
      <w:marBottom w:val="0"/>
      <w:divBdr>
        <w:top w:val="none" w:sz="0" w:space="0" w:color="auto"/>
        <w:left w:val="none" w:sz="0" w:space="0" w:color="auto"/>
        <w:bottom w:val="none" w:sz="0" w:space="0" w:color="auto"/>
        <w:right w:val="none" w:sz="0" w:space="0" w:color="auto"/>
      </w:divBdr>
      <w:divsChild>
        <w:div w:id="2051878769">
          <w:marLeft w:val="576"/>
          <w:marRight w:val="0"/>
          <w:marTop w:val="60"/>
          <w:marBottom w:val="240"/>
          <w:divBdr>
            <w:top w:val="none" w:sz="0" w:space="0" w:color="auto"/>
            <w:left w:val="none" w:sz="0" w:space="0" w:color="auto"/>
            <w:bottom w:val="none" w:sz="0" w:space="0" w:color="auto"/>
            <w:right w:val="none" w:sz="0" w:space="0" w:color="auto"/>
          </w:divBdr>
        </w:div>
        <w:div w:id="838741411">
          <w:marLeft w:val="576"/>
          <w:marRight w:val="0"/>
          <w:marTop w:val="60"/>
          <w:marBottom w:val="240"/>
          <w:divBdr>
            <w:top w:val="none" w:sz="0" w:space="0" w:color="auto"/>
            <w:left w:val="none" w:sz="0" w:space="0" w:color="auto"/>
            <w:bottom w:val="none" w:sz="0" w:space="0" w:color="auto"/>
            <w:right w:val="none" w:sz="0" w:space="0" w:color="auto"/>
          </w:divBdr>
        </w:div>
        <w:div w:id="1855921089">
          <w:marLeft w:val="576"/>
          <w:marRight w:val="0"/>
          <w:marTop w:val="60"/>
          <w:marBottom w:val="240"/>
          <w:divBdr>
            <w:top w:val="none" w:sz="0" w:space="0" w:color="auto"/>
            <w:left w:val="none" w:sz="0" w:space="0" w:color="auto"/>
            <w:bottom w:val="none" w:sz="0" w:space="0" w:color="auto"/>
            <w:right w:val="none" w:sz="0" w:space="0" w:color="auto"/>
          </w:divBdr>
        </w:div>
        <w:div w:id="548611613">
          <w:marLeft w:val="576"/>
          <w:marRight w:val="0"/>
          <w:marTop w:val="60"/>
          <w:marBottom w:val="240"/>
          <w:divBdr>
            <w:top w:val="none" w:sz="0" w:space="0" w:color="auto"/>
            <w:left w:val="none" w:sz="0" w:space="0" w:color="auto"/>
            <w:bottom w:val="none" w:sz="0" w:space="0" w:color="auto"/>
            <w:right w:val="none" w:sz="0" w:space="0" w:color="auto"/>
          </w:divBdr>
        </w:div>
        <w:div w:id="1078404800">
          <w:marLeft w:val="576"/>
          <w:marRight w:val="0"/>
          <w:marTop w:val="60"/>
          <w:marBottom w:val="240"/>
          <w:divBdr>
            <w:top w:val="none" w:sz="0" w:space="0" w:color="auto"/>
            <w:left w:val="none" w:sz="0" w:space="0" w:color="auto"/>
            <w:bottom w:val="none" w:sz="0" w:space="0" w:color="auto"/>
            <w:right w:val="none" w:sz="0" w:space="0" w:color="auto"/>
          </w:divBdr>
        </w:div>
      </w:divsChild>
    </w:div>
    <w:div w:id="697858538">
      <w:bodyDiv w:val="1"/>
      <w:marLeft w:val="0"/>
      <w:marRight w:val="0"/>
      <w:marTop w:val="0"/>
      <w:marBottom w:val="0"/>
      <w:divBdr>
        <w:top w:val="none" w:sz="0" w:space="0" w:color="auto"/>
        <w:left w:val="none" w:sz="0" w:space="0" w:color="auto"/>
        <w:bottom w:val="none" w:sz="0" w:space="0" w:color="auto"/>
        <w:right w:val="none" w:sz="0" w:space="0" w:color="auto"/>
      </w:divBdr>
    </w:div>
    <w:div w:id="712510266">
      <w:bodyDiv w:val="1"/>
      <w:marLeft w:val="0"/>
      <w:marRight w:val="0"/>
      <w:marTop w:val="0"/>
      <w:marBottom w:val="0"/>
      <w:divBdr>
        <w:top w:val="none" w:sz="0" w:space="0" w:color="auto"/>
        <w:left w:val="none" w:sz="0" w:space="0" w:color="auto"/>
        <w:bottom w:val="none" w:sz="0" w:space="0" w:color="auto"/>
        <w:right w:val="none" w:sz="0" w:space="0" w:color="auto"/>
      </w:divBdr>
      <w:divsChild>
        <w:div w:id="1027020289">
          <w:marLeft w:val="576"/>
          <w:marRight w:val="0"/>
          <w:marTop w:val="60"/>
          <w:marBottom w:val="0"/>
          <w:divBdr>
            <w:top w:val="none" w:sz="0" w:space="0" w:color="auto"/>
            <w:left w:val="none" w:sz="0" w:space="0" w:color="auto"/>
            <w:bottom w:val="none" w:sz="0" w:space="0" w:color="auto"/>
            <w:right w:val="none" w:sz="0" w:space="0" w:color="auto"/>
          </w:divBdr>
        </w:div>
        <w:div w:id="1592660598">
          <w:marLeft w:val="576"/>
          <w:marRight w:val="0"/>
          <w:marTop w:val="60"/>
          <w:marBottom w:val="0"/>
          <w:divBdr>
            <w:top w:val="none" w:sz="0" w:space="0" w:color="auto"/>
            <w:left w:val="none" w:sz="0" w:space="0" w:color="auto"/>
            <w:bottom w:val="none" w:sz="0" w:space="0" w:color="auto"/>
            <w:right w:val="none" w:sz="0" w:space="0" w:color="auto"/>
          </w:divBdr>
        </w:div>
        <w:div w:id="1685477770">
          <w:marLeft w:val="576"/>
          <w:marRight w:val="0"/>
          <w:marTop w:val="60"/>
          <w:marBottom w:val="0"/>
          <w:divBdr>
            <w:top w:val="none" w:sz="0" w:space="0" w:color="auto"/>
            <w:left w:val="none" w:sz="0" w:space="0" w:color="auto"/>
            <w:bottom w:val="none" w:sz="0" w:space="0" w:color="auto"/>
            <w:right w:val="none" w:sz="0" w:space="0" w:color="auto"/>
          </w:divBdr>
        </w:div>
      </w:divsChild>
    </w:div>
    <w:div w:id="740520174">
      <w:bodyDiv w:val="1"/>
      <w:marLeft w:val="0"/>
      <w:marRight w:val="0"/>
      <w:marTop w:val="0"/>
      <w:marBottom w:val="0"/>
      <w:divBdr>
        <w:top w:val="none" w:sz="0" w:space="0" w:color="auto"/>
        <w:left w:val="none" w:sz="0" w:space="0" w:color="auto"/>
        <w:bottom w:val="none" w:sz="0" w:space="0" w:color="auto"/>
        <w:right w:val="none" w:sz="0" w:space="0" w:color="auto"/>
      </w:divBdr>
      <w:divsChild>
        <w:div w:id="86466057">
          <w:marLeft w:val="979"/>
          <w:marRight w:val="0"/>
          <w:marTop w:val="120"/>
          <w:marBottom w:val="120"/>
          <w:divBdr>
            <w:top w:val="none" w:sz="0" w:space="0" w:color="auto"/>
            <w:left w:val="none" w:sz="0" w:space="0" w:color="auto"/>
            <w:bottom w:val="none" w:sz="0" w:space="0" w:color="auto"/>
            <w:right w:val="none" w:sz="0" w:space="0" w:color="auto"/>
          </w:divBdr>
        </w:div>
      </w:divsChild>
    </w:div>
    <w:div w:id="744037070">
      <w:bodyDiv w:val="1"/>
      <w:marLeft w:val="0"/>
      <w:marRight w:val="0"/>
      <w:marTop w:val="0"/>
      <w:marBottom w:val="0"/>
      <w:divBdr>
        <w:top w:val="none" w:sz="0" w:space="0" w:color="auto"/>
        <w:left w:val="none" w:sz="0" w:space="0" w:color="auto"/>
        <w:bottom w:val="none" w:sz="0" w:space="0" w:color="auto"/>
        <w:right w:val="none" w:sz="0" w:space="0" w:color="auto"/>
      </w:divBdr>
    </w:div>
    <w:div w:id="750273394">
      <w:bodyDiv w:val="1"/>
      <w:marLeft w:val="0"/>
      <w:marRight w:val="0"/>
      <w:marTop w:val="0"/>
      <w:marBottom w:val="0"/>
      <w:divBdr>
        <w:top w:val="none" w:sz="0" w:space="0" w:color="auto"/>
        <w:left w:val="none" w:sz="0" w:space="0" w:color="auto"/>
        <w:bottom w:val="none" w:sz="0" w:space="0" w:color="auto"/>
        <w:right w:val="none" w:sz="0" w:space="0" w:color="auto"/>
      </w:divBdr>
    </w:div>
    <w:div w:id="753817567">
      <w:bodyDiv w:val="1"/>
      <w:marLeft w:val="0"/>
      <w:marRight w:val="0"/>
      <w:marTop w:val="0"/>
      <w:marBottom w:val="0"/>
      <w:divBdr>
        <w:top w:val="none" w:sz="0" w:space="0" w:color="auto"/>
        <w:left w:val="none" w:sz="0" w:space="0" w:color="auto"/>
        <w:bottom w:val="none" w:sz="0" w:space="0" w:color="auto"/>
        <w:right w:val="none" w:sz="0" w:space="0" w:color="auto"/>
      </w:divBdr>
    </w:div>
    <w:div w:id="754862221">
      <w:bodyDiv w:val="1"/>
      <w:marLeft w:val="0"/>
      <w:marRight w:val="0"/>
      <w:marTop w:val="0"/>
      <w:marBottom w:val="0"/>
      <w:divBdr>
        <w:top w:val="none" w:sz="0" w:space="0" w:color="auto"/>
        <w:left w:val="none" w:sz="0" w:space="0" w:color="auto"/>
        <w:bottom w:val="none" w:sz="0" w:space="0" w:color="auto"/>
        <w:right w:val="none" w:sz="0" w:space="0" w:color="auto"/>
      </w:divBdr>
    </w:div>
    <w:div w:id="761225977">
      <w:bodyDiv w:val="1"/>
      <w:marLeft w:val="0"/>
      <w:marRight w:val="0"/>
      <w:marTop w:val="0"/>
      <w:marBottom w:val="0"/>
      <w:divBdr>
        <w:top w:val="none" w:sz="0" w:space="0" w:color="auto"/>
        <w:left w:val="none" w:sz="0" w:space="0" w:color="auto"/>
        <w:bottom w:val="none" w:sz="0" w:space="0" w:color="auto"/>
        <w:right w:val="none" w:sz="0" w:space="0" w:color="auto"/>
      </w:divBdr>
      <w:divsChild>
        <w:div w:id="1423601055">
          <w:marLeft w:val="1037"/>
          <w:marRight w:val="0"/>
          <w:marTop w:val="120"/>
          <w:marBottom w:val="120"/>
          <w:divBdr>
            <w:top w:val="none" w:sz="0" w:space="0" w:color="auto"/>
            <w:left w:val="none" w:sz="0" w:space="0" w:color="auto"/>
            <w:bottom w:val="none" w:sz="0" w:space="0" w:color="auto"/>
            <w:right w:val="none" w:sz="0" w:space="0" w:color="auto"/>
          </w:divBdr>
        </w:div>
        <w:div w:id="713237759">
          <w:marLeft w:val="1037"/>
          <w:marRight w:val="0"/>
          <w:marTop w:val="120"/>
          <w:marBottom w:val="120"/>
          <w:divBdr>
            <w:top w:val="none" w:sz="0" w:space="0" w:color="auto"/>
            <w:left w:val="none" w:sz="0" w:space="0" w:color="auto"/>
            <w:bottom w:val="none" w:sz="0" w:space="0" w:color="auto"/>
            <w:right w:val="none" w:sz="0" w:space="0" w:color="auto"/>
          </w:divBdr>
        </w:div>
        <w:div w:id="29959931">
          <w:marLeft w:val="1037"/>
          <w:marRight w:val="0"/>
          <w:marTop w:val="120"/>
          <w:marBottom w:val="120"/>
          <w:divBdr>
            <w:top w:val="none" w:sz="0" w:space="0" w:color="auto"/>
            <w:left w:val="none" w:sz="0" w:space="0" w:color="auto"/>
            <w:bottom w:val="none" w:sz="0" w:space="0" w:color="auto"/>
            <w:right w:val="none" w:sz="0" w:space="0" w:color="auto"/>
          </w:divBdr>
        </w:div>
        <w:div w:id="1944267650">
          <w:marLeft w:val="1037"/>
          <w:marRight w:val="0"/>
          <w:marTop w:val="120"/>
          <w:marBottom w:val="120"/>
          <w:divBdr>
            <w:top w:val="none" w:sz="0" w:space="0" w:color="auto"/>
            <w:left w:val="none" w:sz="0" w:space="0" w:color="auto"/>
            <w:bottom w:val="none" w:sz="0" w:space="0" w:color="auto"/>
            <w:right w:val="none" w:sz="0" w:space="0" w:color="auto"/>
          </w:divBdr>
        </w:div>
      </w:divsChild>
    </w:div>
    <w:div w:id="773481550">
      <w:bodyDiv w:val="1"/>
      <w:marLeft w:val="0"/>
      <w:marRight w:val="0"/>
      <w:marTop w:val="0"/>
      <w:marBottom w:val="0"/>
      <w:divBdr>
        <w:top w:val="none" w:sz="0" w:space="0" w:color="auto"/>
        <w:left w:val="none" w:sz="0" w:space="0" w:color="auto"/>
        <w:bottom w:val="none" w:sz="0" w:space="0" w:color="auto"/>
        <w:right w:val="none" w:sz="0" w:space="0" w:color="auto"/>
      </w:divBdr>
    </w:div>
    <w:div w:id="811286273">
      <w:bodyDiv w:val="1"/>
      <w:marLeft w:val="0"/>
      <w:marRight w:val="0"/>
      <w:marTop w:val="0"/>
      <w:marBottom w:val="0"/>
      <w:divBdr>
        <w:top w:val="none" w:sz="0" w:space="0" w:color="auto"/>
        <w:left w:val="none" w:sz="0" w:space="0" w:color="auto"/>
        <w:bottom w:val="none" w:sz="0" w:space="0" w:color="auto"/>
        <w:right w:val="none" w:sz="0" w:space="0" w:color="auto"/>
      </w:divBdr>
      <w:divsChild>
        <w:div w:id="1235124068">
          <w:marLeft w:val="0"/>
          <w:marRight w:val="0"/>
          <w:marTop w:val="0"/>
          <w:marBottom w:val="0"/>
          <w:divBdr>
            <w:top w:val="none" w:sz="0" w:space="0" w:color="auto"/>
            <w:left w:val="none" w:sz="0" w:space="0" w:color="auto"/>
            <w:bottom w:val="none" w:sz="0" w:space="0" w:color="auto"/>
            <w:right w:val="none" w:sz="0" w:space="0" w:color="auto"/>
          </w:divBdr>
        </w:div>
        <w:div w:id="1058360320">
          <w:marLeft w:val="0"/>
          <w:marRight w:val="0"/>
          <w:marTop w:val="0"/>
          <w:marBottom w:val="0"/>
          <w:divBdr>
            <w:top w:val="none" w:sz="0" w:space="0" w:color="auto"/>
            <w:left w:val="none" w:sz="0" w:space="0" w:color="auto"/>
            <w:bottom w:val="none" w:sz="0" w:space="0" w:color="auto"/>
            <w:right w:val="none" w:sz="0" w:space="0" w:color="auto"/>
          </w:divBdr>
        </w:div>
      </w:divsChild>
    </w:div>
    <w:div w:id="823814686">
      <w:bodyDiv w:val="1"/>
      <w:marLeft w:val="0"/>
      <w:marRight w:val="0"/>
      <w:marTop w:val="0"/>
      <w:marBottom w:val="0"/>
      <w:divBdr>
        <w:top w:val="none" w:sz="0" w:space="0" w:color="auto"/>
        <w:left w:val="none" w:sz="0" w:space="0" w:color="auto"/>
        <w:bottom w:val="none" w:sz="0" w:space="0" w:color="auto"/>
        <w:right w:val="none" w:sz="0" w:space="0" w:color="auto"/>
      </w:divBdr>
    </w:div>
    <w:div w:id="832139896">
      <w:bodyDiv w:val="1"/>
      <w:marLeft w:val="0"/>
      <w:marRight w:val="0"/>
      <w:marTop w:val="0"/>
      <w:marBottom w:val="0"/>
      <w:divBdr>
        <w:top w:val="none" w:sz="0" w:space="0" w:color="auto"/>
        <w:left w:val="none" w:sz="0" w:space="0" w:color="auto"/>
        <w:bottom w:val="none" w:sz="0" w:space="0" w:color="auto"/>
        <w:right w:val="none" w:sz="0" w:space="0" w:color="auto"/>
      </w:divBdr>
      <w:divsChild>
        <w:div w:id="1264533030">
          <w:marLeft w:val="1037"/>
          <w:marRight w:val="0"/>
          <w:marTop w:val="60"/>
          <w:marBottom w:val="60"/>
          <w:divBdr>
            <w:top w:val="none" w:sz="0" w:space="0" w:color="auto"/>
            <w:left w:val="none" w:sz="0" w:space="0" w:color="auto"/>
            <w:bottom w:val="none" w:sz="0" w:space="0" w:color="auto"/>
            <w:right w:val="none" w:sz="0" w:space="0" w:color="auto"/>
          </w:divBdr>
        </w:div>
        <w:div w:id="42337371">
          <w:marLeft w:val="1037"/>
          <w:marRight w:val="0"/>
          <w:marTop w:val="60"/>
          <w:marBottom w:val="60"/>
          <w:divBdr>
            <w:top w:val="none" w:sz="0" w:space="0" w:color="auto"/>
            <w:left w:val="none" w:sz="0" w:space="0" w:color="auto"/>
            <w:bottom w:val="none" w:sz="0" w:space="0" w:color="auto"/>
            <w:right w:val="none" w:sz="0" w:space="0" w:color="auto"/>
          </w:divBdr>
        </w:div>
      </w:divsChild>
    </w:div>
    <w:div w:id="834566723">
      <w:bodyDiv w:val="1"/>
      <w:marLeft w:val="0"/>
      <w:marRight w:val="0"/>
      <w:marTop w:val="0"/>
      <w:marBottom w:val="0"/>
      <w:divBdr>
        <w:top w:val="none" w:sz="0" w:space="0" w:color="auto"/>
        <w:left w:val="none" w:sz="0" w:space="0" w:color="auto"/>
        <w:bottom w:val="none" w:sz="0" w:space="0" w:color="auto"/>
        <w:right w:val="none" w:sz="0" w:space="0" w:color="auto"/>
      </w:divBdr>
    </w:div>
    <w:div w:id="840465866">
      <w:bodyDiv w:val="1"/>
      <w:marLeft w:val="0"/>
      <w:marRight w:val="0"/>
      <w:marTop w:val="0"/>
      <w:marBottom w:val="0"/>
      <w:divBdr>
        <w:top w:val="none" w:sz="0" w:space="0" w:color="auto"/>
        <w:left w:val="none" w:sz="0" w:space="0" w:color="auto"/>
        <w:bottom w:val="none" w:sz="0" w:space="0" w:color="auto"/>
        <w:right w:val="none" w:sz="0" w:space="0" w:color="auto"/>
      </w:divBdr>
      <w:divsChild>
        <w:div w:id="1229609511">
          <w:marLeft w:val="0"/>
          <w:marRight w:val="0"/>
          <w:marTop w:val="0"/>
          <w:marBottom w:val="0"/>
          <w:divBdr>
            <w:top w:val="none" w:sz="0" w:space="0" w:color="auto"/>
            <w:left w:val="none" w:sz="0" w:space="0" w:color="auto"/>
            <w:bottom w:val="none" w:sz="0" w:space="0" w:color="auto"/>
            <w:right w:val="none" w:sz="0" w:space="0" w:color="auto"/>
          </w:divBdr>
          <w:divsChild>
            <w:div w:id="1693144445">
              <w:marLeft w:val="0"/>
              <w:marRight w:val="0"/>
              <w:marTop w:val="0"/>
              <w:marBottom w:val="0"/>
              <w:divBdr>
                <w:top w:val="none" w:sz="0" w:space="0" w:color="auto"/>
                <w:left w:val="none" w:sz="0" w:space="0" w:color="auto"/>
                <w:bottom w:val="none" w:sz="0" w:space="0" w:color="auto"/>
                <w:right w:val="none" w:sz="0" w:space="0" w:color="auto"/>
              </w:divBdr>
              <w:divsChild>
                <w:div w:id="2018070836">
                  <w:marLeft w:val="0"/>
                  <w:marRight w:val="0"/>
                  <w:marTop w:val="300"/>
                  <w:marBottom w:val="375"/>
                  <w:divBdr>
                    <w:top w:val="none" w:sz="0" w:space="0" w:color="auto"/>
                    <w:left w:val="none" w:sz="0" w:space="0" w:color="auto"/>
                    <w:bottom w:val="none" w:sz="0" w:space="0" w:color="auto"/>
                    <w:right w:val="none" w:sz="0" w:space="0" w:color="auto"/>
                  </w:divBdr>
                  <w:divsChild>
                    <w:div w:id="231819496">
                      <w:marLeft w:val="0"/>
                      <w:marRight w:val="0"/>
                      <w:marTop w:val="0"/>
                      <w:marBottom w:val="0"/>
                      <w:divBdr>
                        <w:top w:val="none" w:sz="0" w:space="0" w:color="auto"/>
                        <w:left w:val="none" w:sz="0" w:space="0" w:color="auto"/>
                        <w:bottom w:val="none" w:sz="0" w:space="0" w:color="auto"/>
                        <w:right w:val="none" w:sz="0" w:space="0" w:color="auto"/>
                      </w:divBdr>
                      <w:divsChild>
                        <w:div w:id="512112581">
                          <w:marLeft w:val="0"/>
                          <w:marRight w:val="0"/>
                          <w:marTop w:val="0"/>
                          <w:marBottom w:val="0"/>
                          <w:divBdr>
                            <w:top w:val="none" w:sz="0" w:space="0" w:color="auto"/>
                            <w:left w:val="none" w:sz="0" w:space="0" w:color="auto"/>
                            <w:bottom w:val="none" w:sz="0" w:space="0" w:color="auto"/>
                            <w:right w:val="none" w:sz="0" w:space="0" w:color="auto"/>
                          </w:divBdr>
                          <w:divsChild>
                            <w:div w:id="1235899145">
                              <w:marLeft w:val="0"/>
                              <w:marRight w:val="0"/>
                              <w:marTop w:val="0"/>
                              <w:marBottom w:val="0"/>
                              <w:divBdr>
                                <w:top w:val="none" w:sz="0" w:space="0" w:color="auto"/>
                                <w:left w:val="none" w:sz="0" w:space="0" w:color="auto"/>
                                <w:bottom w:val="none" w:sz="0" w:space="0" w:color="auto"/>
                                <w:right w:val="none" w:sz="0" w:space="0" w:color="auto"/>
                              </w:divBdr>
                              <w:divsChild>
                                <w:div w:id="12354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535498">
      <w:bodyDiv w:val="1"/>
      <w:marLeft w:val="0"/>
      <w:marRight w:val="0"/>
      <w:marTop w:val="0"/>
      <w:marBottom w:val="0"/>
      <w:divBdr>
        <w:top w:val="none" w:sz="0" w:space="0" w:color="auto"/>
        <w:left w:val="none" w:sz="0" w:space="0" w:color="auto"/>
        <w:bottom w:val="none" w:sz="0" w:space="0" w:color="auto"/>
        <w:right w:val="none" w:sz="0" w:space="0" w:color="auto"/>
      </w:divBdr>
    </w:div>
    <w:div w:id="860121437">
      <w:bodyDiv w:val="1"/>
      <w:marLeft w:val="0"/>
      <w:marRight w:val="0"/>
      <w:marTop w:val="0"/>
      <w:marBottom w:val="0"/>
      <w:divBdr>
        <w:top w:val="none" w:sz="0" w:space="0" w:color="auto"/>
        <w:left w:val="none" w:sz="0" w:space="0" w:color="auto"/>
        <w:bottom w:val="none" w:sz="0" w:space="0" w:color="auto"/>
        <w:right w:val="none" w:sz="0" w:space="0" w:color="auto"/>
      </w:divBdr>
    </w:div>
    <w:div w:id="861092796">
      <w:bodyDiv w:val="1"/>
      <w:marLeft w:val="0"/>
      <w:marRight w:val="0"/>
      <w:marTop w:val="0"/>
      <w:marBottom w:val="0"/>
      <w:divBdr>
        <w:top w:val="none" w:sz="0" w:space="0" w:color="auto"/>
        <w:left w:val="none" w:sz="0" w:space="0" w:color="auto"/>
        <w:bottom w:val="none" w:sz="0" w:space="0" w:color="auto"/>
        <w:right w:val="none" w:sz="0" w:space="0" w:color="auto"/>
      </w:divBdr>
      <w:divsChild>
        <w:div w:id="822545610">
          <w:marLeft w:val="0"/>
          <w:marRight w:val="0"/>
          <w:marTop w:val="0"/>
          <w:marBottom w:val="0"/>
          <w:divBdr>
            <w:top w:val="none" w:sz="0" w:space="0" w:color="auto"/>
            <w:left w:val="none" w:sz="0" w:space="0" w:color="auto"/>
            <w:bottom w:val="none" w:sz="0" w:space="0" w:color="auto"/>
            <w:right w:val="none" w:sz="0" w:space="0" w:color="auto"/>
          </w:divBdr>
          <w:divsChild>
            <w:div w:id="649210270">
              <w:marLeft w:val="0"/>
              <w:marRight w:val="105"/>
              <w:marTop w:val="0"/>
              <w:marBottom w:val="0"/>
              <w:divBdr>
                <w:top w:val="none" w:sz="0" w:space="0" w:color="auto"/>
                <w:left w:val="none" w:sz="0" w:space="0" w:color="auto"/>
                <w:bottom w:val="none" w:sz="0" w:space="0" w:color="auto"/>
                <w:right w:val="none" w:sz="0" w:space="0" w:color="auto"/>
              </w:divBdr>
              <w:divsChild>
                <w:div w:id="577178249">
                  <w:marLeft w:val="0"/>
                  <w:marRight w:val="0"/>
                  <w:marTop w:val="0"/>
                  <w:marBottom w:val="0"/>
                  <w:divBdr>
                    <w:top w:val="none" w:sz="0" w:space="0" w:color="auto"/>
                    <w:left w:val="none" w:sz="0" w:space="0" w:color="auto"/>
                    <w:bottom w:val="none" w:sz="0" w:space="0" w:color="auto"/>
                    <w:right w:val="none" w:sz="0" w:space="0" w:color="auto"/>
                  </w:divBdr>
                  <w:divsChild>
                    <w:div w:id="799618549">
                      <w:marLeft w:val="0"/>
                      <w:marRight w:val="0"/>
                      <w:marTop w:val="0"/>
                      <w:marBottom w:val="0"/>
                      <w:divBdr>
                        <w:top w:val="none" w:sz="0" w:space="0" w:color="auto"/>
                        <w:left w:val="none" w:sz="0" w:space="0" w:color="auto"/>
                        <w:bottom w:val="none" w:sz="0" w:space="0" w:color="auto"/>
                        <w:right w:val="none" w:sz="0" w:space="0" w:color="auto"/>
                      </w:divBdr>
                      <w:divsChild>
                        <w:div w:id="1528563480">
                          <w:marLeft w:val="0"/>
                          <w:marRight w:val="0"/>
                          <w:marTop w:val="0"/>
                          <w:marBottom w:val="0"/>
                          <w:divBdr>
                            <w:top w:val="none" w:sz="0" w:space="0" w:color="auto"/>
                            <w:left w:val="none" w:sz="0" w:space="0" w:color="auto"/>
                            <w:bottom w:val="none" w:sz="0" w:space="0" w:color="auto"/>
                            <w:right w:val="none" w:sz="0" w:space="0" w:color="auto"/>
                          </w:divBdr>
                          <w:divsChild>
                            <w:div w:id="1226182144">
                              <w:marLeft w:val="0"/>
                              <w:marRight w:val="0"/>
                              <w:marTop w:val="0"/>
                              <w:marBottom w:val="200"/>
                              <w:divBdr>
                                <w:top w:val="none" w:sz="0" w:space="0" w:color="auto"/>
                                <w:left w:val="none" w:sz="0" w:space="0" w:color="auto"/>
                                <w:bottom w:val="none" w:sz="0" w:space="0" w:color="auto"/>
                                <w:right w:val="none" w:sz="0" w:space="0" w:color="auto"/>
                              </w:divBdr>
                            </w:div>
                            <w:div w:id="812647964">
                              <w:marLeft w:val="0"/>
                              <w:marRight w:val="0"/>
                              <w:marTop w:val="0"/>
                              <w:marBottom w:val="200"/>
                              <w:divBdr>
                                <w:top w:val="none" w:sz="0" w:space="0" w:color="auto"/>
                                <w:left w:val="none" w:sz="0" w:space="0" w:color="auto"/>
                                <w:bottom w:val="none" w:sz="0" w:space="0" w:color="auto"/>
                                <w:right w:val="none" w:sz="0" w:space="0" w:color="auto"/>
                              </w:divBdr>
                            </w:div>
                            <w:div w:id="1876111320">
                              <w:marLeft w:val="0"/>
                              <w:marRight w:val="0"/>
                              <w:marTop w:val="0"/>
                              <w:marBottom w:val="200"/>
                              <w:divBdr>
                                <w:top w:val="none" w:sz="0" w:space="0" w:color="auto"/>
                                <w:left w:val="none" w:sz="0" w:space="0" w:color="auto"/>
                                <w:bottom w:val="none" w:sz="0" w:space="0" w:color="auto"/>
                                <w:right w:val="none" w:sz="0" w:space="0" w:color="auto"/>
                              </w:divBdr>
                            </w:div>
                            <w:div w:id="2107265224">
                              <w:marLeft w:val="0"/>
                              <w:marRight w:val="0"/>
                              <w:marTop w:val="0"/>
                              <w:marBottom w:val="200"/>
                              <w:divBdr>
                                <w:top w:val="none" w:sz="0" w:space="0" w:color="auto"/>
                                <w:left w:val="none" w:sz="0" w:space="0" w:color="auto"/>
                                <w:bottom w:val="none" w:sz="0" w:space="0" w:color="auto"/>
                                <w:right w:val="none" w:sz="0" w:space="0" w:color="auto"/>
                              </w:divBdr>
                            </w:div>
                            <w:div w:id="846284921">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479855">
      <w:bodyDiv w:val="1"/>
      <w:marLeft w:val="0"/>
      <w:marRight w:val="0"/>
      <w:marTop w:val="0"/>
      <w:marBottom w:val="0"/>
      <w:divBdr>
        <w:top w:val="none" w:sz="0" w:space="0" w:color="auto"/>
        <w:left w:val="none" w:sz="0" w:space="0" w:color="auto"/>
        <w:bottom w:val="none" w:sz="0" w:space="0" w:color="auto"/>
        <w:right w:val="none" w:sz="0" w:space="0" w:color="auto"/>
      </w:divBdr>
      <w:divsChild>
        <w:div w:id="755398953">
          <w:marLeft w:val="1440"/>
          <w:marRight w:val="0"/>
          <w:marTop w:val="120"/>
          <w:marBottom w:val="120"/>
          <w:divBdr>
            <w:top w:val="none" w:sz="0" w:space="0" w:color="auto"/>
            <w:left w:val="none" w:sz="0" w:space="0" w:color="auto"/>
            <w:bottom w:val="none" w:sz="0" w:space="0" w:color="auto"/>
            <w:right w:val="none" w:sz="0" w:space="0" w:color="auto"/>
          </w:divBdr>
        </w:div>
      </w:divsChild>
    </w:div>
    <w:div w:id="880164332">
      <w:bodyDiv w:val="1"/>
      <w:marLeft w:val="0"/>
      <w:marRight w:val="0"/>
      <w:marTop w:val="0"/>
      <w:marBottom w:val="0"/>
      <w:divBdr>
        <w:top w:val="none" w:sz="0" w:space="0" w:color="auto"/>
        <w:left w:val="none" w:sz="0" w:space="0" w:color="auto"/>
        <w:bottom w:val="none" w:sz="0" w:space="0" w:color="auto"/>
        <w:right w:val="none" w:sz="0" w:space="0" w:color="auto"/>
      </w:divBdr>
      <w:divsChild>
        <w:div w:id="1438604027">
          <w:marLeft w:val="979"/>
          <w:marRight w:val="0"/>
          <w:marTop w:val="60"/>
          <w:marBottom w:val="0"/>
          <w:divBdr>
            <w:top w:val="none" w:sz="0" w:space="0" w:color="auto"/>
            <w:left w:val="none" w:sz="0" w:space="0" w:color="auto"/>
            <w:bottom w:val="none" w:sz="0" w:space="0" w:color="auto"/>
            <w:right w:val="none" w:sz="0" w:space="0" w:color="auto"/>
          </w:divBdr>
        </w:div>
        <w:div w:id="1897663397">
          <w:marLeft w:val="979"/>
          <w:marRight w:val="0"/>
          <w:marTop w:val="60"/>
          <w:marBottom w:val="0"/>
          <w:divBdr>
            <w:top w:val="none" w:sz="0" w:space="0" w:color="auto"/>
            <w:left w:val="none" w:sz="0" w:space="0" w:color="auto"/>
            <w:bottom w:val="none" w:sz="0" w:space="0" w:color="auto"/>
            <w:right w:val="none" w:sz="0" w:space="0" w:color="auto"/>
          </w:divBdr>
        </w:div>
        <w:div w:id="1830779514">
          <w:marLeft w:val="979"/>
          <w:marRight w:val="0"/>
          <w:marTop w:val="60"/>
          <w:marBottom w:val="0"/>
          <w:divBdr>
            <w:top w:val="none" w:sz="0" w:space="0" w:color="auto"/>
            <w:left w:val="none" w:sz="0" w:space="0" w:color="auto"/>
            <w:bottom w:val="none" w:sz="0" w:space="0" w:color="auto"/>
            <w:right w:val="none" w:sz="0" w:space="0" w:color="auto"/>
          </w:divBdr>
        </w:div>
        <w:div w:id="1197425473">
          <w:marLeft w:val="979"/>
          <w:marRight w:val="0"/>
          <w:marTop w:val="60"/>
          <w:marBottom w:val="0"/>
          <w:divBdr>
            <w:top w:val="none" w:sz="0" w:space="0" w:color="auto"/>
            <w:left w:val="none" w:sz="0" w:space="0" w:color="auto"/>
            <w:bottom w:val="none" w:sz="0" w:space="0" w:color="auto"/>
            <w:right w:val="none" w:sz="0" w:space="0" w:color="auto"/>
          </w:divBdr>
        </w:div>
      </w:divsChild>
    </w:div>
    <w:div w:id="883718269">
      <w:bodyDiv w:val="1"/>
      <w:marLeft w:val="0"/>
      <w:marRight w:val="0"/>
      <w:marTop w:val="0"/>
      <w:marBottom w:val="0"/>
      <w:divBdr>
        <w:top w:val="none" w:sz="0" w:space="0" w:color="auto"/>
        <w:left w:val="none" w:sz="0" w:space="0" w:color="auto"/>
        <w:bottom w:val="none" w:sz="0" w:space="0" w:color="auto"/>
        <w:right w:val="none" w:sz="0" w:space="0" w:color="auto"/>
      </w:divBdr>
    </w:div>
    <w:div w:id="890310885">
      <w:bodyDiv w:val="1"/>
      <w:marLeft w:val="0"/>
      <w:marRight w:val="0"/>
      <w:marTop w:val="0"/>
      <w:marBottom w:val="0"/>
      <w:divBdr>
        <w:top w:val="none" w:sz="0" w:space="0" w:color="auto"/>
        <w:left w:val="none" w:sz="0" w:space="0" w:color="auto"/>
        <w:bottom w:val="none" w:sz="0" w:space="0" w:color="auto"/>
        <w:right w:val="none" w:sz="0" w:space="0" w:color="auto"/>
      </w:divBdr>
      <w:divsChild>
        <w:div w:id="226502940">
          <w:marLeft w:val="0"/>
          <w:marRight w:val="0"/>
          <w:marTop w:val="0"/>
          <w:marBottom w:val="0"/>
          <w:divBdr>
            <w:top w:val="none" w:sz="0" w:space="0" w:color="auto"/>
            <w:left w:val="none" w:sz="0" w:space="0" w:color="auto"/>
            <w:bottom w:val="none" w:sz="0" w:space="0" w:color="auto"/>
            <w:right w:val="none" w:sz="0" w:space="0" w:color="auto"/>
          </w:divBdr>
        </w:div>
      </w:divsChild>
    </w:div>
    <w:div w:id="912473061">
      <w:bodyDiv w:val="1"/>
      <w:marLeft w:val="0"/>
      <w:marRight w:val="0"/>
      <w:marTop w:val="0"/>
      <w:marBottom w:val="0"/>
      <w:divBdr>
        <w:top w:val="none" w:sz="0" w:space="0" w:color="auto"/>
        <w:left w:val="none" w:sz="0" w:space="0" w:color="auto"/>
        <w:bottom w:val="none" w:sz="0" w:space="0" w:color="auto"/>
        <w:right w:val="none" w:sz="0" w:space="0" w:color="auto"/>
      </w:divBdr>
      <w:divsChild>
        <w:div w:id="717826816">
          <w:marLeft w:val="0"/>
          <w:marRight w:val="0"/>
          <w:marTop w:val="0"/>
          <w:marBottom w:val="0"/>
          <w:divBdr>
            <w:top w:val="none" w:sz="0" w:space="0" w:color="auto"/>
            <w:left w:val="none" w:sz="0" w:space="0" w:color="auto"/>
            <w:bottom w:val="none" w:sz="0" w:space="0" w:color="auto"/>
            <w:right w:val="none" w:sz="0" w:space="0" w:color="auto"/>
          </w:divBdr>
          <w:divsChild>
            <w:div w:id="314339027">
              <w:marLeft w:val="0"/>
              <w:marRight w:val="0"/>
              <w:marTop w:val="0"/>
              <w:marBottom w:val="0"/>
              <w:divBdr>
                <w:top w:val="none" w:sz="0" w:space="0" w:color="auto"/>
                <w:left w:val="none" w:sz="0" w:space="0" w:color="auto"/>
                <w:bottom w:val="none" w:sz="0" w:space="0" w:color="auto"/>
                <w:right w:val="none" w:sz="0" w:space="0" w:color="auto"/>
              </w:divBdr>
              <w:divsChild>
                <w:div w:id="553351310">
                  <w:marLeft w:val="0"/>
                  <w:marRight w:val="0"/>
                  <w:marTop w:val="0"/>
                  <w:marBottom w:val="0"/>
                  <w:divBdr>
                    <w:top w:val="none" w:sz="0" w:space="0" w:color="auto"/>
                    <w:left w:val="none" w:sz="0" w:space="0" w:color="auto"/>
                    <w:bottom w:val="none" w:sz="0" w:space="0" w:color="auto"/>
                    <w:right w:val="none" w:sz="0" w:space="0" w:color="auto"/>
                  </w:divBdr>
                  <w:divsChild>
                    <w:div w:id="2124765628">
                      <w:marLeft w:val="0"/>
                      <w:marRight w:val="0"/>
                      <w:marTop w:val="0"/>
                      <w:marBottom w:val="0"/>
                      <w:divBdr>
                        <w:top w:val="none" w:sz="0" w:space="0" w:color="auto"/>
                        <w:left w:val="none" w:sz="0" w:space="0" w:color="auto"/>
                        <w:bottom w:val="none" w:sz="0" w:space="0" w:color="auto"/>
                        <w:right w:val="none" w:sz="0" w:space="0" w:color="auto"/>
                      </w:divBdr>
                      <w:divsChild>
                        <w:div w:id="1421829774">
                          <w:marLeft w:val="0"/>
                          <w:marRight w:val="0"/>
                          <w:marTop w:val="0"/>
                          <w:marBottom w:val="0"/>
                          <w:divBdr>
                            <w:top w:val="none" w:sz="0" w:space="0" w:color="auto"/>
                            <w:left w:val="none" w:sz="0" w:space="0" w:color="auto"/>
                            <w:bottom w:val="none" w:sz="0" w:space="0" w:color="auto"/>
                            <w:right w:val="none" w:sz="0" w:space="0" w:color="auto"/>
                          </w:divBdr>
                          <w:divsChild>
                            <w:div w:id="2143958836">
                              <w:marLeft w:val="0"/>
                              <w:marRight w:val="0"/>
                              <w:marTop w:val="0"/>
                              <w:marBottom w:val="0"/>
                              <w:divBdr>
                                <w:top w:val="none" w:sz="0" w:space="0" w:color="auto"/>
                                <w:left w:val="none" w:sz="0" w:space="0" w:color="auto"/>
                                <w:bottom w:val="none" w:sz="0" w:space="0" w:color="auto"/>
                                <w:right w:val="none" w:sz="0" w:space="0" w:color="auto"/>
                              </w:divBdr>
                              <w:divsChild>
                                <w:div w:id="730614836">
                                  <w:marLeft w:val="0"/>
                                  <w:marRight w:val="0"/>
                                  <w:marTop w:val="0"/>
                                  <w:marBottom w:val="0"/>
                                  <w:divBdr>
                                    <w:top w:val="none" w:sz="0" w:space="0" w:color="auto"/>
                                    <w:left w:val="none" w:sz="0" w:space="0" w:color="auto"/>
                                    <w:bottom w:val="none" w:sz="0" w:space="0" w:color="auto"/>
                                    <w:right w:val="none" w:sz="0" w:space="0" w:color="auto"/>
                                  </w:divBdr>
                                  <w:divsChild>
                                    <w:div w:id="286856718">
                                      <w:marLeft w:val="0"/>
                                      <w:marRight w:val="0"/>
                                      <w:marTop w:val="0"/>
                                      <w:marBottom w:val="0"/>
                                      <w:divBdr>
                                        <w:top w:val="none" w:sz="0" w:space="0" w:color="auto"/>
                                        <w:left w:val="none" w:sz="0" w:space="0" w:color="auto"/>
                                        <w:bottom w:val="none" w:sz="0" w:space="0" w:color="auto"/>
                                        <w:right w:val="none" w:sz="0" w:space="0" w:color="auto"/>
                                      </w:divBdr>
                                      <w:divsChild>
                                        <w:div w:id="1529026258">
                                          <w:marLeft w:val="0"/>
                                          <w:marRight w:val="0"/>
                                          <w:marTop w:val="0"/>
                                          <w:marBottom w:val="0"/>
                                          <w:divBdr>
                                            <w:top w:val="none" w:sz="0" w:space="0" w:color="auto"/>
                                            <w:left w:val="none" w:sz="0" w:space="0" w:color="auto"/>
                                            <w:bottom w:val="none" w:sz="0" w:space="0" w:color="auto"/>
                                            <w:right w:val="none" w:sz="0" w:space="0" w:color="auto"/>
                                          </w:divBdr>
                                          <w:divsChild>
                                            <w:div w:id="609315726">
                                              <w:marLeft w:val="0"/>
                                              <w:marRight w:val="0"/>
                                              <w:marTop w:val="0"/>
                                              <w:marBottom w:val="0"/>
                                              <w:divBdr>
                                                <w:top w:val="none" w:sz="0" w:space="0" w:color="auto"/>
                                                <w:left w:val="none" w:sz="0" w:space="0" w:color="auto"/>
                                                <w:bottom w:val="none" w:sz="0" w:space="0" w:color="auto"/>
                                                <w:right w:val="none" w:sz="0" w:space="0" w:color="auto"/>
                                              </w:divBdr>
                                              <w:divsChild>
                                                <w:div w:id="730925067">
                                                  <w:marLeft w:val="0"/>
                                                  <w:marRight w:val="0"/>
                                                  <w:marTop w:val="0"/>
                                                  <w:marBottom w:val="0"/>
                                                  <w:divBdr>
                                                    <w:top w:val="none" w:sz="0" w:space="0" w:color="auto"/>
                                                    <w:left w:val="none" w:sz="0" w:space="0" w:color="auto"/>
                                                    <w:bottom w:val="none" w:sz="0" w:space="0" w:color="auto"/>
                                                    <w:right w:val="none" w:sz="0" w:space="0" w:color="auto"/>
                                                  </w:divBdr>
                                                  <w:divsChild>
                                                    <w:div w:id="1898322213">
                                                      <w:marLeft w:val="0"/>
                                                      <w:marRight w:val="0"/>
                                                      <w:marTop w:val="0"/>
                                                      <w:marBottom w:val="0"/>
                                                      <w:divBdr>
                                                        <w:top w:val="none" w:sz="0" w:space="0" w:color="auto"/>
                                                        <w:left w:val="none" w:sz="0" w:space="0" w:color="auto"/>
                                                        <w:bottom w:val="none" w:sz="0" w:space="0" w:color="auto"/>
                                                        <w:right w:val="none" w:sz="0" w:space="0" w:color="auto"/>
                                                      </w:divBdr>
                                                      <w:divsChild>
                                                        <w:div w:id="17620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6691935">
      <w:bodyDiv w:val="1"/>
      <w:marLeft w:val="0"/>
      <w:marRight w:val="0"/>
      <w:marTop w:val="0"/>
      <w:marBottom w:val="0"/>
      <w:divBdr>
        <w:top w:val="none" w:sz="0" w:space="0" w:color="auto"/>
        <w:left w:val="none" w:sz="0" w:space="0" w:color="auto"/>
        <w:bottom w:val="none" w:sz="0" w:space="0" w:color="auto"/>
        <w:right w:val="none" w:sz="0" w:space="0" w:color="auto"/>
      </w:divBdr>
      <w:divsChild>
        <w:div w:id="1558515821">
          <w:marLeft w:val="979"/>
          <w:marRight w:val="0"/>
          <w:marTop w:val="60"/>
          <w:marBottom w:val="0"/>
          <w:divBdr>
            <w:top w:val="none" w:sz="0" w:space="0" w:color="auto"/>
            <w:left w:val="none" w:sz="0" w:space="0" w:color="auto"/>
            <w:bottom w:val="none" w:sz="0" w:space="0" w:color="auto"/>
            <w:right w:val="none" w:sz="0" w:space="0" w:color="auto"/>
          </w:divBdr>
        </w:div>
      </w:divsChild>
    </w:div>
    <w:div w:id="932320427">
      <w:bodyDiv w:val="1"/>
      <w:marLeft w:val="0"/>
      <w:marRight w:val="0"/>
      <w:marTop w:val="0"/>
      <w:marBottom w:val="0"/>
      <w:divBdr>
        <w:top w:val="none" w:sz="0" w:space="0" w:color="auto"/>
        <w:left w:val="none" w:sz="0" w:space="0" w:color="auto"/>
        <w:bottom w:val="none" w:sz="0" w:space="0" w:color="auto"/>
        <w:right w:val="none" w:sz="0" w:space="0" w:color="auto"/>
      </w:divBdr>
      <w:divsChild>
        <w:div w:id="640113234">
          <w:marLeft w:val="1037"/>
          <w:marRight w:val="0"/>
          <w:marTop w:val="120"/>
          <w:marBottom w:val="120"/>
          <w:divBdr>
            <w:top w:val="none" w:sz="0" w:space="0" w:color="auto"/>
            <w:left w:val="none" w:sz="0" w:space="0" w:color="auto"/>
            <w:bottom w:val="none" w:sz="0" w:space="0" w:color="auto"/>
            <w:right w:val="none" w:sz="0" w:space="0" w:color="auto"/>
          </w:divBdr>
        </w:div>
        <w:div w:id="1186359574">
          <w:marLeft w:val="1037"/>
          <w:marRight w:val="0"/>
          <w:marTop w:val="120"/>
          <w:marBottom w:val="120"/>
          <w:divBdr>
            <w:top w:val="none" w:sz="0" w:space="0" w:color="auto"/>
            <w:left w:val="none" w:sz="0" w:space="0" w:color="auto"/>
            <w:bottom w:val="none" w:sz="0" w:space="0" w:color="auto"/>
            <w:right w:val="none" w:sz="0" w:space="0" w:color="auto"/>
          </w:divBdr>
        </w:div>
        <w:div w:id="964700464">
          <w:marLeft w:val="1037"/>
          <w:marRight w:val="0"/>
          <w:marTop w:val="120"/>
          <w:marBottom w:val="120"/>
          <w:divBdr>
            <w:top w:val="none" w:sz="0" w:space="0" w:color="auto"/>
            <w:left w:val="none" w:sz="0" w:space="0" w:color="auto"/>
            <w:bottom w:val="none" w:sz="0" w:space="0" w:color="auto"/>
            <w:right w:val="none" w:sz="0" w:space="0" w:color="auto"/>
          </w:divBdr>
        </w:div>
        <w:div w:id="634025894">
          <w:marLeft w:val="1037"/>
          <w:marRight w:val="0"/>
          <w:marTop w:val="120"/>
          <w:marBottom w:val="120"/>
          <w:divBdr>
            <w:top w:val="none" w:sz="0" w:space="0" w:color="auto"/>
            <w:left w:val="none" w:sz="0" w:space="0" w:color="auto"/>
            <w:bottom w:val="none" w:sz="0" w:space="0" w:color="auto"/>
            <w:right w:val="none" w:sz="0" w:space="0" w:color="auto"/>
          </w:divBdr>
        </w:div>
      </w:divsChild>
    </w:div>
    <w:div w:id="940336563">
      <w:bodyDiv w:val="1"/>
      <w:marLeft w:val="0"/>
      <w:marRight w:val="0"/>
      <w:marTop w:val="0"/>
      <w:marBottom w:val="0"/>
      <w:divBdr>
        <w:top w:val="none" w:sz="0" w:space="0" w:color="auto"/>
        <w:left w:val="none" w:sz="0" w:space="0" w:color="auto"/>
        <w:bottom w:val="none" w:sz="0" w:space="0" w:color="auto"/>
        <w:right w:val="none" w:sz="0" w:space="0" w:color="auto"/>
      </w:divBdr>
    </w:div>
    <w:div w:id="942495905">
      <w:bodyDiv w:val="1"/>
      <w:marLeft w:val="0"/>
      <w:marRight w:val="0"/>
      <w:marTop w:val="0"/>
      <w:marBottom w:val="0"/>
      <w:divBdr>
        <w:top w:val="none" w:sz="0" w:space="0" w:color="auto"/>
        <w:left w:val="none" w:sz="0" w:space="0" w:color="auto"/>
        <w:bottom w:val="none" w:sz="0" w:space="0" w:color="auto"/>
        <w:right w:val="none" w:sz="0" w:space="0" w:color="auto"/>
      </w:divBdr>
    </w:div>
    <w:div w:id="948464631">
      <w:bodyDiv w:val="1"/>
      <w:marLeft w:val="0"/>
      <w:marRight w:val="0"/>
      <w:marTop w:val="0"/>
      <w:marBottom w:val="0"/>
      <w:divBdr>
        <w:top w:val="none" w:sz="0" w:space="0" w:color="auto"/>
        <w:left w:val="none" w:sz="0" w:space="0" w:color="auto"/>
        <w:bottom w:val="none" w:sz="0" w:space="0" w:color="auto"/>
        <w:right w:val="none" w:sz="0" w:space="0" w:color="auto"/>
      </w:divBdr>
    </w:div>
    <w:div w:id="949824511">
      <w:bodyDiv w:val="1"/>
      <w:marLeft w:val="0"/>
      <w:marRight w:val="0"/>
      <w:marTop w:val="0"/>
      <w:marBottom w:val="0"/>
      <w:divBdr>
        <w:top w:val="none" w:sz="0" w:space="0" w:color="auto"/>
        <w:left w:val="none" w:sz="0" w:space="0" w:color="auto"/>
        <w:bottom w:val="none" w:sz="0" w:space="0" w:color="auto"/>
        <w:right w:val="none" w:sz="0" w:space="0" w:color="auto"/>
      </w:divBdr>
    </w:div>
    <w:div w:id="968630777">
      <w:bodyDiv w:val="1"/>
      <w:marLeft w:val="0"/>
      <w:marRight w:val="0"/>
      <w:marTop w:val="0"/>
      <w:marBottom w:val="0"/>
      <w:divBdr>
        <w:top w:val="none" w:sz="0" w:space="0" w:color="auto"/>
        <w:left w:val="none" w:sz="0" w:space="0" w:color="auto"/>
        <w:bottom w:val="none" w:sz="0" w:space="0" w:color="auto"/>
        <w:right w:val="none" w:sz="0" w:space="0" w:color="auto"/>
      </w:divBdr>
      <w:divsChild>
        <w:div w:id="1892185708">
          <w:marLeft w:val="0"/>
          <w:marRight w:val="0"/>
          <w:marTop w:val="0"/>
          <w:marBottom w:val="0"/>
          <w:divBdr>
            <w:top w:val="none" w:sz="0" w:space="0" w:color="auto"/>
            <w:left w:val="none" w:sz="0" w:space="0" w:color="auto"/>
            <w:bottom w:val="none" w:sz="0" w:space="0" w:color="auto"/>
            <w:right w:val="none" w:sz="0" w:space="0" w:color="auto"/>
          </w:divBdr>
          <w:divsChild>
            <w:div w:id="110627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19906">
      <w:bodyDiv w:val="1"/>
      <w:marLeft w:val="0"/>
      <w:marRight w:val="0"/>
      <w:marTop w:val="0"/>
      <w:marBottom w:val="0"/>
      <w:divBdr>
        <w:top w:val="none" w:sz="0" w:space="0" w:color="auto"/>
        <w:left w:val="none" w:sz="0" w:space="0" w:color="auto"/>
        <w:bottom w:val="none" w:sz="0" w:space="0" w:color="auto"/>
        <w:right w:val="none" w:sz="0" w:space="0" w:color="auto"/>
      </w:divBdr>
    </w:div>
    <w:div w:id="980385136">
      <w:bodyDiv w:val="1"/>
      <w:marLeft w:val="0"/>
      <w:marRight w:val="0"/>
      <w:marTop w:val="0"/>
      <w:marBottom w:val="0"/>
      <w:divBdr>
        <w:top w:val="none" w:sz="0" w:space="0" w:color="auto"/>
        <w:left w:val="none" w:sz="0" w:space="0" w:color="auto"/>
        <w:bottom w:val="none" w:sz="0" w:space="0" w:color="auto"/>
        <w:right w:val="none" w:sz="0" w:space="0" w:color="auto"/>
      </w:divBdr>
      <w:divsChild>
        <w:div w:id="72241176">
          <w:marLeft w:val="0"/>
          <w:marRight w:val="0"/>
          <w:marTop w:val="0"/>
          <w:marBottom w:val="0"/>
          <w:divBdr>
            <w:top w:val="none" w:sz="0" w:space="0" w:color="auto"/>
            <w:left w:val="none" w:sz="0" w:space="0" w:color="auto"/>
            <w:bottom w:val="none" w:sz="0" w:space="0" w:color="auto"/>
            <w:right w:val="none" w:sz="0" w:space="0" w:color="auto"/>
          </w:divBdr>
          <w:divsChild>
            <w:div w:id="1951231574">
              <w:marLeft w:val="0"/>
              <w:marRight w:val="0"/>
              <w:marTop w:val="0"/>
              <w:marBottom w:val="0"/>
              <w:divBdr>
                <w:top w:val="none" w:sz="0" w:space="0" w:color="auto"/>
                <w:left w:val="none" w:sz="0" w:space="0" w:color="auto"/>
                <w:bottom w:val="none" w:sz="0" w:space="0" w:color="auto"/>
                <w:right w:val="none" w:sz="0" w:space="0" w:color="auto"/>
              </w:divBdr>
              <w:divsChild>
                <w:div w:id="403188068">
                  <w:marLeft w:val="0"/>
                  <w:marRight w:val="0"/>
                  <w:marTop w:val="0"/>
                  <w:marBottom w:val="300"/>
                  <w:divBdr>
                    <w:top w:val="none" w:sz="0" w:space="0" w:color="auto"/>
                    <w:left w:val="none" w:sz="0" w:space="0" w:color="auto"/>
                    <w:bottom w:val="none" w:sz="0" w:space="0" w:color="auto"/>
                    <w:right w:val="none" w:sz="0" w:space="0" w:color="auto"/>
                  </w:divBdr>
                  <w:divsChild>
                    <w:div w:id="1244488932">
                      <w:marLeft w:val="2325"/>
                      <w:marRight w:val="0"/>
                      <w:marTop w:val="0"/>
                      <w:marBottom w:val="0"/>
                      <w:divBdr>
                        <w:top w:val="none" w:sz="0" w:space="0" w:color="auto"/>
                        <w:left w:val="none" w:sz="0" w:space="0" w:color="auto"/>
                        <w:bottom w:val="none" w:sz="0" w:space="0" w:color="auto"/>
                        <w:right w:val="none" w:sz="0" w:space="0" w:color="auto"/>
                      </w:divBdr>
                      <w:divsChild>
                        <w:div w:id="1943566877">
                          <w:marLeft w:val="0"/>
                          <w:marRight w:val="0"/>
                          <w:marTop w:val="0"/>
                          <w:marBottom w:val="0"/>
                          <w:divBdr>
                            <w:top w:val="none" w:sz="0" w:space="0" w:color="auto"/>
                            <w:left w:val="none" w:sz="0" w:space="0" w:color="auto"/>
                            <w:bottom w:val="none" w:sz="0" w:space="0" w:color="auto"/>
                            <w:right w:val="none" w:sz="0" w:space="0" w:color="auto"/>
                          </w:divBdr>
                          <w:divsChild>
                            <w:div w:id="1260871309">
                              <w:marLeft w:val="0"/>
                              <w:marRight w:val="0"/>
                              <w:marTop w:val="0"/>
                              <w:marBottom w:val="0"/>
                              <w:divBdr>
                                <w:top w:val="none" w:sz="0" w:space="0" w:color="auto"/>
                                <w:left w:val="none" w:sz="0" w:space="0" w:color="auto"/>
                                <w:bottom w:val="none" w:sz="0" w:space="0" w:color="auto"/>
                                <w:right w:val="none" w:sz="0" w:space="0" w:color="auto"/>
                              </w:divBdr>
                              <w:divsChild>
                                <w:div w:id="774598279">
                                  <w:marLeft w:val="0"/>
                                  <w:marRight w:val="0"/>
                                  <w:marTop w:val="0"/>
                                  <w:marBottom w:val="0"/>
                                  <w:divBdr>
                                    <w:top w:val="none" w:sz="0" w:space="0" w:color="auto"/>
                                    <w:left w:val="none" w:sz="0" w:space="0" w:color="auto"/>
                                    <w:bottom w:val="none" w:sz="0" w:space="0" w:color="auto"/>
                                    <w:right w:val="none" w:sz="0" w:space="0" w:color="auto"/>
                                  </w:divBdr>
                                  <w:divsChild>
                                    <w:div w:id="1940092033">
                                      <w:marLeft w:val="0"/>
                                      <w:marRight w:val="0"/>
                                      <w:marTop w:val="0"/>
                                      <w:marBottom w:val="0"/>
                                      <w:divBdr>
                                        <w:top w:val="none" w:sz="0" w:space="0" w:color="auto"/>
                                        <w:left w:val="none" w:sz="0" w:space="0" w:color="auto"/>
                                        <w:bottom w:val="none" w:sz="0" w:space="0" w:color="auto"/>
                                        <w:right w:val="none" w:sz="0" w:space="0" w:color="auto"/>
                                      </w:divBdr>
                                      <w:divsChild>
                                        <w:div w:id="241067498">
                                          <w:marLeft w:val="0"/>
                                          <w:marRight w:val="-3525"/>
                                          <w:marTop w:val="0"/>
                                          <w:marBottom w:val="0"/>
                                          <w:divBdr>
                                            <w:top w:val="none" w:sz="0" w:space="0" w:color="auto"/>
                                            <w:left w:val="none" w:sz="0" w:space="0" w:color="auto"/>
                                            <w:bottom w:val="none" w:sz="0" w:space="0" w:color="auto"/>
                                            <w:right w:val="none" w:sz="0" w:space="0" w:color="auto"/>
                                          </w:divBdr>
                                          <w:divsChild>
                                            <w:div w:id="2019110619">
                                              <w:marLeft w:val="0"/>
                                              <w:marRight w:val="3225"/>
                                              <w:marTop w:val="0"/>
                                              <w:marBottom w:val="0"/>
                                              <w:divBdr>
                                                <w:top w:val="none" w:sz="0" w:space="0" w:color="auto"/>
                                                <w:left w:val="none" w:sz="0" w:space="0" w:color="auto"/>
                                                <w:bottom w:val="none" w:sz="0" w:space="0" w:color="auto"/>
                                                <w:right w:val="none" w:sz="0" w:space="0" w:color="auto"/>
                                              </w:divBdr>
                                              <w:divsChild>
                                                <w:div w:id="1414935986">
                                                  <w:marLeft w:val="15"/>
                                                  <w:marRight w:val="15"/>
                                                  <w:marTop w:val="15"/>
                                                  <w:marBottom w:val="15"/>
                                                  <w:divBdr>
                                                    <w:top w:val="none" w:sz="0" w:space="0" w:color="auto"/>
                                                    <w:left w:val="none" w:sz="0" w:space="0" w:color="auto"/>
                                                    <w:bottom w:val="none" w:sz="0" w:space="0" w:color="auto"/>
                                                    <w:right w:val="none" w:sz="0" w:space="0" w:color="auto"/>
                                                  </w:divBdr>
                                                  <w:divsChild>
                                                    <w:div w:id="624580803">
                                                      <w:marLeft w:val="0"/>
                                                      <w:marRight w:val="0"/>
                                                      <w:marTop w:val="0"/>
                                                      <w:marBottom w:val="0"/>
                                                      <w:divBdr>
                                                        <w:top w:val="none" w:sz="0" w:space="0" w:color="auto"/>
                                                        <w:left w:val="none" w:sz="0" w:space="0" w:color="auto"/>
                                                        <w:bottom w:val="none" w:sz="0" w:space="0" w:color="auto"/>
                                                        <w:right w:val="none" w:sz="0" w:space="0" w:color="auto"/>
                                                      </w:divBdr>
                                                      <w:divsChild>
                                                        <w:div w:id="73513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4821857">
      <w:bodyDiv w:val="1"/>
      <w:marLeft w:val="0"/>
      <w:marRight w:val="0"/>
      <w:marTop w:val="0"/>
      <w:marBottom w:val="0"/>
      <w:divBdr>
        <w:top w:val="none" w:sz="0" w:space="0" w:color="auto"/>
        <w:left w:val="none" w:sz="0" w:space="0" w:color="auto"/>
        <w:bottom w:val="none" w:sz="0" w:space="0" w:color="auto"/>
        <w:right w:val="none" w:sz="0" w:space="0" w:color="auto"/>
      </w:divBdr>
    </w:div>
    <w:div w:id="1022778083">
      <w:bodyDiv w:val="1"/>
      <w:marLeft w:val="0"/>
      <w:marRight w:val="0"/>
      <w:marTop w:val="0"/>
      <w:marBottom w:val="0"/>
      <w:divBdr>
        <w:top w:val="none" w:sz="0" w:space="0" w:color="auto"/>
        <w:left w:val="none" w:sz="0" w:space="0" w:color="auto"/>
        <w:bottom w:val="none" w:sz="0" w:space="0" w:color="auto"/>
        <w:right w:val="none" w:sz="0" w:space="0" w:color="auto"/>
      </w:divBdr>
      <w:divsChild>
        <w:div w:id="1471703149">
          <w:marLeft w:val="576"/>
          <w:marRight w:val="0"/>
          <w:marTop w:val="60"/>
          <w:marBottom w:val="60"/>
          <w:divBdr>
            <w:top w:val="none" w:sz="0" w:space="0" w:color="auto"/>
            <w:left w:val="none" w:sz="0" w:space="0" w:color="auto"/>
            <w:bottom w:val="none" w:sz="0" w:space="0" w:color="auto"/>
            <w:right w:val="none" w:sz="0" w:space="0" w:color="auto"/>
          </w:divBdr>
        </w:div>
        <w:div w:id="1274243478">
          <w:marLeft w:val="576"/>
          <w:marRight w:val="0"/>
          <w:marTop w:val="60"/>
          <w:marBottom w:val="60"/>
          <w:divBdr>
            <w:top w:val="none" w:sz="0" w:space="0" w:color="auto"/>
            <w:left w:val="none" w:sz="0" w:space="0" w:color="auto"/>
            <w:bottom w:val="none" w:sz="0" w:space="0" w:color="auto"/>
            <w:right w:val="none" w:sz="0" w:space="0" w:color="auto"/>
          </w:divBdr>
        </w:div>
      </w:divsChild>
    </w:div>
    <w:div w:id="1034622754">
      <w:bodyDiv w:val="1"/>
      <w:marLeft w:val="0"/>
      <w:marRight w:val="0"/>
      <w:marTop w:val="0"/>
      <w:marBottom w:val="0"/>
      <w:divBdr>
        <w:top w:val="none" w:sz="0" w:space="0" w:color="auto"/>
        <w:left w:val="none" w:sz="0" w:space="0" w:color="auto"/>
        <w:bottom w:val="none" w:sz="0" w:space="0" w:color="auto"/>
        <w:right w:val="none" w:sz="0" w:space="0" w:color="auto"/>
      </w:divBdr>
      <w:divsChild>
        <w:div w:id="1102725990">
          <w:marLeft w:val="576"/>
          <w:marRight w:val="0"/>
          <w:marTop w:val="120"/>
          <w:marBottom w:val="120"/>
          <w:divBdr>
            <w:top w:val="none" w:sz="0" w:space="0" w:color="auto"/>
            <w:left w:val="none" w:sz="0" w:space="0" w:color="auto"/>
            <w:bottom w:val="none" w:sz="0" w:space="0" w:color="auto"/>
            <w:right w:val="none" w:sz="0" w:space="0" w:color="auto"/>
          </w:divBdr>
        </w:div>
        <w:div w:id="584336998">
          <w:marLeft w:val="576"/>
          <w:marRight w:val="0"/>
          <w:marTop w:val="120"/>
          <w:marBottom w:val="120"/>
          <w:divBdr>
            <w:top w:val="none" w:sz="0" w:space="0" w:color="auto"/>
            <w:left w:val="none" w:sz="0" w:space="0" w:color="auto"/>
            <w:bottom w:val="none" w:sz="0" w:space="0" w:color="auto"/>
            <w:right w:val="none" w:sz="0" w:space="0" w:color="auto"/>
          </w:divBdr>
        </w:div>
        <w:div w:id="987829999">
          <w:marLeft w:val="576"/>
          <w:marRight w:val="0"/>
          <w:marTop w:val="120"/>
          <w:marBottom w:val="120"/>
          <w:divBdr>
            <w:top w:val="none" w:sz="0" w:space="0" w:color="auto"/>
            <w:left w:val="none" w:sz="0" w:space="0" w:color="auto"/>
            <w:bottom w:val="none" w:sz="0" w:space="0" w:color="auto"/>
            <w:right w:val="none" w:sz="0" w:space="0" w:color="auto"/>
          </w:divBdr>
        </w:div>
        <w:div w:id="1184785907">
          <w:marLeft w:val="576"/>
          <w:marRight w:val="0"/>
          <w:marTop w:val="120"/>
          <w:marBottom w:val="120"/>
          <w:divBdr>
            <w:top w:val="none" w:sz="0" w:space="0" w:color="auto"/>
            <w:left w:val="none" w:sz="0" w:space="0" w:color="auto"/>
            <w:bottom w:val="none" w:sz="0" w:space="0" w:color="auto"/>
            <w:right w:val="none" w:sz="0" w:space="0" w:color="auto"/>
          </w:divBdr>
        </w:div>
        <w:div w:id="1102724006">
          <w:marLeft w:val="1037"/>
          <w:marRight w:val="0"/>
          <w:marTop w:val="120"/>
          <w:marBottom w:val="120"/>
          <w:divBdr>
            <w:top w:val="none" w:sz="0" w:space="0" w:color="auto"/>
            <w:left w:val="none" w:sz="0" w:space="0" w:color="auto"/>
            <w:bottom w:val="none" w:sz="0" w:space="0" w:color="auto"/>
            <w:right w:val="none" w:sz="0" w:space="0" w:color="auto"/>
          </w:divBdr>
        </w:div>
        <w:div w:id="1074740548">
          <w:marLeft w:val="1037"/>
          <w:marRight w:val="0"/>
          <w:marTop w:val="120"/>
          <w:marBottom w:val="120"/>
          <w:divBdr>
            <w:top w:val="none" w:sz="0" w:space="0" w:color="auto"/>
            <w:left w:val="none" w:sz="0" w:space="0" w:color="auto"/>
            <w:bottom w:val="none" w:sz="0" w:space="0" w:color="auto"/>
            <w:right w:val="none" w:sz="0" w:space="0" w:color="auto"/>
          </w:divBdr>
        </w:div>
        <w:div w:id="1927617870">
          <w:marLeft w:val="1037"/>
          <w:marRight w:val="0"/>
          <w:marTop w:val="120"/>
          <w:marBottom w:val="120"/>
          <w:divBdr>
            <w:top w:val="none" w:sz="0" w:space="0" w:color="auto"/>
            <w:left w:val="none" w:sz="0" w:space="0" w:color="auto"/>
            <w:bottom w:val="none" w:sz="0" w:space="0" w:color="auto"/>
            <w:right w:val="none" w:sz="0" w:space="0" w:color="auto"/>
          </w:divBdr>
        </w:div>
      </w:divsChild>
    </w:div>
    <w:div w:id="1034891483">
      <w:bodyDiv w:val="1"/>
      <w:marLeft w:val="0"/>
      <w:marRight w:val="0"/>
      <w:marTop w:val="0"/>
      <w:marBottom w:val="0"/>
      <w:divBdr>
        <w:top w:val="none" w:sz="0" w:space="0" w:color="auto"/>
        <w:left w:val="none" w:sz="0" w:space="0" w:color="auto"/>
        <w:bottom w:val="none" w:sz="0" w:space="0" w:color="auto"/>
        <w:right w:val="none" w:sz="0" w:space="0" w:color="auto"/>
      </w:divBdr>
    </w:div>
    <w:div w:id="1043141944">
      <w:bodyDiv w:val="1"/>
      <w:marLeft w:val="0"/>
      <w:marRight w:val="0"/>
      <w:marTop w:val="0"/>
      <w:marBottom w:val="0"/>
      <w:divBdr>
        <w:top w:val="none" w:sz="0" w:space="0" w:color="auto"/>
        <w:left w:val="none" w:sz="0" w:space="0" w:color="auto"/>
        <w:bottom w:val="none" w:sz="0" w:space="0" w:color="auto"/>
        <w:right w:val="none" w:sz="0" w:space="0" w:color="auto"/>
      </w:divBdr>
    </w:div>
    <w:div w:id="1046760197">
      <w:bodyDiv w:val="1"/>
      <w:marLeft w:val="0"/>
      <w:marRight w:val="0"/>
      <w:marTop w:val="0"/>
      <w:marBottom w:val="0"/>
      <w:divBdr>
        <w:top w:val="none" w:sz="0" w:space="0" w:color="auto"/>
        <w:left w:val="none" w:sz="0" w:space="0" w:color="auto"/>
        <w:bottom w:val="none" w:sz="0" w:space="0" w:color="auto"/>
        <w:right w:val="none" w:sz="0" w:space="0" w:color="auto"/>
      </w:divBdr>
    </w:div>
    <w:div w:id="1056004777">
      <w:bodyDiv w:val="1"/>
      <w:marLeft w:val="0"/>
      <w:marRight w:val="0"/>
      <w:marTop w:val="0"/>
      <w:marBottom w:val="0"/>
      <w:divBdr>
        <w:top w:val="none" w:sz="0" w:space="0" w:color="auto"/>
        <w:left w:val="none" w:sz="0" w:space="0" w:color="auto"/>
        <w:bottom w:val="none" w:sz="0" w:space="0" w:color="auto"/>
        <w:right w:val="none" w:sz="0" w:space="0" w:color="auto"/>
      </w:divBdr>
    </w:div>
    <w:div w:id="1060401466">
      <w:bodyDiv w:val="1"/>
      <w:marLeft w:val="0"/>
      <w:marRight w:val="0"/>
      <w:marTop w:val="0"/>
      <w:marBottom w:val="0"/>
      <w:divBdr>
        <w:top w:val="none" w:sz="0" w:space="0" w:color="auto"/>
        <w:left w:val="none" w:sz="0" w:space="0" w:color="auto"/>
        <w:bottom w:val="none" w:sz="0" w:space="0" w:color="auto"/>
        <w:right w:val="none" w:sz="0" w:space="0" w:color="auto"/>
      </w:divBdr>
    </w:div>
    <w:div w:id="1063799847">
      <w:bodyDiv w:val="1"/>
      <w:marLeft w:val="0"/>
      <w:marRight w:val="0"/>
      <w:marTop w:val="0"/>
      <w:marBottom w:val="0"/>
      <w:divBdr>
        <w:top w:val="none" w:sz="0" w:space="0" w:color="auto"/>
        <w:left w:val="none" w:sz="0" w:space="0" w:color="auto"/>
        <w:bottom w:val="none" w:sz="0" w:space="0" w:color="auto"/>
        <w:right w:val="none" w:sz="0" w:space="0" w:color="auto"/>
      </w:divBdr>
    </w:div>
    <w:div w:id="1064643472">
      <w:bodyDiv w:val="1"/>
      <w:marLeft w:val="0"/>
      <w:marRight w:val="0"/>
      <w:marTop w:val="0"/>
      <w:marBottom w:val="0"/>
      <w:divBdr>
        <w:top w:val="none" w:sz="0" w:space="0" w:color="auto"/>
        <w:left w:val="none" w:sz="0" w:space="0" w:color="auto"/>
        <w:bottom w:val="none" w:sz="0" w:space="0" w:color="auto"/>
        <w:right w:val="none" w:sz="0" w:space="0" w:color="auto"/>
      </w:divBdr>
    </w:div>
    <w:div w:id="1069036456">
      <w:bodyDiv w:val="1"/>
      <w:marLeft w:val="0"/>
      <w:marRight w:val="0"/>
      <w:marTop w:val="0"/>
      <w:marBottom w:val="0"/>
      <w:divBdr>
        <w:top w:val="none" w:sz="0" w:space="0" w:color="auto"/>
        <w:left w:val="none" w:sz="0" w:space="0" w:color="auto"/>
        <w:bottom w:val="none" w:sz="0" w:space="0" w:color="auto"/>
        <w:right w:val="none" w:sz="0" w:space="0" w:color="auto"/>
      </w:divBdr>
      <w:divsChild>
        <w:div w:id="1066034466">
          <w:marLeft w:val="0"/>
          <w:marRight w:val="0"/>
          <w:marTop w:val="0"/>
          <w:marBottom w:val="0"/>
          <w:divBdr>
            <w:top w:val="none" w:sz="0" w:space="0" w:color="auto"/>
            <w:left w:val="none" w:sz="0" w:space="0" w:color="auto"/>
            <w:bottom w:val="none" w:sz="0" w:space="0" w:color="auto"/>
            <w:right w:val="none" w:sz="0" w:space="0" w:color="auto"/>
          </w:divBdr>
        </w:div>
        <w:div w:id="6098302">
          <w:marLeft w:val="0"/>
          <w:marRight w:val="0"/>
          <w:marTop w:val="0"/>
          <w:marBottom w:val="0"/>
          <w:divBdr>
            <w:top w:val="none" w:sz="0" w:space="0" w:color="auto"/>
            <w:left w:val="none" w:sz="0" w:space="0" w:color="auto"/>
            <w:bottom w:val="none" w:sz="0" w:space="0" w:color="auto"/>
            <w:right w:val="none" w:sz="0" w:space="0" w:color="auto"/>
          </w:divBdr>
        </w:div>
        <w:div w:id="545142169">
          <w:marLeft w:val="0"/>
          <w:marRight w:val="0"/>
          <w:marTop w:val="0"/>
          <w:marBottom w:val="0"/>
          <w:divBdr>
            <w:top w:val="none" w:sz="0" w:space="0" w:color="auto"/>
            <w:left w:val="none" w:sz="0" w:space="0" w:color="auto"/>
            <w:bottom w:val="none" w:sz="0" w:space="0" w:color="auto"/>
            <w:right w:val="none" w:sz="0" w:space="0" w:color="auto"/>
          </w:divBdr>
        </w:div>
        <w:div w:id="971401169">
          <w:marLeft w:val="0"/>
          <w:marRight w:val="0"/>
          <w:marTop w:val="0"/>
          <w:marBottom w:val="0"/>
          <w:divBdr>
            <w:top w:val="none" w:sz="0" w:space="0" w:color="auto"/>
            <w:left w:val="none" w:sz="0" w:space="0" w:color="auto"/>
            <w:bottom w:val="none" w:sz="0" w:space="0" w:color="auto"/>
            <w:right w:val="none" w:sz="0" w:space="0" w:color="auto"/>
          </w:divBdr>
        </w:div>
        <w:div w:id="1780248675">
          <w:marLeft w:val="0"/>
          <w:marRight w:val="0"/>
          <w:marTop w:val="0"/>
          <w:marBottom w:val="0"/>
          <w:divBdr>
            <w:top w:val="none" w:sz="0" w:space="0" w:color="auto"/>
            <w:left w:val="none" w:sz="0" w:space="0" w:color="auto"/>
            <w:bottom w:val="none" w:sz="0" w:space="0" w:color="auto"/>
            <w:right w:val="none" w:sz="0" w:space="0" w:color="auto"/>
          </w:divBdr>
        </w:div>
      </w:divsChild>
    </w:div>
    <w:div w:id="1078676603">
      <w:bodyDiv w:val="1"/>
      <w:marLeft w:val="0"/>
      <w:marRight w:val="0"/>
      <w:marTop w:val="0"/>
      <w:marBottom w:val="0"/>
      <w:divBdr>
        <w:top w:val="none" w:sz="0" w:space="0" w:color="auto"/>
        <w:left w:val="none" w:sz="0" w:space="0" w:color="auto"/>
        <w:bottom w:val="none" w:sz="0" w:space="0" w:color="auto"/>
        <w:right w:val="none" w:sz="0" w:space="0" w:color="auto"/>
      </w:divBdr>
      <w:divsChild>
        <w:div w:id="263804590">
          <w:marLeft w:val="576"/>
          <w:marRight w:val="0"/>
          <w:marTop w:val="60"/>
          <w:marBottom w:val="0"/>
          <w:divBdr>
            <w:top w:val="none" w:sz="0" w:space="0" w:color="auto"/>
            <w:left w:val="none" w:sz="0" w:space="0" w:color="auto"/>
            <w:bottom w:val="none" w:sz="0" w:space="0" w:color="auto"/>
            <w:right w:val="none" w:sz="0" w:space="0" w:color="auto"/>
          </w:divBdr>
        </w:div>
        <w:div w:id="1437167809">
          <w:marLeft w:val="576"/>
          <w:marRight w:val="0"/>
          <w:marTop w:val="60"/>
          <w:marBottom w:val="0"/>
          <w:divBdr>
            <w:top w:val="none" w:sz="0" w:space="0" w:color="auto"/>
            <w:left w:val="none" w:sz="0" w:space="0" w:color="auto"/>
            <w:bottom w:val="none" w:sz="0" w:space="0" w:color="auto"/>
            <w:right w:val="none" w:sz="0" w:space="0" w:color="auto"/>
          </w:divBdr>
        </w:div>
        <w:div w:id="843323933">
          <w:marLeft w:val="576"/>
          <w:marRight w:val="0"/>
          <w:marTop w:val="60"/>
          <w:marBottom w:val="0"/>
          <w:divBdr>
            <w:top w:val="none" w:sz="0" w:space="0" w:color="auto"/>
            <w:left w:val="none" w:sz="0" w:space="0" w:color="auto"/>
            <w:bottom w:val="none" w:sz="0" w:space="0" w:color="auto"/>
            <w:right w:val="none" w:sz="0" w:space="0" w:color="auto"/>
          </w:divBdr>
        </w:div>
        <w:div w:id="966088058">
          <w:marLeft w:val="576"/>
          <w:marRight w:val="0"/>
          <w:marTop w:val="60"/>
          <w:marBottom w:val="0"/>
          <w:divBdr>
            <w:top w:val="none" w:sz="0" w:space="0" w:color="auto"/>
            <w:left w:val="none" w:sz="0" w:space="0" w:color="auto"/>
            <w:bottom w:val="none" w:sz="0" w:space="0" w:color="auto"/>
            <w:right w:val="none" w:sz="0" w:space="0" w:color="auto"/>
          </w:divBdr>
        </w:div>
      </w:divsChild>
    </w:div>
    <w:div w:id="1090004271">
      <w:bodyDiv w:val="1"/>
      <w:marLeft w:val="0"/>
      <w:marRight w:val="0"/>
      <w:marTop w:val="0"/>
      <w:marBottom w:val="0"/>
      <w:divBdr>
        <w:top w:val="none" w:sz="0" w:space="0" w:color="auto"/>
        <w:left w:val="none" w:sz="0" w:space="0" w:color="auto"/>
        <w:bottom w:val="none" w:sz="0" w:space="0" w:color="auto"/>
        <w:right w:val="none" w:sz="0" w:space="0" w:color="auto"/>
      </w:divBdr>
    </w:div>
    <w:div w:id="1102610105">
      <w:bodyDiv w:val="1"/>
      <w:marLeft w:val="0"/>
      <w:marRight w:val="0"/>
      <w:marTop w:val="0"/>
      <w:marBottom w:val="0"/>
      <w:divBdr>
        <w:top w:val="none" w:sz="0" w:space="0" w:color="auto"/>
        <w:left w:val="none" w:sz="0" w:space="0" w:color="auto"/>
        <w:bottom w:val="none" w:sz="0" w:space="0" w:color="auto"/>
        <w:right w:val="none" w:sz="0" w:space="0" w:color="auto"/>
      </w:divBdr>
      <w:divsChild>
        <w:div w:id="1741176364">
          <w:marLeft w:val="0"/>
          <w:marRight w:val="0"/>
          <w:marTop w:val="0"/>
          <w:marBottom w:val="0"/>
          <w:divBdr>
            <w:top w:val="none" w:sz="0" w:space="0" w:color="auto"/>
            <w:left w:val="none" w:sz="0" w:space="0" w:color="auto"/>
            <w:bottom w:val="none" w:sz="0" w:space="0" w:color="auto"/>
            <w:right w:val="none" w:sz="0" w:space="0" w:color="auto"/>
          </w:divBdr>
          <w:divsChild>
            <w:div w:id="2092583176">
              <w:marLeft w:val="0"/>
              <w:marRight w:val="0"/>
              <w:marTop w:val="0"/>
              <w:marBottom w:val="0"/>
              <w:divBdr>
                <w:top w:val="none" w:sz="0" w:space="0" w:color="auto"/>
                <w:left w:val="none" w:sz="0" w:space="0" w:color="auto"/>
                <w:bottom w:val="none" w:sz="0" w:space="0" w:color="auto"/>
                <w:right w:val="none" w:sz="0" w:space="0" w:color="auto"/>
              </w:divBdr>
              <w:divsChild>
                <w:div w:id="82007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77949">
      <w:bodyDiv w:val="1"/>
      <w:marLeft w:val="0"/>
      <w:marRight w:val="0"/>
      <w:marTop w:val="0"/>
      <w:marBottom w:val="0"/>
      <w:divBdr>
        <w:top w:val="none" w:sz="0" w:space="0" w:color="auto"/>
        <w:left w:val="none" w:sz="0" w:space="0" w:color="auto"/>
        <w:bottom w:val="none" w:sz="0" w:space="0" w:color="auto"/>
        <w:right w:val="none" w:sz="0" w:space="0" w:color="auto"/>
      </w:divBdr>
    </w:div>
    <w:div w:id="1119762673">
      <w:bodyDiv w:val="1"/>
      <w:marLeft w:val="0"/>
      <w:marRight w:val="0"/>
      <w:marTop w:val="0"/>
      <w:marBottom w:val="0"/>
      <w:divBdr>
        <w:top w:val="none" w:sz="0" w:space="0" w:color="auto"/>
        <w:left w:val="none" w:sz="0" w:space="0" w:color="auto"/>
        <w:bottom w:val="none" w:sz="0" w:space="0" w:color="auto"/>
        <w:right w:val="none" w:sz="0" w:space="0" w:color="auto"/>
      </w:divBdr>
    </w:div>
    <w:div w:id="1159736777">
      <w:bodyDiv w:val="1"/>
      <w:marLeft w:val="0"/>
      <w:marRight w:val="0"/>
      <w:marTop w:val="0"/>
      <w:marBottom w:val="0"/>
      <w:divBdr>
        <w:top w:val="none" w:sz="0" w:space="0" w:color="auto"/>
        <w:left w:val="none" w:sz="0" w:space="0" w:color="auto"/>
        <w:bottom w:val="none" w:sz="0" w:space="0" w:color="auto"/>
        <w:right w:val="none" w:sz="0" w:space="0" w:color="auto"/>
      </w:divBdr>
    </w:div>
    <w:div w:id="1160730233">
      <w:bodyDiv w:val="1"/>
      <w:marLeft w:val="0"/>
      <w:marRight w:val="0"/>
      <w:marTop w:val="0"/>
      <w:marBottom w:val="0"/>
      <w:divBdr>
        <w:top w:val="none" w:sz="0" w:space="0" w:color="auto"/>
        <w:left w:val="none" w:sz="0" w:space="0" w:color="auto"/>
        <w:bottom w:val="none" w:sz="0" w:space="0" w:color="auto"/>
        <w:right w:val="none" w:sz="0" w:space="0" w:color="auto"/>
      </w:divBdr>
      <w:divsChild>
        <w:div w:id="521237534">
          <w:marLeft w:val="0"/>
          <w:marRight w:val="0"/>
          <w:marTop w:val="0"/>
          <w:marBottom w:val="0"/>
          <w:divBdr>
            <w:top w:val="none" w:sz="0" w:space="0" w:color="auto"/>
            <w:left w:val="none" w:sz="0" w:space="0" w:color="auto"/>
            <w:bottom w:val="none" w:sz="0" w:space="0" w:color="auto"/>
            <w:right w:val="none" w:sz="0" w:space="0" w:color="auto"/>
          </w:divBdr>
          <w:divsChild>
            <w:div w:id="772896307">
              <w:marLeft w:val="0"/>
              <w:marRight w:val="0"/>
              <w:marTop w:val="0"/>
              <w:marBottom w:val="0"/>
              <w:divBdr>
                <w:top w:val="none" w:sz="0" w:space="0" w:color="auto"/>
                <w:left w:val="none" w:sz="0" w:space="0" w:color="auto"/>
                <w:bottom w:val="none" w:sz="0" w:space="0" w:color="auto"/>
                <w:right w:val="none" w:sz="0" w:space="0" w:color="auto"/>
              </w:divBdr>
              <w:divsChild>
                <w:div w:id="509295648">
                  <w:marLeft w:val="0"/>
                  <w:marRight w:val="0"/>
                  <w:marTop w:val="0"/>
                  <w:marBottom w:val="0"/>
                  <w:divBdr>
                    <w:top w:val="none" w:sz="0" w:space="0" w:color="auto"/>
                    <w:left w:val="none" w:sz="0" w:space="0" w:color="auto"/>
                    <w:bottom w:val="none" w:sz="0" w:space="0" w:color="auto"/>
                    <w:right w:val="none" w:sz="0" w:space="0" w:color="auto"/>
                  </w:divBdr>
                  <w:divsChild>
                    <w:div w:id="433326879">
                      <w:marLeft w:val="0"/>
                      <w:marRight w:val="0"/>
                      <w:marTop w:val="105"/>
                      <w:marBottom w:val="0"/>
                      <w:divBdr>
                        <w:top w:val="none" w:sz="0" w:space="0" w:color="auto"/>
                        <w:left w:val="none" w:sz="0" w:space="0" w:color="auto"/>
                        <w:bottom w:val="none" w:sz="0" w:space="0" w:color="auto"/>
                        <w:right w:val="none" w:sz="0" w:space="0" w:color="auto"/>
                      </w:divBdr>
                      <w:divsChild>
                        <w:div w:id="1540775049">
                          <w:marLeft w:val="0"/>
                          <w:marRight w:val="0"/>
                          <w:marTop w:val="0"/>
                          <w:marBottom w:val="0"/>
                          <w:divBdr>
                            <w:top w:val="none" w:sz="0" w:space="0" w:color="auto"/>
                            <w:left w:val="none" w:sz="0" w:space="0" w:color="auto"/>
                            <w:bottom w:val="none" w:sz="0" w:space="0" w:color="auto"/>
                            <w:right w:val="none" w:sz="0" w:space="0" w:color="auto"/>
                          </w:divBdr>
                          <w:divsChild>
                            <w:div w:id="1002011489">
                              <w:marLeft w:val="0"/>
                              <w:marRight w:val="0"/>
                              <w:marTop w:val="0"/>
                              <w:marBottom w:val="0"/>
                              <w:divBdr>
                                <w:top w:val="none" w:sz="0" w:space="0" w:color="auto"/>
                                <w:left w:val="none" w:sz="0" w:space="0" w:color="auto"/>
                                <w:bottom w:val="none" w:sz="0" w:space="0" w:color="auto"/>
                                <w:right w:val="none" w:sz="0" w:space="0" w:color="auto"/>
                              </w:divBdr>
                              <w:divsChild>
                                <w:div w:id="685981608">
                                  <w:marLeft w:val="0"/>
                                  <w:marRight w:val="0"/>
                                  <w:marTop w:val="0"/>
                                  <w:marBottom w:val="0"/>
                                  <w:divBdr>
                                    <w:top w:val="none" w:sz="0" w:space="0" w:color="auto"/>
                                    <w:left w:val="none" w:sz="0" w:space="0" w:color="auto"/>
                                    <w:bottom w:val="none" w:sz="0" w:space="0" w:color="auto"/>
                                    <w:right w:val="none" w:sz="0" w:space="0" w:color="auto"/>
                                  </w:divBdr>
                                  <w:divsChild>
                                    <w:div w:id="271940154">
                                      <w:marLeft w:val="0"/>
                                      <w:marRight w:val="0"/>
                                      <w:marTop w:val="0"/>
                                      <w:marBottom w:val="0"/>
                                      <w:divBdr>
                                        <w:top w:val="none" w:sz="0" w:space="0" w:color="auto"/>
                                        <w:left w:val="none" w:sz="0" w:space="0" w:color="auto"/>
                                        <w:bottom w:val="none" w:sz="0" w:space="0" w:color="auto"/>
                                        <w:right w:val="none" w:sz="0" w:space="0" w:color="auto"/>
                                      </w:divBdr>
                                      <w:divsChild>
                                        <w:div w:id="862595299">
                                          <w:marLeft w:val="0"/>
                                          <w:marRight w:val="0"/>
                                          <w:marTop w:val="0"/>
                                          <w:marBottom w:val="150"/>
                                          <w:divBdr>
                                            <w:top w:val="none" w:sz="0" w:space="0" w:color="auto"/>
                                            <w:left w:val="none" w:sz="0" w:space="0" w:color="auto"/>
                                            <w:bottom w:val="none" w:sz="0" w:space="0" w:color="auto"/>
                                            <w:right w:val="none" w:sz="0" w:space="0" w:color="auto"/>
                                          </w:divBdr>
                                          <w:divsChild>
                                            <w:div w:id="211655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7095544">
      <w:bodyDiv w:val="1"/>
      <w:marLeft w:val="0"/>
      <w:marRight w:val="0"/>
      <w:marTop w:val="0"/>
      <w:marBottom w:val="0"/>
      <w:divBdr>
        <w:top w:val="none" w:sz="0" w:space="0" w:color="auto"/>
        <w:left w:val="none" w:sz="0" w:space="0" w:color="auto"/>
        <w:bottom w:val="none" w:sz="0" w:space="0" w:color="auto"/>
        <w:right w:val="none" w:sz="0" w:space="0" w:color="auto"/>
      </w:divBdr>
      <w:divsChild>
        <w:div w:id="484706546">
          <w:marLeft w:val="0"/>
          <w:marRight w:val="0"/>
          <w:marTop w:val="0"/>
          <w:marBottom w:val="0"/>
          <w:divBdr>
            <w:top w:val="none" w:sz="0" w:space="0" w:color="auto"/>
            <w:left w:val="none" w:sz="0" w:space="0" w:color="auto"/>
            <w:bottom w:val="none" w:sz="0" w:space="0" w:color="auto"/>
            <w:right w:val="none" w:sz="0" w:space="0" w:color="auto"/>
          </w:divBdr>
        </w:div>
      </w:divsChild>
    </w:div>
    <w:div w:id="1168061406">
      <w:bodyDiv w:val="1"/>
      <w:marLeft w:val="0"/>
      <w:marRight w:val="0"/>
      <w:marTop w:val="0"/>
      <w:marBottom w:val="0"/>
      <w:divBdr>
        <w:top w:val="none" w:sz="0" w:space="0" w:color="auto"/>
        <w:left w:val="none" w:sz="0" w:space="0" w:color="auto"/>
        <w:bottom w:val="none" w:sz="0" w:space="0" w:color="auto"/>
        <w:right w:val="none" w:sz="0" w:space="0" w:color="auto"/>
      </w:divBdr>
    </w:div>
    <w:div w:id="1175876415">
      <w:bodyDiv w:val="1"/>
      <w:marLeft w:val="0"/>
      <w:marRight w:val="0"/>
      <w:marTop w:val="0"/>
      <w:marBottom w:val="0"/>
      <w:divBdr>
        <w:top w:val="none" w:sz="0" w:space="0" w:color="auto"/>
        <w:left w:val="none" w:sz="0" w:space="0" w:color="auto"/>
        <w:bottom w:val="none" w:sz="0" w:space="0" w:color="auto"/>
        <w:right w:val="none" w:sz="0" w:space="0" w:color="auto"/>
      </w:divBdr>
      <w:divsChild>
        <w:div w:id="330060484">
          <w:marLeft w:val="576"/>
          <w:marRight w:val="0"/>
          <w:marTop w:val="120"/>
          <w:marBottom w:val="120"/>
          <w:divBdr>
            <w:top w:val="none" w:sz="0" w:space="0" w:color="auto"/>
            <w:left w:val="none" w:sz="0" w:space="0" w:color="auto"/>
            <w:bottom w:val="none" w:sz="0" w:space="0" w:color="auto"/>
            <w:right w:val="none" w:sz="0" w:space="0" w:color="auto"/>
          </w:divBdr>
        </w:div>
        <w:div w:id="233980337">
          <w:marLeft w:val="576"/>
          <w:marRight w:val="0"/>
          <w:marTop w:val="120"/>
          <w:marBottom w:val="120"/>
          <w:divBdr>
            <w:top w:val="none" w:sz="0" w:space="0" w:color="auto"/>
            <w:left w:val="none" w:sz="0" w:space="0" w:color="auto"/>
            <w:bottom w:val="none" w:sz="0" w:space="0" w:color="auto"/>
            <w:right w:val="none" w:sz="0" w:space="0" w:color="auto"/>
          </w:divBdr>
        </w:div>
        <w:div w:id="2142260386">
          <w:marLeft w:val="576"/>
          <w:marRight w:val="0"/>
          <w:marTop w:val="120"/>
          <w:marBottom w:val="120"/>
          <w:divBdr>
            <w:top w:val="none" w:sz="0" w:space="0" w:color="auto"/>
            <w:left w:val="none" w:sz="0" w:space="0" w:color="auto"/>
            <w:bottom w:val="none" w:sz="0" w:space="0" w:color="auto"/>
            <w:right w:val="none" w:sz="0" w:space="0" w:color="auto"/>
          </w:divBdr>
        </w:div>
        <w:div w:id="1191341458">
          <w:marLeft w:val="576"/>
          <w:marRight w:val="0"/>
          <w:marTop w:val="120"/>
          <w:marBottom w:val="120"/>
          <w:divBdr>
            <w:top w:val="none" w:sz="0" w:space="0" w:color="auto"/>
            <w:left w:val="none" w:sz="0" w:space="0" w:color="auto"/>
            <w:bottom w:val="none" w:sz="0" w:space="0" w:color="auto"/>
            <w:right w:val="none" w:sz="0" w:space="0" w:color="auto"/>
          </w:divBdr>
        </w:div>
        <w:div w:id="440031303">
          <w:marLeft w:val="576"/>
          <w:marRight w:val="0"/>
          <w:marTop w:val="120"/>
          <w:marBottom w:val="120"/>
          <w:divBdr>
            <w:top w:val="none" w:sz="0" w:space="0" w:color="auto"/>
            <w:left w:val="none" w:sz="0" w:space="0" w:color="auto"/>
            <w:bottom w:val="none" w:sz="0" w:space="0" w:color="auto"/>
            <w:right w:val="none" w:sz="0" w:space="0" w:color="auto"/>
          </w:divBdr>
        </w:div>
      </w:divsChild>
    </w:div>
    <w:div w:id="1193153497">
      <w:bodyDiv w:val="1"/>
      <w:marLeft w:val="0"/>
      <w:marRight w:val="0"/>
      <w:marTop w:val="0"/>
      <w:marBottom w:val="0"/>
      <w:divBdr>
        <w:top w:val="none" w:sz="0" w:space="0" w:color="auto"/>
        <w:left w:val="none" w:sz="0" w:space="0" w:color="auto"/>
        <w:bottom w:val="none" w:sz="0" w:space="0" w:color="auto"/>
        <w:right w:val="none" w:sz="0" w:space="0" w:color="auto"/>
      </w:divBdr>
    </w:div>
    <w:div w:id="1197619769">
      <w:bodyDiv w:val="1"/>
      <w:marLeft w:val="0"/>
      <w:marRight w:val="0"/>
      <w:marTop w:val="0"/>
      <w:marBottom w:val="0"/>
      <w:divBdr>
        <w:top w:val="none" w:sz="0" w:space="0" w:color="auto"/>
        <w:left w:val="none" w:sz="0" w:space="0" w:color="auto"/>
        <w:bottom w:val="none" w:sz="0" w:space="0" w:color="auto"/>
        <w:right w:val="none" w:sz="0" w:space="0" w:color="auto"/>
      </w:divBdr>
    </w:div>
    <w:div w:id="1231506023">
      <w:bodyDiv w:val="1"/>
      <w:marLeft w:val="0"/>
      <w:marRight w:val="0"/>
      <w:marTop w:val="0"/>
      <w:marBottom w:val="0"/>
      <w:divBdr>
        <w:top w:val="none" w:sz="0" w:space="0" w:color="auto"/>
        <w:left w:val="none" w:sz="0" w:space="0" w:color="auto"/>
        <w:bottom w:val="none" w:sz="0" w:space="0" w:color="auto"/>
        <w:right w:val="none" w:sz="0" w:space="0" w:color="auto"/>
      </w:divBdr>
    </w:div>
    <w:div w:id="1234660811">
      <w:marLeft w:val="0"/>
      <w:marRight w:val="0"/>
      <w:marTop w:val="0"/>
      <w:marBottom w:val="0"/>
      <w:divBdr>
        <w:top w:val="none" w:sz="0" w:space="0" w:color="auto"/>
        <w:left w:val="none" w:sz="0" w:space="0" w:color="auto"/>
        <w:bottom w:val="none" w:sz="0" w:space="0" w:color="auto"/>
        <w:right w:val="none" w:sz="0" w:space="0" w:color="auto"/>
      </w:divBdr>
      <w:divsChild>
        <w:div w:id="1234660939">
          <w:marLeft w:val="0"/>
          <w:marRight w:val="0"/>
          <w:marTop w:val="0"/>
          <w:marBottom w:val="0"/>
          <w:divBdr>
            <w:top w:val="none" w:sz="0" w:space="0" w:color="auto"/>
            <w:left w:val="none" w:sz="0" w:space="0" w:color="auto"/>
            <w:bottom w:val="none" w:sz="0" w:space="0" w:color="auto"/>
            <w:right w:val="none" w:sz="0" w:space="0" w:color="auto"/>
          </w:divBdr>
          <w:divsChild>
            <w:div w:id="1234660825">
              <w:marLeft w:val="0"/>
              <w:marRight w:val="0"/>
              <w:marTop w:val="0"/>
              <w:marBottom w:val="0"/>
              <w:divBdr>
                <w:top w:val="none" w:sz="0" w:space="0" w:color="auto"/>
                <w:left w:val="none" w:sz="0" w:space="0" w:color="auto"/>
                <w:bottom w:val="none" w:sz="0" w:space="0" w:color="auto"/>
                <w:right w:val="none" w:sz="0" w:space="0" w:color="auto"/>
              </w:divBdr>
              <w:divsChild>
                <w:div w:id="1234660930">
                  <w:marLeft w:val="0"/>
                  <w:marRight w:val="0"/>
                  <w:marTop w:val="0"/>
                  <w:marBottom w:val="0"/>
                  <w:divBdr>
                    <w:top w:val="none" w:sz="0" w:space="0" w:color="auto"/>
                    <w:left w:val="none" w:sz="0" w:space="0" w:color="auto"/>
                    <w:bottom w:val="none" w:sz="0" w:space="0" w:color="auto"/>
                    <w:right w:val="none" w:sz="0" w:space="0" w:color="auto"/>
                  </w:divBdr>
                  <w:divsChild>
                    <w:div w:id="1234660821">
                      <w:marLeft w:val="0"/>
                      <w:marRight w:val="0"/>
                      <w:marTop w:val="0"/>
                      <w:marBottom w:val="240"/>
                      <w:divBdr>
                        <w:top w:val="none" w:sz="0" w:space="0" w:color="auto"/>
                        <w:left w:val="none" w:sz="0" w:space="0" w:color="auto"/>
                        <w:bottom w:val="none" w:sz="0" w:space="0" w:color="auto"/>
                        <w:right w:val="none" w:sz="0" w:space="0" w:color="auto"/>
                      </w:divBdr>
                      <w:divsChild>
                        <w:div w:id="1234660948">
                          <w:marLeft w:val="0"/>
                          <w:marRight w:val="0"/>
                          <w:marTop w:val="120"/>
                          <w:marBottom w:val="300"/>
                          <w:divBdr>
                            <w:top w:val="none" w:sz="0" w:space="0" w:color="auto"/>
                            <w:left w:val="none" w:sz="0" w:space="0" w:color="auto"/>
                            <w:bottom w:val="none" w:sz="0" w:space="0" w:color="auto"/>
                            <w:right w:val="none" w:sz="0" w:space="0" w:color="auto"/>
                          </w:divBdr>
                          <w:divsChild>
                            <w:div w:id="1234660937">
                              <w:marLeft w:val="0"/>
                              <w:marRight w:val="0"/>
                              <w:marTop w:val="0"/>
                              <w:marBottom w:val="0"/>
                              <w:divBdr>
                                <w:top w:val="none" w:sz="0" w:space="0" w:color="auto"/>
                                <w:left w:val="none" w:sz="0" w:space="0" w:color="auto"/>
                                <w:bottom w:val="none" w:sz="0" w:space="0" w:color="auto"/>
                                <w:right w:val="none" w:sz="0" w:space="0" w:color="auto"/>
                              </w:divBdr>
                              <w:divsChild>
                                <w:div w:id="123466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60817">
      <w:marLeft w:val="0"/>
      <w:marRight w:val="0"/>
      <w:marTop w:val="0"/>
      <w:marBottom w:val="0"/>
      <w:divBdr>
        <w:top w:val="none" w:sz="0" w:space="0" w:color="auto"/>
        <w:left w:val="none" w:sz="0" w:space="0" w:color="auto"/>
        <w:bottom w:val="none" w:sz="0" w:space="0" w:color="auto"/>
        <w:right w:val="none" w:sz="0" w:space="0" w:color="auto"/>
      </w:divBdr>
      <w:divsChild>
        <w:div w:id="1234660936">
          <w:marLeft w:val="0"/>
          <w:marRight w:val="0"/>
          <w:marTop w:val="0"/>
          <w:marBottom w:val="0"/>
          <w:divBdr>
            <w:top w:val="none" w:sz="0" w:space="0" w:color="auto"/>
            <w:left w:val="none" w:sz="0" w:space="0" w:color="auto"/>
            <w:bottom w:val="none" w:sz="0" w:space="0" w:color="auto"/>
            <w:right w:val="none" w:sz="0" w:space="0" w:color="auto"/>
          </w:divBdr>
          <w:divsChild>
            <w:div w:id="1234660941">
              <w:marLeft w:val="0"/>
              <w:marRight w:val="0"/>
              <w:marTop w:val="0"/>
              <w:marBottom w:val="0"/>
              <w:divBdr>
                <w:top w:val="none" w:sz="0" w:space="0" w:color="auto"/>
                <w:left w:val="none" w:sz="0" w:space="0" w:color="auto"/>
                <w:bottom w:val="none" w:sz="0" w:space="0" w:color="auto"/>
                <w:right w:val="none" w:sz="0" w:space="0" w:color="auto"/>
              </w:divBdr>
              <w:divsChild>
                <w:div w:id="1234660922">
                  <w:marLeft w:val="0"/>
                  <w:marRight w:val="0"/>
                  <w:marTop w:val="0"/>
                  <w:marBottom w:val="0"/>
                  <w:divBdr>
                    <w:top w:val="none" w:sz="0" w:space="0" w:color="auto"/>
                    <w:left w:val="none" w:sz="0" w:space="0" w:color="auto"/>
                    <w:bottom w:val="none" w:sz="0" w:space="0" w:color="auto"/>
                    <w:right w:val="none" w:sz="0" w:space="0" w:color="auto"/>
                  </w:divBdr>
                  <w:divsChild>
                    <w:div w:id="1234660883">
                      <w:marLeft w:val="0"/>
                      <w:marRight w:val="0"/>
                      <w:marTop w:val="0"/>
                      <w:marBottom w:val="0"/>
                      <w:divBdr>
                        <w:top w:val="none" w:sz="0" w:space="0" w:color="auto"/>
                        <w:left w:val="none" w:sz="0" w:space="0" w:color="auto"/>
                        <w:bottom w:val="none" w:sz="0" w:space="0" w:color="auto"/>
                        <w:right w:val="none" w:sz="0" w:space="0" w:color="auto"/>
                      </w:divBdr>
                      <w:divsChild>
                        <w:div w:id="1234660935">
                          <w:marLeft w:val="0"/>
                          <w:marRight w:val="0"/>
                          <w:marTop w:val="0"/>
                          <w:marBottom w:val="0"/>
                          <w:divBdr>
                            <w:top w:val="none" w:sz="0" w:space="0" w:color="auto"/>
                            <w:left w:val="none" w:sz="0" w:space="0" w:color="auto"/>
                            <w:bottom w:val="none" w:sz="0" w:space="0" w:color="auto"/>
                            <w:right w:val="none" w:sz="0" w:space="0" w:color="auto"/>
                          </w:divBdr>
                          <w:divsChild>
                            <w:div w:id="1234660849">
                              <w:marLeft w:val="0"/>
                              <w:marRight w:val="0"/>
                              <w:marTop w:val="0"/>
                              <w:marBottom w:val="0"/>
                              <w:divBdr>
                                <w:top w:val="none" w:sz="0" w:space="0" w:color="auto"/>
                                <w:left w:val="none" w:sz="0" w:space="0" w:color="auto"/>
                                <w:bottom w:val="none" w:sz="0" w:space="0" w:color="auto"/>
                                <w:right w:val="none" w:sz="0" w:space="0" w:color="auto"/>
                              </w:divBdr>
                            </w:div>
                            <w:div w:id="1234660919">
                              <w:marLeft w:val="0"/>
                              <w:marRight w:val="0"/>
                              <w:marTop w:val="0"/>
                              <w:marBottom w:val="0"/>
                              <w:divBdr>
                                <w:top w:val="none" w:sz="0" w:space="0" w:color="auto"/>
                                <w:left w:val="none" w:sz="0" w:space="0" w:color="auto"/>
                                <w:bottom w:val="none" w:sz="0" w:space="0" w:color="auto"/>
                                <w:right w:val="none" w:sz="0" w:space="0" w:color="auto"/>
                              </w:divBdr>
                              <w:divsChild>
                                <w:div w:id="1234660807">
                                  <w:marLeft w:val="0"/>
                                  <w:marRight w:val="0"/>
                                  <w:marTop w:val="0"/>
                                  <w:marBottom w:val="0"/>
                                  <w:divBdr>
                                    <w:top w:val="none" w:sz="0" w:space="0" w:color="auto"/>
                                    <w:left w:val="none" w:sz="0" w:space="0" w:color="auto"/>
                                    <w:bottom w:val="none" w:sz="0" w:space="0" w:color="auto"/>
                                    <w:right w:val="none" w:sz="0" w:space="0" w:color="auto"/>
                                  </w:divBdr>
                                  <w:divsChild>
                                    <w:div w:id="123466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660818">
      <w:marLeft w:val="0"/>
      <w:marRight w:val="0"/>
      <w:marTop w:val="0"/>
      <w:marBottom w:val="0"/>
      <w:divBdr>
        <w:top w:val="none" w:sz="0" w:space="0" w:color="auto"/>
        <w:left w:val="none" w:sz="0" w:space="0" w:color="auto"/>
        <w:bottom w:val="none" w:sz="0" w:space="0" w:color="auto"/>
        <w:right w:val="none" w:sz="0" w:space="0" w:color="auto"/>
      </w:divBdr>
    </w:div>
    <w:div w:id="1234660820">
      <w:marLeft w:val="0"/>
      <w:marRight w:val="0"/>
      <w:marTop w:val="0"/>
      <w:marBottom w:val="0"/>
      <w:divBdr>
        <w:top w:val="none" w:sz="0" w:space="0" w:color="auto"/>
        <w:left w:val="none" w:sz="0" w:space="0" w:color="auto"/>
        <w:bottom w:val="none" w:sz="0" w:space="0" w:color="auto"/>
        <w:right w:val="none" w:sz="0" w:space="0" w:color="auto"/>
      </w:divBdr>
    </w:div>
    <w:div w:id="1234660822">
      <w:marLeft w:val="0"/>
      <w:marRight w:val="0"/>
      <w:marTop w:val="0"/>
      <w:marBottom w:val="0"/>
      <w:divBdr>
        <w:top w:val="none" w:sz="0" w:space="0" w:color="auto"/>
        <w:left w:val="none" w:sz="0" w:space="0" w:color="auto"/>
        <w:bottom w:val="none" w:sz="0" w:space="0" w:color="auto"/>
        <w:right w:val="none" w:sz="0" w:space="0" w:color="auto"/>
      </w:divBdr>
    </w:div>
    <w:div w:id="1234660823">
      <w:marLeft w:val="0"/>
      <w:marRight w:val="0"/>
      <w:marTop w:val="0"/>
      <w:marBottom w:val="0"/>
      <w:divBdr>
        <w:top w:val="none" w:sz="0" w:space="0" w:color="auto"/>
        <w:left w:val="none" w:sz="0" w:space="0" w:color="auto"/>
        <w:bottom w:val="none" w:sz="0" w:space="0" w:color="auto"/>
        <w:right w:val="none" w:sz="0" w:space="0" w:color="auto"/>
      </w:divBdr>
      <w:divsChild>
        <w:div w:id="1234660876">
          <w:marLeft w:val="0"/>
          <w:marRight w:val="0"/>
          <w:marTop w:val="0"/>
          <w:marBottom w:val="0"/>
          <w:divBdr>
            <w:top w:val="none" w:sz="0" w:space="0" w:color="auto"/>
            <w:left w:val="none" w:sz="0" w:space="0" w:color="auto"/>
            <w:bottom w:val="none" w:sz="0" w:space="0" w:color="auto"/>
            <w:right w:val="none" w:sz="0" w:space="0" w:color="auto"/>
          </w:divBdr>
          <w:divsChild>
            <w:div w:id="1234660900">
              <w:marLeft w:val="0"/>
              <w:marRight w:val="0"/>
              <w:marTop w:val="0"/>
              <w:marBottom w:val="0"/>
              <w:divBdr>
                <w:top w:val="none" w:sz="0" w:space="0" w:color="auto"/>
                <w:left w:val="none" w:sz="0" w:space="0" w:color="auto"/>
                <w:bottom w:val="none" w:sz="0" w:space="0" w:color="auto"/>
                <w:right w:val="none" w:sz="0" w:space="0" w:color="auto"/>
              </w:divBdr>
              <w:divsChild>
                <w:div w:id="1234660812">
                  <w:marLeft w:val="0"/>
                  <w:marRight w:val="0"/>
                  <w:marTop w:val="0"/>
                  <w:marBottom w:val="0"/>
                  <w:divBdr>
                    <w:top w:val="none" w:sz="0" w:space="0" w:color="auto"/>
                    <w:left w:val="none" w:sz="0" w:space="0" w:color="auto"/>
                    <w:bottom w:val="none" w:sz="0" w:space="0" w:color="auto"/>
                    <w:right w:val="none" w:sz="0" w:space="0" w:color="auto"/>
                  </w:divBdr>
                  <w:divsChild>
                    <w:div w:id="1234660917">
                      <w:marLeft w:val="0"/>
                      <w:marRight w:val="0"/>
                      <w:marTop w:val="0"/>
                      <w:marBottom w:val="0"/>
                      <w:divBdr>
                        <w:top w:val="none" w:sz="0" w:space="0" w:color="auto"/>
                        <w:left w:val="none" w:sz="0" w:space="0" w:color="auto"/>
                        <w:bottom w:val="none" w:sz="0" w:space="0" w:color="auto"/>
                        <w:right w:val="none" w:sz="0" w:space="0" w:color="auto"/>
                      </w:divBdr>
                      <w:divsChild>
                        <w:div w:id="1234660877">
                          <w:marLeft w:val="0"/>
                          <w:marRight w:val="0"/>
                          <w:marTop w:val="0"/>
                          <w:marBottom w:val="0"/>
                          <w:divBdr>
                            <w:top w:val="none" w:sz="0" w:space="0" w:color="auto"/>
                            <w:left w:val="none" w:sz="0" w:space="0" w:color="auto"/>
                            <w:bottom w:val="none" w:sz="0" w:space="0" w:color="auto"/>
                            <w:right w:val="none" w:sz="0" w:space="0" w:color="auto"/>
                          </w:divBdr>
                          <w:divsChild>
                            <w:div w:id="1234660907">
                              <w:marLeft w:val="0"/>
                              <w:marRight w:val="0"/>
                              <w:marTop w:val="0"/>
                              <w:marBottom w:val="0"/>
                              <w:divBdr>
                                <w:top w:val="none" w:sz="0" w:space="0" w:color="auto"/>
                                <w:left w:val="none" w:sz="0" w:space="0" w:color="auto"/>
                                <w:bottom w:val="none" w:sz="0" w:space="0" w:color="auto"/>
                                <w:right w:val="none" w:sz="0" w:space="0" w:color="auto"/>
                              </w:divBdr>
                              <w:divsChild>
                                <w:div w:id="123466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60824">
      <w:marLeft w:val="0"/>
      <w:marRight w:val="0"/>
      <w:marTop w:val="0"/>
      <w:marBottom w:val="0"/>
      <w:divBdr>
        <w:top w:val="none" w:sz="0" w:space="0" w:color="auto"/>
        <w:left w:val="none" w:sz="0" w:space="0" w:color="auto"/>
        <w:bottom w:val="none" w:sz="0" w:space="0" w:color="auto"/>
        <w:right w:val="none" w:sz="0" w:space="0" w:color="auto"/>
      </w:divBdr>
      <w:divsChild>
        <w:div w:id="1234660813">
          <w:marLeft w:val="0"/>
          <w:marRight w:val="0"/>
          <w:marTop w:val="0"/>
          <w:marBottom w:val="0"/>
          <w:divBdr>
            <w:top w:val="none" w:sz="0" w:space="0" w:color="auto"/>
            <w:left w:val="none" w:sz="0" w:space="0" w:color="auto"/>
            <w:bottom w:val="none" w:sz="0" w:space="0" w:color="auto"/>
            <w:right w:val="none" w:sz="0" w:space="0" w:color="auto"/>
          </w:divBdr>
          <w:divsChild>
            <w:div w:id="1234660950">
              <w:marLeft w:val="0"/>
              <w:marRight w:val="0"/>
              <w:marTop w:val="0"/>
              <w:marBottom w:val="0"/>
              <w:divBdr>
                <w:top w:val="none" w:sz="0" w:space="0" w:color="auto"/>
                <w:left w:val="none" w:sz="0" w:space="0" w:color="auto"/>
                <w:bottom w:val="none" w:sz="0" w:space="0" w:color="auto"/>
                <w:right w:val="none" w:sz="0" w:space="0" w:color="auto"/>
              </w:divBdr>
              <w:divsChild>
                <w:div w:id="1234660835">
                  <w:marLeft w:val="0"/>
                  <w:marRight w:val="0"/>
                  <w:marTop w:val="0"/>
                  <w:marBottom w:val="0"/>
                  <w:divBdr>
                    <w:top w:val="none" w:sz="0" w:space="0" w:color="auto"/>
                    <w:left w:val="none" w:sz="0" w:space="0" w:color="auto"/>
                    <w:bottom w:val="none" w:sz="0" w:space="0" w:color="auto"/>
                    <w:right w:val="none" w:sz="0" w:space="0" w:color="auto"/>
                  </w:divBdr>
                  <w:divsChild>
                    <w:div w:id="1234660889">
                      <w:marLeft w:val="0"/>
                      <w:marRight w:val="0"/>
                      <w:marTop w:val="0"/>
                      <w:marBottom w:val="0"/>
                      <w:divBdr>
                        <w:top w:val="none" w:sz="0" w:space="0" w:color="auto"/>
                        <w:left w:val="none" w:sz="0" w:space="0" w:color="auto"/>
                        <w:bottom w:val="none" w:sz="0" w:space="0" w:color="auto"/>
                        <w:right w:val="none" w:sz="0" w:space="0" w:color="auto"/>
                      </w:divBdr>
                      <w:divsChild>
                        <w:div w:id="1234660897">
                          <w:marLeft w:val="0"/>
                          <w:marRight w:val="0"/>
                          <w:marTop w:val="0"/>
                          <w:marBottom w:val="0"/>
                          <w:divBdr>
                            <w:top w:val="none" w:sz="0" w:space="0" w:color="auto"/>
                            <w:left w:val="none" w:sz="0" w:space="0" w:color="auto"/>
                            <w:bottom w:val="none" w:sz="0" w:space="0" w:color="auto"/>
                            <w:right w:val="none" w:sz="0" w:space="0" w:color="auto"/>
                          </w:divBdr>
                          <w:divsChild>
                            <w:div w:id="1234660809">
                              <w:marLeft w:val="0"/>
                              <w:marRight w:val="0"/>
                              <w:marTop w:val="0"/>
                              <w:marBottom w:val="0"/>
                              <w:divBdr>
                                <w:top w:val="none" w:sz="0" w:space="0" w:color="auto"/>
                                <w:left w:val="none" w:sz="0" w:space="0" w:color="auto"/>
                                <w:bottom w:val="none" w:sz="0" w:space="0" w:color="auto"/>
                                <w:right w:val="none" w:sz="0" w:space="0" w:color="auto"/>
                              </w:divBdr>
                              <w:divsChild>
                                <w:div w:id="123466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60830">
      <w:marLeft w:val="0"/>
      <w:marRight w:val="0"/>
      <w:marTop w:val="0"/>
      <w:marBottom w:val="0"/>
      <w:divBdr>
        <w:top w:val="none" w:sz="0" w:space="0" w:color="auto"/>
        <w:left w:val="none" w:sz="0" w:space="0" w:color="auto"/>
        <w:bottom w:val="none" w:sz="0" w:space="0" w:color="auto"/>
        <w:right w:val="none" w:sz="0" w:space="0" w:color="auto"/>
      </w:divBdr>
      <w:divsChild>
        <w:div w:id="1234660893">
          <w:marLeft w:val="0"/>
          <w:marRight w:val="0"/>
          <w:marTop w:val="0"/>
          <w:marBottom w:val="0"/>
          <w:divBdr>
            <w:top w:val="none" w:sz="0" w:space="0" w:color="auto"/>
            <w:left w:val="none" w:sz="0" w:space="0" w:color="auto"/>
            <w:bottom w:val="none" w:sz="0" w:space="0" w:color="auto"/>
            <w:right w:val="none" w:sz="0" w:space="0" w:color="auto"/>
          </w:divBdr>
          <w:divsChild>
            <w:div w:id="1234660854">
              <w:marLeft w:val="0"/>
              <w:marRight w:val="0"/>
              <w:marTop w:val="0"/>
              <w:marBottom w:val="0"/>
              <w:divBdr>
                <w:top w:val="none" w:sz="0" w:space="0" w:color="auto"/>
                <w:left w:val="none" w:sz="0" w:space="0" w:color="auto"/>
                <w:bottom w:val="none" w:sz="0" w:space="0" w:color="auto"/>
                <w:right w:val="none" w:sz="0" w:space="0" w:color="auto"/>
              </w:divBdr>
              <w:divsChild>
                <w:div w:id="1234660915">
                  <w:marLeft w:val="0"/>
                  <w:marRight w:val="0"/>
                  <w:marTop w:val="0"/>
                  <w:marBottom w:val="0"/>
                  <w:divBdr>
                    <w:top w:val="none" w:sz="0" w:space="0" w:color="auto"/>
                    <w:left w:val="none" w:sz="0" w:space="0" w:color="auto"/>
                    <w:bottom w:val="none" w:sz="0" w:space="0" w:color="auto"/>
                    <w:right w:val="none" w:sz="0" w:space="0" w:color="auto"/>
                  </w:divBdr>
                  <w:divsChild>
                    <w:div w:id="1234660855">
                      <w:marLeft w:val="0"/>
                      <w:marRight w:val="0"/>
                      <w:marTop w:val="0"/>
                      <w:marBottom w:val="0"/>
                      <w:divBdr>
                        <w:top w:val="none" w:sz="0" w:space="0" w:color="auto"/>
                        <w:left w:val="none" w:sz="0" w:space="0" w:color="auto"/>
                        <w:bottom w:val="none" w:sz="0" w:space="0" w:color="auto"/>
                        <w:right w:val="none" w:sz="0" w:space="0" w:color="auto"/>
                      </w:divBdr>
                      <w:divsChild>
                        <w:div w:id="1234660841">
                          <w:marLeft w:val="0"/>
                          <w:marRight w:val="0"/>
                          <w:marTop w:val="0"/>
                          <w:marBottom w:val="0"/>
                          <w:divBdr>
                            <w:top w:val="none" w:sz="0" w:space="0" w:color="auto"/>
                            <w:left w:val="none" w:sz="0" w:space="0" w:color="auto"/>
                            <w:bottom w:val="none" w:sz="0" w:space="0" w:color="auto"/>
                            <w:right w:val="none" w:sz="0" w:space="0" w:color="auto"/>
                          </w:divBdr>
                          <w:divsChild>
                            <w:div w:id="1234660918">
                              <w:marLeft w:val="0"/>
                              <w:marRight w:val="0"/>
                              <w:marTop w:val="0"/>
                              <w:marBottom w:val="0"/>
                              <w:divBdr>
                                <w:top w:val="none" w:sz="0" w:space="0" w:color="auto"/>
                                <w:left w:val="none" w:sz="0" w:space="0" w:color="auto"/>
                                <w:bottom w:val="none" w:sz="0" w:space="0" w:color="auto"/>
                                <w:right w:val="none" w:sz="0" w:space="0" w:color="auto"/>
                              </w:divBdr>
                              <w:divsChild>
                                <w:div w:id="123466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60833">
      <w:marLeft w:val="0"/>
      <w:marRight w:val="0"/>
      <w:marTop w:val="0"/>
      <w:marBottom w:val="0"/>
      <w:divBdr>
        <w:top w:val="none" w:sz="0" w:space="0" w:color="auto"/>
        <w:left w:val="none" w:sz="0" w:space="0" w:color="auto"/>
        <w:bottom w:val="none" w:sz="0" w:space="0" w:color="auto"/>
        <w:right w:val="none" w:sz="0" w:space="0" w:color="auto"/>
      </w:divBdr>
    </w:div>
    <w:div w:id="1234660838">
      <w:marLeft w:val="0"/>
      <w:marRight w:val="0"/>
      <w:marTop w:val="0"/>
      <w:marBottom w:val="0"/>
      <w:divBdr>
        <w:top w:val="none" w:sz="0" w:space="0" w:color="auto"/>
        <w:left w:val="none" w:sz="0" w:space="0" w:color="auto"/>
        <w:bottom w:val="none" w:sz="0" w:space="0" w:color="auto"/>
        <w:right w:val="none" w:sz="0" w:space="0" w:color="auto"/>
      </w:divBdr>
      <w:divsChild>
        <w:div w:id="1234660920">
          <w:marLeft w:val="0"/>
          <w:marRight w:val="0"/>
          <w:marTop w:val="0"/>
          <w:marBottom w:val="0"/>
          <w:divBdr>
            <w:top w:val="none" w:sz="0" w:space="0" w:color="auto"/>
            <w:left w:val="none" w:sz="0" w:space="0" w:color="auto"/>
            <w:bottom w:val="none" w:sz="0" w:space="0" w:color="auto"/>
            <w:right w:val="none" w:sz="0" w:space="0" w:color="auto"/>
          </w:divBdr>
          <w:divsChild>
            <w:div w:id="1234660898">
              <w:marLeft w:val="0"/>
              <w:marRight w:val="0"/>
              <w:marTop w:val="0"/>
              <w:marBottom w:val="0"/>
              <w:divBdr>
                <w:top w:val="none" w:sz="0" w:space="0" w:color="auto"/>
                <w:left w:val="none" w:sz="0" w:space="0" w:color="auto"/>
                <w:bottom w:val="none" w:sz="0" w:space="0" w:color="auto"/>
                <w:right w:val="none" w:sz="0" w:space="0" w:color="auto"/>
              </w:divBdr>
              <w:divsChild>
                <w:div w:id="1234660857">
                  <w:marLeft w:val="0"/>
                  <w:marRight w:val="0"/>
                  <w:marTop w:val="0"/>
                  <w:marBottom w:val="0"/>
                  <w:divBdr>
                    <w:top w:val="none" w:sz="0" w:space="0" w:color="auto"/>
                    <w:left w:val="none" w:sz="0" w:space="0" w:color="auto"/>
                    <w:bottom w:val="none" w:sz="0" w:space="0" w:color="auto"/>
                    <w:right w:val="none" w:sz="0" w:space="0" w:color="auto"/>
                  </w:divBdr>
                  <w:divsChild>
                    <w:div w:id="1234660933">
                      <w:marLeft w:val="0"/>
                      <w:marRight w:val="0"/>
                      <w:marTop w:val="0"/>
                      <w:marBottom w:val="0"/>
                      <w:divBdr>
                        <w:top w:val="none" w:sz="0" w:space="0" w:color="auto"/>
                        <w:left w:val="none" w:sz="0" w:space="0" w:color="auto"/>
                        <w:bottom w:val="none" w:sz="0" w:space="0" w:color="auto"/>
                        <w:right w:val="none" w:sz="0" w:space="0" w:color="auto"/>
                      </w:divBdr>
                      <w:divsChild>
                        <w:div w:id="1234660870">
                          <w:marLeft w:val="0"/>
                          <w:marRight w:val="0"/>
                          <w:marTop w:val="0"/>
                          <w:marBottom w:val="0"/>
                          <w:divBdr>
                            <w:top w:val="none" w:sz="0" w:space="0" w:color="auto"/>
                            <w:left w:val="none" w:sz="0" w:space="0" w:color="auto"/>
                            <w:bottom w:val="none" w:sz="0" w:space="0" w:color="auto"/>
                            <w:right w:val="none" w:sz="0" w:space="0" w:color="auto"/>
                          </w:divBdr>
                          <w:divsChild>
                            <w:div w:id="1234660816">
                              <w:marLeft w:val="0"/>
                              <w:marRight w:val="0"/>
                              <w:marTop w:val="0"/>
                              <w:marBottom w:val="0"/>
                              <w:divBdr>
                                <w:top w:val="none" w:sz="0" w:space="0" w:color="auto"/>
                                <w:left w:val="none" w:sz="0" w:space="0" w:color="auto"/>
                                <w:bottom w:val="none" w:sz="0" w:space="0" w:color="auto"/>
                                <w:right w:val="none" w:sz="0" w:space="0" w:color="auto"/>
                              </w:divBdr>
                              <w:divsChild>
                                <w:div w:id="12346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60842">
      <w:marLeft w:val="0"/>
      <w:marRight w:val="0"/>
      <w:marTop w:val="0"/>
      <w:marBottom w:val="0"/>
      <w:divBdr>
        <w:top w:val="none" w:sz="0" w:space="0" w:color="auto"/>
        <w:left w:val="none" w:sz="0" w:space="0" w:color="auto"/>
        <w:bottom w:val="none" w:sz="0" w:space="0" w:color="auto"/>
        <w:right w:val="none" w:sz="0" w:space="0" w:color="auto"/>
      </w:divBdr>
    </w:div>
    <w:div w:id="1234660843">
      <w:marLeft w:val="0"/>
      <w:marRight w:val="0"/>
      <w:marTop w:val="0"/>
      <w:marBottom w:val="0"/>
      <w:divBdr>
        <w:top w:val="none" w:sz="0" w:space="0" w:color="auto"/>
        <w:left w:val="none" w:sz="0" w:space="0" w:color="auto"/>
        <w:bottom w:val="none" w:sz="0" w:space="0" w:color="auto"/>
        <w:right w:val="none" w:sz="0" w:space="0" w:color="auto"/>
      </w:divBdr>
      <w:divsChild>
        <w:div w:id="1234660908">
          <w:marLeft w:val="0"/>
          <w:marRight w:val="0"/>
          <w:marTop w:val="0"/>
          <w:marBottom w:val="0"/>
          <w:divBdr>
            <w:top w:val="none" w:sz="0" w:space="0" w:color="auto"/>
            <w:left w:val="none" w:sz="0" w:space="0" w:color="auto"/>
            <w:bottom w:val="none" w:sz="0" w:space="0" w:color="auto"/>
            <w:right w:val="none" w:sz="0" w:space="0" w:color="auto"/>
          </w:divBdr>
          <w:divsChild>
            <w:div w:id="1234660844">
              <w:marLeft w:val="0"/>
              <w:marRight w:val="0"/>
              <w:marTop w:val="0"/>
              <w:marBottom w:val="0"/>
              <w:divBdr>
                <w:top w:val="none" w:sz="0" w:space="0" w:color="auto"/>
                <w:left w:val="none" w:sz="0" w:space="0" w:color="auto"/>
                <w:bottom w:val="none" w:sz="0" w:space="0" w:color="auto"/>
                <w:right w:val="none" w:sz="0" w:space="0" w:color="auto"/>
              </w:divBdr>
              <w:divsChild>
                <w:div w:id="1234660925">
                  <w:marLeft w:val="0"/>
                  <w:marRight w:val="0"/>
                  <w:marTop w:val="0"/>
                  <w:marBottom w:val="0"/>
                  <w:divBdr>
                    <w:top w:val="none" w:sz="0" w:space="0" w:color="auto"/>
                    <w:left w:val="none" w:sz="0" w:space="0" w:color="auto"/>
                    <w:bottom w:val="none" w:sz="0" w:space="0" w:color="auto"/>
                    <w:right w:val="none" w:sz="0" w:space="0" w:color="auto"/>
                  </w:divBdr>
                  <w:divsChild>
                    <w:div w:id="1234660869">
                      <w:marLeft w:val="0"/>
                      <w:marRight w:val="0"/>
                      <w:marTop w:val="0"/>
                      <w:marBottom w:val="0"/>
                      <w:divBdr>
                        <w:top w:val="none" w:sz="0" w:space="0" w:color="auto"/>
                        <w:left w:val="none" w:sz="0" w:space="0" w:color="auto"/>
                        <w:bottom w:val="none" w:sz="0" w:space="0" w:color="auto"/>
                        <w:right w:val="none" w:sz="0" w:space="0" w:color="auto"/>
                      </w:divBdr>
                      <w:divsChild>
                        <w:div w:id="1234660815">
                          <w:marLeft w:val="0"/>
                          <w:marRight w:val="0"/>
                          <w:marTop w:val="0"/>
                          <w:marBottom w:val="0"/>
                          <w:divBdr>
                            <w:top w:val="none" w:sz="0" w:space="0" w:color="auto"/>
                            <w:left w:val="none" w:sz="0" w:space="0" w:color="auto"/>
                            <w:bottom w:val="none" w:sz="0" w:space="0" w:color="auto"/>
                            <w:right w:val="none" w:sz="0" w:space="0" w:color="auto"/>
                          </w:divBdr>
                          <w:divsChild>
                            <w:div w:id="1234660845">
                              <w:marLeft w:val="0"/>
                              <w:marRight w:val="0"/>
                              <w:marTop w:val="0"/>
                              <w:marBottom w:val="0"/>
                              <w:divBdr>
                                <w:top w:val="none" w:sz="0" w:space="0" w:color="auto"/>
                                <w:left w:val="none" w:sz="0" w:space="0" w:color="auto"/>
                                <w:bottom w:val="none" w:sz="0" w:space="0" w:color="auto"/>
                                <w:right w:val="none" w:sz="0" w:space="0" w:color="auto"/>
                              </w:divBdr>
                              <w:divsChild>
                                <w:div w:id="1234660924">
                                  <w:marLeft w:val="0"/>
                                  <w:marRight w:val="0"/>
                                  <w:marTop w:val="240"/>
                                  <w:marBottom w:val="240"/>
                                  <w:divBdr>
                                    <w:top w:val="none" w:sz="0" w:space="0" w:color="auto"/>
                                    <w:left w:val="none" w:sz="0" w:space="0" w:color="auto"/>
                                    <w:bottom w:val="none" w:sz="0" w:space="0" w:color="auto"/>
                                    <w:right w:val="none" w:sz="0" w:space="0" w:color="auto"/>
                                  </w:divBdr>
                                  <w:divsChild>
                                    <w:div w:id="1234660911">
                                      <w:marLeft w:val="0"/>
                                      <w:marRight w:val="0"/>
                                      <w:marTop w:val="0"/>
                                      <w:marBottom w:val="0"/>
                                      <w:divBdr>
                                        <w:top w:val="none" w:sz="0" w:space="0" w:color="auto"/>
                                        <w:left w:val="none" w:sz="0" w:space="0" w:color="auto"/>
                                        <w:bottom w:val="none" w:sz="0" w:space="0" w:color="auto"/>
                                        <w:right w:val="none" w:sz="0" w:space="0" w:color="auto"/>
                                      </w:divBdr>
                                      <w:divsChild>
                                        <w:div w:id="1234660837">
                                          <w:marLeft w:val="0"/>
                                          <w:marRight w:val="0"/>
                                          <w:marTop w:val="0"/>
                                          <w:marBottom w:val="0"/>
                                          <w:divBdr>
                                            <w:top w:val="none" w:sz="0" w:space="0" w:color="auto"/>
                                            <w:left w:val="none" w:sz="0" w:space="0" w:color="auto"/>
                                            <w:bottom w:val="none" w:sz="0" w:space="0" w:color="auto"/>
                                            <w:right w:val="none" w:sz="0" w:space="0" w:color="auto"/>
                                          </w:divBdr>
                                          <w:divsChild>
                                            <w:div w:id="123466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4660846">
      <w:marLeft w:val="0"/>
      <w:marRight w:val="0"/>
      <w:marTop w:val="0"/>
      <w:marBottom w:val="0"/>
      <w:divBdr>
        <w:top w:val="none" w:sz="0" w:space="0" w:color="auto"/>
        <w:left w:val="none" w:sz="0" w:space="0" w:color="auto"/>
        <w:bottom w:val="none" w:sz="0" w:space="0" w:color="auto"/>
        <w:right w:val="none" w:sz="0" w:space="0" w:color="auto"/>
      </w:divBdr>
      <w:divsChild>
        <w:div w:id="1234660873">
          <w:marLeft w:val="0"/>
          <w:marRight w:val="0"/>
          <w:marTop w:val="0"/>
          <w:marBottom w:val="0"/>
          <w:divBdr>
            <w:top w:val="none" w:sz="0" w:space="0" w:color="auto"/>
            <w:left w:val="none" w:sz="0" w:space="0" w:color="auto"/>
            <w:bottom w:val="none" w:sz="0" w:space="0" w:color="auto"/>
            <w:right w:val="none" w:sz="0" w:space="0" w:color="auto"/>
          </w:divBdr>
          <w:divsChild>
            <w:div w:id="1234660814">
              <w:marLeft w:val="0"/>
              <w:marRight w:val="0"/>
              <w:marTop w:val="0"/>
              <w:marBottom w:val="0"/>
              <w:divBdr>
                <w:top w:val="none" w:sz="0" w:space="0" w:color="auto"/>
                <w:left w:val="none" w:sz="0" w:space="0" w:color="auto"/>
                <w:bottom w:val="none" w:sz="0" w:space="0" w:color="auto"/>
                <w:right w:val="none" w:sz="0" w:space="0" w:color="auto"/>
              </w:divBdr>
              <w:divsChild>
                <w:div w:id="1234660867">
                  <w:marLeft w:val="0"/>
                  <w:marRight w:val="0"/>
                  <w:marTop w:val="0"/>
                  <w:marBottom w:val="0"/>
                  <w:divBdr>
                    <w:top w:val="none" w:sz="0" w:space="0" w:color="auto"/>
                    <w:left w:val="none" w:sz="0" w:space="0" w:color="auto"/>
                    <w:bottom w:val="none" w:sz="0" w:space="0" w:color="auto"/>
                    <w:right w:val="none" w:sz="0" w:space="0" w:color="auto"/>
                  </w:divBdr>
                  <w:divsChild>
                    <w:div w:id="1234660805">
                      <w:marLeft w:val="0"/>
                      <w:marRight w:val="0"/>
                      <w:marTop w:val="0"/>
                      <w:marBottom w:val="0"/>
                      <w:divBdr>
                        <w:top w:val="none" w:sz="0" w:space="0" w:color="auto"/>
                        <w:left w:val="none" w:sz="0" w:space="0" w:color="auto"/>
                        <w:bottom w:val="none" w:sz="0" w:space="0" w:color="auto"/>
                        <w:right w:val="none" w:sz="0" w:space="0" w:color="auto"/>
                      </w:divBdr>
                      <w:divsChild>
                        <w:div w:id="1234660875">
                          <w:marLeft w:val="0"/>
                          <w:marRight w:val="0"/>
                          <w:marTop w:val="0"/>
                          <w:marBottom w:val="0"/>
                          <w:divBdr>
                            <w:top w:val="none" w:sz="0" w:space="0" w:color="auto"/>
                            <w:left w:val="none" w:sz="0" w:space="0" w:color="auto"/>
                            <w:bottom w:val="none" w:sz="0" w:space="0" w:color="auto"/>
                            <w:right w:val="none" w:sz="0" w:space="0" w:color="auto"/>
                          </w:divBdr>
                          <w:divsChild>
                            <w:div w:id="1234660829">
                              <w:marLeft w:val="0"/>
                              <w:marRight w:val="0"/>
                              <w:marTop w:val="192"/>
                              <w:marBottom w:val="0"/>
                              <w:divBdr>
                                <w:top w:val="none" w:sz="0" w:space="0" w:color="auto"/>
                                <w:left w:val="none" w:sz="0" w:space="0" w:color="auto"/>
                                <w:bottom w:val="none" w:sz="0" w:space="0" w:color="auto"/>
                                <w:right w:val="none" w:sz="0" w:space="0" w:color="auto"/>
                              </w:divBdr>
                              <w:divsChild>
                                <w:div w:id="1234660819">
                                  <w:marLeft w:val="0"/>
                                  <w:marRight w:val="240"/>
                                  <w:marTop w:val="0"/>
                                  <w:marBottom w:val="0"/>
                                  <w:divBdr>
                                    <w:top w:val="none" w:sz="0" w:space="0" w:color="auto"/>
                                    <w:left w:val="none" w:sz="0" w:space="0" w:color="auto"/>
                                    <w:bottom w:val="none" w:sz="0" w:space="0" w:color="auto"/>
                                    <w:right w:val="none" w:sz="0" w:space="0" w:color="auto"/>
                                  </w:divBdr>
                                </w:div>
                                <w:div w:id="1234660861">
                                  <w:marLeft w:val="0"/>
                                  <w:marRight w:val="240"/>
                                  <w:marTop w:val="0"/>
                                  <w:marBottom w:val="0"/>
                                  <w:divBdr>
                                    <w:top w:val="none" w:sz="0" w:space="0" w:color="auto"/>
                                    <w:left w:val="none" w:sz="0" w:space="0" w:color="auto"/>
                                    <w:bottom w:val="none" w:sz="0" w:space="0" w:color="auto"/>
                                    <w:right w:val="none" w:sz="0" w:space="0" w:color="auto"/>
                                  </w:divBdr>
                                </w:div>
                              </w:divsChild>
                            </w:div>
                            <w:div w:id="1234660851">
                              <w:marLeft w:val="0"/>
                              <w:marRight w:val="0"/>
                              <w:marTop w:val="0"/>
                              <w:marBottom w:val="0"/>
                              <w:divBdr>
                                <w:top w:val="none" w:sz="0" w:space="0" w:color="auto"/>
                                <w:left w:val="none" w:sz="0" w:space="0" w:color="auto"/>
                                <w:bottom w:val="none" w:sz="0" w:space="0" w:color="auto"/>
                                <w:right w:val="none" w:sz="0" w:space="0" w:color="auto"/>
                              </w:divBdr>
                              <w:divsChild>
                                <w:div w:id="1234660810">
                                  <w:marLeft w:val="0"/>
                                  <w:marRight w:val="0"/>
                                  <w:marTop w:val="0"/>
                                  <w:marBottom w:val="0"/>
                                  <w:divBdr>
                                    <w:top w:val="none" w:sz="0" w:space="0" w:color="auto"/>
                                    <w:left w:val="none" w:sz="0" w:space="0" w:color="auto"/>
                                    <w:bottom w:val="none" w:sz="0" w:space="0" w:color="auto"/>
                                    <w:right w:val="none" w:sz="0" w:space="0" w:color="auto"/>
                                  </w:divBdr>
                                </w:div>
                              </w:divsChild>
                            </w:div>
                            <w:div w:id="1234660902">
                              <w:marLeft w:val="0"/>
                              <w:marRight w:val="0"/>
                              <w:marTop w:val="480"/>
                              <w:marBottom w:val="0"/>
                              <w:divBdr>
                                <w:top w:val="none" w:sz="0" w:space="0" w:color="auto"/>
                                <w:left w:val="none" w:sz="0" w:space="0" w:color="auto"/>
                                <w:bottom w:val="none" w:sz="0" w:space="0" w:color="auto"/>
                                <w:right w:val="none" w:sz="0" w:space="0" w:color="auto"/>
                              </w:divBdr>
                            </w:div>
                            <w:div w:id="1234660909">
                              <w:marLeft w:val="0"/>
                              <w:marRight w:val="0"/>
                              <w:marTop w:val="240"/>
                              <w:marBottom w:val="0"/>
                              <w:divBdr>
                                <w:top w:val="none" w:sz="0" w:space="0" w:color="auto"/>
                                <w:left w:val="none" w:sz="0" w:space="0" w:color="auto"/>
                                <w:bottom w:val="none" w:sz="0" w:space="0" w:color="auto"/>
                                <w:right w:val="none" w:sz="0" w:space="0" w:color="auto"/>
                              </w:divBdr>
                            </w:div>
                            <w:div w:id="12346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660847">
      <w:marLeft w:val="0"/>
      <w:marRight w:val="0"/>
      <w:marTop w:val="0"/>
      <w:marBottom w:val="0"/>
      <w:divBdr>
        <w:top w:val="none" w:sz="0" w:space="0" w:color="auto"/>
        <w:left w:val="none" w:sz="0" w:space="0" w:color="auto"/>
        <w:bottom w:val="none" w:sz="0" w:space="0" w:color="auto"/>
        <w:right w:val="none" w:sz="0" w:space="0" w:color="auto"/>
      </w:divBdr>
    </w:div>
    <w:div w:id="1234660852">
      <w:marLeft w:val="0"/>
      <w:marRight w:val="0"/>
      <w:marTop w:val="0"/>
      <w:marBottom w:val="0"/>
      <w:divBdr>
        <w:top w:val="none" w:sz="0" w:space="0" w:color="auto"/>
        <w:left w:val="none" w:sz="0" w:space="0" w:color="auto"/>
        <w:bottom w:val="none" w:sz="0" w:space="0" w:color="auto"/>
        <w:right w:val="none" w:sz="0" w:space="0" w:color="auto"/>
      </w:divBdr>
    </w:div>
    <w:div w:id="1234660856">
      <w:marLeft w:val="0"/>
      <w:marRight w:val="0"/>
      <w:marTop w:val="0"/>
      <w:marBottom w:val="0"/>
      <w:divBdr>
        <w:top w:val="none" w:sz="0" w:space="0" w:color="auto"/>
        <w:left w:val="none" w:sz="0" w:space="0" w:color="auto"/>
        <w:bottom w:val="none" w:sz="0" w:space="0" w:color="auto"/>
        <w:right w:val="none" w:sz="0" w:space="0" w:color="auto"/>
      </w:divBdr>
      <w:divsChild>
        <w:div w:id="1234660865">
          <w:marLeft w:val="0"/>
          <w:marRight w:val="0"/>
          <w:marTop w:val="0"/>
          <w:marBottom w:val="0"/>
          <w:divBdr>
            <w:top w:val="none" w:sz="0" w:space="0" w:color="auto"/>
            <w:left w:val="none" w:sz="0" w:space="0" w:color="auto"/>
            <w:bottom w:val="none" w:sz="0" w:space="0" w:color="auto"/>
            <w:right w:val="none" w:sz="0" w:space="0" w:color="auto"/>
          </w:divBdr>
          <w:divsChild>
            <w:div w:id="1234660828">
              <w:marLeft w:val="0"/>
              <w:marRight w:val="0"/>
              <w:marTop w:val="0"/>
              <w:marBottom w:val="0"/>
              <w:divBdr>
                <w:top w:val="none" w:sz="0" w:space="0" w:color="auto"/>
                <w:left w:val="none" w:sz="0" w:space="0" w:color="auto"/>
                <w:bottom w:val="none" w:sz="0" w:space="0" w:color="auto"/>
                <w:right w:val="none" w:sz="0" w:space="0" w:color="auto"/>
              </w:divBdr>
              <w:divsChild>
                <w:div w:id="1234660834">
                  <w:marLeft w:val="0"/>
                  <w:marRight w:val="0"/>
                  <w:marTop w:val="0"/>
                  <w:marBottom w:val="0"/>
                  <w:divBdr>
                    <w:top w:val="none" w:sz="0" w:space="0" w:color="auto"/>
                    <w:left w:val="none" w:sz="0" w:space="0" w:color="auto"/>
                    <w:bottom w:val="none" w:sz="0" w:space="0" w:color="auto"/>
                    <w:right w:val="none" w:sz="0" w:space="0" w:color="auto"/>
                  </w:divBdr>
                  <w:divsChild>
                    <w:div w:id="1234660916">
                      <w:marLeft w:val="0"/>
                      <w:marRight w:val="0"/>
                      <w:marTop w:val="0"/>
                      <w:marBottom w:val="0"/>
                      <w:divBdr>
                        <w:top w:val="none" w:sz="0" w:space="0" w:color="auto"/>
                        <w:left w:val="none" w:sz="0" w:space="0" w:color="auto"/>
                        <w:bottom w:val="none" w:sz="0" w:space="0" w:color="auto"/>
                        <w:right w:val="none" w:sz="0" w:space="0" w:color="auto"/>
                      </w:divBdr>
                      <w:divsChild>
                        <w:div w:id="1234660882">
                          <w:marLeft w:val="0"/>
                          <w:marRight w:val="0"/>
                          <w:marTop w:val="0"/>
                          <w:marBottom w:val="0"/>
                          <w:divBdr>
                            <w:top w:val="none" w:sz="0" w:space="0" w:color="auto"/>
                            <w:left w:val="none" w:sz="0" w:space="0" w:color="auto"/>
                            <w:bottom w:val="none" w:sz="0" w:space="0" w:color="auto"/>
                            <w:right w:val="none" w:sz="0" w:space="0" w:color="auto"/>
                          </w:divBdr>
                          <w:divsChild>
                            <w:div w:id="1234660884">
                              <w:marLeft w:val="0"/>
                              <w:marRight w:val="0"/>
                              <w:marTop w:val="0"/>
                              <w:marBottom w:val="0"/>
                              <w:divBdr>
                                <w:top w:val="none" w:sz="0" w:space="0" w:color="auto"/>
                                <w:left w:val="none" w:sz="0" w:space="0" w:color="auto"/>
                                <w:bottom w:val="none" w:sz="0" w:space="0" w:color="auto"/>
                                <w:right w:val="none" w:sz="0" w:space="0" w:color="auto"/>
                              </w:divBdr>
                              <w:divsChild>
                                <w:div w:id="123466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60858">
      <w:marLeft w:val="0"/>
      <w:marRight w:val="0"/>
      <w:marTop w:val="0"/>
      <w:marBottom w:val="0"/>
      <w:divBdr>
        <w:top w:val="none" w:sz="0" w:space="0" w:color="auto"/>
        <w:left w:val="none" w:sz="0" w:space="0" w:color="auto"/>
        <w:bottom w:val="none" w:sz="0" w:space="0" w:color="auto"/>
        <w:right w:val="none" w:sz="0" w:space="0" w:color="auto"/>
      </w:divBdr>
    </w:div>
    <w:div w:id="1234660862">
      <w:marLeft w:val="0"/>
      <w:marRight w:val="0"/>
      <w:marTop w:val="0"/>
      <w:marBottom w:val="0"/>
      <w:divBdr>
        <w:top w:val="none" w:sz="0" w:space="0" w:color="auto"/>
        <w:left w:val="none" w:sz="0" w:space="0" w:color="auto"/>
        <w:bottom w:val="none" w:sz="0" w:space="0" w:color="auto"/>
        <w:right w:val="none" w:sz="0" w:space="0" w:color="auto"/>
      </w:divBdr>
    </w:div>
    <w:div w:id="1234660866">
      <w:marLeft w:val="0"/>
      <w:marRight w:val="0"/>
      <w:marTop w:val="0"/>
      <w:marBottom w:val="0"/>
      <w:divBdr>
        <w:top w:val="none" w:sz="0" w:space="0" w:color="auto"/>
        <w:left w:val="none" w:sz="0" w:space="0" w:color="auto"/>
        <w:bottom w:val="none" w:sz="0" w:space="0" w:color="auto"/>
        <w:right w:val="none" w:sz="0" w:space="0" w:color="auto"/>
      </w:divBdr>
    </w:div>
    <w:div w:id="1234660871">
      <w:marLeft w:val="0"/>
      <w:marRight w:val="0"/>
      <w:marTop w:val="0"/>
      <w:marBottom w:val="0"/>
      <w:divBdr>
        <w:top w:val="none" w:sz="0" w:space="0" w:color="auto"/>
        <w:left w:val="none" w:sz="0" w:space="0" w:color="auto"/>
        <w:bottom w:val="none" w:sz="0" w:space="0" w:color="auto"/>
        <w:right w:val="none" w:sz="0" w:space="0" w:color="auto"/>
      </w:divBdr>
    </w:div>
    <w:div w:id="1234660874">
      <w:marLeft w:val="0"/>
      <w:marRight w:val="0"/>
      <w:marTop w:val="0"/>
      <w:marBottom w:val="0"/>
      <w:divBdr>
        <w:top w:val="none" w:sz="0" w:space="0" w:color="auto"/>
        <w:left w:val="none" w:sz="0" w:space="0" w:color="auto"/>
        <w:bottom w:val="none" w:sz="0" w:space="0" w:color="auto"/>
        <w:right w:val="none" w:sz="0" w:space="0" w:color="auto"/>
      </w:divBdr>
    </w:div>
    <w:div w:id="1234660878">
      <w:marLeft w:val="0"/>
      <w:marRight w:val="0"/>
      <w:marTop w:val="0"/>
      <w:marBottom w:val="0"/>
      <w:divBdr>
        <w:top w:val="none" w:sz="0" w:space="0" w:color="auto"/>
        <w:left w:val="none" w:sz="0" w:space="0" w:color="auto"/>
        <w:bottom w:val="none" w:sz="0" w:space="0" w:color="auto"/>
        <w:right w:val="none" w:sz="0" w:space="0" w:color="auto"/>
      </w:divBdr>
      <w:divsChild>
        <w:div w:id="1234660850">
          <w:marLeft w:val="0"/>
          <w:marRight w:val="0"/>
          <w:marTop w:val="0"/>
          <w:marBottom w:val="0"/>
          <w:divBdr>
            <w:top w:val="none" w:sz="0" w:space="0" w:color="auto"/>
            <w:left w:val="none" w:sz="0" w:space="0" w:color="auto"/>
            <w:bottom w:val="none" w:sz="0" w:space="0" w:color="auto"/>
            <w:right w:val="none" w:sz="0" w:space="0" w:color="auto"/>
          </w:divBdr>
          <w:divsChild>
            <w:div w:id="1234660892">
              <w:marLeft w:val="0"/>
              <w:marRight w:val="0"/>
              <w:marTop w:val="0"/>
              <w:marBottom w:val="0"/>
              <w:divBdr>
                <w:top w:val="none" w:sz="0" w:space="0" w:color="auto"/>
                <w:left w:val="none" w:sz="0" w:space="0" w:color="auto"/>
                <w:bottom w:val="none" w:sz="0" w:space="0" w:color="auto"/>
                <w:right w:val="none" w:sz="0" w:space="0" w:color="auto"/>
              </w:divBdr>
              <w:divsChild>
                <w:div w:id="1234660808">
                  <w:marLeft w:val="0"/>
                  <w:marRight w:val="0"/>
                  <w:marTop w:val="0"/>
                  <w:marBottom w:val="0"/>
                  <w:divBdr>
                    <w:top w:val="none" w:sz="0" w:space="0" w:color="auto"/>
                    <w:left w:val="none" w:sz="0" w:space="0" w:color="auto"/>
                    <w:bottom w:val="none" w:sz="0" w:space="0" w:color="auto"/>
                    <w:right w:val="none" w:sz="0" w:space="0" w:color="auto"/>
                  </w:divBdr>
                  <w:divsChild>
                    <w:div w:id="1234660860">
                      <w:marLeft w:val="0"/>
                      <w:marRight w:val="0"/>
                      <w:marTop w:val="0"/>
                      <w:marBottom w:val="0"/>
                      <w:divBdr>
                        <w:top w:val="none" w:sz="0" w:space="0" w:color="auto"/>
                        <w:left w:val="none" w:sz="0" w:space="0" w:color="auto"/>
                        <w:bottom w:val="none" w:sz="0" w:space="0" w:color="auto"/>
                        <w:right w:val="none" w:sz="0" w:space="0" w:color="auto"/>
                      </w:divBdr>
                      <w:divsChild>
                        <w:div w:id="1234660934">
                          <w:marLeft w:val="0"/>
                          <w:marRight w:val="0"/>
                          <w:marTop w:val="0"/>
                          <w:marBottom w:val="0"/>
                          <w:divBdr>
                            <w:top w:val="none" w:sz="0" w:space="0" w:color="auto"/>
                            <w:left w:val="none" w:sz="0" w:space="0" w:color="auto"/>
                            <w:bottom w:val="none" w:sz="0" w:space="0" w:color="auto"/>
                            <w:right w:val="none" w:sz="0" w:space="0" w:color="auto"/>
                          </w:divBdr>
                          <w:divsChild>
                            <w:div w:id="1234660913">
                              <w:marLeft w:val="0"/>
                              <w:marRight w:val="0"/>
                              <w:marTop w:val="0"/>
                              <w:marBottom w:val="0"/>
                              <w:divBdr>
                                <w:top w:val="none" w:sz="0" w:space="0" w:color="auto"/>
                                <w:left w:val="none" w:sz="0" w:space="0" w:color="auto"/>
                                <w:bottom w:val="none" w:sz="0" w:space="0" w:color="auto"/>
                                <w:right w:val="none" w:sz="0" w:space="0" w:color="auto"/>
                              </w:divBdr>
                              <w:divsChild>
                                <w:div w:id="123466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60879">
      <w:marLeft w:val="0"/>
      <w:marRight w:val="0"/>
      <w:marTop w:val="0"/>
      <w:marBottom w:val="0"/>
      <w:divBdr>
        <w:top w:val="none" w:sz="0" w:space="0" w:color="auto"/>
        <w:left w:val="none" w:sz="0" w:space="0" w:color="auto"/>
        <w:bottom w:val="none" w:sz="0" w:space="0" w:color="auto"/>
        <w:right w:val="none" w:sz="0" w:space="0" w:color="auto"/>
      </w:divBdr>
    </w:div>
    <w:div w:id="1234660880">
      <w:marLeft w:val="0"/>
      <w:marRight w:val="0"/>
      <w:marTop w:val="0"/>
      <w:marBottom w:val="0"/>
      <w:divBdr>
        <w:top w:val="none" w:sz="0" w:space="0" w:color="auto"/>
        <w:left w:val="none" w:sz="0" w:space="0" w:color="auto"/>
        <w:bottom w:val="none" w:sz="0" w:space="0" w:color="auto"/>
        <w:right w:val="none" w:sz="0" w:space="0" w:color="auto"/>
      </w:divBdr>
      <w:divsChild>
        <w:div w:id="1234660836">
          <w:marLeft w:val="0"/>
          <w:marRight w:val="0"/>
          <w:marTop w:val="0"/>
          <w:marBottom w:val="0"/>
          <w:divBdr>
            <w:top w:val="none" w:sz="0" w:space="0" w:color="auto"/>
            <w:left w:val="none" w:sz="0" w:space="0" w:color="auto"/>
            <w:bottom w:val="none" w:sz="0" w:space="0" w:color="auto"/>
            <w:right w:val="none" w:sz="0" w:space="0" w:color="auto"/>
          </w:divBdr>
          <w:divsChild>
            <w:div w:id="1234660921">
              <w:marLeft w:val="0"/>
              <w:marRight w:val="0"/>
              <w:marTop w:val="0"/>
              <w:marBottom w:val="0"/>
              <w:divBdr>
                <w:top w:val="none" w:sz="0" w:space="0" w:color="auto"/>
                <w:left w:val="none" w:sz="0" w:space="0" w:color="auto"/>
                <w:bottom w:val="none" w:sz="0" w:space="0" w:color="auto"/>
                <w:right w:val="none" w:sz="0" w:space="0" w:color="auto"/>
              </w:divBdr>
              <w:divsChild>
                <w:div w:id="1234660926">
                  <w:marLeft w:val="0"/>
                  <w:marRight w:val="0"/>
                  <w:marTop w:val="0"/>
                  <w:marBottom w:val="0"/>
                  <w:divBdr>
                    <w:top w:val="none" w:sz="0" w:space="0" w:color="auto"/>
                    <w:left w:val="none" w:sz="0" w:space="0" w:color="auto"/>
                    <w:bottom w:val="none" w:sz="0" w:space="0" w:color="auto"/>
                    <w:right w:val="none" w:sz="0" w:space="0" w:color="auto"/>
                  </w:divBdr>
                  <w:divsChild>
                    <w:div w:id="1234660864">
                      <w:marLeft w:val="0"/>
                      <w:marRight w:val="0"/>
                      <w:marTop w:val="0"/>
                      <w:marBottom w:val="0"/>
                      <w:divBdr>
                        <w:top w:val="none" w:sz="0" w:space="0" w:color="auto"/>
                        <w:left w:val="none" w:sz="0" w:space="0" w:color="auto"/>
                        <w:bottom w:val="none" w:sz="0" w:space="0" w:color="auto"/>
                        <w:right w:val="none" w:sz="0" w:space="0" w:color="auto"/>
                      </w:divBdr>
                      <w:divsChild>
                        <w:div w:id="1234660868">
                          <w:marLeft w:val="0"/>
                          <w:marRight w:val="0"/>
                          <w:marTop w:val="0"/>
                          <w:marBottom w:val="0"/>
                          <w:divBdr>
                            <w:top w:val="none" w:sz="0" w:space="0" w:color="auto"/>
                            <w:left w:val="none" w:sz="0" w:space="0" w:color="auto"/>
                            <w:bottom w:val="none" w:sz="0" w:space="0" w:color="auto"/>
                            <w:right w:val="none" w:sz="0" w:space="0" w:color="auto"/>
                          </w:divBdr>
                          <w:divsChild>
                            <w:div w:id="1234660863">
                              <w:marLeft w:val="0"/>
                              <w:marRight w:val="0"/>
                              <w:marTop w:val="0"/>
                              <w:marBottom w:val="0"/>
                              <w:divBdr>
                                <w:top w:val="none" w:sz="0" w:space="0" w:color="auto"/>
                                <w:left w:val="none" w:sz="0" w:space="0" w:color="auto"/>
                                <w:bottom w:val="none" w:sz="0" w:space="0" w:color="auto"/>
                                <w:right w:val="none" w:sz="0" w:space="0" w:color="auto"/>
                              </w:divBdr>
                              <w:divsChild>
                                <w:div w:id="123466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60887">
      <w:marLeft w:val="0"/>
      <w:marRight w:val="0"/>
      <w:marTop w:val="0"/>
      <w:marBottom w:val="0"/>
      <w:divBdr>
        <w:top w:val="none" w:sz="0" w:space="0" w:color="auto"/>
        <w:left w:val="none" w:sz="0" w:space="0" w:color="auto"/>
        <w:bottom w:val="none" w:sz="0" w:space="0" w:color="auto"/>
        <w:right w:val="none" w:sz="0" w:space="0" w:color="auto"/>
      </w:divBdr>
    </w:div>
    <w:div w:id="1234660888">
      <w:marLeft w:val="0"/>
      <w:marRight w:val="0"/>
      <w:marTop w:val="0"/>
      <w:marBottom w:val="0"/>
      <w:divBdr>
        <w:top w:val="none" w:sz="0" w:space="0" w:color="auto"/>
        <w:left w:val="none" w:sz="0" w:space="0" w:color="auto"/>
        <w:bottom w:val="none" w:sz="0" w:space="0" w:color="auto"/>
        <w:right w:val="none" w:sz="0" w:space="0" w:color="auto"/>
      </w:divBdr>
    </w:div>
    <w:div w:id="1234660890">
      <w:marLeft w:val="0"/>
      <w:marRight w:val="0"/>
      <w:marTop w:val="0"/>
      <w:marBottom w:val="0"/>
      <w:divBdr>
        <w:top w:val="none" w:sz="0" w:space="0" w:color="auto"/>
        <w:left w:val="none" w:sz="0" w:space="0" w:color="auto"/>
        <w:bottom w:val="none" w:sz="0" w:space="0" w:color="auto"/>
        <w:right w:val="none" w:sz="0" w:space="0" w:color="auto"/>
      </w:divBdr>
    </w:div>
    <w:div w:id="1234660891">
      <w:marLeft w:val="0"/>
      <w:marRight w:val="0"/>
      <w:marTop w:val="0"/>
      <w:marBottom w:val="0"/>
      <w:divBdr>
        <w:top w:val="none" w:sz="0" w:space="0" w:color="auto"/>
        <w:left w:val="none" w:sz="0" w:space="0" w:color="auto"/>
        <w:bottom w:val="none" w:sz="0" w:space="0" w:color="auto"/>
        <w:right w:val="none" w:sz="0" w:space="0" w:color="auto"/>
      </w:divBdr>
    </w:div>
    <w:div w:id="1234660899">
      <w:marLeft w:val="0"/>
      <w:marRight w:val="0"/>
      <w:marTop w:val="0"/>
      <w:marBottom w:val="0"/>
      <w:divBdr>
        <w:top w:val="none" w:sz="0" w:space="0" w:color="auto"/>
        <w:left w:val="none" w:sz="0" w:space="0" w:color="auto"/>
        <w:bottom w:val="none" w:sz="0" w:space="0" w:color="auto"/>
        <w:right w:val="none" w:sz="0" w:space="0" w:color="auto"/>
      </w:divBdr>
    </w:div>
    <w:div w:id="1234660903">
      <w:marLeft w:val="0"/>
      <w:marRight w:val="0"/>
      <w:marTop w:val="0"/>
      <w:marBottom w:val="0"/>
      <w:divBdr>
        <w:top w:val="none" w:sz="0" w:space="0" w:color="auto"/>
        <w:left w:val="none" w:sz="0" w:space="0" w:color="auto"/>
        <w:bottom w:val="none" w:sz="0" w:space="0" w:color="auto"/>
        <w:right w:val="none" w:sz="0" w:space="0" w:color="auto"/>
      </w:divBdr>
    </w:div>
    <w:div w:id="1234660906">
      <w:marLeft w:val="0"/>
      <w:marRight w:val="0"/>
      <w:marTop w:val="0"/>
      <w:marBottom w:val="0"/>
      <w:divBdr>
        <w:top w:val="none" w:sz="0" w:space="0" w:color="auto"/>
        <w:left w:val="none" w:sz="0" w:space="0" w:color="auto"/>
        <w:bottom w:val="none" w:sz="0" w:space="0" w:color="auto"/>
        <w:right w:val="none" w:sz="0" w:space="0" w:color="auto"/>
      </w:divBdr>
    </w:div>
    <w:div w:id="1234660912">
      <w:marLeft w:val="0"/>
      <w:marRight w:val="0"/>
      <w:marTop w:val="0"/>
      <w:marBottom w:val="0"/>
      <w:divBdr>
        <w:top w:val="none" w:sz="0" w:space="0" w:color="auto"/>
        <w:left w:val="none" w:sz="0" w:space="0" w:color="auto"/>
        <w:bottom w:val="none" w:sz="0" w:space="0" w:color="auto"/>
        <w:right w:val="none" w:sz="0" w:space="0" w:color="auto"/>
      </w:divBdr>
    </w:div>
    <w:div w:id="1234660923">
      <w:marLeft w:val="0"/>
      <w:marRight w:val="0"/>
      <w:marTop w:val="0"/>
      <w:marBottom w:val="0"/>
      <w:divBdr>
        <w:top w:val="none" w:sz="0" w:space="0" w:color="auto"/>
        <w:left w:val="none" w:sz="0" w:space="0" w:color="auto"/>
        <w:bottom w:val="none" w:sz="0" w:space="0" w:color="auto"/>
        <w:right w:val="none" w:sz="0" w:space="0" w:color="auto"/>
      </w:divBdr>
    </w:div>
    <w:div w:id="1234660927">
      <w:marLeft w:val="0"/>
      <w:marRight w:val="0"/>
      <w:marTop w:val="0"/>
      <w:marBottom w:val="0"/>
      <w:divBdr>
        <w:top w:val="none" w:sz="0" w:space="0" w:color="auto"/>
        <w:left w:val="none" w:sz="0" w:space="0" w:color="auto"/>
        <w:bottom w:val="none" w:sz="0" w:space="0" w:color="auto"/>
        <w:right w:val="none" w:sz="0" w:space="0" w:color="auto"/>
      </w:divBdr>
      <w:divsChild>
        <w:div w:id="1234660886">
          <w:marLeft w:val="0"/>
          <w:marRight w:val="0"/>
          <w:marTop w:val="0"/>
          <w:marBottom w:val="0"/>
          <w:divBdr>
            <w:top w:val="none" w:sz="0" w:space="0" w:color="auto"/>
            <w:left w:val="none" w:sz="0" w:space="0" w:color="auto"/>
            <w:bottom w:val="none" w:sz="0" w:space="0" w:color="auto"/>
            <w:right w:val="none" w:sz="0" w:space="0" w:color="auto"/>
          </w:divBdr>
          <w:divsChild>
            <w:div w:id="1234660896">
              <w:marLeft w:val="0"/>
              <w:marRight w:val="0"/>
              <w:marTop w:val="0"/>
              <w:marBottom w:val="0"/>
              <w:divBdr>
                <w:top w:val="none" w:sz="0" w:space="0" w:color="auto"/>
                <w:left w:val="none" w:sz="0" w:space="0" w:color="auto"/>
                <w:bottom w:val="none" w:sz="0" w:space="0" w:color="auto"/>
                <w:right w:val="none" w:sz="0" w:space="0" w:color="auto"/>
              </w:divBdr>
              <w:divsChild>
                <w:div w:id="1234660839">
                  <w:marLeft w:val="0"/>
                  <w:marRight w:val="0"/>
                  <w:marTop w:val="0"/>
                  <w:marBottom w:val="0"/>
                  <w:divBdr>
                    <w:top w:val="none" w:sz="0" w:space="0" w:color="auto"/>
                    <w:left w:val="none" w:sz="0" w:space="0" w:color="auto"/>
                    <w:bottom w:val="none" w:sz="0" w:space="0" w:color="auto"/>
                    <w:right w:val="none" w:sz="0" w:space="0" w:color="auto"/>
                  </w:divBdr>
                  <w:divsChild>
                    <w:div w:id="1234660949">
                      <w:marLeft w:val="0"/>
                      <w:marRight w:val="0"/>
                      <w:marTop w:val="0"/>
                      <w:marBottom w:val="0"/>
                      <w:divBdr>
                        <w:top w:val="none" w:sz="0" w:space="0" w:color="auto"/>
                        <w:left w:val="none" w:sz="0" w:space="0" w:color="auto"/>
                        <w:bottom w:val="none" w:sz="0" w:space="0" w:color="auto"/>
                        <w:right w:val="none" w:sz="0" w:space="0" w:color="auto"/>
                      </w:divBdr>
                      <w:divsChild>
                        <w:div w:id="1234660944">
                          <w:marLeft w:val="0"/>
                          <w:marRight w:val="0"/>
                          <w:marTop w:val="0"/>
                          <w:marBottom w:val="0"/>
                          <w:divBdr>
                            <w:top w:val="none" w:sz="0" w:space="0" w:color="auto"/>
                            <w:left w:val="none" w:sz="0" w:space="0" w:color="auto"/>
                            <w:bottom w:val="none" w:sz="0" w:space="0" w:color="auto"/>
                            <w:right w:val="none" w:sz="0" w:space="0" w:color="auto"/>
                          </w:divBdr>
                          <w:divsChild>
                            <w:div w:id="1234660914">
                              <w:marLeft w:val="0"/>
                              <w:marRight w:val="0"/>
                              <w:marTop w:val="0"/>
                              <w:marBottom w:val="0"/>
                              <w:divBdr>
                                <w:top w:val="none" w:sz="0" w:space="0" w:color="auto"/>
                                <w:left w:val="none" w:sz="0" w:space="0" w:color="auto"/>
                                <w:bottom w:val="none" w:sz="0" w:space="0" w:color="auto"/>
                                <w:right w:val="none" w:sz="0" w:space="0" w:color="auto"/>
                              </w:divBdr>
                              <w:divsChild>
                                <w:div w:id="123466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60931">
      <w:marLeft w:val="0"/>
      <w:marRight w:val="0"/>
      <w:marTop w:val="0"/>
      <w:marBottom w:val="0"/>
      <w:divBdr>
        <w:top w:val="none" w:sz="0" w:space="0" w:color="auto"/>
        <w:left w:val="none" w:sz="0" w:space="0" w:color="auto"/>
        <w:bottom w:val="none" w:sz="0" w:space="0" w:color="auto"/>
        <w:right w:val="none" w:sz="0" w:space="0" w:color="auto"/>
      </w:divBdr>
      <w:divsChild>
        <w:div w:id="1234660832">
          <w:marLeft w:val="0"/>
          <w:marRight w:val="0"/>
          <w:marTop w:val="0"/>
          <w:marBottom w:val="0"/>
          <w:divBdr>
            <w:top w:val="none" w:sz="0" w:space="0" w:color="auto"/>
            <w:left w:val="none" w:sz="0" w:space="0" w:color="auto"/>
            <w:bottom w:val="none" w:sz="0" w:space="0" w:color="auto"/>
            <w:right w:val="none" w:sz="0" w:space="0" w:color="auto"/>
          </w:divBdr>
          <w:divsChild>
            <w:div w:id="1234660940">
              <w:marLeft w:val="0"/>
              <w:marRight w:val="0"/>
              <w:marTop w:val="0"/>
              <w:marBottom w:val="0"/>
              <w:divBdr>
                <w:top w:val="none" w:sz="0" w:space="0" w:color="auto"/>
                <w:left w:val="none" w:sz="0" w:space="0" w:color="auto"/>
                <w:bottom w:val="none" w:sz="0" w:space="0" w:color="auto"/>
                <w:right w:val="none" w:sz="0" w:space="0" w:color="auto"/>
              </w:divBdr>
              <w:divsChild>
                <w:div w:id="1234660928">
                  <w:marLeft w:val="0"/>
                  <w:marRight w:val="0"/>
                  <w:marTop w:val="0"/>
                  <w:marBottom w:val="0"/>
                  <w:divBdr>
                    <w:top w:val="none" w:sz="0" w:space="0" w:color="auto"/>
                    <w:left w:val="none" w:sz="0" w:space="0" w:color="auto"/>
                    <w:bottom w:val="none" w:sz="0" w:space="0" w:color="auto"/>
                    <w:right w:val="none" w:sz="0" w:space="0" w:color="auto"/>
                  </w:divBdr>
                  <w:divsChild>
                    <w:div w:id="1234660905">
                      <w:marLeft w:val="0"/>
                      <w:marRight w:val="0"/>
                      <w:marTop w:val="0"/>
                      <w:marBottom w:val="0"/>
                      <w:divBdr>
                        <w:top w:val="none" w:sz="0" w:space="0" w:color="auto"/>
                        <w:left w:val="none" w:sz="0" w:space="0" w:color="auto"/>
                        <w:bottom w:val="none" w:sz="0" w:space="0" w:color="auto"/>
                        <w:right w:val="none" w:sz="0" w:space="0" w:color="auto"/>
                      </w:divBdr>
                      <w:divsChild>
                        <w:div w:id="1234660881">
                          <w:marLeft w:val="0"/>
                          <w:marRight w:val="0"/>
                          <w:marTop w:val="0"/>
                          <w:marBottom w:val="0"/>
                          <w:divBdr>
                            <w:top w:val="none" w:sz="0" w:space="0" w:color="auto"/>
                            <w:left w:val="none" w:sz="0" w:space="0" w:color="auto"/>
                            <w:bottom w:val="none" w:sz="0" w:space="0" w:color="auto"/>
                            <w:right w:val="none" w:sz="0" w:space="0" w:color="auto"/>
                          </w:divBdr>
                          <w:divsChild>
                            <w:div w:id="1234660859">
                              <w:marLeft w:val="0"/>
                              <w:marRight w:val="0"/>
                              <w:marTop w:val="0"/>
                              <w:marBottom w:val="0"/>
                              <w:divBdr>
                                <w:top w:val="none" w:sz="0" w:space="0" w:color="auto"/>
                                <w:left w:val="none" w:sz="0" w:space="0" w:color="auto"/>
                                <w:bottom w:val="none" w:sz="0" w:space="0" w:color="auto"/>
                                <w:right w:val="none" w:sz="0" w:space="0" w:color="auto"/>
                              </w:divBdr>
                              <w:divsChild>
                                <w:div w:id="123466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60942">
      <w:marLeft w:val="0"/>
      <w:marRight w:val="0"/>
      <w:marTop w:val="0"/>
      <w:marBottom w:val="0"/>
      <w:divBdr>
        <w:top w:val="none" w:sz="0" w:space="0" w:color="auto"/>
        <w:left w:val="none" w:sz="0" w:space="0" w:color="auto"/>
        <w:bottom w:val="none" w:sz="0" w:space="0" w:color="auto"/>
        <w:right w:val="none" w:sz="0" w:space="0" w:color="auto"/>
      </w:divBdr>
    </w:div>
    <w:div w:id="1234660943">
      <w:marLeft w:val="0"/>
      <w:marRight w:val="0"/>
      <w:marTop w:val="0"/>
      <w:marBottom w:val="0"/>
      <w:divBdr>
        <w:top w:val="none" w:sz="0" w:space="0" w:color="auto"/>
        <w:left w:val="none" w:sz="0" w:space="0" w:color="auto"/>
        <w:bottom w:val="none" w:sz="0" w:space="0" w:color="auto"/>
        <w:right w:val="none" w:sz="0" w:space="0" w:color="auto"/>
      </w:divBdr>
    </w:div>
    <w:div w:id="1234660947">
      <w:marLeft w:val="0"/>
      <w:marRight w:val="0"/>
      <w:marTop w:val="0"/>
      <w:marBottom w:val="0"/>
      <w:divBdr>
        <w:top w:val="none" w:sz="0" w:space="0" w:color="auto"/>
        <w:left w:val="none" w:sz="0" w:space="0" w:color="auto"/>
        <w:bottom w:val="none" w:sz="0" w:space="0" w:color="auto"/>
        <w:right w:val="none" w:sz="0" w:space="0" w:color="auto"/>
      </w:divBdr>
      <w:divsChild>
        <w:div w:id="1234660806">
          <w:marLeft w:val="0"/>
          <w:marRight w:val="0"/>
          <w:marTop w:val="0"/>
          <w:marBottom w:val="0"/>
          <w:divBdr>
            <w:top w:val="none" w:sz="0" w:space="0" w:color="auto"/>
            <w:left w:val="none" w:sz="0" w:space="0" w:color="auto"/>
            <w:bottom w:val="none" w:sz="0" w:space="0" w:color="auto"/>
            <w:right w:val="none" w:sz="0" w:space="0" w:color="auto"/>
          </w:divBdr>
          <w:divsChild>
            <w:div w:id="1234660932">
              <w:marLeft w:val="0"/>
              <w:marRight w:val="0"/>
              <w:marTop w:val="0"/>
              <w:marBottom w:val="0"/>
              <w:divBdr>
                <w:top w:val="none" w:sz="0" w:space="0" w:color="auto"/>
                <w:left w:val="none" w:sz="0" w:space="0" w:color="auto"/>
                <w:bottom w:val="none" w:sz="0" w:space="0" w:color="auto"/>
                <w:right w:val="none" w:sz="0" w:space="0" w:color="auto"/>
              </w:divBdr>
              <w:divsChild>
                <w:div w:id="1234660945">
                  <w:marLeft w:val="0"/>
                  <w:marRight w:val="0"/>
                  <w:marTop w:val="0"/>
                  <w:marBottom w:val="0"/>
                  <w:divBdr>
                    <w:top w:val="none" w:sz="0" w:space="0" w:color="auto"/>
                    <w:left w:val="none" w:sz="0" w:space="0" w:color="auto"/>
                    <w:bottom w:val="none" w:sz="0" w:space="0" w:color="auto"/>
                    <w:right w:val="none" w:sz="0" w:space="0" w:color="auto"/>
                  </w:divBdr>
                  <w:divsChild>
                    <w:div w:id="1234660872">
                      <w:marLeft w:val="0"/>
                      <w:marRight w:val="0"/>
                      <w:marTop w:val="0"/>
                      <w:marBottom w:val="0"/>
                      <w:divBdr>
                        <w:top w:val="none" w:sz="0" w:space="0" w:color="auto"/>
                        <w:left w:val="none" w:sz="0" w:space="0" w:color="auto"/>
                        <w:bottom w:val="none" w:sz="0" w:space="0" w:color="auto"/>
                        <w:right w:val="none" w:sz="0" w:space="0" w:color="auto"/>
                      </w:divBdr>
                      <w:divsChild>
                        <w:div w:id="1234660827">
                          <w:marLeft w:val="0"/>
                          <w:marRight w:val="0"/>
                          <w:marTop w:val="0"/>
                          <w:marBottom w:val="0"/>
                          <w:divBdr>
                            <w:top w:val="none" w:sz="0" w:space="0" w:color="auto"/>
                            <w:left w:val="none" w:sz="0" w:space="0" w:color="auto"/>
                            <w:bottom w:val="none" w:sz="0" w:space="0" w:color="auto"/>
                            <w:right w:val="none" w:sz="0" w:space="0" w:color="auto"/>
                          </w:divBdr>
                          <w:divsChild>
                            <w:div w:id="1234660804">
                              <w:marLeft w:val="0"/>
                              <w:marRight w:val="0"/>
                              <w:marTop w:val="0"/>
                              <w:marBottom w:val="0"/>
                              <w:divBdr>
                                <w:top w:val="none" w:sz="0" w:space="0" w:color="auto"/>
                                <w:left w:val="none" w:sz="0" w:space="0" w:color="auto"/>
                                <w:bottom w:val="none" w:sz="0" w:space="0" w:color="auto"/>
                                <w:right w:val="none" w:sz="0" w:space="0" w:color="auto"/>
                              </w:divBdr>
                              <w:divsChild>
                                <w:div w:id="123466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284083">
      <w:bodyDiv w:val="1"/>
      <w:marLeft w:val="0"/>
      <w:marRight w:val="0"/>
      <w:marTop w:val="0"/>
      <w:marBottom w:val="0"/>
      <w:divBdr>
        <w:top w:val="none" w:sz="0" w:space="0" w:color="auto"/>
        <w:left w:val="none" w:sz="0" w:space="0" w:color="auto"/>
        <w:bottom w:val="none" w:sz="0" w:space="0" w:color="auto"/>
        <w:right w:val="none" w:sz="0" w:space="0" w:color="auto"/>
      </w:divBdr>
      <w:divsChild>
        <w:div w:id="2133207285">
          <w:marLeft w:val="0"/>
          <w:marRight w:val="0"/>
          <w:marTop w:val="0"/>
          <w:marBottom w:val="0"/>
          <w:divBdr>
            <w:top w:val="none" w:sz="0" w:space="0" w:color="auto"/>
            <w:left w:val="none" w:sz="0" w:space="0" w:color="auto"/>
            <w:bottom w:val="none" w:sz="0" w:space="0" w:color="auto"/>
            <w:right w:val="none" w:sz="0" w:space="0" w:color="auto"/>
          </w:divBdr>
          <w:divsChild>
            <w:div w:id="888882254">
              <w:marLeft w:val="0"/>
              <w:marRight w:val="0"/>
              <w:marTop w:val="0"/>
              <w:marBottom w:val="0"/>
              <w:divBdr>
                <w:top w:val="none" w:sz="0" w:space="0" w:color="auto"/>
                <w:left w:val="none" w:sz="0" w:space="0" w:color="auto"/>
                <w:bottom w:val="none" w:sz="0" w:space="0" w:color="auto"/>
                <w:right w:val="none" w:sz="0" w:space="0" w:color="auto"/>
              </w:divBdr>
              <w:divsChild>
                <w:div w:id="4404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04089">
      <w:bodyDiv w:val="1"/>
      <w:marLeft w:val="0"/>
      <w:marRight w:val="0"/>
      <w:marTop w:val="0"/>
      <w:marBottom w:val="0"/>
      <w:divBdr>
        <w:top w:val="none" w:sz="0" w:space="0" w:color="auto"/>
        <w:left w:val="none" w:sz="0" w:space="0" w:color="auto"/>
        <w:bottom w:val="none" w:sz="0" w:space="0" w:color="auto"/>
        <w:right w:val="none" w:sz="0" w:space="0" w:color="auto"/>
      </w:divBdr>
      <w:divsChild>
        <w:div w:id="1032265488">
          <w:marLeft w:val="0"/>
          <w:marRight w:val="0"/>
          <w:marTop w:val="100"/>
          <w:marBottom w:val="100"/>
          <w:divBdr>
            <w:top w:val="none" w:sz="0" w:space="0" w:color="auto"/>
            <w:left w:val="none" w:sz="0" w:space="0" w:color="auto"/>
            <w:bottom w:val="none" w:sz="0" w:space="0" w:color="auto"/>
            <w:right w:val="none" w:sz="0" w:space="0" w:color="auto"/>
          </w:divBdr>
          <w:divsChild>
            <w:div w:id="1892384325">
              <w:marLeft w:val="0"/>
              <w:marRight w:val="0"/>
              <w:marTop w:val="0"/>
              <w:marBottom w:val="0"/>
              <w:divBdr>
                <w:top w:val="none" w:sz="0" w:space="0" w:color="auto"/>
                <w:left w:val="none" w:sz="0" w:space="0" w:color="auto"/>
                <w:bottom w:val="none" w:sz="0" w:space="0" w:color="auto"/>
                <w:right w:val="none" w:sz="0" w:space="0" w:color="auto"/>
              </w:divBdr>
              <w:divsChild>
                <w:div w:id="11588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69224">
      <w:bodyDiv w:val="1"/>
      <w:marLeft w:val="0"/>
      <w:marRight w:val="0"/>
      <w:marTop w:val="0"/>
      <w:marBottom w:val="0"/>
      <w:divBdr>
        <w:top w:val="none" w:sz="0" w:space="0" w:color="auto"/>
        <w:left w:val="none" w:sz="0" w:space="0" w:color="auto"/>
        <w:bottom w:val="none" w:sz="0" w:space="0" w:color="auto"/>
        <w:right w:val="none" w:sz="0" w:space="0" w:color="auto"/>
      </w:divBdr>
      <w:divsChild>
        <w:div w:id="809397448">
          <w:marLeft w:val="979"/>
          <w:marRight w:val="0"/>
          <w:marTop w:val="60"/>
          <w:marBottom w:val="0"/>
          <w:divBdr>
            <w:top w:val="none" w:sz="0" w:space="0" w:color="auto"/>
            <w:left w:val="none" w:sz="0" w:space="0" w:color="auto"/>
            <w:bottom w:val="none" w:sz="0" w:space="0" w:color="auto"/>
            <w:right w:val="none" w:sz="0" w:space="0" w:color="auto"/>
          </w:divBdr>
        </w:div>
        <w:div w:id="1374161102">
          <w:marLeft w:val="979"/>
          <w:marRight w:val="0"/>
          <w:marTop w:val="60"/>
          <w:marBottom w:val="0"/>
          <w:divBdr>
            <w:top w:val="none" w:sz="0" w:space="0" w:color="auto"/>
            <w:left w:val="none" w:sz="0" w:space="0" w:color="auto"/>
            <w:bottom w:val="none" w:sz="0" w:space="0" w:color="auto"/>
            <w:right w:val="none" w:sz="0" w:space="0" w:color="auto"/>
          </w:divBdr>
        </w:div>
        <w:div w:id="292756897">
          <w:marLeft w:val="979"/>
          <w:marRight w:val="0"/>
          <w:marTop w:val="60"/>
          <w:marBottom w:val="0"/>
          <w:divBdr>
            <w:top w:val="none" w:sz="0" w:space="0" w:color="auto"/>
            <w:left w:val="none" w:sz="0" w:space="0" w:color="auto"/>
            <w:bottom w:val="none" w:sz="0" w:space="0" w:color="auto"/>
            <w:right w:val="none" w:sz="0" w:space="0" w:color="auto"/>
          </w:divBdr>
        </w:div>
        <w:div w:id="31852012">
          <w:marLeft w:val="979"/>
          <w:marRight w:val="0"/>
          <w:marTop w:val="60"/>
          <w:marBottom w:val="0"/>
          <w:divBdr>
            <w:top w:val="none" w:sz="0" w:space="0" w:color="auto"/>
            <w:left w:val="none" w:sz="0" w:space="0" w:color="auto"/>
            <w:bottom w:val="none" w:sz="0" w:space="0" w:color="auto"/>
            <w:right w:val="none" w:sz="0" w:space="0" w:color="auto"/>
          </w:divBdr>
        </w:div>
      </w:divsChild>
    </w:div>
    <w:div w:id="1270508968">
      <w:bodyDiv w:val="1"/>
      <w:marLeft w:val="0"/>
      <w:marRight w:val="0"/>
      <w:marTop w:val="0"/>
      <w:marBottom w:val="0"/>
      <w:divBdr>
        <w:top w:val="none" w:sz="0" w:space="0" w:color="auto"/>
        <w:left w:val="none" w:sz="0" w:space="0" w:color="auto"/>
        <w:bottom w:val="none" w:sz="0" w:space="0" w:color="auto"/>
        <w:right w:val="none" w:sz="0" w:space="0" w:color="auto"/>
      </w:divBdr>
    </w:div>
    <w:div w:id="1276904169">
      <w:bodyDiv w:val="1"/>
      <w:marLeft w:val="0"/>
      <w:marRight w:val="0"/>
      <w:marTop w:val="0"/>
      <w:marBottom w:val="0"/>
      <w:divBdr>
        <w:top w:val="none" w:sz="0" w:space="0" w:color="auto"/>
        <w:left w:val="none" w:sz="0" w:space="0" w:color="auto"/>
        <w:bottom w:val="none" w:sz="0" w:space="0" w:color="auto"/>
        <w:right w:val="none" w:sz="0" w:space="0" w:color="auto"/>
      </w:divBdr>
    </w:div>
    <w:div w:id="1295452238">
      <w:bodyDiv w:val="1"/>
      <w:marLeft w:val="0"/>
      <w:marRight w:val="0"/>
      <w:marTop w:val="0"/>
      <w:marBottom w:val="0"/>
      <w:divBdr>
        <w:top w:val="none" w:sz="0" w:space="0" w:color="auto"/>
        <w:left w:val="none" w:sz="0" w:space="0" w:color="auto"/>
        <w:bottom w:val="none" w:sz="0" w:space="0" w:color="auto"/>
        <w:right w:val="none" w:sz="0" w:space="0" w:color="auto"/>
      </w:divBdr>
    </w:div>
    <w:div w:id="1309937848">
      <w:bodyDiv w:val="1"/>
      <w:marLeft w:val="0"/>
      <w:marRight w:val="0"/>
      <w:marTop w:val="0"/>
      <w:marBottom w:val="0"/>
      <w:divBdr>
        <w:top w:val="none" w:sz="0" w:space="0" w:color="auto"/>
        <w:left w:val="none" w:sz="0" w:space="0" w:color="auto"/>
        <w:bottom w:val="none" w:sz="0" w:space="0" w:color="auto"/>
        <w:right w:val="none" w:sz="0" w:space="0" w:color="auto"/>
      </w:divBdr>
      <w:divsChild>
        <w:div w:id="602810209">
          <w:marLeft w:val="0"/>
          <w:marRight w:val="0"/>
          <w:marTop w:val="0"/>
          <w:marBottom w:val="0"/>
          <w:divBdr>
            <w:top w:val="none" w:sz="0" w:space="0" w:color="auto"/>
            <w:left w:val="none" w:sz="0" w:space="0" w:color="auto"/>
            <w:bottom w:val="none" w:sz="0" w:space="0" w:color="auto"/>
            <w:right w:val="none" w:sz="0" w:space="0" w:color="auto"/>
          </w:divBdr>
          <w:divsChild>
            <w:div w:id="508982645">
              <w:marLeft w:val="0"/>
              <w:marRight w:val="0"/>
              <w:marTop w:val="0"/>
              <w:marBottom w:val="0"/>
              <w:divBdr>
                <w:top w:val="none" w:sz="0" w:space="0" w:color="auto"/>
                <w:left w:val="none" w:sz="0" w:space="0" w:color="auto"/>
                <w:bottom w:val="none" w:sz="0" w:space="0" w:color="auto"/>
                <w:right w:val="none" w:sz="0" w:space="0" w:color="auto"/>
              </w:divBdr>
              <w:divsChild>
                <w:div w:id="1442645777">
                  <w:marLeft w:val="0"/>
                  <w:marRight w:val="0"/>
                  <w:marTop w:val="0"/>
                  <w:marBottom w:val="0"/>
                  <w:divBdr>
                    <w:top w:val="none" w:sz="0" w:space="0" w:color="auto"/>
                    <w:left w:val="none" w:sz="0" w:space="0" w:color="auto"/>
                    <w:bottom w:val="none" w:sz="0" w:space="0" w:color="auto"/>
                    <w:right w:val="none" w:sz="0" w:space="0" w:color="auto"/>
                  </w:divBdr>
                  <w:divsChild>
                    <w:div w:id="1768190889">
                      <w:marLeft w:val="0"/>
                      <w:marRight w:val="0"/>
                      <w:marTop w:val="0"/>
                      <w:marBottom w:val="0"/>
                      <w:divBdr>
                        <w:top w:val="none" w:sz="0" w:space="0" w:color="auto"/>
                        <w:left w:val="none" w:sz="0" w:space="0" w:color="auto"/>
                        <w:bottom w:val="none" w:sz="0" w:space="0" w:color="auto"/>
                        <w:right w:val="none" w:sz="0" w:space="0" w:color="auto"/>
                      </w:divBdr>
                      <w:divsChild>
                        <w:div w:id="16661085">
                          <w:marLeft w:val="0"/>
                          <w:marRight w:val="0"/>
                          <w:marTop w:val="0"/>
                          <w:marBottom w:val="0"/>
                          <w:divBdr>
                            <w:top w:val="none" w:sz="0" w:space="0" w:color="auto"/>
                            <w:left w:val="none" w:sz="0" w:space="0" w:color="auto"/>
                            <w:bottom w:val="none" w:sz="0" w:space="0" w:color="auto"/>
                            <w:right w:val="none" w:sz="0" w:space="0" w:color="auto"/>
                          </w:divBdr>
                        </w:div>
                        <w:div w:id="1217013522">
                          <w:marLeft w:val="0"/>
                          <w:marRight w:val="0"/>
                          <w:marTop w:val="0"/>
                          <w:marBottom w:val="0"/>
                          <w:divBdr>
                            <w:top w:val="none" w:sz="0" w:space="0" w:color="auto"/>
                            <w:left w:val="none" w:sz="0" w:space="0" w:color="auto"/>
                            <w:bottom w:val="none" w:sz="0" w:space="0" w:color="auto"/>
                            <w:right w:val="none" w:sz="0" w:space="0" w:color="auto"/>
                          </w:divBdr>
                          <w:divsChild>
                            <w:div w:id="2727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250811">
      <w:bodyDiv w:val="1"/>
      <w:marLeft w:val="0"/>
      <w:marRight w:val="0"/>
      <w:marTop w:val="0"/>
      <w:marBottom w:val="0"/>
      <w:divBdr>
        <w:top w:val="none" w:sz="0" w:space="0" w:color="auto"/>
        <w:left w:val="none" w:sz="0" w:space="0" w:color="auto"/>
        <w:bottom w:val="none" w:sz="0" w:space="0" w:color="auto"/>
        <w:right w:val="none" w:sz="0" w:space="0" w:color="auto"/>
      </w:divBdr>
      <w:divsChild>
        <w:div w:id="474220580">
          <w:marLeft w:val="0"/>
          <w:marRight w:val="0"/>
          <w:marTop w:val="0"/>
          <w:marBottom w:val="0"/>
          <w:divBdr>
            <w:top w:val="none" w:sz="0" w:space="0" w:color="auto"/>
            <w:left w:val="none" w:sz="0" w:space="0" w:color="auto"/>
            <w:bottom w:val="none" w:sz="0" w:space="0" w:color="auto"/>
            <w:right w:val="none" w:sz="0" w:space="0" w:color="auto"/>
          </w:divBdr>
        </w:div>
        <w:div w:id="1627734516">
          <w:marLeft w:val="0"/>
          <w:marRight w:val="0"/>
          <w:marTop w:val="0"/>
          <w:marBottom w:val="0"/>
          <w:divBdr>
            <w:top w:val="none" w:sz="0" w:space="0" w:color="auto"/>
            <w:left w:val="none" w:sz="0" w:space="0" w:color="auto"/>
            <w:bottom w:val="none" w:sz="0" w:space="0" w:color="auto"/>
            <w:right w:val="none" w:sz="0" w:space="0" w:color="auto"/>
          </w:divBdr>
        </w:div>
        <w:div w:id="1480657844">
          <w:marLeft w:val="0"/>
          <w:marRight w:val="0"/>
          <w:marTop w:val="0"/>
          <w:marBottom w:val="0"/>
          <w:divBdr>
            <w:top w:val="none" w:sz="0" w:space="0" w:color="auto"/>
            <w:left w:val="none" w:sz="0" w:space="0" w:color="auto"/>
            <w:bottom w:val="none" w:sz="0" w:space="0" w:color="auto"/>
            <w:right w:val="none" w:sz="0" w:space="0" w:color="auto"/>
          </w:divBdr>
        </w:div>
        <w:div w:id="143592010">
          <w:marLeft w:val="0"/>
          <w:marRight w:val="0"/>
          <w:marTop w:val="0"/>
          <w:marBottom w:val="0"/>
          <w:divBdr>
            <w:top w:val="none" w:sz="0" w:space="0" w:color="auto"/>
            <w:left w:val="none" w:sz="0" w:space="0" w:color="auto"/>
            <w:bottom w:val="none" w:sz="0" w:space="0" w:color="auto"/>
            <w:right w:val="none" w:sz="0" w:space="0" w:color="auto"/>
          </w:divBdr>
        </w:div>
        <w:div w:id="1390768718">
          <w:marLeft w:val="0"/>
          <w:marRight w:val="0"/>
          <w:marTop w:val="0"/>
          <w:marBottom w:val="0"/>
          <w:divBdr>
            <w:top w:val="none" w:sz="0" w:space="0" w:color="auto"/>
            <w:left w:val="none" w:sz="0" w:space="0" w:color="auto"/>
            <w:bottom w:val="none" w:sz="0" w:space="0" w:color="auto"/>
            <w:right w:val="none" w:sz="0" w:space="0" w:color="auto"/>
          </w:divBdr>
        </w:div>
        <w:div w:id="1314142935">
          <w:marLeft w:val="0"/>
          <w:marRight w:val="0"/>
          <w:marTop w:val="0"/>
          <w:marBottom w:val="0"/>
          <w:divBdr>
            <w:top w:val="none" w:sz="0" w:space="0" w:color="auto"/>
            <w:left w:val="none" w:sz="0" w:space="0" w:color="auto"/>
            <w:bottom w:val="none" w:sz="0" w:space="0" w:color="auto"/>
            <w:right w:val="none" w:sz="0" w:space="0" w:color="auto"/>
          </w:divBdr>
        </w:div>
        <w:div w:id="1826357971">
          <w:marLeft w:val="0"/>
          <w:marRight w:val="0"/>
          <w:marTop w:val="0"/>
          <w:marBottom w:val="0"/>
          <w:divBdr>
            <w:top w:val="none" w:sz="0" w:space="0" w:color="auto"/>
            <w:left w:val="none" w:sz="0" w:space="0" w:color="auto"/>
            <w:bottom w:val="none" w:sz="0" w:space="0" w:color="auto"/>
            <w:right w:val="none" w:sz="0" w:space="0" w:color="auto"/>
          </w:divBdr>
        </w:div>
        <w:div w:id="1775248151">
          <w:marLeft w:val="0"/>
          <w:marRight w:val="0"/>
          <w:marTop w:val="0"/>
          <w:marBottom w:val="0"/>
          <w:divBdr>
            <w:top w:val="none" w:sz="0" w:space="0" w:color="auto"/>
            <w:left w:val="none" w:sz="0" w:space="0" w:color="auto"/>
            <w:bottom w:val="none" w:sz="0" w:space="0" w:color="auto"/>
            <w:right w:val="none" w:sz="0" w:space="0" w:color="auto"/>
          </w:divBdr>
        </w:div>
        <w:div w:id="1203638927">
          <w:marLeft w:val="0"/>
          <w:marRight w:val="0"/>
          <w:marTop w:val="0"/>
          <w:marBottom w:val="0"/>
          <w:divBdr>
            <w:top w:val="none" w:sz="0" w:space="0" w:color="auto"/>
            <w:left w:val="none" w:sz="0" w:space="0" w:color="auto"/>
            <w:bottom w:val="none" w:sz="0" w:space="0" w:color="auto"/>
            <w:right w:val="none" w:sz="0" w:space="0" w:color="auto"/>
          </w:divBdr>
        </w:div>
        <w:div w:id="2093964270">
          <w:marLeft w:val="0"/>
          <w:marRight w:val="0"/>
          <w:marTop w:val="0"/>
          <w:marBottom w:val="0"/>
          <w:divBdr>
            <w:top w:val="none" w:sz="0" w:space="0" w:color="auto"/>
            <w:left w:val="none" w:sz="0" w:space="0" w:color="auto"/>
            <w:bottom w:val="none" w:sz="0" w:space="0" w:color="auto"/>
            <w:right w:val="none" w:sz="0" w:space="0" w:color="auto"/>
          </w:divBdr>
        </w:div>
        <w:div w:id="1239048711">
          <w:marLeft w:val="0"/>
          <w:marRight w:val="0"/>
          <w:marTop w:val="0"/>
          <w:marBottom w:val="0"/>
          <w:divBdr>
            <w:top w:val="none" w:sz="0" w:space="0" w:color="auto"/>
            <w:left w:val="none" w:sz="0" w:space="0" w:color="auto"/>
            <w:bottom w:val="none" w:sz="0" w:space="0" w:color="auto"/>
            <w:right w:val="none" w:sz="0" w:space="0" w:color="auto"/>
          </w:divBdr>
        </w:div>
      </w:divsChild>
    </w:div>
    <w:div w:id="1317370997">
      <w:bodyDiv w:val="1"/>
      <w:marLeft w:val="0"/>
      <w:marRight w:val="0"/>
      <w:marTop w:val="0"/>
      <w:marBottom w:val="0"/>
      <w:divBdr>
        <w:top w:val="none" w:sz="0" w:space="0" w:color="auto"/>
        <w:left w:val="none" w:sz="0" w:space="0" w:color="auto"/>
        <w:bottom w:val="none" w:sz="0" w:space="0" w:color="auto"/>
        <w:right w:val="none" w:sz="0" w:space="0" w:color="auto"/>
      </w:divBdr>
    </w:div>
    <w:div w:id="1322199241">
      <w:bodyDiv w:val="1"/>
      <w:marLeft w:val="0"/>
      <w:marRight w:val="0"/>
      <w:marTop w:val="0"/>
      <w:marBottom w:val="0"/>
      <w:divBdr>
        <w:top w:val="none" w:sz="0" w:space="0" w:color="auto"/>
        <w:left w:val="none" w:sz="0" w:space="0" w:color="auto"/>
        <w:bottom w:val="none" w:sz="0" w:space="0" w:color="auto"/>
        <w:right w:val="none" w:sz="0" w:space="0" w:color="auto"/>
      </w:divBdr>
    </w:div>
    <w:div w:id="1324777159">
      <w:bodyDiv w:val="1"/>
      <w:marLeft w:val="0"/>
      <w:marRight w:val="0"/>
      <w:marTop w:val="0"/>
      <w:marBottom w:val="0"/>
      <w:divBdr>
        <w:top w:val="none" w:sz="0" w:space="0" w:color="auto"/>
        <w:left w:val="none" w:sz="0" w:space="0" w:color="auto"/>
        <w:bottom w:val="none" w:sz="0" w:space="0" w:color="auto"/>
        <w:right w:val="none" w:sz="0" w:space="0" w:color="auto"/>
      </w:divBdr>
      <w:divsChild>
        <w:div w:id="2082438185">
          <w:marLeft w:val="0"/>
          <w:marRight w:val="0"/>
          <w:marTop w:val="45"/>
          <w:marBottom w:val="0"/>
          <w:divBdr>
            <w:top w:val="none" w:sz="0" w:space="0" w:color="auto"/>
            <w:left w:val="none" w:sz="0" w:space="0" w:color="auto"/>
            <w:bottom w:val="none" w:sz="0" w:space="0" w:color="auto"/>
            <w:right w:val="none" w:sz="0" w:space="0" w:color="auto"/>
          </w:divBdr>
          <w:divsChild>
            <w:div w:id="431633144">
              <w:marLeft w:val="0"/>
              <w:marRight w:val="0"/>
              <w:marTop w:val="0"/>
              <w:marBottom w:val="0"/>
              <w:divBdr>
                <w:top w:val="none" w:sz="0" w:space="0" w:color="auto"/>
                <w:left w:val="none" w:sz="0" w:space="0" w:color="auto"/>
                <w:bottom w:val="none" w:sz="0" w:space="0" w:color="auto"/>
                <w:right w:val="none" w:sz="0" w:space="0" w:color="auto"/>
              </w:divBdr>
              <w:divsChild>
                <w:div w:id="1786652916">
                  <w:marLeft w:val="0"/>
                  <w:marRight w:val="0"/>
                  <w:marTop w:val="0"/>
                  <w:marBottom w:val="0"/>
                  <w:divBdr>
                    <w:top w:val="none" w:sz="0" w:space="0" w:color="auto"/>
                    <w:left w:val="none" w:sz="0" w:space="0" w:color="auto"/>
                    <w:bottom w:val="none" w:sz="0" w:space="0" w:color="auto"/>
                    <w:right w:val="none" w:sz="0" w:space="0" w:color="auto"/>
                  </w:divBdr>
                  <w:divsChild>
                    <w:div w:id="1719161150">
                      <w:marLeft w:val="0"/>
                      <w:marRight w:val="300"/>
                      <w:marTop w:val="0"/>
                      <w:marBottom w:val="0"/>
                      <w:divBdr>
                        <w:top w:val="single" w:sz="2" w:space="0" w:color="000000"/>
                        <w:left w:val="single" w:sz="2" w:space="0" w:color="000000"/>
                        <w:bottom w:val="single" w:sz="2" w:space="15" w:color="000000"/>
                        <w:right w:val="single" w:sz="2" w:space="0" w:color="000000"/>
                      </w:divBdr>
                    </w:div>
                  </w:divsChild>
                </w:div>
              </w:divsChild>
            </w:div>
          </w:divsChild>
        </w:div>
      </w:divsChild>
    </w:div>
    <w:div w:id="1331375000">
      <w:bodyDiv w:val="1"/>
      <w:marLeft w:val="0"/>
      <w:marRight w:val="0"/>
      <w:marTop w:val="0"/>
      <w:marBottom w:val="0"/>
      <w:divBdr>
        <w:top w:val="none" w:sz="0" w:space="0" w:color="auto"/>
        <w:left w:val="none" w:sz="0" w:space="0" w:color="auto"/>
        <w:bottom w:val="none" w:sz="0" w:space="0" w:color="auto"/>
        <w:right w:val="none" w:sz="0" w:space="0" w:color="auto"/>
      </w:divBdr>
    </w:div>
    <w:div w:id="1341201993">
      <w:bodyDiv w:val="1"/>
      <w:marLeft w:val="0"/>
      <w:marRight w:val="0"/>
      <w:marTop w:val="0"/>
      <w:marBottom w:val="0"/>
      <w:divBdr>
        <w:top w:val="none" w:sz="0" w:space="0" w:color="auto"/>
        <w:left w:val="none" w:sz="0" w:space="0" w:color="auto"/>
        <w:bottom w:val="none" w:sz="0" w:space="0" w:color="auto"/>
        <w:right w:val="none" w:sz="0" w:space="0" w:color="auto"/>
      </w:divBdr>
    </w:div>
    <w:div w:id="1352757779">
      <w:bodyDiv w:val="1"/>
      <w:marLeft w:val="0"/>
      <w:marRight w:val="0"/>
      <w:marTop w:val="0"/>
      <w:marBottom w:val="0"/>
      <w:divBdr>
        <w:top w:val="none" w:sz="0" w:space="0" w:color="auto"/>
        <w:left w:val="none" w:sz="0" w:space="0" w:color="auto"/>
        <w:bottom w:val="none" w:sz="0" w:space="0" w:color="auto"/>
        <w:right w:val="none" w:sz="0" w:space="0" w:color="auto"/>
      </w:divBdr>
    </w:div>
    <w:div w:id="1358657732">
      <w:bodyDiv w:val="1"/>
      <w:marLeft w:val="0"/>
      <w:marRight w:val="0"/>
      <w:marTop w:val="0"/>
      <w:marBottom w:val="0"/>
      <w:divBdr>
        <w:top w:val="none" w:sz="0" w:space="0" w:color="auto"/>
        <w:left w:val="none" w:sz="0" w:space="0" w:color="auto"/>
        <w:bottom w:val="none" w:sz="0" w:space="0" w:color="auto"/>
        <w:right w:val="none" w:sz="0" w:space="0" w:color="auto"/>
      </w:divBdr>
    </w:div>
    <w:div w:id="1359619884">
      <w:bodyDiv w:val="1"/>
      <w:marLeft w:val="0"/>
      <w:marRight w:val="0"/>
      <w:marTop w:val="0"/>
      <w:marBottom w:val="0"/>
      <w:divBdr>
        <w:top w:val="none" w:sz="0" w:space="0" w:color="auto"/>
        <w:left w:val="none" w:sz="0" w:space="0" w:color="auto"/>
        <w:bottom w:val="none" w:sz="0" w:space="0" w:color="auto"/>
        <w:right w:val="none" w:sz="0" w:space="0" w:color="auto"/>
      </w:divBdr>
      <w:divsChild>
        <w:div w:id="1269966395">
          <w:marLeft w:val="1037"/>
          <w:marRight w:val="0"/>
          <w:marTop w:val="60"/>
          <w:marBottom w:val="60"/>
          <w:divBdr>
            <w:top w:val="none" w:sz="0" w:space="0" w:color="auto"/>
            <w:left w:val="none" w:sz="0" w:space="0" w:color="auto"/>
            <w:bottom w:val="none" w:sz="0" w:space="0" w:color="auto"/>
            <w:right w:val="none" w:sz="0" w:space="0" w:color="auto"/>
          </w:divBdr>
        </w:div>
        <w:div w:id="1779249928">
          <w:marLeft w:val="1037"/>
          <w:marRight w:val="0"/>
          <w:marTop w:val="60"/>
          <w:marBottom w:val="60"/>
          <w:divBdr>
            <w:top w:val="none" w:sz="0" w:space="0" w:color="auto"/>
            <w:left w:val="none" w:sz="0" w:space="0" w:color="auto"/>
            <w:bottom w:val="none" w:sz="0" w:space="0" w:color="auto"/>
            <w:right w:val="none" w:sz="0" w:space="0" w:color="auto"/>
          </w:divBdr>
        </w:div>
        <w:div w:id="1255555215">
          <w:marLeft w:val="1037"/>
          <w:marRight w:val="0"/>
          <w:marTop w:val="120"/>
          <w:marBottom w:val="120"/>
          <w:divBdr>
            <w:top w:val="none" w:sz="0" w:space="0" w:color="auto"/>
            <w:left w:val="none" w:sz="0" w:space="0" w:color="auto"/>
            <w:bottom w:val="none" w:sz="0" w:space="0" w:color="auto"/>
            <w:right w:val="none" w:sz="0" w:space="0" w:color="auto"/>
          </w:divBdr>
        </w:div>
      </w:divsChild>
    </w:div>
    <w:div w:id="1363482615">
      <w:bodyDiv w:val="1"/>
      <w:marLeft w:val="0"/>
      <w:marRight w:val="0"/>
      <w:marTop w:val="0"/>
      <w:marBottom w:val="0"/>
      <w:divBdr>
        <w:top w:val="none" w:sz="0" w:space="0" w:color="auto"/>
        <w:left w:val="none" w:sz="0" w:space="0" w:color="auto"/>
        <w:bottom w:val="none" w:sz="0" w:space="0" w:color="auto"/>
        <w:right w:val="none" w:sz="0" w:space="0" w:color="auto"/>
      </w:divBdr>
      <w:divsChild>
        <w:div w:id="985864785">
          <w:marLeft w:val="576"/>
          <w:marRight w:val="0"/>
          <w:marTop w:val="120"/>
          <w:marBottom w:val="120"/>
          <w:divBdr>
            <w:top w:val="none" w:sz="0" w:space="0" w:color="auto"/>
            <w:left w:val="none" w:sz="0" w:space="0" w:color="auto"/>
            <w:bottom w:val="none" w:sz="0" w:space="0" w:color="auto"/>
            <w:right w:val="none" w:sz="0" w:space="0" w:color="auto"/>
          </w:divBdr>
        </w:div>
        <w:div w:id="2012827596">
          <w:marLeft w:val="576"/>
          <w:marRight w:val="0"/>
          <w:marTop w:val="120"/>
          <w:marBottom w:val="120"/>
          <w:divBdr>
            <w:top w:val="none" w:sz="0" w:space="0" w:color="auto"/>
            <w:left w:val="none" w:sz="0" w:space="0" w:color="auto"/>
            <w:bottom w:val="none" w:sz="0" w:space="0" w:color="auto"/>
            <w:right w:val="none" w:sz="0" w:space="0" w:color="auto"/>
          </w:divBdr>
        </w:div>
        <w:div w:id="1408376740">
          <w:marLeft w:val="576"/>
          <w:marRight w:val="0"/>
          <w:marTop w:val="120"/>
          <w:marBottom w:val="120"/>
          <w:divBdr>
            <w:top w:val="none" w:sz="0" w:space="0" w:color="auto"/>
            <w:left w:val="none" w:sz="0" w:space="0" w:color="auto"/>
            <w:bottom w:val="none" w:sz="0" w:space="0" w:color="auto"/>
            <w:right w:val="none" w:sz="0" w:space="0" w:color="auto"/>
          </w:divBdr>
        </w:div>
        <w:div w:id="1859999076">
          <w:marLeft w:val="576"/>
          <w:marRight w:val="0"/>
          <w:marTop w:val="120"/>
          <w:marBottom w:val="120"/>
          <w:divBdr>
            <w:top w:val="none" w:sz="0" w:space="0" w:color="auto"/>
            <w:left w:val="none" w:sz="0" w:space="0" w:color="auto"/>
            <w:bottom w:val="none" w:sz="0" w:space="0" w:color="auto"/>
            <w:right w:val="none" w:sz="0" w:space="0" w:color="auto"/>
          </w:divBdr>
        </w:div>
        <w:div w:id="670959556">
          <w:marLeft w:val="576"/>
          <w:marRight w:val="0"/>
          <w:marTop w:val="120"/>
          <w:marBottom w:val="120"/>
          <w:divBdr>
            <w:top w:val="none" w:sz="0" w:space="0" w:color="auto"/>
            <w:left w:val="none" w:sz="0" w:space="0" w:color="auto"/>
            <w:bottom w:val="none" w:sz="0" w:space="0" w:color="auto"/>
            <w:right w:val="none" w:sz="0" w:space="0" w:color="auto"/>
          </w:divBdr>
        </w:div>
        <w:div w:id="1360937410">
          <w:marLeft w:val="576"/>
          <w:marRight w:val="0"/>
          <w:marTop w:val="120"/>
          <w:marBottom w:val="120"/>
          <w:divBdr>
            <w:top w:val="none" w:sz="0" w:space="0" w:color="auto"/>
            <w:left w:val="none" w:sz="0" w:space="0" w:color="auto"/>
            <w:bottom w:val="none" w:sz="0" w:space="0" w:color="auto"/>
            <w:right w:val="none" w:sz="0" w:space="0" w:color="auto"/>
          </w:divBdr>
        </w:div>
        <w:div w:id="1801652660">
          <w:marLeft w:val="576"/>
          <w:marRight w:val="0"/>
          <w:marTop w:val="120"/>
          <w:marBottom w:val="120"/>
          <w:divBdr>
            <w:top w:val="none" w:sz="0" w:space="0" w:color="auto"/>
            <w:left w:val="none" w:sz="0" w:space="0" w:color="auto"/>
            <w:bottom w:val="none" w:sz="0" w:space="0" w:color="auto"/>
            <w:right w:val="none" w:sz="0" w:space="0" w:color="auto"/>
          </w:divBdr>
        </w:div>
      </w:divsChild>
    </w:div>
    <w:div w:id="1400253859">
      <w:bodyDiv w:val="1"/>
      <w:marLeft w:val="0"/>
      <w:marRight w:val="0"/>
      <w:marTop w:val="0"/>
      <w:marBottom w:val="0"/>
      <w:divBdr>
        <w:top w:val="none" w:sz="0" w:space="0" w:color="auto"/>
        <w:left w:val="none" w:sz="0" w:space="0" w:color="auto"/>
        <w:bottom w:val="none" w:sz="0" w:space="0" w:color="auto"/>
        <w:right w:val="none" w:sz="0" w:space="0" w:color="auto"/>
      </w:divBdr>
      <w:divsChild>
        <w:div w:id="451481803">
          <w:marLeft w:val="0"/>
          <w:marRight w:val="0"/>
          <w:marTop w:val="0"/>
          <w:marBottom w:val="0"/>
          <w:divBdr>
            <w:top w:val="none" w:sz="0" w:space="0" w:color="auto"/>
            <w:left w:val="none" w:sz="0" w:space="0" w:color="auto"/>
            <w:bottom w:val="none" w:sz="0" w:space="0" w:color="auto"/>
            <w:right w:val="none" w:sz="0" w:space="0" w:color="auto"/>
          </w:divBdr>
          <w:divsChild>
            <w:div w:id="771097227">
              <w:marLeft w:val="0"/>
              <w:marRight w:val="0"/>
              <w:marTop w:val="0"/>
              <w:marBottom w:val="0"/>
              <w:divBdr>
                <w:top w:val="none" w:sz="0" w:space="0" w:color="auto"/>
                <w:left w:val="none" w:sz="0" w:space="0" w:color="auto"/>
                <w:bottom w:val="none" w:sz="0" w:space="0" w:color="auto"/>
                <w:right w:val="none" w:sz="0" w:space="0" w:color="auto"/>
              </w:divBdr>
              <w:divsChild>
                <w:div w:id="1094546021">
                  <w:marLeft w:val="0"/>
                  <w:marRight w:val="0"/>
                  <w:marTop w:val="0"/>
                  <w:marBottom w:val="0"/>
                  <w:divBdr>
                    <w:top w:val="none" w:sz="0" w:space="0" w:color="auto"/>
                    <w:left w:val="none" w:sz="0" w:space="0" w:color="auto"/>
                    <w:bottom w:val="none" w:sz="0" w:space="0" w:color="auto"/>
                    <w:right w:val="none" w:sz="0" w:space="0" w:color="auto"/>
                  </w:divBdr>
                  <w:divsChild>
                    <w:div w:id="3086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344056">
      <w:bodyDiv w:val="1"/>
      <w:marLeft w:val="0"/>
      <w:marRight w:val="0"/>
      <w:marTop w:val="0"/>
      <w:marBottom w:val="0"/>
      <w:divBdr>
        <w:top w:val="none" w:sz="0" w:space="0" w:color="auto"/>
        <w:left w:val="none" w:sz="0" w:space="0" w:color="auto"/>
        <w:bottom w:val="none" w:sz="0" w:space="0" w:color="auto"/>
        <w:right w:val="none" w:sz="0" w:space="0" w:color="auto"/>
      </w:divBdr>
    </w:div>
    <w:div w:id="1409110468">
      <w:bodyDiv w:val="1"/>
      <w:marLeft w:val="0"/>
      <w:marRight w:val="0"/>
      <w:marTop w:val="0"/>
      <w:marBottom w:val="0"/>
      <w:divBdr>
        <w:top w:val="none" w:sz="0" w:space="0" w:color="auto"/>
        <w:left w:val="none" w:sz="0" w:space="0" w:color="auto"/>
        <w:bottom w:val="none" w:sz="0" w:space="0" w:color="auto"/>
        <w:right w:val="none" w:sz="0" w:space="0" w:color="auto"/>
      </w:divBdr>
    </w:div>
    <w:div w:id="1415781410">
      <w:bodyDiv w:val="1"/>
      <w:marLeft w:val="0"/>
      <w:marRight w:val="0"/>
      <w:marTop w:val="0"/>
      <w:marBottom w:val="0"/>
      <w:divBdr>
        <w:top w:val="none" w:sz="0" w:space="0" w:color="auto"/>
        <w:left w:val="none" w:sz="0" w:space="0" w:color="auto"/>
        <w:bottom w:val="none" w:sz="0" w:space="0" w:color="auto"/>
        <w:right w:val="none" w:sz="0" w:space="0" w:color="auto"/>
      </w:divBdr>
      <w:divsChild>
        <w:div w:id="2010596947">
          <w:marLeft w:val="461"/>
          <w:marRight w:val="0"/>
          <w:marTop w:val="60"/>
          <w:marBottom w:val="120"/>
          <w:divBdr>
            <w:top w:val="none" w:sz="0" w:space="0" w:color="auto"/>
            <w:left w:val="none" w:sz="0" w:space="0" w:color="auto"/>
            <w:bottom w:val="none" w:sz="0" w:space="0" w:color="auto"/>
            <w:right w:val="none" w:sz="0" w:space="0" w:color="auto"/>
          </w:divBdr>
        </w:div>
        <w:div w:id="1880504701">
          <w:marLeft w:val="461"/>
          <w:marRight w:val="0"/>
          <w:marTop w:val="60"/>
          <w:marBottom w:val="120"/>
          <w:divBdr>
            <w:top w:val="none" w:sz="0" w:space="0" w:color="auto"/>
            <w:left w:val="none" w:sz="0" w:space="0" w:color="auto"/>
            <w:bottom w:val="none" w:sz="0" w:space="0" w:color="auto"/>
            <w:right w:val="none" w:sz="0" w:space="0" w:color="auto"/>
          </w:divBdr>
        </w:div>
        <w:div w:id="1633975378">
          <w:marLeft w:val="461"/>
          <w:marRight w:val="0"/>
          <w:marTop w:val="60"/>
          <w:marBottom w:val="120"/>
          <w:divBdr>
            <w:top w:val="none" w:sz="0" w:space="0" w:color="auto"/>
            <w:left w:val="none" w:sz="0" w:space="0" w:color="auto"/>
            <w:bottom w:val="none" w:sz="0" w:space="0" w:color="auto"/>
            <w:right w:val="none" w:sz="0" w:space="0" w:color="auto"/>
          </w:divBdr>
        </w:div>
        <w:div w:id="1580480781">
          <w:marLeft w:val="461"/>
          <w:marRight w:val="0"/>
          <w:marTop w:val="60"/>
          <w:marBottom w:val="120"/>
          <w:divBdr>
            <w:top w:val="none" w:sz="0" w:space="0" w:color="auto"/>
            <w:left w:val="none" w:sz="0" w:space="0" w:color="auto"/>
            <w:bottom w:val="none" w:sz="0" w:space="0" w:color="auto"/>
            <w:right w:val="none" w:sz="0" w:space="0" w:color="auto"/>
          </w:divBdr>
        </w:div>
        <w:div w:id="917908609">
          <w:marLeft w:val="461"/>
          <w:marRight w:val="0"/>
          <w:marTop w:val="60"/>
          <w:marBottom w:val="120"/>
          <w:divBdr>
            <w:top w:val="none" w:sz="0" w:space="0" w:color="auto"/>
            <w:left w:val="none" w:sz="0" w:space="0" w:color="auto"/>
            <w:bottom w:val="none" w:sz="0" w:space="0" w:color="auto"/>
            <w:right w:val="none" w:sz="0" w:space="0" w:color="auto"/>
          </w:divBdr>
        </w:div>
      </w:divsChild>
    </w:div>
    <w:div w:id="1469393332">
      <w:bodyDiv w:val="1"/>
      <w:marLeft w:val="0"/>
      <w:marRight w:val="0"/>
      <w:marTop w:val="0"/>
      <w:marBottom w:val="0"/>
      <w:divBdr>
        <w:top w:val="none" w:sz="0" w:space="0" w:color="auto"/>
        <w:left w:val="none" w:sz="0" w:space="0" w:color="auto"/>
        <w:bottom w:val="none" w:sz="0" w:space="0" w:color="auto"/>
        <w:right w:val="none" w:sz="0" w:space="0" w:color="auto"/>
      </w:divBdr>
      <w:divsChild>
        <w:div w:id="40449332">
          <w:marLeft w:val="576"/>
          <w:marRight w:val="0"/>
          <w:marTop w:val="60"/>
          <w:marBottom w:val="120"/>
          <w:divBdr>
            <w:top w:val="none" w:sz="0" w:space="0" w:color="auto"/>
            <w:left w:val="none" w:sz="0" w:space="0" w:color="auto"/>
            <w:bottom w:val="none" w:sz="0" w:space="0" w:color="auto"/>
            <w:right w:val="none" w:sz="0" w:space="0" w:color="auto"/>
          </w:divBdr>
        </w:div>
        <w:div w:id="1922248546">
          <w:marLeft w:val="576"/>
          <w:marRight w:val="0"/>
          <w:marTop w:val="60"/>
          <w:marBottom w:val="120"/>
          <w:divBdr>
            <w:top w:val="none" w:sz="0" w:space="0" w:color="auto"/>
            <w:left w:val="none" w:sz="0" w:space="0" w:color="auto"/>
            <w:bottom w:val="none" w:sz="0" w:space="0" w:color="auto"/>
            <w:right w:val="none" w:sz="0" w:space="0" w:color="auto"/>
          </w:divBdr>
        </w:div>
        <w:div w:id="1060203429">
          <w:marLeft w:val="576"/>
          <w:marRight w:val="0"/>
          <w:marTop w:val="60"/>
          <w:marBottom w:val="120"/>
          <w:divBdr>
            <w:top w:val="none" w:sz="0" w:space="0" w:color="auto"/>
            <w:left w:val="none" w:sz="0" w:space="0" w:color="auto"/>
            <w:bottom w:val="none" w:sz="0" w:space="0" w:color="auto"/>
            <w:right w:val="none" w:sz="0" w:space="0" w:color="auto"/>
          </w:divBdr>
        </w:div>
        <w:div w:id="1706978801">
          <w:marLeft w:val="576"/>
          <w:marRight w:val="0"/>
          <w:marTop w:val="60"/>
          <w:marBottom w:val="120"/>
          <w:divBdr>
            <w:top w:val="none" w:sz="0" w:space="0" w:color="auto"/>
            <w:left w:val="none" w:sz="0" w:space="0" w:color="auto"/>
            <w:bottom w:val="none" w:sz="0" w:space="0" w:color="auto"/>
            <w:right w:val="none" w:sz="0" w:space="0" w:color="auto"/>
          </w:divBdr>
        </w:div>
        <w:div w:id="59404778">
          <w:marLeft w:val="576"/>
          <w:marRight w:val="0"/>
          <w:marTop w:val="60"/>
          <w:marBottom w:val="120"/>
          <w:divBdr>
            <w:top w:val="none" w:sz="0" w:space="0" w:color="auto"/>
            <w:left w:val="none" w:sz="0" w:space="0" w:color="auto"/>
            <w:bottom w:val="none" w:sz="0" w:space="0" w:color="auto"/>
            <w:right w:val="none" w:sz="0" w:space="0" w:color="auto"/>
          </w:divBdr>
        </w:div>
      </w:divsChild>
    </w:div>
    <w:div w:id="1477142259">
      <w:bodyDiv w:val="1"/>
      <w:marLeft w:val="0"/>
      <w:marRight w:val="0"/>
      <w:marTop w:val="0"/>
      <w:marBottom w:val="0"/>
      <w:divBdr>
        <w:top w:val="none" w:sz="0" w:space="0" w:color="auto"/>
        <w:left w:val="none" w:sz="0" w:space="0" w:color="auto"/>
        <w:bottom w:val="none" w:sz="0" w:space="0" w:color="auto"/>
        <w:right w:val="none" w:sz="0" w:space="0" w:color="auto"/>
      </w:divBdr>
      <w:divsChild>
        <w:div w:id="1555586032">
          <w:marLeft w:val="1037"/>
          <w:marRight w:val="0"/>
          <w:marTop w:val="120"/>
          <w:marBottom w:val="120"/>
          <w:divBdr>
            <w:top w:val="none" w:sz="0" w:space="0" w:color="auto"/>
            <w:left w:val="none" w:sz="0" w:space="0" w:color="auto"/>
            <w:bottom w:val="none" w:sz="0" w:space="0" w:color="auto"/>
            <w:right w:val="none" w:sz="0" w:space="0" w:color="auto"/>
          </w:divBdr>
        </w:div>
        <w:div w:id="1283195543">
          <w:marLeft w:val="1037"/>
          <w:marRight w:val="0"/>
          <w:marTop w:val="120"/>
          <w:marBottom w:val="120"/>
          <w:divBdr>
            <w:top w:val="none" w:sz="0" w:space="0" w:color="auto"/>
            <w:left w:val="none" w:sz="0" w:space="0" w:color="auto"/>
            <w:bottom w:val="none" w:sz="0" w:space="0" w:color="auto"/>
            <w:right w:val="none" w:sz="0" w:space="0" w:color="auto"/>
          </w:divBdr>
        </w:div>
      </w:divsChild>
    </w:div>
    <w:div w:id="1479952700">
      <w:bodyDiv w:val="1"/>
      <w:marLeft w:val="0"/>
      <w:marRight w:val="0"/>
      <w:marTop w:val="0"/>
      <w:marBottom w:val="0"/>
      <w:divBdr>
        <w:top w:val="none" w:sz="0" w:space="0" w:color="auto"/>
        <w:left w:val="none" w:sz="0" w:space="0" w:color="auto"/>
        <w:bottom w:val="none" w:sz="0" w:space="0" w:color="auto"/>
        <w:right w:val="none" w:sz="0" w:space="0" w:color="auto"/>
      </w:divBdr>
    </w:div>
    <w:div w:id="1489639305">
      <w:bodyDiv w:val="1"/>
      <w:marLeft w:val="0"/>
      <w:marRight w:val="0"/>
      <w:marTop w:val="0"/>
      <w:marBottom w:val="0"/>
      <w:divBdr>
        <w:top w:val="none" w:sz="0" w:space="0" w:color="auto"/>
        <w:left w:val="none" w:sz="0" w:space="0" w:color="auto"/>
        <w:bottom w:val="none" w:sz="0" w:space="0" w:color="auto"/>
        <w:right w:val="none" w:sz="0" w:space="0" w:color="auto"/>
      </w:divBdr>
    </w:div>
    <w:div w:id="1494680976">
      <w:bodyDiv w:val="1"/>
      <w:marLeft w:val="0"/>
      <w:marRight w:val="0"/>
      <w:marTop w:val="0"/>
      <w:marBottom w:val="0"/>
      <w:divBdr>
        <w:top w:val="none" w:sz="0" w:space="0" w:color="auto"/>
        <w:left w:val="none" w:sz="0" w:space="0" w:color="auto"/>
        <w:bottom w:val="none" w:sz="0" w:space="0" w:color="auto"/>
        <w:right w:val="none" w:sz="0" w:space="0" w:color="auto"/>
      </w:divBdr>
      <w:divsChild>
        <w:div w:id="1324696957">
          <w:marLeft w:val="0"/>
          <w:marRight w:val="0"/>
          <w:marTop w:val="330"/>
          <w:marBottom w:val="330"/>
          <w:divBdr>
            <w:top w:val="none" w:sz="0" w:space="0" w:color="auto"/>
            <w:left w:val="none" w:sz="0" w:space="0" w:color="auto"/>
            <w:bottom w:val="none" w:sz="0" w:space="0" w:color="auto"/>
            <w:right w:val="none" w:sz="0" w:space="0" w:color="auto"/>
          </w:divBdr>
          <w:divsChild>
            <w:div w:id="1816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02693">
      <w:bodyDiv w:val="1"/>
      <w:marLeft w:val="0"/>
      <w:marRight w:val="0"/>
      <w:marTop w:val="0"/>
      <w:marBottom w:val="0"/>
      <w:divBdr>
        <w:top w:val="none" w:sz="0" w:space="0" w:color="auto"/>
        <w:left w:val="none" w:sz="0" w:space="0" w:color="auto"/>
        <w:bottom w:val="none" w:sz="0" w:space="0" w:color="auto"/>
        <w:right w:val="none" w:sz="0" w:space="0" w:color="auto"/>
      </w:divBdr>
    </w:div>
    <w:div w:id="1545025459">
      <w:bodyDiv w:val="1"/>
      <w:marLeft w:val="0"/>
      <w:marRight w:val="0"/>
      <w:marTop w:val="0"/>
      <w:marBottom w:val="0"/>
      <w:divBdr>
        <w:top w:val="none" w:sz="0" w:space="0" w:color="auto"/>
        <w:left w:val="none" w:sz="0" w:space="0" w:color="auto"/>
        <w:bottom w:val="none" w:sz="0" w:space="0" w:color="auto"/>
        <w:right w:val="none" w:sz="0" w:space="0" w:color="auto"/>
      </w:divBdr>
    </w:div>
    <w:div w:id="1545099778">
      <w:bodyDiv w:val="1"/>
      <w:marLeft w:val="0"/>
      <w:marRight w:val="0"/>
      <w:marTop w:val="0"/>
      <w:marBottom w:val="0"/>
      <w:divBdr>
        <w:top w:val="none" w:sz="0" w:space="0" w:color="auto"/>
        <w:left w:val="none" w:sz="0" w:space="0" w:color="auto"/>
        <w:bottom w:val="none" w:sz="0" w:space="0" w:color="auto"/>
        <w:right w:val="none" w:sz="0" w:space="0" w:color="auto"/>
      </w:divBdr>
      <w:divsChild>
        <w:div w:id="1590499932">
          <w:marLeft w:val="1296"/>
          <w:marRight w:val="0"/>
          <w:marTop w:val="96"/>
          <w:marBottom w:val="0"/>
          <w:divBdr>
            <w:top w:val="none" w:sz="0" w:space="0" w:color="auto"/>
            <w:left w:val="none" w:sz="0" w:space="0" w:color="auto"/>
            <w:bottom w:val="none" w:sz="0" w:space="0" w:color="auto"/>
            <w:right w:val="none" w:sz="0" w:space="0" w:color="auto"/>
          </w:divBdr>
        </w:div>
      </w:divsChild>
    </w:div>
    <w:div w:id="1551258691">
      <w:bodyDiv w:val="1"/>
      <w:marLeft w:val="0"/>
      <w:marRight w:val="0"/>
      <w:marTop w:val="0"/>
      <w:marBottom w:val="0"/>
      <w:divBdr>
        <w:top w:val="none" w:sz="0" w:space="0" w:color="auto"/>
        <w:left w:val="none" w:sz="0" w:space="0" w:color="auto"/>
        <w:bottom w:val="none" w:sz="0" w:space="0" w:color="auto"/>
        <w:right w:val="none" w:sz="0" w:space="0" w:color="auto"/>
      </w:divBdr>
      <w:divsChild>
        <w:div w:id="2008317832">
          <w:marLeft w:val="0"/>
          <w:marRight w:val="0"/>
          <w:marTop w:val="0"/>
          <w:marBottom w:val="0"/>
          <w:divBdr>
            <w:top w:val="none" w:sz="0" w:space="0" w:color="auto"/>
            <w:left w:val="none" w:sz="0" w:space="0" w:color="auto"/>
            <w:bottom w:val="none" w:sz="0" w:space="0" w:color="auto"/>
            <w:right w:val="none" w:sz="0" w:space="0" w:color="auto"/>
          </w:divBdr>
        </w:div>
        <w:div w:id="875462325">
          <w:marLeft w:val="0"/>
          <w:marRight w:val="0"/>
          <w:marTop w:val="0"/>
          <w:marBottom w:val="0"/>
          <w:divBdr>
            <w:top w:val="none" w:sz="0" w:space="0" w:color="auto"/>
            <w:left w:val="none" w:sz="0" w:space="0" w:color="auto"/>
            <w:bottom w:val="none" w:sz="0" w:space="0" w:color="auto"/>
            <w:right w:val="none" w:sz="0" w:space="0" w:color="auto"/>
          </w:divBdr>
        </w:div>
        <w:div w:id="171578719">
          <w:marLeft w:val="0"/>
          <w:marRight w:val="0"/>
          <w:marTop w:val="0"/>
          <w:marBottom w:val="0"/>
          <w:divBdr>
            <w:top w:val="none" w:sz="0" w:space="0" w:color="auto"/>
            <w:left w:val="none" w:sz="0" w:space="0" w:color="auto"/>
            <w:bottom w:val="none" w:sz="0" w:space="0" w:color="auto"/>
            <w:right w:val="none" w:sz="0" w:space="0" w:color="auto"/>
          </w:divBdr>
        </w:div>
        <w:div w:id="2100708856">
          <w:marLeft w:val="0"/>
          <w:marRight w:val="0"/>
          <w:marTop w:val="0"/>
          <w:marBottom w:val="0"/>
          <w:divBdr>
            <w:top w:val="none" w:sz="0" w:space="0" w:color="auto"/>
            <w:left w:val="none" w:sz="0" w:space="0" w:color="auto"/>
            <w:bottom w:val="none" w:sz="0" w:space="0" w:color="auto"/>
            <w:right w:val="none" w:sz="0" w:space="0" w:color="auto"/>
          </w:divBdr>
        </w:div>
        <w:div w:id="1381054397">
          <w:marLeft w:val="0"/>
          <w:marRight w:val="0"/>
          <w:marTop w:val="0"/>
          <w:marBottom w:val="0"/>
          <w:divBdr>
            <w:top w:val="none" w:sz="0" w:space="0" w:color="auto"/>
            <w:left w:val="none" w:sz="0" w:space="0" w:color="auto"/>
            <w:bottom w:val="none" w:sz="0" w:space="0" w:color="auto"/>
            <w:right w:val="none" w:sz="0" w:space="0" w:color="auto"/>
          </w:divBdr>
        </w:div>
        <w:div w:id="1571311887">
          <w:marLeft w:val="0"/>
          <w:marRight w:val="0"/>
          <w:marTop w:val="0"/>
          <w:marBottom w:val="0"/>
          <w:divBdr>
            <w:top w:val="none" w:sz="0" w:space="0" w:color="auto"/>
            <w:left w:val="none" w:sz="0" w:space="0" w:color="auto"/>
            <w:bottom w:val="none" w:sz="0" w:space="0" w:color="auto"/>
            <w:right w:val="none" w:sz="0" w:space="0" w:color="auto"/>
          </w:divBdr>
        </w:div>
        <w:div w:id="1071655786">
          <w:marLeft w:val="0"/>
          <w:marRight w:val="0"/>
          <w:marTop w:val="0"/>
          <w:marBottom w:val="0"/>
          <w:divBdr>
            <w:top w:val="none" w:sz="0" w:space="0" w:color="auto"/>
            <w:left w:val="none" w:sz="0" w:space="0" w:color="auto"/>
            <w:bottom w:val="none" w:sz="0" w:space="0" w:color="auto"/>
            <w:right w:val="none" w:sz="0" w:space="0" w:color="auto"/>
          </w:divBdr>
        </w:div>
        <w:div w:id="316030277">
          <w:marLeft w:val="0"/>
          <w:marRight w:val="0"/>
          <w:marTop w:val="0"/>
          <w:marBottom w:val="0"/>
          <w:divBdr>
            <w:top w:val="none" w:sz="0" w:space="0" w:color="auto"/>
            <w:left w:val="none" w:sz="0" w:space="0" w:color="auto"/>
            <w:bottom w:val="none" w:sz="0" w:space="0" w:color="auto"/>
            <w:right w:val="none" w:sz="0" w:space="0" w:color="auto"/>
          </w:divBdr>
        </w:div>
        <w:div w:id="663319390">
          <w:marLeft w:val="0"/>
          <w:marRight w:val="0"/>
          <w:marTop w:val="0"/>
          <w:marBottom w:val="0"/>
          <w:divBdr>
            <w:top w:val="none" w:sz="0" w:space="0" w:color="auto"/>
            <w:left w:val="none" w:sz="0" w:space="0" w:color="auto"/>
            <w:bottom w:val="none" w:sz="0" w:space="0" w:color="auto"/>
            <w:right w:val="none" w:sz="0" w:space="0" w:color="auto"/>
          </w:divBdr>
        </w:div>
        <w:div w:id="341781749">
          <w:marLeft w:val="0"/>
          <w:marRight w:val="0"/>
          <w:marTop w:val="0"/>
          <w:marBottom w:val="0"/>
          <w:divBdr>
            <w:top w:val="none" w:sz="0" w:space="0" w:color="auto"/>
            <w:left w:val="none" w:sz="0" w:space="0" w:color="auto"/>
            <w:bottom w:val="none" w:sz="0" w:space="0" w:color="auto"/>
            <w:right w:val="none" w:sz="0" w:space="0" w:color="auto"/>
          </w:divBdr>
        </w:div>
        <w:div w:id="957101899">
          <w:marLeft w:val="0"/>
          <w:marRight w:val="0"/>
          <w:marTop w:val="0"/>
          <w:marBottom w:val="0"/>
          <w:divBdr>
            <w:top w:val="none" w:sz="0" w:space="0" w:color="auto"/>
            <w:left w:val="none" w:sz="0" w:space="0" w:color="auto"/>
            <w:bottom w:val="none" w:sz="0" w:space="0" w:color="auto"/>
            <w:right w:val="none" w:sz="0" w:space="0" w:color="auto"/>
          </w:divBdr>
        </w:div>
        <w:div w:id="1674915848">
          <w:marLeft w:val="0"/>
          <w:marRight w:val="0"/>
          <w:marTop w:val="0"/>
          <w:marBottom w:val="0"/>
          <w:divBdr>
            <w:top w:val="none" w:sz="0" w:space="0" w:color="auto"/>
            <w:left w:val="none" w:sz="0" w:space="0" w:color="auto"/>
            <w:bottom w:val="none" w:sz="0" w:space="0" w:color="auto"/>
            <w:right w:val="none" w:sz="0" w:space="0" w:color="auto"/>
          </w:divBdr>
        </w:div>
        <w:div w:id="764695533">
          <w:marLeft w:val="0"/>
          <w:marRight w:val="0"/>
          <w:marTop w:val="0"/>
          <w:marBottom w:val="0"/>
          <w:divBdr>
            <w:top w:val="none" w:sz="0" w:space="0" w:color="auto"/>
            <w:left w:val="none" w:sz="0" w:space="0" w:color="auto"/>
            <w:bottom w:val="none" w:sz="0" w:space="0" w:color="auto"/>
            <w:right w:val="none" w:sz="0" w:space="0" w:color="auto"/>
          </w:divBdr>
        </w:div>
      </w:divsChild>
    </w:div>
    <w:div w:id="1554538787">
      <w:bodyDiv w:val="1"/>
      <w:marLeft w:val="0"/>
      <w:marRight w:val="0"/>
      <w:marTop w:val="0"/>
      <w:marBottom w:val="0"/>
      <w:divBdr>
        <w:top w:val="none" w:sz="0" w:space="0" w:color="auto"/>
        <w:left w:val="none" w:sz="0" w:space="0" w:color="auto"/>
        <w:bottom w:val="none" w:sz="0" w:space="0" w:color="auto"/>
        <w:right w:val="none" w:sz="0" w:space="0" w:color="auto"/>
      </w:divBdr>
    </w:div>
    <w:div w:id="1557819711">
      <w:bodyDiv w:val="1"/>
      <w:marLeft w:val="0"/>
      <w:marRight w:val="0"/>
      <w:marTop w:val="0"/>
      <w:marBottom w:val="0"/>
      <w:divBdr>
        <w:top w:val="none" w:sz="0" w:space="0" w:color="auto"/>
        <w:left w:val="none" w:sz="0" w:space="0" w:color="auto"/>
        <w:bottom w:val="none" w:sz="0" w:space="0" w:color="auto"/>
        <w:right w:val="none" w:sz="0" w:space="0" w:color="auto"/>
      </w:divBdr>
    </w:div>
    <w:div w:id="1583181870">
      <w:bodyDiv w:val="1"/>
      <w:marLeft w:val="0"/>
      <w:marRight w:val="0"/>
      <w:marTop w:val="0"/>
      <w:marBottom w:val="0"/>
      <w:divBdr>
        <w:top w:val="none" w:sz="0" w:space="0" w:color="auto"/>
        <w:left w:val="none" w:sz="0" w:space="0" w:color="auto"/>
        <w:bottom w:val="none" w:sz="0" w:space="0" w:color="auto"/>
        <w:right w:val="none" w:sz="0" w:space="0" w:color="auto"/>
      </w:divBdr>
    </w:div>
    <w:div w:id="1588996228">
      <w:bodyDiv w:val="1"/>
      <w:marLeft w:val="0"/>
      <w:marRight w:val="0"/>
      <w:marTop w:val="0"/>
      <w:marBottom w:val="0"/>
      <w:divBdr>
        <w:top w:val="none" w:sz="0" w:space="0" w:color="auto"/>
        <w:left w:val="none" w:sz="0" w:space="0" w:color="auto"/>
        <w:bottom w:val="none" w:sz="0" w:space="0" w:color="auto"/>
        <w:right w:val="none" w:sz="0" w:space="0" w:color="auto"/>
      </w:divBdr>
    </w:div>
    <w:div w:id="1614632718">
      <w:bodyDiv w:val="1"/>
      <w:marLeft w:val="0"/>
      <w:marRight w:val="0"/>
      <w:marTop w:val="0"/>
      <w:marBottom w:val="0"/>
      <w:divBdr>
        <w:top w:val="none" w:sz="0" w:space="0" w:color="auto"/>
        <w:left w:val="none" w:sz="0" w:space="0" w:color="auto"/>
        <w:bottom w:val="none" w:sz="0" w:space="0" w:color="auto"/>
        <w:right w:val="none" w:sz="0" w:space="0" w:color="auto"/>
      </w:divBdr>
    </w:div>
    <w:div w:id="1615014228">
      <w:bodyDiv w:val="1"/>
      <w:marLeft w:val="0"/>
      <w:marRight w:val="0"/>
      <w:marTop w:val="0"/>
      <w:marBottom w:val="0"/>
      <w:divBdr>
        <w:top w:val="none" w:sz="0" w:space="0" w:color="auto"/>
        <w:left w:val="none" w:sz="0" w:space="0" w:color="auto"/>
        <w:bottom w:val="none" w:sz="0" w:space="0" w:color="auto"/>
        <w:right w:val="none" w:sz="0" w:space="0" w:color="auto"/>
      </w:divBdr>
    </w:div>
    <w:div w:id="1646352879">
      <w:bodyDiv w:val="1"/>
      <w:marLeft w:val="0"/>
      <w:marRight w:val="0"/>
      <w:marTop w:val="0"/>
      <w:marBottom w:val="0"/>
      <w:divBdr>
        <w:top w:val="none" w:sz="0" w:space="0" w:color="auto"/>
        <w:left w:val="none" w:sz="0" w:space="0" w:color="auto"/>
        <w:bottom w:val="none" w:sz="0" w:space="0" w:color="auto"/>
        <w:right w:val="none" w:sz="0" w:space="0" w:color="auto"/>
      </w:divBdr>
      <w:divsChild>
        <w:div w:id="847402162">
          <w:marLeft w:val="0"/>
          <w:marRight w:val="0"/>
          <w:marTop w:val="0"/>
          <w:marBottom w:val="0"/>
          <w:divBdr>
            <w:top w:val="none" w:sz="0" w:space="0" w:color="auto"/>
            <w:left w:val="none" w:sz="0" w:space="0" w:color="auto"/>
            <w:bottom w:val="none" w:sz="0" w:space="0" w:color="auto"/>
            <w:right w:val="none" w:sz="0" w:space="0" w:color="auto"/>
          </w:divBdr>
          <w:divsChild>
            <w:div w:id="1054044553">
              <w:marLeft w:val="0"/>
              <w:marRight w:val="0"/>
              <w:marTop w:val="0"/>
              <w:marBottom w:val="0"/>
              <w:divBdr>
                <w:top w:val="none" w:sz="0" w:space="0" w:color="auto"/>
                <w:left w:val="none" w:sz="0" w:space="0" w:color="auto"/>
                <w:bottom w:val="none" w:sz="0" w:space="0" w:color="auto"/>
                <w:right w:val="none" w:sz="0" w:space="0" w:color="auto"/>
              </w:divBdr>
              <w:divsChild>
                <w:div w:id="496383021">
                  <w:marLeft w:val="0"/>
                  <w:marRight w:val="0"/>
                  <w:marTop w:val="0"/>
                  <w:marBottom w:val="0"/>
                  <w:divBdr>
                    <w:top w:val="none" w:sz="0" w:space="0" w:color="auto"/>
                    <w:left w:val="none" w:sz="0" w:space="0" w:color="auto"/>
                    <w:bottom w:val="none" w:sz="0" w:space="0" w:color="auto"/>
                    <w:right w:val="none" w:sz="0" w:space="0" w:color="auto"/>
                  </w:divBdr>
                  <w:divsChild>
                    <w:div w:id="13114037">
                      <w:marLeft w:val="0"/>
                      <w:marRight w:val="0"/>
                      <w:marTop w:val="105"/>
                      <w:marBottom w:val="0"/>
                      <w:divBdr>
                        <w:top w:val="none" w:sz="0" w:space="0" w:color="auto"/>
                        <w:left w:val="none" w:sz="0" w:space="0" w:color="auto"/>
                        <w:bottom w:val="none" w:sz="0" w:space="0" w:color="auto"/>
                        <w:right w:val="none" w:sz="0" w:space="0" w:color="auto"/>
                      </w:divBdr>
                      <w:divsChild>
                        <w:div w:id="1335255634">
                          <w:marLeft w:val="0"/>
                          <w:marRight w:val="0"/>
                          <w:marTop w:val="0"/>
                          <w:marBottom w:val="0"/>
                          <w:divBdr>
                            <w:top w:val="none" w:sz="0" w:space="0" w:color="auto"/>
                            <w:left w:val="none" w:sz="0" w:space="0" w:color="auto"/>
                            <w:bottom w:val="none" w:sz="0" w:space="0" w:color="auto"/>
                            <w:right w:val="none" w:sz="0" w:space="0" w:color="auto"/>
                          </w:divBdr>
                          <w:divsChild>
                            <w:div w:id="627273888">
                              <w:marLeft w:val="0"/>
                              <w:marRight w:val="0"/>
                              <w:marTop w:val="0"/>
                              <w:marBottom w:val="0"/>
                              <w:divBdr>
                                <w:top w:val="none" w:sz="0" w:space="0" w:color="auto"/>
                                <w:left w:val="none" w:sz="0" w:space="0" w:color="auto"/>
                                <w:bottom w:val="none" w:sz="0" w:space="0" w:color="auto"/>
                                <w:right w:val="none" w:sz="0" w:space="0" w:color="auto"/>
                              </w:divBdr>
                              <w:divsChild>
                                <w:div w:id="869490085">
                                  <w:marLeft w:val="0"/>
                                  <w:marRight w:val="0"/>
                                  <w:marTop w:val="0"/>
                                  <w:marBottom w:val="0"/>
                                  <w:divBdr>
                                    <w:top w:val="none" w:sz="0" w:space="0" w:color="auto"/>
                                    <w:left w:val="none" w:sz="0" w:space="0" w:color="auto"/>
                                    <w:bottom w:val="none" w:sz="0" w:space="0" w:color="auto"/>
                                    <w:right w:val="none" w:sz="0" w:space="0" w:color="auto"/>
                                  </w:divBdr>
                                  <w:divsChild>
                                    <w:div w:id="68886915">
                                      <w:marLeft w:val="0"/>
                                      <w:marRight w:val="0"/>
                                      <w:marTop w:val="0"/>
                                      <w:marBottom w:val="0"/>
                                      <w:divBdr>
                                        <w:top w:val="none" w:sz="0" w:space="0" w:color="auto"/>
                                        <w:left w:val="none" w:sz="0" w:space="0" w:color="auto"/>
                                        <w:bottom w:val="none" w:sz="0" w:space="0" w:color="auto"/>
                                        <w:right w:val="none" w:sz="0" w:space="0" w:color="auto"/>
                                      </w:divBdr>
                                      <w:divsChild>
                                        <w:div w:id="1783065597">
                                          <w:marLeft w:val="0"/>
                                          <w:marRight w:val="0"/>
                                          <w:marTop w:val="0"/>
                                          <w:marBottom w:val="150"/>
                                          <w:divBdr>
                                            <w:top w:val="none" w:sz="0" w:space="0" w:color="auto"/>
                                            <w:left w:val="none" w:sz="0" w:space="0" w:color="auto"/>
                                            <w:bottom w:val="none" w:sz="0" w:space="0" w:color="auto"/>
                                            <w:right w:val="none" w:sz="0" w:space="0" w:color="auto"/>
                                          </w:divBdr>
                                          <w:divsChild>
                                            <w:div w:id="214187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546324">
      <w:bodyDiv w:val="1"/>
      <w:marLeft w:val="0"/>
      <w:marRight w:val="0"/>
      <w:marTop w:val="0"/>
      <w:marBottom w:val="0"/>
      <w:divBdr>
        <w:top w:val="none" w:sz="0" w:space="0" w:color="auto"/>
        <w:left w:val="none" w:sz="0" w:space="0" w:color="auto"/>
        <w:bottom w:val="none" w:sz="0" w:space="0" w:color="auto"/>
        <w:right w:val="none" w:sz="0" w:space="0" w:color="auto"/>
      </w:divBdr>
    </w:div>
    <w:div w:id="1651203218">
      <w:bodyDiv w:val="1"/>
      <w:marLeft w:val="0"/>
      <w:marRight w:val="0"/>
      <w:marTop w:val="0"/>
      <w:marBottom w:val="0"/>
      <w:divBdr>
        <w:top w:val="none" w:sz="0" w:space="0" w:color="auto"/>
        <w:left w:val="none" w:sz="0" w:space="0" w:color="auto"/>
        <w:bottom w:val="none" w:sz="0" w:space="0" w:color="auto"/>
        <w:right w:val="none" w:sz="0" w:space="0" w:color="auto"/>
      </w:divBdr>
    </w:div>
    <w:div w:id="1654483970">
      <w:bodyDiv w:val="1"/>
      <w:marLeft w:val="0"/>
      <w:marRight w:val="0"/>
      <w:marTop w:val="0"/>
      <w:marBottom w:val="0"/>
      <w:divBdr>
        <w:top w:val="none" w:sz="0" w:space="0" w:color="auto"/>
        <w:left w:val="none" w:sz="0" w:space="0" w:color="auto"/>
        <w:bottom w:val="none" w:sz="0" w:space="0" w:color="auto"/>
        <w:right w:val="none" w:sz="0" w:space="0" w:color="auto"/>
      </w:divBdr>
    </w:div>
    <w:div w:id="1658528981">
      <w:bodyDiv w:val="1"/>
      <w:marLeft w:val="0"/>
      <w:marRight w:val="0"/>
      <w:marTop w:val="0"/>
      <w:marBottom w:val="0"/>
      <w:divBdr>
        <w:top w:val="none" w:sz="0" w:space="0" w:color="auto"/>
        <w:left w:val="none" w:sz="0" w:space="0" w:color="auto"/>
        <w:bottom w:val="none" w:sz="0" w:space="0" w:color="auto"/>
        <w:right w:val="none" w:sz="0" w:space="0" w:color="auto"/>
      </w:divBdr>
    </w:div>
    <w:div w:id="1665744788">
      <w:bodyDiv w:val="1"/>
      <w:marLeft w:val="0"/>
      <w:marRight w:val="0"/>
      <w:marTop w:val="0"/>
      <w:marBottom w:val="0"/>
      <w:divBdr>
        <w:top w:val="none" w:sz="0" w:space="0" w:color="auto"/>
        <w:left w:val="none" w:sz="0" w:space="0" w:color="auto"/>
        <w:bottom w:val="none" w:sz="0" w:space="0" w:color="auto"/>
        <w:right w:val="none" w:sz="0" w:space="0" w:color="auto"/>
      </w:divBdr>
      <w:divsChild>
        <w:div w:id="1338996997">
          <w:marLeft w:val="0"/>
          <w:marRight w:val="0"/>
          <w:marTop w:val="0"/>
          <w:marBottom w:val="0"/>
          <w:divBdr>
            <w:top w:val="none" w:sz="0" w:space="0" w:color="auto"/>
            <w:left w:val="none" w:sz="0" w:space="0" w:color="auto"/>
            <w:bottom w:val="none" w:sz="0" w:space="0" w:color="auto"/>
            <w:right w:val="none" w:sz="0" w:space="0" w:color="auto"/>
          </w:divBdr>
          <w:divsChild>
            <w:div w:id="826819938">
              <w:marLeft w:val="0"/>
              <w:marRight w:val="0"/>
              <w:marTop w:val="0"/>
              <w:marBottom w:val="0"/>
              <w:divBdr>
                <w:top w:val="none" w:sz="0" w:space="0" w:color="auto"/>
                <w:left w:val="none" w:sz="0" w:space="0" w:color="auto"/>
                <w:bottom w:val="none" w:sz="0" w:space="0" w:color="auto"/>
                <w:right w:val="none" w:sz="0" w:space="0" w:color="auto"/>
              </w:divBdr>
              <w:divsChild>
                <w:div w:id="1183203454">
                  <w:marLeft w:val="150"/>
                  <w:marRight w:val="150"/>
                  <w:marTop w:val="0"/>
                  <w:marBottom w:val="0"/>
                  <w:divBdr>
                    <w:top w:val="none" w:sz="0" w:space="0" w:color="auto"/>
                    <w:left w:val="none" w:sz="0" w:space="0" w:color="auto"/>
                    <w:bottom w:val="none" w:sz="0" w:space="0" w:color="auto"/>
                    <w:right w:val="none" w:sz="0" w:space="0" w:color="auto"/>
                  </w:divBdr>
                  <w:divsChild>
                    <w:div w:id="635645390">
                      <w:marLeft w:val="0"/>
                      <w:marRight w:val="0"/>
                      <w:marTop w:val="0"/>
                      <w:marBottom w:val="0"/>
                      <w:divBdr>
                        <w:top w:val="none" w:sz="0" w:space="0" w:color="auto"/>
                        <w:left w:val="none" w:sz="0" w:space="0" w:color="auto"/>
                        <w:bottom w:val="none" w:sz="0" w:space="0" w:color="auto"/>
                        <w:right w:val="none" w:sz="0" w:space="0" w:color="auto"/>
                      </w:divBdr>
                      <w:divsChild>
                        <w:div w:id="977608287">
                          <w:marLeft w:val="0"/>
                          <w:marRight w:val="0"/>
                          <w:marTop w:val="0"/>
                          <w:marBottom w:val="0"/>
                          <w:divBdr>
                            <w:top w:val="none" w:sz="0" w:space="0" w:color="auto"/>
                            <w:left w:val="none" w:sz="0" w:space="0" w:color="auto"/>
                            <w:bottom w:val="none" w:sz="0" w:space="0" w:color="auto"/>
                            <w:right w:val="none" w:sz="0" w:space="0" w:color="auto"/>
                          </w:divBdr>
                          <w:divsChild>
                            <w:div w:id="484006126">
                              <w:marLeft w:val="150"/>
                              <w:marRight w:val="150"/>
                              <w:marTop w:val="0"/>
                              <w:marBottom w:val="0"/>
                              <w:divBdr>
                                <w:top w:val="none" w:sz="0" w:space="0" w:color="auto"/>
                                <w:left w:val="none" w:sz="0" w:space="0" w:color="auto"/>
                                <w:bottom w:val="none" w:sz="0" w:space="0" w:color="auto"/>
                                <w:right w:val="none" w:sz="0" w:space="0" w:color="auto"/>
                              </w:divBdr>
                              <w:divsChild>
                                <w:div w:id="444079147">
                                  <w:marLeft w:val="0"/>
                                  <w:marRight w:val="0"/>
                                  <w:marTop w:val="0"/>
                                  <w:marBottom w:val="0"/>
                                  <w:divBdr>
                                    <w:top w:val="none" w:sz="0" w:space="0" w:color="auto"/>
                                    <w:left w:val="none" w:sz="0" w:space="0" w:color="auto"/>
                                    <w:bottom w:val="none" w:sz="0" w:space="0" w:color="auto"/>
                                    <w:right w:val="none" w:sz="0" w:space="0" w:color="auto"/>
                                  </w:divBdr>
                                  <w:divsChild>
                                    <w:div w:id="1299842566">
                                      <w:marLeft w:val="0"/>
                                      <w:marRight w:val="0"/>
                                      <w:marTop w:val="0"/>
                                      <w:marBottom w:val="360"/>
                                      <w:divBdr>
                                        <w:top w:val="none" w:sz="0" w:space="0" w:color="auto"/>
                                        <w:left w:val="none" w:sz="0" w:space="0" w:color="auto"/>
                                        <w:bottom w:val="none" w:sz="0" w:space="0" w:color="auto"/>
                                        <w:right w:val="none" w:sz="0" w:space="0" w:color="auto"/>
                                      </w:divBdr>
                                      <w:divsChild>
                                        <w:div w:id="366683327">
                                          <w:marLeft w:val="0"/>
                                          <w:marRight w:val="0"/>
                                          <w:marTop w:val="0"/>
                                          <w:marBottom w:val="0"/>
                                          <w:divBdr>
                                            <w:top w:val="none" w:sz="0" w:space="0" w:color="auto"/>
                                            <w:left w:val="none" w:sz="0" w:space="0" w:color="auto"/>
                                            <w:bottom w:val="none" w:sz="0" w:space="0" w:color="auto"/>
                                            <w:right w:val="none" w:sz="0" w:space="0" w:color="auto"/>
                                          </w:divBdr>
                                          <w:divsChild>
                                            <w:div w:id="1270772951">
                                              <w:marLeft w:val="0"/>
                                              <w:marRight w:val="0"/>
                                              <w:marTop w:val="0"/>
                                              <w:marBottom w:val="0"/>
                                              <w:divBdr>
                                                <w:top w:val="none" w:sz="0" w:space="0" w:color="auto"/>
                                                <w:left w:val="none" w:sz="0" w:space="0" w:color="auto"/>
                                                <w:bottom w:val="none" w:sz="0" w:space="0" w:color="auto"/>
                                                <w:right w:val="none" w:sz="0" w:space="0" w:color="auto"/>
                                              </w:divBdr>
                                              <w:divsChild>
                                                <w:div w:id="429281117">
                                                  <w:marLeft w:val="0"/>
                                                  <w:marRight w:val="0"/>
                                                  <w:marTop w:val="0"/>
                                                  <w:marBottom w:val="0"/>
                                                  <w:divBdr>
                                                    <w:top w:val="none" w:sz="0" w:space="0" w:color="auto"/>
                                                    <w:left w:val="none" w:sz="0" w:space="0" w:color="auto"/>
                                                    <w:bottom w:val="none" w:sz="0" w:space="0" w:color="auto"/>
                                                    <w:right w:val="none" w:sz="0" w:space="0" w:color="auto"/>
                                                  </w:divBdr>
                                                  <w:divsChild>
                                                    <w:div w:id="5747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5745270">
      <w:bodyDiv w:val="1"/>
      <w:marLeft w:val="0"/>
      <w:marRight w:val="0"/>
      <w:marTop w:val="0"/>
      <w:marBottom w:val="0"/>
      <w:divBdr>
        <w:top w:val="none" w:sz="0" w:space="0" w:color="auto"/>
        <w:left w:val="none" w:sz="0" w:space="0" w:color="auto"/>
        <w:bottom w:val="none" w:sz="0" w:space="0" w:color="auto"/>
        <w:right w:val="none" w:sz="0" w:space="0" w:color="auto"/>
      </w:divBdr>
    </w:div>
    <w:div w:id="1670136327">
      <w:bodyDiv w:val="1"/>
      <w:marLeft w:val="0"/>
      <w:marRight w:val="0"/>
      <w:marTop w:val="0"/>
      <w:marBottom w:val="0"/>
      <w:divBdr>
        <w:top w:val="none" w:sz="0" w:space="0" w:color="auto"/>
        <w:left w:val="none" w:sz="0" w:space="0" w:color="auto"/>
        <w:bottom w:val="none" w:sz="0" w:space="0" w:color="auto"/>
        <w:right w:val="none" w:sz="0" w:space="0" w:color="auto"/>
      </w:divBdr>
      <w:divsChild>
        <w:div w:id="424376111">
          <w:marLeft w:val="979"/>
          <w:marRight w:val="0"/>
          <w:marTop w:val="120"/>
          <w:marBottom w:val="120"/>
          <w:divBdr>
            <w:top w:val="none" w:sz="0" w:space="0" w:color="auto"/>
            <w:left w:val="none" w:sz="0" w:space="0" w:color="auto"/>
            <w:bottom w:val="none" w:sz="0" w:space="0" w:color="auto"/>
            <w:right w:val="none" w:sz="0" w:space="0" w:color="auto"/>
          </w:divBdr>
        </w:div>
      </w:divsChild>
    </w:div>
    <w:div w:id="1670524893">
      <w:bodyDiv w:val="1"/>
      <w:marLeft w:val="0"/>
      <w:marRight w:val="0"/>
      <w:marTop w:val="0"/>
      <w:marBottom w:val="0"/>
      <w:divBdr>
        <w:top w:val="none" w:sz="0" w:space="0" w:color="auto"/>
        <w:left w:val="none" w:sz="0" w:space="0" w:color="auto"/>
        <w:bottom w:val="none" w:sz="0" w:space="0" w:color="auto"/>
        <w:right w:val="none" w:sz="0" w:space="0" w:color="auto"/>
      </w:divBdr>
    </w:div>
    <w:div w:id="1676565594">
      <w:bodyDiv w:val="1"/>
      <w:marLeft w:val="0"/>
      <w:marRight w:val="0"/>
      <w:marTop w:val="0"/>
      <w:marBottom w:val="0"/>
      <w:divBdr>
        <w:top w:val="none" w:sz="0" w:space="0" w:color="auto"/>
        <w:left w:val="none" w:sz="0" w:space="0" w:color="auto"/>
        <w:bottom w:val="none" w:sz="0" w:space="0" w:color="auto"/>
        <w:right w:val="none" w:sz="0" w:space="0" w:color="auto"/>
      </w:divBdr>
    </w:div>
    <w:div w:id="1689989066">
      <w:bodyDiv w:val="1"/>
      <w:marLeft w:val="0"/>
      <w:marRight w:val="0"/>
      <w:marTop w:val="0"/>
      <w:marBottom w:val="0"/>
      <w:divBdr>
        <w:top w:val="none" w:sz="0" w:space="0" w:color="auto"/>
        <w:left w:val="none" w:sz="0" w:space="0" w:color="auto"/>
        <w:bottom w:val="none" w:sz="0" w:space="0" w:color="auto"/>
        <w:right w:val="none" w:sz="0" w:space="0" w:color="auto"/>
      </w:divBdr>
      <w:divsChild>
        <w:div w:id="60638085">
          <w:marLeft w:val="0"/>
          <w:marRight w:val="0"/>
          <w:marTop w:val="0"/>
          <w:marBottom w:val="0"/>
          <w:divBdr>
            <w:top w:val="single" w:sz="2" w:space="0" w:color="auto"/>
            <w:left w:val="single" w:sz="2" w:space="0" w:color="auto"/>
            <w:bottom w:val="single" w:sz="2" w:space="0" w:color="auto"/>
            <w:right w:val="single" w:sz="2" w:space="0" w:color="auto"/>
          </w:divBdr>
          <w:divsChild>
            <w:div w:id="1771971496">
              <w:marLeft w:val="0"/>
              <w:marRight w:val="0"/>
              <w:marTop w:val="0"/>
              <w:marBottom w:val="0"/>
              <w:divBdr>
                <w:top w:val="none" w:sz="0" w:space="0" w:color="auto"/>
                <w:left w:val="none" w:sz="0" w:space="0" w:color="auto"/>
                <w:bottom w:val="none" w:sz="0" w:space="0" w:color="auto"/>
                <w:right w:val="none" w:sz="0" w:space="0" w:color="auto"/>
              </w:divBdr>
              <w:divsChild>
                <w:div w:id="842549359">
                  <w:marLeft w:val="0"/>
                  <w:marRight w:val="0"/>
                  <w:marTop w:val="0"/>
                  <w:marBottom w:val="0"/>
                  <w:divBdr>
                    <w:top w:val="none" w:sz="0" w:space="0" w:color="auto"/>
                    <w:left w:val="none" w:sz="0" w:space="0" w:color="auto"/>
                    <w:bottom w:val="none" w:sz="0" w:space="0" w:color="auto"/>
                    <w:right w:val="none" w:sz="0" w:space="0" w:color="auto"/>
                  </w:divBdr>
                  <w:divsChild>
                    <w:div w:id="666782533">
                      <w:marLeft w:val="0"/>
                      <w:marRight w:val="0"/>
                      <w:marTop w:val="0"/>
                      <w:marBottom w:val="0"/>
                      <w:divBdr>
                        <w:top w:val="none" w:sz="0" w:space="0" w:color="auto"/>
                        <w:left w:val="none" w:sz="0" w:space="0" w:color="auto"/>
                        <w:bottom w:val="none" w:sz="0" w:space="0" w:color="auto"/>
                        <w:right w:val="none" w:sz="0" w:space="0" w:color="auto"/>
                      </w:divBdr>
                      <w:divsChild>
                        <w:div w:id="134414360">
                          <w:marLeft w:val="0"/>
                          <w:marRight w:val="0"/>
                          <w:marTop w:val="0"/>
                          <w:marBottom w:val="0"/>
                          <w:divBdr>
                            <w:top w:val="none" w:sz="0" w:space="0" w:color="auto"/>
                            <w:left w:val="none" w:sz="0" w:space="0" w:color="auto"/>
                            <w:bottom w:val="none" w:sz="0" w:space="0" w:color="auto"/>
                            <w:right w:val="none" w:sz="0" w:space="0" w:color="auto"/>
                          </w:divBdr>
                          <w:divsChild>
                            <w:div w:id="16022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426306">
      <w:bodyDiv w:val="1"/>
      <w:marLeft w:val="0"/>
      <w:marRight w:val="0"/>
      <w:marTop w:val="0"/>
      <w:marBottom w:val="0"/>
      <w:divBdr>
        <w:top w:val="none" w:sz="0" w:space="0" w:color="auto"/>
        <w:left w:val="none" w:sz="0" w:space="0" w:color="auto"/>
        <w:bottom w:val="none" w:sz="0" w:space="0" w:color="auto"/>
        <w:right w:val="none" w:sz="0" w:space="0" w:color="auto"/>
      </w:divBdr>
    </w:div>
    <w:div w:id="1697927605">
      <w:bodyDiv w:val="1"/>
      <w:marLeft w:val="0"/>
      <w:marRight w:val="0"/>
      <w:marTop w:val="0"/>
      <w:marBottom w:val="0"/>
      <w:divBdr>
        <w:top w:val="none" w:sz="0" w:space="0" w:color="auto"/>
        <w:left w:val="none" w:sz="0" w:space="0" w:color="auto"/>
        <w:bottom w:val="none" w:sz="0" w:space="0" w:color="auto"/>
        <w:right w:val="none" w:sz="0" w:space="0" w:color="auto"/>
      </w:divBdr>
      <w:divsChild>
        <w:div w:id="664358029">
          <w:marLeft w:val="0"/>
          <w:marRight w:val="0"/>
          <w:marTop w:val="0"/>
          <w:marBottom w:val="0"/>
          <w:divBdr>
            <w:top w:val="none" w:sz="0" w:space="0" w:color="auto"/>
            <w:left w:val="none" w:sz="0" w:space="0" w:color="auto"/>
            <w:bottom w:val="none" w:sz="0" w:space="0" w:color="auto"/>
            <w:right w:val="none" w:sz="0" w:space="0" w:color="auto"/>
          </w:divBdr>
          <w:divsChild>
            <w:div w:id="2012563145">
              <w:marLeft w:val="0"/>
              <w:marRight w:val="0"/>
              <w:marTop w:val="0"/>
              <w:marBottom w:val="0"/>
              <w:divBdr>
                <w:top w:val="none" w:sz="0" w:space="0" w:color="auto"/>
                <w:left w:val="none" w:sz="0" w:space="0" w:color="auto"/>
                <w:bottom w:val="none" w:sz="0" w:space="0" w:color="auto"/>
                <w:right w:val="none" w:sz="0" w:space="0" w:color="auto"/>
              </w:divBdr>
              <w:divsChild>
                <w:div w:id="1607426735">
                  <w:marLeft w:val="0"/>
                  <w:marRight w:val="0"/>
                  <w:marTop w:val="0"/>
                  <w:marBottom w:val="0"/>
                  <w:divBdr>
                    <w:top w:val="none" w:sz="0" w:space="0" w:color="auto"/>
                    <w:left w:val="none" w:sz="0" w:space="0" w:color="auto"/>
                    <w:bottom w:val="none" w:sz="0" w:space="0" w:color="auto"/>
                    <w:right w:val="none" w:sz="0" w:space="0" w:color="auto"/>
                  </w:divBdr>
                  <w:divsChild>
                    <w:div w:id="896089395">
                      <w:marLeft w:val="0"/>
                      <w:marRight w:val="0"/>
                      <w:marTop w:val="105"/>
                      <w:marBottom w:val="0"/>
                      <w:divBdr>
                        <w:top w:val="none" w:sz="0" w:space="0" w:color="auto"/>
                        <w:left w:val="none" w:sz="0" w:space="0" w:color="auto"/>
                        <w:bottom w:val="none" w:sz="0" w:space="0" w:color="auto"/>
                        <w:right w:val="none" w:sz="0" w:space="0" w:color="auto"/>
                      </w:divBdr>
                      <w:divsChild>
                        <w:div w:id="1103191395">
                          <w:marLeft w:val="0"/>
                          <w:marRight w:val="0"/>
                          <w:marTop w:val="0"/>
                          <w:marBottom w:val="0"/>
                          <w:divBdr>
                            <w:top w:val="none" w:sz="0" w:space="0" w:color="auto"/>
                            <w:left w:val="none" w:sz="0" w:space="0" w:color="auto"/>
                            <w:bottom w:val="none" w:sz="0" w:space="0" w:color="auto"/>
                            <w:right w:val="none" w:sz="0" w:space="0" w:color="auto"/>
                          </w:divBdr>
                          <w:divsChild>
                            <w:div w:id="650671591">
                              <w:marLeft w:val="0"/>
                              <w:marRight w:val="0"/>
                              <w:marTop w:val="0"/>
                              <w:marBottom w:val="0"/>
                              <w:divBdr>
                                <w:top w:val="none" w:sz="0" w:space="0" w:color="auto"/>
                                <w:left w:val="none" w:sz="0" w:space="0" w:color="auto"/>
                                <w:bottom w:val="none" w:sz="0" w:space="0" w:color="auto"/>
                                <w:right w:val="none" w:sz="0" w:space="0" w:color="auto"/>
                              </w:divBdr>
                              <w:divsChild>
                                <w:div w:id="1719475280">
                                  <w:marLeft w:val="0"/>
                                  <w:marRight w:val="0"/>
                                  <w:marTop w:val="0"/>
                                  <w:marBottom w:val="0"/>
                                  <w:divBdr>
                                    <w:top w:val="none" w:sz="0" w:space="0" w:color="auto"/>
                                    <w:left w:val="none" w:sz="0" w:space="0" w:color="auto"/>
                                    <w:bottom w:val="none" w:sz="0" w:space="0" w:color="auto"/>
                                    <w:right w:val="none" w:sz="0" w:space="0" w:color="auto"/>
                                  </w:divBdr>
                                  <w:divsChild>
                                    <w:div w:id="1804881087">
                                      <w:marLeft w:val="0"/>
                                      <w:marRight w:val="0"/>
                                      <w:marTop w:val="0"/>
                                      <w:marBottom w:val="0"/>
                                      <w:divBdr>
                                        <w:top w:val="none" w:sz="0" w:space="0" w:color="auto"/>
                                        <w:left w:val="none" w:sz="0" w:space="0" w:color="auto"/>
                                        <w:bottom w:val="none" w:sz="0" w:space="0" w:color="auto"/>
                                        <w:right w:val="none" w:sz="0" w:space="0" w:color="auto"/>
                                      </w:divBdr>
                                      <w:divsChild>
                                        <w:div w:id="663240554">
                                          <w:marLeft w:val="0"/>
                                          <w:marRight w:val="0"/>
                                          <w:marTop w:val="0"/>
                                          <w:marBottom w:val="150"/>
                                          <w:divBdr>
                                            <w:top w:val="none" w:sz="0" w:space="0" w:color="auto"/>
                                            <w:left w:val="none" w:sz="0" w:space="0" w:color="auto"/>
                                            <w:bottom w:val="none" w:sz="0" w:space="0" w:color="auto"/>
                                            <w:right w:val="none" w:sz="0" w:space="0" w:color="auto"/>
                                          </w:divBdr>
                                          <w:divsChild>
                                            <w:div w:id="195751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5520397">
      <w:bodyDiv w:val="1"/>
      <w:marLeft w:val="0"/>
      <w:marRight w:val="0"/>
      <w:marTop w:val="0"/>
      <w:marBottom w:val="0"/>
      <w:divBdr>
        <w:top w:val="none" w:sz="0" w:space="0" w:color="auto"/>
        <w:left w:val="none" w:sz="0" w:space="0" w:color="auto"/>
        <w:bottom w:val="none" w:sz="0" w:space="0" w:color="auto"/>
        <w:right w:val="none" w:sz="0" w:space="0" w:color="auto"/>
      </w:divBdr>
    </w:div>
    <w:div w:id="1737632104">
      <w:bodyDiv w:val="1"/>
      <w:marLeft w:val="0"/>
      <w:marRight w:val="0"/>
      <w:marTop w:val="0"/>
      <w:marBottom w:val="0"/>
      <w:divBdr>
        <w:top w:val="none" w:sz="0" w:space="0" w:color="auto"/>
        <w:left w:val="none" w:sz="0" w:space="0" w:color="auto"/>
        <w:bottom w:val="none" w:sz="0" w:space="0" w:color="auto"/>
        <w:right w:val="none" w:sz="0" w:space="0" w:color="auto"/>
      </w:divBdr>
      <w:divsChild>
        <w:div w:id="1596403191">
          <w:blockQuote w:val="1"/>
          <w:marLeft w:val="600"/>
          <w:marRight w:val="0"/>
          <w:marTop w:val="0"/>
          <w:marBottom w:val="0"/>
          <w:divBdr>
            <w:top w:val="none" w:sz="0" w:space="0" w:color="auto"/>
            <w:left w:val="none" w:sz="0" w:space="0" w:color="auto"/>
            <w:bottom w:val="none" w:sz="0" w:space="0" w:color="auto"/>
            <w:right w:val="none" w:sz="0" w:space="0" w:color="auto"/>
          </w:divBdr>
        </w:div>
        <w:div w:id="26418497">
          <w:blockQuote w:val="1"/>
          <w:marLeft w:val="600"/>
          <w:marRight w:val="0"/>
          <w:marTop w:val="0"/>
          <w:marBottom w:val="0"/>
          <w:divBdr>
            <w:top w:val="none" w:sz="0" w:space="0" w:color="auto"/>
            <w:left w:val="none" w:sz="0" w:space="0" w:color="auto"/>
            <w:bottom w:val="none" w:sz="0" w:space="0" w:color="auto"/>
            <w:right w:val="none" w:sz="0" w:space="0" w:color="auto"/>
          </w:divBdr>
          <w:divsChild>
            <w:div w:id="1558781374">
              <w:blockQuote w:val="1"/>
              <w:marLeft w:val="600"/>
              <w:marRight w:val="0"/>
              <w:marTop w:val="0"/>
              <w:marBottom w:val="0"/>
              <w:divBdr>
                <w:top w:val="none" w:sz="0" w:space="0" w:color="auto"/>
                <w:left w:val="none" w:sz="0" w:space="0" w:color="auto"/>
                <w:bottom w:val="none" w:sz="0" w:space="0" w:color="auto"/>
                <w:right w:val="none" w:sz="0" w:space="0" w:color="auto"/>
              </w:divBdr>
              <w:divsChild>
                <w:div w:id="1622226186">
                  <w:marLeft w:val="0"/>
                  <w:marRight w:val="0"/>
                  <w:marTop w:val="0"/>
                  <w:marBottom w:val="0"/>
                  <w:divBdr>
                    <w:top w:val="none" w:sz="0" w:space="0" w:color="auto"/>
                    <w:left w:val="none" w:sz="0" w:space="0" w:color="auto"/>
                    <w:bottom w:val="none" w:sz="0" w:space="0" w:color="auto"/>
                    <w:right w:val="none" w:sz="0" w:space="0" w:color="auto"/>
                  </w:divBdr>
                </w:div>
                <w:div w:id="1631934962">
                  <w:marLeft w:val="0"/>
                  <w:marRight w:val="0"/>
                  <w:marTop w:val="0"/>
                  <w:marBottom w:val="0"/>
                  <w:divBdr>
                    <w:top w:val="none" w:sz="0" w:space="0" w:color="auto"/>
                    <w:left w:val="none" w:sz="0" w:space="0" w:color="auto"/>
                    <w:bottom w:val="none" w:sz="0" w:space="0" w:color="auto"/>
                    <w:right w:val="none" w:sz="0" w:space="0" w:color="auto"/>
                  </w:divBdr>
                </w:div>
                <w:div w:id="71909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13114">
      <w:bodyDiv w:val="1"/>
      <w:marLeft w:val="0"/>
      <w:marRight w:val="0"/>
      <w:marTop w:val="0"/>
      <w:marBottom w:val="0"/>
      <w:divBdr>
        <w:top w:val="none" w:sz="0" w:space="0" w:color="auto"/>
        <w:left w:val="none" w:sz="0" w:space="0" w:color="auto"/>
        <w:bottom w:val="none" w:sz="0" w:space="0" w:color="auto"/>
        <w:right w:val="none" w:sz="0" w:space="0" w:color="auto"/>
      </w:divBdr>
      <w:divsChild>
        <w:div w:id="1194688082">
          <w:marLeft w:val="576"/>
          <w:marRight w:val="0"/>
          <w:marTop w:val="60"/>
          <w:marBottom w:val="120"/>
          <w:divBdr>
            <w:top w:val="none" w:sz="0" w:space="0" w:color="auto"/>
            <w:left w:val="none" w:sz="0" w:space="0" w:color="auto"/>
            <w:bottom w:val="none" w:sz="0" w:space="0" w:color="auto"/>
            <w:right w:val="none" w:sz="0" w:space="0" w:color="auto"/>
          </w:divBdr>
        </w:div>
        <w:div w:id="375392531">
          <w:marLeft w:val="576"/>
          <w:marRight w:val="0"/>
          <w:marTop w:val="60"/>
          <w:marBottom w:val="120"/>
          <w:divBdr>
            <w:top w:val="none" w:sz="0" w:space="0" w:color="auto"/>
            <w:left w:val="none" w:sz="0" w:space="0" w:color="auto"/>
            <w:bottom w:val="none" w:sz="0" w:space="0" w:color="auto"/>
            <w:right w:val="none" w:sz="0" w:space="0" w:color="auto"/>
          </w:divBdr>
        </w:div>
        <w:div w:id="1514418071">
          <w:marLeft w:val="576"/>
          <w:marRight w:val="0"/>
          <w:marTop w:val="60"/>
          <w:marBottom w:val="120"/>
          <w:divBdr>
            <w:top w:val="none" w:sz="0" w:space="0" w:color="auto"/>
            <w:left w:val="none" w:sz="0" w:space="0" w:color="auto"/>
            <w:bottom w:val="none" w:sz="0" w:space="0" w:color="auto"/>
            <w:right w:val="none" w:sz="0" w:space="0" w:color="auto"/>
          </w:divBdr>
        </w:div>
        <w:div w:id="108821784">
          <w:marLeft w:val="576"/>
          <w:marRight w:val="0"/>
          <w:marTop w:val="60"/>
          <w:marBottom w:val="120"/>
          <w:divBdr>
            <w:top w:val="none" w:sz="0" w:space="0" w:color="auto"/>
            <w:left w:val="none" w:sz="0" w:space="0" w:color="auto"/>
            <w:bottom w:val="none" w:sz="0" w:space="0" w:color="auto"/>
            <w:right w:val="none" w:sz="0" w:space="0" w:color="auto"/>
          </w:divBdr>
        </w:div>
        <w:div w:id="568619024">
          <w:marLeft w:val="576"/>
          <w:marRight w:val="0"/>
          <w:marTop w:val="60"/>
          <w:marBottom w:val="120"/>
          <w:divBdr>
            <w:top w:val="none" w:sz="0" w:space="0" w:color="auto"/>
            <w:left w:val="none" w:sz="0" w:space="0" w:color="auto"/>
            <w:bottom w:val="none" w:sz="0" w:space="0" w:color="auto"/>
            <w:right w:val="none" w:sz="0" w:space="0" w:color="auto"/>
          </w:divBdr>
        </w:div>
        <w:div w:id="1952086668">
          <w:marLeft w:val="576"/>
          <w:marRight w:val="0"/>
          <w:marTop w:val="60"/>
          <w:marBottom w:val="120"/>
          <w:divBdr>
            <w:top w:val="none" w:sz="0" w:space="0" w:color="auto"/>
            <w:left w:val="none" w:sz="0" w:space="0" w:color="auto"/>
            <w:bottom w:val="none" w:sz="0" w:space="0" w:color="auto"/>
            <w:right w:val="none" w:sz="0" w:space="0" w:color="auto"/>
          </w:divBdr>
        </w:div>
      </w:divsChild>
    </w:div>
    <w:div w:id="1759137355">
      <w:bodyDiv w:val="1"/>
      <w:marLeft w:val="0"/>
      <w:marRight w:val="0"/>
      <w:marTop w:val="0"/>
      <w:marBottom w:val="0"/>
      <w:divBdr>
        <w:top w:val="none" w:sz="0" w:space="0" w:color="auto"/>
        <w:left w:val="none" w:sz="0" w:space="0" w:color="auto"/>
        <w:bottom w:val="none" w:sz="0" w:space="0" w:color="auto"/>
        <w:right w:val="none" w:sz="0" w:space="0" w:color="auto"/>
      </w:divBdr>
      <w:divsChild>
        <w:div w:id="366570820">
          <w:marLeft w:val="576"/>
          <w:marRight w:val="0"/>
          <w:marTop w:val="120"/>
          <w:marBottom w:val="120"/>
          <w:divBdr>
            <w:top w:val="none" w:sz="0" w:space="0" w:color="auto"/>
            <w:left w:val="none" w:sz="0" w:space="0" w:color="auto"/>
            <w:bottom w:val="none" w:sz="0" w:space="0" w:color="auto"/>
            <w:right w:val="none" w:sz="0" w:space="0" w:color="auto"/>
          </w:divBdr>
        </w:div>
      </w:divsChild>
    </w:div>
    <w:div w:id="1771076708">
      <w:bodyDiv w:val="1"/>
      <w:marLeft w:val="0"/>
      <w:marRight w:val="0"/>
      <w:marTop w:val="0"/>
      <w:marBottom w:val="0"/>
      <w:divBdr>
        <w:top w:val="none" w:sz="0" w:space="0" w:color="auto"/>
        <w:left w:val="none" w:sz="0" w:space="0" w:color="auto"/>
        <w:bottom w:val="none" w:sz="0" w:space="0" w:color="auto"/>
        <w:right w:val="none" w:sz="0" w:space="0" w:color="auto"/>
      </w:divBdr>
    </w:div>
    <w:div w:id="1782913574">
      <w:bodyDiv w:val="1"/>
      <w:marLeft w:val="0"/>
      <w:marRight w:val="0"/>
      <w:marTop w:val="0"/>
      <w:marBottom w:val="0"/>
      <w:divBdr>
        <w:top w:val="none" w:sz="0" w:space="0" w:color="auto"/>
        <w:left w:val="none" w:sz="0" w:space="0" w:color="auto"/>
        <w:bottom w:val="none" w:sz="0" w:space="0" w:color="auto"/>
        <w:right w:val="none" w:sz="0" w:space="0" w:color="auto"/>
      </w:divBdr>
    </w:div>
    <w:div w:id="1796171116">
      <w:bodyDiv w:val="1"/>
      <w:marLeft w:val="0"/>
      <w:marRight w:val="0"/>
      <w:marTop w:val="0"/>
      <w:marBottom w:val="0"/>
      <w:divBdr>
        <w:top w:val="none" w:sz="0" w:space="0" w:color="auto"/>
        <w:left w:val="none" w:sz="0" w:space="0" w:color="auto"/>
        <w:bottom w:val="none" w:sz="0" w:space="0" w:color="auto"/>
        <w:right w:val="none" w:sz="0" w:space="0" w:color="auto"/>
      </w:divBdr>
    </w:div>
    <w:div w:id="1797718069">
      <w:bodyDiv w:val="1"/>
      <w:marLeft w:val="0"/>
      <w:marRight w:val="0"/>
      <w:marTop w:val="0"/>
      <w:marBottom w:val="0"/>
      <w:divBdr>
        <w:top w:val="none" w:sz="0" w:space="0" w:color="auto"/>
        <w:left w:val="none" w:sz="0" w:space="0" w:color="auto"/>
        <w:bottom w:val="none" w:sz="0" w:space="0" w:color="auto"/>
        <w:right w:val="none" w:sz="0" w:space="0" w:color="auto"/>
      </w:divBdr>
    </w:div>
    <w:div w:id="1816098438">
      <w:bodyDiv w:val="1"/>
      <w:marLeft w:val="0"/>
      <w:marRight w:val="0"/>
      <w:marTop w:val="0"/>
      <w:marBottom w:val="0"/>
      <w:divBdr>
        <w:top w:val="none" w:sz="0" w:space="0" w:color="auto"/>
        <w:left w:val="none" w:sz="0" w:space="0" w:color="auto"/>
        <w:bottom w:val="none" w:sz="0" w:space="0" w:color="auto"/>
        <w:right w:val="none" w:sz="0" w:space="0" w:color="auto"/>
      </w:divBdr>
      <w:divsChild>
        <w:div w:id="204368039">
          <w:marLeft w:val="0"/>
          <w:marRight w:val="0"/>
          <w:marTop w:val="100"/>
          <w:marBottom w:val="100"/>
          <w:divBdr>
            <w:top w:val="none" w:sz="0" w:space="0" w:color="auto"/>
            <w:left w:val="none" w:sz="0" w:space="0" w:color="auto"/>
            <w:bottom w:val="none" w:sz="0" w:space="0" w:color="auto"/>
            <w:right w:val="none" w:sz="0" w:space="0" w:color="auto"/>
          </w:divBdr>
          <w:divsChild>
            <w:div w:id="872424884">
              <w:marLeft w:val="0"/>
              <w:marRight w:val="0"/>
              <w:marTop w:val="0"/>
              <w:marBottom w:val="0"/>
              <w:divBdr>
                <w:top w:val="none" w:sz="0" w:space="0" w:color="auto"/>
                <w:left w:val="none" w:sz="0" w:space="0" w:color="auto"/>
                <w:bottom w:val="none" w:sz="0" w:space="0" w:color="auto"/>
                <w:right w:val="none" w:sz="0" w:space="0" w:color="auto"/>
              </w:divBdr>
              <w:divsChild>
                <w:div w:id="210996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6358">
      <w:bodyDiv w:val="1"/>
      <w:marLeft w:val="0"/>
      <w:marRight w:val="0"/>
      <w:marTop w:val="0"/>
      <w:marBottom w:val="0"/>
      <w:divBdr>
        <w:top w:val="none" w:sz="0" w:space="0" w:color="auto"/>
        <w:left w:val="none" w:sz="0" w:space="0" w:color="auto"/>
        <w:bottom w:val="none" w:sz="0" w:space="0" w:color="auto"/>
        <w:right w:val="none" w:sz="0" w:space="0" w:color="auto"/>
      </w:divBdr>
      <w:divsChild>
        <w:div w:id="68894544">
          <w:marLeft w:val="0"/>
          <w:marRight w:val="0"/>
          <w:marTop w:val="0"/>
          <w:marBottom w:val="0"/>
          <w:divBdr>
            <w:top w:val="none" w:sz="0" w:space="0" w:color="auto"/>
            <w:left w:val="none" w:sz="0" w:space="0" w:color="auto"/>
            <w:bottom w:val="none" w:sz="0" w:space="0" w:color="auto"/>
            <w:right w:val="none" w:sz="0" w:space="0" w:color="auto"/>
          </w:divBdr>
          <w:divsChild>
            <w:div w:id="1422991492">
              <w:marLeft w:val="0"/>
              <w:marRight w:val="0"/>
              <w:marTop w:val="0"/>
              <w:marBottom w:val="0"/>
              <w:divBdr>
                <w:top w:val="none" w:sz="0" w:space="0" w:color="auto"/>
                <w:left w:val="none" w:sz="0" w:space="0" w:color="auto"/>
                <w:bottom w:val="none" w:sz="0" w:space="0" w:color="auto"/>
                <w:right w:val="none" w:sz="0" w:space="0" w:color="auto"/>
              </w:divBdr>
            </w:div>
            <w:div w:id="1556745163">
              <w:marLeft w:val="0"/>
              <w:marRight w:val="0"/>
              <w:marTop w:val="0"/>
              <w:marBottom w:val="0"/>
              <w:divBdr>
                <w:top w:val="none" w:sz="0" w:space="0" w:color="auto"/>
                <w:left w:val="none" w:sz="0" w:space="0" w:color="auto"/>
                <w:bottom w:val="none" w:sz="0" w:space="0" w:color="auto"/>
                <w:right w:val="none" w:sz="0" w:space="0" w:color="auto"/>
              </w:divBdr>
            </w:div>
            <w:div w:id="183798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658198">
      <w:bodyDiv w:val="1"/>
      <w:marLeft w:val="0"/>
      <w:marRight w:val="0"/>
      <w:marTop w:val="0"/>
      <w:marBottom w:val="0"/>
      <w:divBdr>
        <w:top w:val="none" w:sz="0" w:space="0" w:color="auto"/>
        <w:left w:val="none" w:sz="0" w:space="0" w:color="auto"/>
        <w:bottom w:val="none" w:sz="0" w:space="0" w:color="auto"/>
        <w:right w:val="none" w:sz="0" w:space="0" w:color="auto"/>
      </w:divBdr>
    </w:div>
    <w:div w:id="1831680178">
      <w:bodyDiv w:val="1"/>
      <w:marLeft w:val="0"/>
      <w:marRight w:val="0"/>
      <w:marTop w:val="0"/>
      <w:marBottom w:val="0"/>
      <w:divBdr>
        <w:top w:val="none" w:sz="0" w:space="0" w:color="auto"/>
        <w:left w:val="none" w:sz="0" w:space="0" w:color="auto"/>
        <w:bottom w:val="none" w:sz="0" w:space="0" w:color="auto"/>
        <w:right w:val="none" w:sz="0" w:space="0" w:color="auto"/>
      </w:divBdr>
    </w:div>
    <w:div w:id="1840343333">
      <w:bodyDiv w:val="1"/>
      <w:marLeft w:val="0"/>
      <w:marRight w:val="0"/>
      <w:marTop w:val="0"/>
      <w:marBottom w:val="0"/>
      <w:divBdr>
        <w:top w:val="none" w:sz="0" w:space="0" w:color="auto"/>
        <w:left w:val="none" w:sz="0" w:space="0" w:color="auto"/>
        <w:bottom w:val="none" w:sz="0" w:space="0" w:color="auto"/>
        <w:right w:val="none" w:sz="0" w:space="0" w:color="auto"/>
      </w:divBdr>
      <w:divsChild>
        <w:div w:id="221255114">
          <w:marLeft w:val="1440"/>
          <w:marRight w:val="0"/>
          <w:marTop w:val="120"/>
          <w:marBottom w:val="120"/>
          <w:divBdr>
            <w:top w:val="none" w:sz="0" w:space="0" w:color="auto"/>
            <w:left w:val="none" w:sz="0" w:space="0" w:color="auto"/>
            <w:bottom w:val="none" w:sz="0" w:space="0" w:color="auto"/>
            <w:right w:val="none" w:sz="0" w:space="0" w:color="auto"/>
          </w:divBdr>
        </w:div>
        <w:div w:id="1720275229">
          <w:marLeft w:val="1440"/>
          <w:marRight w:val="0"/>
          <w:marTop w:val="120"/>
          <w:marBottom w:val="120"/>
          <w:divBdr>
            <w:top w:val="none" w:sz="0" w:space="0" w:color="auto"/>
            <w:left w:val="none" w:sz="0" w:space="0" w:color="auto"/>
            <w:bottom w:val="none" w:sz="0" w:space="0" w:color="auto"/>
            <w:right w:val="none" w:sz="0" w:space="0" w:color="auto"/>
          </w:divBdr>
        </w:div>
      </w:divsChild>
    </w:div>
    <w:div w:id="1872759521">
      <w:bodyDiv w:val="1"/>
      <w:marLeft w:val="0"/>
      <w:marRight w:val="0"/>
      <w:marTop w:val="0"/>
      <w:marBottom w:val="0"/>
      <w:divBdr>
        <w:top w:val="none" w:sz="0" w:space="0" w:color="auto"/>
        <w:left w:val="none" w:sz="0" w:space="0" w:color="auto"/>
        <w:bottom w:val="none" w:sz="0" w:space="0" w:color="auto"/>
        <w:right w:val="none" w:sz="0" w:space="0" w:color="auto"/>
      </w:divBdr>
    </w:div>
    <w:div w:id="1872764955">
      <w:bodyDiv w:val="1"/>
      <w:marLeft w:val="0"/>
      <w:marRight w:val="0"/>
      <w:marTop w:val="0"/>
      <w:marBottom w:val="0"/>
      <w:divBdr>
        <w:top w:val="none" w:sz="0" w:space="0" w:color="auto"/>
        <w:left w:val="none" w:sz="0" w:space="0" w:color="auto"/>
        <w:bottom w:val="none" w:sz="0" w:space="0" w:color="auto"/>
        <w:right w:val="none" w:sz="0" w:space="0" w:color="auto"/>
      </w:divBdr>
    </w:div>
    <w:div w:id="1881280924">
      <w:bodyDiv w:val="1"/>
      <w:marLeft w:val="0"/>
      <w:marRight w:val="0"/>
      <w:marTop w:val="0"/>
      <w:marBottom w:val="0"/>
      <w:divBdr>
        <w:top w:val="none" w:sz="0" w:space="0" w:color="auto"/>
        <w:left w:val="none" w:sz="0" w:space="0" w:color="auto"/>
        <w:bottom w:val="none" w:sz="0" w:space="0" w:color="auto"/>
        <w:right w:val="none" w:sz="0" w:space="0" w:color="auto"/>
      </w:divBdr>
      <w:divsChild>
        <w:div w:id="1950772431">
          <w:marLeft w:val="1296"/>
          <w:marRight w:val="0"/>
          <w:marTop w:val="96"/>
          <w:marBottom w:val="0"/>
          <w:divBdr>
            <w:top w:val="none" w:sz="0" w:space="0" w:color="auto"/>
            <w:left w:val="none" w:sz="0" w:space="0" w:color="auto"/>
            <w:bottom w:val="none" w:sz="0" w:space="0" w:color="auto"/>
            <w:right w:val="none" w:sz="0" w:space="0" w:color="auto"/>
          </w:divBdr>
        </w:div>
      </w:divsChild>
    </w:div>
    <w:div w:id="1886478303">
      <w:bodyDiv w:val="1"/>
      <w:marLeft w:val="0"/>
      <w:marRight w:val="0"/>
      <w:marTop w:val="0"/>
      <w:marBottom w:val="0"/>
      <w:divBdr>
        <w:top w:val="none" w:sz="0" w:space="0" w:color="auto"/>
        <w:left w:val="none" w:sz="0" w:space="0" w:color="auto"/>
        <w:bottom w:val="none" w:sz="0" w:space="0" w:color="auto"/>
        <w:right w:val="none" w:sz="0" w:space="0" w:color="auto"/>
      </w:divBdr>
      <w:divsChild>
        <w:div w:id="1115170780">
          <w:marLeft w:val="576"/>
          <w:marRight w:val="0"/>
          <w:marTop w:val="120"/>
          <w:marBottom w:val="120"/>
          <w:divBdr>
            <w:top w:val="none" w:sz="0" w:space="0" w:color="auto"/>
            <w:left w:val="none" w:sz="0" w:space="0" w:color="auto"/>
            <w:bottom w:val="none" w:sz="0" w:space="0" w:color="auto"/>
            <w:right w:val="none" w:sz="0" w:space="0" w:color="auto"/>
          </w:divBdr>
        </w:div>
        <w:div w:id="1824347645">
          <w:marLeft w:val="576"/>
          <w:marRight w:val="0"/>
          <w:marTop w:val="120"/>
          <w:marBottom w:val="120"/>
          <w:divBdr>
            <w:top w:val="none" w:sz="0" w:space="0" w:color="auto"/>
            <w:left w:val="none" w:sz="0" w:space="0" w:color="auto"/>
            <w:bottom w:val="none" w:sz="0" w:space="0" w:color="auto"/>
            <w:right w:val="none" w:sz="0" w:space="0" w:color="auto"/>
          </w:divBdr>
        </w:div>
      </w:divsChild>
    </w:div>
    <w:div w:id="1890141208">
      <w:bodyDiv w:val="1"/>
      <w:marLeft w:val="0"/>
      <w:marRight w:val="0"/>
      <w:marTop w:val="0"/>
      <w:marBottom w:val="0"/>
      <w:divBdr>
        <w:top w:val="none" w:sz="0" w:space="0" w:color="auto"/>
        <w:left w:val="none" w:sz="0" w:space="0" w:color="auto"/>
        <w:bottom w:val="none" w:sz="0" w:space="0" w:color="auto"/>
        <w:right w:val="none" w:sz="0" w:space="0" w:color="auto"/>
      </w:divBdr>
    </w:div>
    <w:div w:id="1896621046">
      <w:bodyDiv w:val="1"/>
      <w:marLeft w:val="0"/>
      <w:marRight w:val="0"/>
      <w:marTop w:val="0"/>
      <w:marBottom w:val="0"/>
      <w:divBdr>
        <w:top w:val="none" w:sz="0" w:space="0" w:color="auto"/>
        <w:left w:val="none" w:sz="0" w:space="0" w:color="auto"/>
        <w:bottom w:val="none" w:sz="0" w:space="0" w:color="auto"/>
        <w:right w:val="none" w:sz="0" w:space="0" w:color="auto"/>
      </w:divBdr>
      <w:divsChild>
        <w:div w:id="2114589050">
          <w:marLeft w:val="979"/>
          <w:marRight w:val="0"/>
          <w:marTop w:val="120"/>
          <w:marBottom w:val="120"/>
          <w:divBdr>
            <w:top w:val="none" w:sz="0" w:space="0" w:color="auto"/>
            <w:left w:val="none" w:sz="0" w:space="0" w:color="auto"/>
            <w:bottom w:val="none" w:sz="0" w:space="0" w:color="auto"/>
            <w:right w:val="none" w:sz="0" w:space="0" w:color="auto"/>
          </w:divBdr>
        </w:div>
      </w:divsChild>
    </w:div>
    <w:div w:id="1924027039">
      <w:bodyDiv w:val="1"/>
      <w:marLeft w:val="0"/>
      <w:marRight w:val="0"/>
      <w:marTop w:val="0"/>
      <w:marBottom w:val="0"/>
      <w:divBdr>
        <w:top w:val="none" w:sz="0" w:space="0" w:color="auto"/>
        <w:left w:val="none" w:sz="0" w:space="0" w:color="auto"/>
        <w:bottom w:val="none" w:sz="0" w:space="0" w:color="auto"/>
        <w:right w:val="none" w:sz="0" w:space="0" w:color="auto"/>
      </w:divBdr>
    </w:div>
    <w:div w:id="1925990021">
      <w:bodyDiv w:val="1"/>
      <w:marLeft w:val="0"/>
      <w:marRight w:val="0"/>
      <w:marTop w:val="0"/>
      <w:marBottom w:val="0"/>
      <w:divBdr>
        <w:top w:val="none" w:sz="0" w:space="0" w:color="auto"/>
        <w:left w:val="none" w:sz="0" w:space="0" w:color="auto"/>
        <w:bottom w:val="none" w:sz="0" w:space="0" w:color="auto"/>
        <w:right w:val="none" w:sz="0" w:space="0" w:color="auto"/>
      </w:divBdr>
    </w:div>
    <w:div w:id="1940333181">
      <w:bodyDiv w:val="1"/>
      <w:marLeft w:val="0"/>
      <w:marRight w:val="0"/>
      <w:marTop w:val="0"/>
      <w:marBottom w:val="0"/>
      <w:divBdr>
        <w:top w:val="none" w:sz="0" w:space="0" w:color="auto"/>
        <w:left w:val="none" w:sz="0" w:space="0" w:color="auto"/>
        <w:bottom w:val="none" w:sz="0" w:space="0" w:color="auto"/>
        <w:right w:val="none" w:sz="0" w:space="0" w:color="auto"/>
      </w:divBdr>
    </w:div>
    <w:div w:id="1944606721">
      <w:bodyDiv w:val="1"/>
      <w:marLeft w:val="0"/>
      <w:marRight w:val="0"/>
      <w:marTop w:val="0"/>
      <w:marBottom w:val="0"/>
      <w:divBdr>
        <w:top w:val="none" w:sz="0" w:space="0" w:color="auto"/>
        <w:left w:val="none" w:sz="0" w:space="0" w:color="auto"/>
        <w:bottom w:val="none" w:sz="0" w:space="0" w:color="auto"/>
        <w:right w:val="none" w:sz="0" w:space="0" w:color="auto"/>
      </w:divBdr>
    </w:div>
    <w:div w:id="1951742463">
      <w:bodyDiv w:val="1"/>
      <w:marLeft w:val="0"/>
      <w:marRight w:val="0"/>
      <w:marTop w:val="0"/>
      <w:marBottom w:val="0"/>
      <w:divBdr>
        <w:top w:val="none" w:sz="0" w:space="0" w:color="auto"/>
        <w:left w:val="none" w:sz="0" w:space="0" w:color="auto"/>
        <w:bottom w:val="none" w:sz="0" w:space="0" w:color="auto"/>
        <w:right w:val="none" w:sz="0" w:space="0" w:color="auto"/>
      </w:divBdr>
    </w:div>
    <w:div w:id="1967199502">
      <w:bodyDiv w:val="1"/>
      <w:marLeft w:val="0"/>
      <w:marRight w:val="0"/>
      <w:marTop w:val="0"/>
      <w:marBottom w:val="0"/>
      <w:divBdr>
        <w:top w:val="none" w:sz="0" w:space="0" w:color="auto"/>
        <w:left w:val="none" w:sz="0" w:space="0" w:color="auto"/>
        <w:bottom w:val="none" w:sz="0" w:space="0" w:color="auto"/>
        <w:right w:val="none" w:sz="0" w:space="0" w:color="auto"/>
      </w:divBdr>
      <w:divsChild>
        <w:div w:id="799108553">
          <w:marLeft w:val="0"/>
          <w:marRight w:val="0"/>
          <w:marTop w:val="0"/>
          <w:marBottom w:val="0"/>
          <w:divBdr>
            <w:top w:val="none" w:sz="0" w:space="0" w:color="auto"/>
            <w:left w:val="none" w:sz="0" w:space="0" w:color="auto"/>
            <w:bottom w:val="none" w:sz="0" w:space="0" w:color="auto"/>
            <w:right w:val="none" w:sz="0" w:space="0" w:color="auto"/>
          </w:divBdr>
        </w:div>
        <w:div w:id="1542743283">
          <w:marLeft w:val="0"/>
          <w:marRight w:val="0"/>
          <w:marTop w:val="0"/>
          <w:marBottom w:val="0"/>
          <w:divBdr>
            <w:top w:val="none" w:sz="0" w:space="0" w:color="auto"/>
            <w:left w:val="none" w:sz="0" w:space="0" w:color="auto"/>
            <w:bottom w:val="none" w:sz="0" w:space="0" w:color="auto"/>
            <w:right w:val="none" w:sz="0" w:space="0" w:color="auto"/>
          </w:divBdr>
        </w:div>
        <w:div w:id="1529877392">
          <w:marLeft w:val="0"/>
          <w:marRight w:val="0"/>
          <w:marTop w:val="0"/>
          <w:marBottom w:val="0"/>
          <w:divBdr>
            <w:top w:val="none" w:sz="0" w:space="0" w:color="auto"/>
            <w:left w:val="none" w:sz="0" w:space="0" w:color="auto"/>
            <w:bottom w:val="none" w:sz="0" w:space="0" w:color="auto"/>
            <w:right w:val="none" w:sz="0" w:space="0" w:color="auto"/>
          </w:divBdr>
        </w:div>
        <w:div w:id="305206609">
          <w:marLeft w:val="0"/>
          <w:marRight w:val="0"/>
          <w:marTop w:val="0"/>
          <w:marBottom w:val="0"/>
          <w:divBdr>
            <w:top w:val="none" w:sz="0" w:space="0" w:color="auto"/>
            <w:left w:val="none" w:sz="0" w:space="0" w:color="auto"/>
            <w:bottom w:val="none" w:sz="0" w:space="0" w:color="auto"/>
            <w:right w:val="none" w:sz="0" w:space="0" w:color="auto"/>
          </w:divBdr>
        </w:div>
        <w:div w:id="1601909076">
          <w:marLeft w:val="0"/>
          <w:marRight w:val="0"/>
          <w:marTop w:val="0"/>
          <w:marBottom w:val="0"/>
          <w:divBdr>
            <w:top w:val="none" w:sz="0" w:space="0" w:color="auto"/>
            <w:left w:val="none" w:sz="0" w:space="0" w:color="auto"/>
            <w:bottom w:val="none" w:sz="0" w:space="0" w:color="auto"/>
            <w:right w:val="none" w:sz="0" w:space="0" w:color="auto"/>
          </w:divBdr>
        </w:div>
        <w:div w:id="50271947">
          <w:marLeft w:val="0"/>
          <w:marRight w:val="0"/>
          <w:marTop w:val="0"/>
          <w:marBottom w:val="0"/>
          <w:divBdr>
            <w:top w:val="none" w:sz="0" w:space="0" w:color="auto"/>
            <w:left w:val="none" w:sz="0" w:space="0" w:color="auto"/>
            <w:bottom w:val="none" w:sz="0" w:space="0" w:color="auto"/>
            <w:right w:val="none" w:sz="0" w:space="0" w:color="auto"/>
          </w:divBdr>
        </w:div>
        <w:div w:id="1880121954">
          <w:marLeft w:val="0"/>
          <w:marRight w:val="0"/>
          <w:marTop w:val="0"/>
          <w:marBottom w:val="0"/>
          <w:divBdr>
            <w:top w:val="none" w:sz="0" w:space="0" w:color="auto"/>
            <w:left w:val="none" w:sz="0" w:space="0" w:color="auto"/>
            <w:bottom w:val="none" w:sz="0" w:space="0" w:color="auto"/>
            <w:right w:val="none" w:sz="0" w:space="0" w:color="auto"/>
          </w:divBdr>
        </w:div>
      </w:divsChild>
    </w:div>
    <w:div w:id="1969049694">
      <w:bodyDiv w:val="1"/>
      <w:marLeft w:val="0"/>
      <w:marRight w:val="0"/>
      <w:marTop w:val="0"/>
      <w:marBottom w:val="0"/>
      <w:divBdr>
        <w:top w:val="none" w:sz="0" w:space="0" w:color="auto"/>
        <w:left w:val="none" w:sz="0" w:space="0" w:color="auto"/>
        <w:bottom w:val="none" w:sz="0" w:space="0" w:color="auto"/>
        <w:right w:val="none" w:sz="0" w:space="0" w:color="auto"/>
      </w:divBdr>
    </w:div>
    <w:div w:id="1977686204">
      <w:bodyDiv w:val="1"/>
      <w:marLeft w:val="0"/>
      <w:marRight w:val="0"/>
      <w:marTop w:val="0"/>
      <w:marBottom w:val="0"/>
      <w:divBdr>
        <w:top w:val="none" w:sz="0" w:space="0" w:color="auto"/>
        <w:left w:val="none" w:sz="0" w:space="0" w:color="auto"/>
        <w:bottom w:val="none" w:sz="0" w:space="0" w:color="auto"/>
        <w:right w:val="none" w:sz="0" w:space="0" w:color="auto"/>
      </w:divBdr>
      <w:divsChild>
        <w:div w:id="1644653636">
          <w:marLeft w:val="0"/>
          <w:marRight w:val="0"/>
          <w:marTop w:val="0"/>
          <w:marBottom w:val="0"/>
          <w:divBdr>
            <w:top w:val="none" w:sz="0" w:space="0" w:color="auto"/>
            <w:left w:val="none" w:sz="0" w:space="0" w:color="auto"/>
            <w:bottom w:val="none" w:sz="0" w:space="0" w:color="auto"/>
            <w:right w:val="none" w:sz="0" w:space="0" w:color="auto"/>
          </w:divBdr>
        </w:div>
        <w:div w:id="220020420">
          <w:marLeft w:val="0"/>
          <w:marRight w:val="0"/>
          <w:marTop w:val="0"/>
          <w:marBottom w:val="0"/>
          <w:divBdr>
            <w:top w:val="none" w:sz="0" w:space="0" w:color="auto"/>
            <w:left w:val="none" w:sz="0" w:space="0" w:color="auto"/>
            <w:bottom w:val="none" w:sz="0" w:space="0" w:color="auto"/>
            <w:right w:val="none" w:sz="0" w:space="0" w:color="auto"/>
          </w:divBdr>
        </w:div>
      </w:divsChild>
    </w:div>
    <w:div w:id="1982297668">
      <w:bodyDiv w:val="1"/>
      <w:marLeft w:val="0"/>
      <w:marRight w:val="0"/>
      <w:marTop w:val="0"/>
      <w:marBottom w:val="0"/>
      <w:divBdr>
        <w:top w:val="none" w:sz="0" w:space="0" w:color="auto"/>
        <w:left w:val="none" w:sz="0" w:space="0" w:color="auto"/>
        <w:bottom w:val="none" w:sz="0" w:space="0" w:color="auto"/>
        <w:right w:val="none" w:sz="0" w:space="0" w:color="auto"/>
      </w:divBdr>
    </w:div>
    <w:div w:id="1984038482">
      <w:bodyDiv w:val="1"/>
      <w:marLeft w:val="0"/>
      <w:marRight w:val="0"/>
      <w:marTop w:val="0"/>
      <w:marBottom w:val="0"/>
      <w:divBdr>
        <w:top w:val="none" w:sz="0" w:space="0" w:color="auto"/>
        <w:left w:val="none" w:sz="0" w:space="0" w:color="auto"/>
        <w:bottom w:val="none" w:sz="0" w:space="0" w:color="auto"/>
        <w:right w:val="none" w:sz="0" w:space="0" w:color="auto"/>
      </w:divBdr>
    </w:div>
    <w:div w:id="2009868704">
      <w:bodyDiv w:val="1"/>
      <w:marLeft w:val="0"/>
      <w:marRight w:val="0"/>
      <w:marTop w:val="0"/>
      <w:marBottom w:val="0"/>
      <w:divBdr>
        <w:top w:val="none" w:sz="0" w:space="0" w:color="auto"/>
        <w:left w:val="none" w:sz="0" w:space="0" w:color="auto"/>
        <w:bottom w:val="none" w:sz="0" w:space="0" w:color="auto"/>
        <w:right w:val="none" w:sz="0" w:space="0" w:color="auto"/>
      </w:divBdr>
    </w:div>
    <w:div w:id="2015644391">
      <w:bodyDiv w:val="1"/>
      <w:marLeft w:val="0"/>
      <w:marRight w:val="0"/>
      <w:marTop w:val="0"/>
      <w:marBottom w:val="0"/>
      <w:divBdr>
        <w:top w:val="none" w:sz="0" w:space="0" w:color="auto"/>
        <w:left w:val="none" w:sz="0" w:space="0" w:color="auto"/>
        <w:bottom w:val="none" w:sz="0" w:space="0" w:color="auto"/>
        <w:right w:val="none" w:sz="0" w:space="0" w:color="auto"/>
      </w:divBdr>
    </w:div>
    <w:div w:id="2022316604">
      <w:bodyDiv w:val="1"/>
      <w:marLeft w:val="0"/>
      <w:marRight w:val="0"/>
      <w:marTop w:val="0"/>
      <w:marBottom w:val="0"/>
      <w:divBdr>
        <w:top w:val="none" w:sz="0" w:space="0" w:color="auto"/>
        <w:left w:val="none" w:sz="0" w:space="0" w:color="auto"/>
        <w:bottom w:val="none" w:sz="0" w:space="0" w:color="auto"/>
        <w:right w:val="none" w:sz="0" w:space="0" w:color="auto"/>
      </w:divBdr>
      <w:divsChild>
        <w:div w:id="993410996">
          <w:marLeft w:val="0"/>
          <w:marRight w:val="0"/>
          <w:marTop w:val="330"/>
          <w:marBottom w:val="330"/>
          <w:divBdr>
            <w:top w:val="none" w:sz="0" w:space="0" w:color="auto"/>
            <w:left w:val="none" w:sz="0" w:space="0" w:color="auto"/>
            <w:bottom w:val="none" w:sz="0" w:space="0" w:color="auto"/>
            <w:right w:val="none" w:sz="0" w:space="0" w:color="auto"/>
          </w:divBdr>
          <w:divsChild>
            <w:div w:id="170432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5285">
      <w:bodyDiv w:val="1"/>
      <w:marLeft w:val="0"/>
      <w:marRight w:val="0"/>
      <w:marTop w:val="0"/>
      <w:marBottom w:val="0"/>
      <w:divBdr>
        <w:top w:val="none" w:sz="0" w:space="0" w:color="auto"/>
        <w:left w:val="none" w:sz="0" w:space="0" w:color="auto"/>
        <w:bottom w:val="none" w:sz="0" w:space="0" w:color="auto"/>
        <w:right w:val="none" w:sz="0" w:space="0" w:color="auto"/>
      </w:divBdr>
      <w:divsChild>
        <w:div w:id="1975014271">
          <w:marLeft w:val="979"/>
          <w:marRight w:val="0"/>
          <w:marTop w:val="60"/>
          <w:marBottom w:val="0"/>
          <w:divBdr>
            <w:top w:val="none" w:sz="0" w:space="0" w:color="auto"/>
            <w:left w:val="none" w:sz="0" w:space="0" w:color="auto"/>
            <w:bottom w:val="none" w:sz="0" w:space="0" w:color="auto"/>
            <w:right w:val="none" w:sz="0" w:space="0" w:color="auto"/>
          </w:divBdr>
        </w:div>
        <w:div w:id="687415379">
          <w:marLeft w:val="979"/>
          <w:marRight w:val="0"/>
          <w:marTop w:val="60"/>
          <w:marBottom w:val="0"/>
          <w:divBdr>
            <w:top w:val="none" w:sz="0" w:space="0" w:color="auto"/>
            <w:left w:val="none" w:sz="0" w:space="0" w:color="auto"/>
            <w:bottom w:val="none" w:sz="0" w:space="0" w:color="auto"/>
            <w:right w:val="none" w:sz="0" w:space="0" w:color="auto"/>
          </w:divBdr>
        </w:div>
        <w:div w:id="1723554873">
          <w:marLeft w:val="979"/>
          <w:marRight w:val="0"/>
          <w:marTop w:val="60"/>
          <w:marBottom w:val="0"/>
          <w:divBdr>
            <w:top w:val="none" w:sz="0" w:space="0" w:color="auto"/>
            <w:left w:val="none" w:sz="0" w:space="0" w:color="auto"/>
            <w:bottom w:val="none" w:sz="0" w:space="0" w:color="auto"/>
            <w:right w:val="none" w:sz="0" w:space="0" w:color="auto"/>
          </w:divBdr>
        </w:div>
        <w:div w:id="953823428">
          <w:marLeft w:val="979"/>
          <w:marRight w:val="0"/>
          <w:marTop w:val="60"/>
          <w:marBottom w:val="0"/>
          <w:divBdr>
            <w:top w:val="none" w:sz="0" w:space="0" w:color="auto"/>
            <w:left w:val="none" w:sz="0" w:space="0" w:color="auto"/>
            <w:bottom w:val="none" w:sz="0" w:space="0" w:color="auto"/>
            <w:right w:val="none" w:sz="0" w:space="0" w:color="auto"/>
          </w:divBdr>
        </w:div>
        <w:div w:id="2136636475">
          <w:marLeft w:val="979"/>
          <w:marRight w:val="0"/>
          <w:marTop w:val="60"/>
          <w:marBottom w:val="0"/>
          <w:divBdr>
            <w:top w:val="none" w:sz="0" w:space="0" w:color="auto"/>
            <w:left w:val="none" w:sz="0" w:space="0" w:color="auto"/>
            <w:bottom w:val="none" w:sz="0" w:space="0" w:color="auto"/>
            <w:right w:val="none" w:sz="0" w:space="0" w:color="auto"/>
          </w:divBdr>
        </w:div>
        <w:div w:id="1195146942">
          <w:marLeft w:val="979"/>
          <w:marRight w:val="0"/>
          <w:marTop w:val="60"/>
          <w:marBottom w:val="0"/>
          <w:divBdr>
            <w:top w:val="none" w:sz="0" w:space="0" w:color="auto"/>
            <w:left w:val="none" w:sz="0" w:space="0" w:color="auto"/>
            <w:bottom w:val="none" w:sz="0" w:space="0" w:color="auto"/>
            <w:right w:val="none" w:sz="0" w:space="0" w:color="auto"/>
          </w:divBdr>
        </w:div>
      </w:divsChild>
    </w:div>
    <w:div w:id="2028866408">
      <w:bodyDiv w:val="1"/>
      <w:marLeft w:val="0"/>
      <w:marRight w:val="0"/>
      <w:marTop w:val="0"/>
      <w:marBottom w:val="0"/>
      <w:divBdr>
        <w:top w:val="none" w:sz="0" w:space="0" w:color="auto"/>
        <w:left w:val="none" w:sz="0" w:space="0" w:color="auto"/>
        <w:bottom w:val="none" w:sz="0" w:space="0" w:color="auto"/>
        <w:right w:val="none" w:sz="0" w:space="0" w:color="auto"/>
      </w:divBdr>
    </w:div>
    <w:div w:id="2033145373">
      <w:bodyDiv w:val="1"/>
      <w:marLeft w:val="0"/>
      <w:marRight w:val="0"/>
      <w:marTop w:val="0"/>
      <w:marBottom w:val="0"/>
      <w:divBdr>
        <w:top w:val="none" w:sz="0" w:space="0" w:color="auto"/>
        <w:left w:val="none" w:sz="0" w:space="0" w:color="auto"/>
        <w:bottom w:val="none" w:sz="0" w:space="0" w:color="auto"/>
        <w:right w:val="none" w:sz="0" w:space="0" w:color="auto"/>
      </w:divBdr>
      <w:divsChild>
        <w:div w:id="1670403057">
          <w:marLeft w:val="0"/>
          <w:marRight w:val="0"/>
          <w:marTop w:val="330"/>
          <w:marBottom w:val="330"/>
          <w:divBdr>
            <w:top w:val="none" w:sz="0" w:space="0" w:color="auto"/>
            <w:left w:val="none" w:sz="0" w:space="0" w:color="auto"/>
            <w:bottom w:val="none" w:sz="0" w:space="0" w:color="auto"/>
            <w:right w:val="none" w:sz="0" w:space="0" w:color="auto"/>
          </w:divBdr>
          <w:divsChild>
            <w:div w:id="11063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895547">
      <w:bodyDiv w:val="1"/>
      <w:marLeft w:val="0"/>
      <w:marRight w:val="0"/>
      <w:marTop w:val="0"/>
      <w:marBottom w:val="0"/>
      <w:divBdr>
        <w:top w:val="none" w:sz="0" w:space="0" w:color="auto"/>
        <w:left w:val="none" w:sz="0" w:space="0" w:color="auto"/>
        <w:bottom w:val="none" w:sz="0" w:space="0" w:color="auto"/>
        <w:right w:val="none" w:sz="0" w:space="0" w:color="auto"/>
      </w:divBdr>
      <w:divsChild>
        <w:div w:id="1859932080">
          <w:marLeft w:val="576"/>
          <w:marRight w:val="0"/>
          <w:marTop w:val="60"/>
          <w:marBottom w:val="0"/>
          <w:divBdr>
            <w:top w:val="none" w:sz="0" w:space="0" w:color="auto"/>
            <w:left w:val="none" w:sz="0" w:space="0" w:color="auto"/>
            <w:bottom w:val="none" w:sz="0" w:space="0" w:color="auto"/>
            <w:right w:val="none" w:sz="0" w:space="0" w:color="auto"/>
          </w:divBdr>
        </w:div>
        <w:div w:id="2127040949">
          <w:marLeft w:val="576"/>
          <w:marRight w:val="0"/>
          <w:marTop w:val="60"/>
          <w:marBottom w:val="0"/>
          <w:divBdr>
            <w:top w:val="none" w:sz="0" w:space="0" w:color="auto"/>
            <w:left w:val="none" w:sz="0" w:space="0" w:color="auto"/>
            <w:bottom w:val="none" w:sz="0" w:space="0" w:color="auto"/>
            <w:right w:val="none" w:sz="0" w:space="0" w:color="auto"/>
          </w:divBdr>
        </w:div>
        <w:div w:id="828330322">
          <w:marLeft w:val="576"/>
          <w:marRight w:val="0"/>
          <w:marTop w:val="60"/>
          <w:marBottom w:val="0"/>
          <w:divBdr>
            <w:top w:val="none" w:sz="0" w:space="0" w:color="auto"/>
            <w:left w:val="none" w:sz="0" w:space="0" w:color="auto"/>
            <w:bottom w:val="none" w:sz="0" w:space="0" w:color="auto"/>
            <w:right w:val="none" w:sz="0" w:space="0" w:color="auto"/>
          </w:divBdr>
        </w:div>
        <w:div w:id="84225440">
          <w:marLeft w:val="576"/>
          <w:marRight w:val="0"/>
          <w:marTop w:val="60"/>
          <w:marBottom w:val="0"/>
          <w:divBdr>
            <w:top w:val="none" w:sz="0" w:space="0" w:color="auto"/>
            <w:left w:val="none" w:sz="0" w:space="0" w:color="auto"/>
            <w:bottom w:val="none" w:sz="0" w:space="0" w:color="auto"/>
            <w:right w:val="none" w:sz="0" w:space="0" w:color="auto"/>
          </w:divBdr>
        </w:div>
        <w:div w:id="298535714">
          <w:marLeft w:val="576"/>
          <w:marRight w:val="0"/>
          <w:marTop w:val="60"/>
          <w:marBottom w:val="0"/>
          <w:divBdr>
            <w:top w:val="none" w:sz="0" w:space="0" w:color="auto"/>
            <w:left w:val="none" w:sz="0" w:space="0" w:color="auto"/>
            <w:bottom w:val="none" w:sz="0" w:space="0" w:color="auto"/>
            <w:right w:val="none" w:sz="0" w:space="0" w:color="auto"/>
          </w:divBdr>
        </w:div>
      </w:divsChild>
    </w:div>
    <w:div w:id="2050110612">
      <w:bodyDiv w:val="1"/>
      <w:marLeft w:val="0"/>
      <w:marRight w:val="0"/>
      <w:marTop w:val="0"/>
      <w:marBottom w:val="0"/>
      <w:divBdr>
        <w:top w:val="none" w:sz="0" w:space="0" w:color="auto"/>
        <w:left w:val="none" w:sz="0" w:space="0" w:color="auto"/>
        <w:bottom w:val="none" w:sz="0" w:space="0" w:color="auto"/>
        <w:right w:val="none" w:sz="0" w:space="0" w:color="auto"/>
      </w:divBdr>
      <w:divsChild>
        <w:div w:id="532689860">
          <w:marLeft w:val="0"/>
          <w:marRight w:val="0"/>
          <w:marTop w:val="0"/>
          <w:marBottom w:val="0"/>
          <w:divBdr>
            <w:top w:val="none" w:sz="0" w:space="0" w:color="auto"/>
            <w:left w:val="none" w:sz="0" w:space="0" w:color="auto"/>
            <w:bottom w:val="none" w:sz="0" w:space="0" w:color="auto"/>
            <w:right w:val="none" w:sz="0" w:space="0" w:color="auto"/>
          </w:divBdr>
          <w:divsChild>
            <w:div w:id="1315908422">
              <w:marLeft w:val="0"/>
              <w:marRight w:val="0"/>
              <w:marTop w:val="0"/>
              <w:marBottom w:val="0"/>
              <w:divBdr>
                <w:top w:val="none" w:sz="0" w:space="0" w:color="auto"/>
                <w:left w:val="none" w:sz="0" w:space="0" w:color="auto"/>
                <w:bottom w:val="none" w:sz="0" w:space="0" w:color="auto"/>
                <w:right w:val="none" w:sz="0" w:space="0" w:color="auto"/>
              </w:divBdr>
              <w:divsChild>
                <w:div w:id="2125883324">
                  <w:marLeft w:val="0"/>
                  <w:marRight w:val="0"/>
                  <w:marTop w:val="0"/>
                  <w:marBottom w:val="375"/>
                  <w:divBdr>
                    <w:top w:val="none" w:sz="0" w:space="0" w:color="auto"/>
                    <w:left w:val="none" w:sz="0" w:space="0" w:color="auto"/>
                    <w:bottom w:val="none" w:sz="0" w:space="0" w:color="auto"/>
                    <w:right w:val="none" w:sz="0" w:space="0" w:color="auto"/>
                  </w:divBdr>
                  <w:divsChild>
                    <w:div w:id="783379800">
                      <w:marLeft w:val="0"/>
                      <w:marRight w:val="0"/>
                      <w:marTop w:val="0"/>
                      <w:marBottom w:val="0"/>
                      <w:divBdr>
                        <w:top w:val="none" w:sz="0" w:space="0" w:color="auto"/>
                        <w:left w:val="none" w:sz="0" w:space="0" w:color="auto"/>
                        <w:bottom w:val="none" w:sz="0" w:space="0" w:color="auto"/>
                        <w:right w:val="none" w:sz="0" w:space="0" w:color="auto"/>
                      </w:divBdr>
                      <w:divsChild>
                        <w:div w:id="604507241">
                          <w:marLeft w:val="0"/>
                          <w:marRight w:val="0"/>
                          <w:marTop w:val="0"/>
                          <w:marBottom w:val="0"/>
                          <w:divBdr>
                            <w:top w:val="none" w:sz="0" w:space="0" w:color="auto"/>
                            <w:left w:val="none" w:sz="0" w:space="0" w:color="auto"/>
                            <w:bottom w:val="none" w:sz="0" w:space="0" w:color="auto"/>
                            <w:right w:val="none" w:sz="0" w:space="0" w:color="auto"/>
                          </w:divBdr>
                          <w:divsChild>
                            <w:div w:id="23291815">
                              <w:marLeft w:val="0"/>
                              <w:marRight w:val="0"/>
                              <w:marTop w:val="0"/>
                              <w:marBottom w:val="0"/>
                              <w:divBdr>
                                <w:top w:val="none" w:sz="0" w:space="0" w:color="auto"/>
                                <w:left w:val="none" w:sz="0" w:space="0" w:color="auto"/>
                                <w:bottom w:val="none" w:sz="0" w:space="0" w:color="auto"/>
                                <w:right w:val="none" w:sz="0" w:space="0" w:color="auto"/>
                              </w:divBdr>
                              <w:divsChild>
                                <w:div w:id="680739244">
                                  <w:marLeft w:val="0"/>
                                  <w:marRight w:val="0"/>
                                  <w:marTop w:val="0"/>
                                  <w:marBottom w:val="0"/>
                                  <w:divBdr>
                                    <w:top w:val="none" w:sz="0" w:space="0" w:color="auto"/>
                                    <w:left w:val="none" w:sz="0" w:space="0" w:color="auto"/>
                                    <w:bottom w:val="none" w:sz="0" w:space="0" w:color="auto"/>
                                    <w:right w:val="none" w:sz="0" w:space="0" w:color="auto"/>
                                  </w:divBdr>
                                  <w:divsChild>
                                    <w:div w:id="511460471">
                                      <w:marLeft w:val="0"/>
                                      <w:marRight w:val="0"/>
                                      <w:marTop w:val="0"/>
                                      <w:marBottom w:val="0"/>
                                      <w:divBdr>
                                        <w:top w:val="none" w:sz="0" w:space="0" w:color="auto"/>
                                        <w:left w:val="none" w:sz="0" w:space="0" w:color="auto"/>
                                        <w:bottom w:val="none" w:sz="0" w:space="0" w:color="auto"/>
                                        <w:right w:val="none" w:sz="0" w:space="0" w:color="auto"/>
                                      </w:divBdr>
                                      <w:divsChild>
                                        <w:div w:id="1307398687">
                                          <w:marLeft w:val="150"/>
                                          <w:marRight w:val="150"/>
                                          <w:marTop w:val="0"/>
                                          <w:marBottom w:val="0"/>
                                          <w:divBdr>
                                            <w:top w:val="none" w:sz="0" w:space="0" w:color="auto"/>
                                            <w:left w:val="none" w:sz="0" w:space="0" w:color="auto"/>
                                            <w:bottom w:val="none" w:sz="0" w:space="0" w:color="auto"/>
                                            <w:right w:val="none" w:sz="0" w:space="0" w:color="auto"/>
                                          </w:divBdr>
                                          <w:divsChild>
                                            <w:div w:id="346712784">
                                              <w:marLeft w:val="0"/>
                                              <w:marRight w:val="0"/>
                                              <w:marTop w:val="0"/>
                                              <w:marBottom w:val="0"/>
                                              <w:divBdr>
                                                <w:top w:val="single" w:sz="6" w:space="0" w:color="E7E1CE"/>
                                                <w:left w:val="single" w:sz="6" w:space="0" w:color="E7E1CE"/>
                                                <w:bottom w:val="single" w:sz="6" w:space="0" w:color="E7E1CE"/>
                                                <w:right w:val="single" w:sz="6" w:space="0" w:color="E7E1CE"/>
                                              </w:divBdr>
                                              <w:divsChild>
                                                <w:div w:id="1251698809">
                                                  <w:marLeft w:val="0"/>
                                                  <w:marRight w:val="0"/>
                                                  <w:marTop w:val="0"/>
                                                  <w:marBottom w:val="0"/>
                                                  <w:divBdr>
                                                    <w:top w:val="none" w:sz="0" w:space="0" w:color="auto"/>
                                                    <w:left w:val="none" w:sz="0" w:space="0" w:color="auto"/>
                                                    <w:bottom w:val="none" w:sz="0" w:space="0" w:color="auto"/>
                                                    <w:right w:val="none" w:sz="0" w:space="0" w:color="auto"/>
                                                  </w:divBdr>
                                                  <w:divsChild>
                                                    <w:div w:id="1852602378">
                                                      <w:marLeft w:val="0"/>
                                                      <w:marRight w:val="0"/>
                                                      <w:marTop w:val="0"/>
                                                      <w:marBottom w:val="0"/>
                                                      <w:divBdr>
                                                        <w:top w:val="none" w:sz="0" w:space="0" w:color="auto"/>
                                                        <w:left w:val="none" w:sz="0" w:space="0" w:color="auto"/>
                                                        <w:bottom w:val="none" w:sz="0" w:space="0" w:color="auto"/>
                                                        <w:right w:val="none" w:sz="0" w:space="0" w:color="auto"/>
                                                      </w:divBdr>
                                                      <w:divsChild>
                                                        <w:div w:id="1946695366">
                                                          <w:marLeft w:val="0"/>
                                                          <w:marRight w:val="0"/>
                                                          <w:marTop w:val="0"/>
                                                          <w:marBottom w:val="0"/>
                                                          <w:divBdr>
                                                            <w:top w:val="none" w:sz="0" w:space="0" w:color="auto"/>
                                                            <w:left w:val="none" w:sz="0" w:space="0" w:color="auto"/>
                                                            <w:bottom w:val="none" w:sz="0" w:space="0" w:color="auto"/>
                                                            <w:right w:val="none" w:sz="0" w:space="0" w:color="auto"/>
                                                          </w:divBdr>
                                                          <w:divsChild>
                                                            <w:div w:id="2021807506">
                                                              <w:marLeft w:val="0"/>
                                                              <w:marRight w:val="0"/>
                                                              <w:marTop w:val="0"/>
                                                              <w:marBottom w:val="0"/>
                                                              <w:divBdr>
                                                                <w:top w:val="none" w:sz="0" w:space="0" w:color="auto"/>
                                                                <w:left w:val="none" w:sz="0" w:space="0" w:color="auto"/>
                                                                <w:bottom w:val="none" w:sz="0" w:space="0" w:color="auto"/>
                                                                <w:right w:val="none" w:sz="0" w:space="0" w:color="auto"/>
                                                              </w:divBdr>
                                                              <w:divsChild>
                                                                <w:div w:id="1692224977">
                                                                  <w:marLeft w:val="0"/>
                                                                  <w:marRight w:val="0"/>
                                                                  <w:marTop w:val="0"/>
                                                                  <w:marBottom w:val="0"/>
                                                                  <w:divBdr>
                                                                    <w:top w:val="none" w:sz="0" w:space="0" w:color="auto"/>
                                                                    <w:left w:val="none" w:sz="0" w:space="0" w:color="auto"/>
                                                                    <w:bottom w:val="none" w:sz="0" w:space="0" w:color="auto"/>
                                                                    <w:right w:val="none" w:sz="0" w:space="0" w:color="auto"/>
                                                                  </w:divBdr>
                                                                  <w:divsChild>
                                                                    <w:div w:id="178129136">
                                                                      <w:marLeft w:val="0"/>
                                                                      <w:marRight w:val="0"/>
                                                                      <w:marTop w:val="0"/>
                                                                      <w:marBottom w:val="0"/>
                                                                      <w:divBdr>
                                                                        <w:top w:val="none" w:sz="0" w:space="0" w:color="auto"/>
                                                                        <w:left w:val="none" w:sz="0" w:space="0" w:color="auto"/>
                                                                        <w:bottom w:val="none" w:sz="0" w:space="0" w:color="auto"/>
                                                                        <w:right w:val="none" w:sz="0" w:space="0" w:color="auto"/>
                                                                      </w:divBdr>
                                                                      <w:divsChild>
                                                                        <w:div w:id="647712333">
                                                                          <w:marLeft w:val="0"/>
                                                                          <w:marRight w:val="0"/>
                                                                          <w:marTop w:val="0"/>
                                                                          <w:marBottom w:val="0"/>
                                                                          <w:divBdr>
                                                                            <w:top w:val="none" w:sz="0" w:space="0" w:color="auto"/>
                                                                            <w:left w:val="none" w:sz="0" w:space="0" w:color="auto"/>
                                                                            <w:bottom w:val="none" w:sz="0" w:space="0" w:color="auto"/>
                                                                            <w:right w:val="none" w:sz="0" w:space="0" w:color="auto"/>
                                                                          </w:divBdr>
                                                                          <w:divsChild>
                                                                            <w:div w:id="1614291578">
                                                                              <w:marLeft w:val="0"/>
                                                                              <w:marRight w:val="0"/>
                                                                              <w:marTop w:val="0"/>
                                                                              <w:marBottom w:val="0"/>
                                                                              <w:divBdr>
                                                                                <w:top w:val="none" w:sz="0" w:space="0" w:color="auto"/>
                                                                                <w:left w:val="none" w:sz="0" w:space="0" w:color="auto"/>
                                                                                <w:bottom w:val="none" w:sz="0" w:space="0" w:color="auto"/>
                                                                                <w:right w:val="none" w:sz="0" w:space="0" w:color="auto"/>
                                                                              </w:divBdr>
                                                                              <w:divsChild>
                                                                                <w:div w:id="1602104149">
                                                                                  <w:marLeft w:val="0"/>
                                                                                  <w:marRight w:val="0"/>
                                                                                  <w:marTop w:val="0"/>
                                                                                  <w:marBottom w:val="0"/>
                                                                                  <w:divBdr>
                                                                                    <w:top w:val="none" w:sz="0" w:space="0" w:color="auto"/>
                                                                                    <w:left w:val="none" w:sz="0" w:space="0" w:color="auto"/>
                                                                                    <w:bottom w:val="none" w:sz="0" w:space="0" w:color="auto"/>
                                                                                    <w:right w:val="none" w:sz="0" w:space="0" w:color="auto"/>
                                                                                  </w:divBdr>
                                                                                  <w:divsChild>
                                                                                    <w:div w:id="9374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4964994">
      <w:bodyDiv w:val="1"/>
      <w:marLeft w:val="0"/>
      <w:marRight w:val="0"/>
      <w:marTop w:val="0"/>
      <w:marBottom w:val="0"/>
      <w:divBdr>
        <w:top w:val="none" w:sz="0" w:space="0" w:color="auto"/>
        <w:left w:val="none" w:sz="0" w:space="0" w:color="auto"/>
        <w:bottom w:val="none" w:sz="0" w:space="0" w:color="auto"/>
        <w:right w:val="none" w:sz="0" w:space="0" w:color="auto"/>
      </w:divBdr>
    </w:div>
    <w:div w:id="2082018421">
      <w:bodyDiv w:val="1"/>
      <w:marLeft w:val="0"/>
      <w:marRight w:val="0"/>
      <w:marTop w:val="0"/>
      <w:marBottom w:val="0"/>
      <w:divBdr>
        <w:top w:val="none" w:sz="0" w:space="0" w:color="auto"/>
        <w:left w:val="none" w:sz="0" w:space="0" w:color="auto"/>
        <w:bottom w:val="none" w:sz="0" w:space="0" w:color="auto"/>
        <w:right w:val="none" w:sz="0" w:space="0" w:color="auto"/>
      </w:divBdr>
      <w:divsChild>
        <w:div w:id="337461524">
          <w:marLeft w:val="0"/>
          <w:marRight w:val="0"/>
          <w:marTop w:val="0"/>
          <w:marBottom w:val="0"/>
          <w:divBdr>
            <w:top w:val="none" w:sz="0" w:space="0" w:color="auto"/>
            <w:left w:val="none" w:sz="0" w:space="0" w:color="auto"/>
            <w:bottom w:val="none" w:sz="0" w:space="0" w:color="auto"/>
            <w:right w:val="none" w:sz="0" w:space="0" w:color="auto"/>
          </w:divBdr>
        </w:div>
        <w:div w:id="846597463">
          <w:marLeft w:val="0"/>
          <w:marRight w:val="0"/>
          <w:marTop w:val="0"/>
          <w:marBottom w:val="0"/>
          <w:divBdr>
            <w:top w:val="none" w:sz="0" w:space="0" w:color="auto"/>
            <w:left w:val="none" w:sz="0" w:space="0" w:color="auto"/>
            <w:bottom w:val="none" w:sz="0" w:space="0" w:color="auto"/>
            <w:right w:val="none" w:sz="0" w:space="0" w:color="auto"/>
          </w:divBdr>
        </w:div>
        <w:div w:id="1253515436">
          <w:marLeft w:val="0"/>
          <w:marRight w:val="0"/>
          <w:marTop w:val="0"/>
          <w:marBottom w:val="0"/>
          <w:divBdr>
            <w:top w:val="none" w:sz="0" w:space="0" w:color="auto"/>
            <w:left w:val="none" w:sz="0" w:space="0" w:color="auto"/>
            <w:bottom w:val="none" w:sz="0" w:space="0" w:color="auto"/>
            <w:right w:val="none" w:sz="0" w:space="0" w:color="auto"/>
          </w:divBdr>
        </w:div>
      </w:divsChild>
    </w:div>
    <w:div w:id="2101946500">
      <w:bodyDiv w:val="1"/>
      <w:marLeft w:val="0"/>
      <w:marRight w:val="0"/>
      <w:marTop w:val="0"/>
      <w:marBottom w:val="0"/>
      <w:divBdr>
        <w:top w:val="none" w:sz="0" w:space="0" w:color="auto"/>
        <w:left w:val="none" w:sz="0" w:space="0" w:color="auto"/>
        <w:bottom w:val="none" w:sz="0" w:space="0" w:color="auto"/>
        <w:right w:val="none" w:sz="0" w:space="0" w:color="auto"/>
      </w:divBdr>
    </w:div>
    <w:div w:id="2111461838">
      <w:bodyDiv w:val="1"/>
      <w:marLeft w:val="0"/>
      <w:marRight w:val="0"/>
      <w:marTop w:val="0"/>
      <w:marBottom w:val="0"/>
      <w:divBdr>
        <w:top w:val="none" w:sz="0" w:space="0" w:color="auto"/>
        <w:left w:val="none" w:sz="0" w:space="0" w:color="auto"/>
        <w:bottom w:val="none" w:sz="0" w:space="0" w:color="auto"/>
        <w:right w:val="none" w:sz="0" w:space="0" w:color="auto"/>
      </w:divBdr>
    </w:div>
    <w:div w:id="2116361949">
      <w:bodyDiv w:val="1"/>
      <w:marLeft w:val="0"/>
      <w:marRight w:val="0"/>
      <w:marTop w:val="0"/>
      <w:marBottom w:val="0"/>
      <w:divBdr>
        <w:top w:val="none" w:sz="0" w:space="0" w:color="auto"/>
        <w:left w:val="none" w:sz="0" w:space="0" w:color="auto"/>
        <w:bottom w:val="none" w:sz="0" w:space="0" w:color="auto"/>
        <w:right w:val="none" w:sz="0" w:space="0" w:color="auto"/>
      </w:divBdr>
      <w:divsChild>
        <w:div w:id="686171957">
          <w:blockQuote w:val="1"/>
          <w:marLeft w:val="600"/>
          <w:marRight w:val="0"/>
          <w:marTop w:val="0"/>
          <w:marBottom w:val="0"/>
          <w:divBdr>
            <w:top w:val="none" w:sz="0" w:space="0" w:color="auto"/>
            <w:left w:val="none" w:sz="0" w:space="0" w:color="auto"/>
            <w:bottom w:val="none" w:sz="0" w:space="0" w:color="auto"/>
            <w:right w:val="none" w:sz="0" w:space="0" w:color="auto"/>
          </w:divBdr>
        </w:div>
        <w:div w:id="2145393055">
          <w:blockQuote w:val="1"/>
          <w:marLeft w:val="600"/>
          <w:marRight w:val="0"/>
          <w:marTop w:val="0"/>
          <w:marBottom w:val="0"/>
          <w:divBdr>
            <w:top w:val="none" w:sz="0" w:space="0" w:color="auto"/>
            <w:left w:val="none" w:sz="0" w:space="0" w:color="auto"/>
            <w:bottom w:val="none" w:sz="0" w:space="0" w:color="auto"/>
            <w:right w:val="none" w:sz="0" w:space="0" w:color="auto"/>
          </w:divBdr>
          <w:divsChild>
            <w:div w:id="1335258106">
              <w:blockQuote w:val="1"/>
              <w:marLeft w:val="600"/>
              <w:marRight w:val="0"/>
              <w:marTop w:val="0"/>
              <w:marBottom w:val="0"/>
              <w:divBdr>
                <w:top w:val="none" w:sz="0" w:space="0" w:color="auto"/>
                <w:left w:val="none" w:sz="0" w:space="0" w:color="auto"/>
                <w:bottom w:val="none" w:sz="0" w:space="0" w:color="auto"/>
                <w:right w:val="none" w:sz="0" w:space="0" w:color="auto"/>
              </w:divBdr>
              <w:divsChild>
                <w:div w:id="1047798785">
                  <w:marLeft w:val="0"/>
                  <w:marRight w:val="0"/>
                  <w:marTop w:val="0"/>
                  <w:marBottom w:val="0"/>
                  <w:divBdr>
                    <w:top w:val="none" w:sz="0" w:space="0" w:color="auto"/>
                    <w:left w:val="none" w:sz="0" w:space="0" w:color="auto"/>
                    <w:bottom w:val="none" w:sz="0" w:space="0" w:color="auto"/>
                    <w:right w:val="none" w:sz="0" w:space="0" w:color="auto"/>
                  </w:divBdr>
                </w:div>
                <w:div w:id="992294023">
                  <w:marLeft w:val="0"/>
                  <w:marRight w:val="0"/>
                  <w:marTop w:val="0"/>
                  <w:marBottom w:val="0"/>
                  <w:divBdr>
                    <w:top w:val="none" w:sz="0" w:space="0" w:color="auto"/>
                    <w:left w:val="none" w:sz="0" w:space="0" w:color="auto"/>
                    <w:bottom w:val="none" w:sz="0" w:space="0" w:color="auto"/>
                    <w:right w:val="none" w:sz="0" w:space="0" w:color="auto"/>
                  </w:divBdr>
                </w:div>
                <w:div w:id="99722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04585">
      <w:bodyDiv w:val="1"/>
      <w:marLeft w:val="0"/>
      <w:marRight w:val="0"/>
      <w:marTop w:val="0"/>
      <w:marBottom w:val="0"/>
      <w:divBdr>
        <w:top w:val="none" w:sz="0" w:space="0" w:color="auto"/>
        <w:left w:val="none" w:sz="0" w:space="0" w:color="auto"/>
        <w:bottom w:val="none" w:sz="0" w:space="0" w:color="auto"/>
        <w:right w:val="none" w:sz="0" w:space="0" w:color="auto"/>
      </w:divBdr>
    </w:div>
    <w:div w:id="2133161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hyperlink" Target="mailto:takokhakhishvili@gmail.com" TargetMode="Externa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ge.undp.org/content/georgia/en/home/operations/jobs.html"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yperlink" Target="http://www.unevaluation.org/ethicalguidelines"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undp.org/evaluation/handbook" TargetMode="External"/><Relationship Id="rId3" Type="http://schemas.openxmlformats.org/officeDocument/2006/relationships/hyperlink" Target="http://mmpafa.ge" TargetMode="External"/><Relationship Id="rId7" Type="http://schemas.openxmlformats.org/officeDocument/2006/relationships/hyperlink" Target="http://mmpafa.ge" TargetMode="External"/><Relationship Id="rId2" Type="http://schemas.openxmlformats.org/officeDocument/2006/relationships/hyperlink" Target="http://apa.gov.ge/en/protected-areas/cattestone/mtiralas-erovnuli-parkis-administracia" TargetMode="External"/><Relationship Id="rId1" Type="http://schemas.openxmlformats.org/officeDocument/2006/relationships/hyperlink" Target="http://www.ge.undp.org/content/%20georgia/en/home/projects/ajara-protected-areas.html" TargetMode="External"/><Relationship Id="rId6" Type="http://schemas.openxmlformats.org/officeDocument/2006/relationships/hyperlink" Target="http://apa.gov.ge/en/protected-areas/cattestone/mtiralas-erovnuli-parkis-administracia" TargetMode="External"/><Relationship Id="rId5" Type="http://schemas.openxmlformats.org/officeDocument/2006/relationships/hyperlink" Target="http://www.ge.undp.org/content/%20georgia/en/home/projects/ajara-protected-areas.html" TargetMode="External"/><Relationship Id="rId4" Type="http://schemas.openxmlformats.org/officeDocument/2006/relationships/hyperlink" Target="https://emea01.safelinks.protection.outlook.com/?url=https%3A%2F%2Ferc.undp.org%2Fevaluation%2Fmanagementresponses%2Fdetail%2F8509&amp;data=02%7C01%7C%7Cd4ac96798ad84d25700d08d63832179d%7Cb3e5db5e2944483799f57488ace54319%7C0%7C0%7C636758185115999184&amp;sdata=P46jXCDsFeF7uCLOF%2FngLyaLoBzndOELfpJkJPOPoQY%3D&amp;reserved=0" TargetMode="External"/><Relationship Id="rId9" Type="http://schemas.openxmlformats.org/officeDocument/2006/relationships/hyperlink" Target="http://www.thegef.org/gef/sites/thegef.org/files/documents/M2_ROtI%20Handbook.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31640-4C44-4CA7-9381-D996496C1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42374</Words>
  <Characters>241532</Characters>
  <Application>Microsoft Office Word</Application>
  <DocSecurity>0</DocSecurity>
  <Lines>2012</Lines>
  <Paragraphs>566</Paragraphs>
  <ScaleCrop>false</ScaleCrop>
  <HeadingPairs>
    <vt:vector size="2" baseType="variant">
      <vt:variant>
        <vt:lpstr>Title</vt:lpstr>
      </vt:variant>
      <vt:variant>
        <vt:i4>1</vt:i4>
      </vt:variant>
    </vt:vector>
  </HeadingPairs>
  <TitlesOfParts>
    <vt:vector size="1" baseType="lpstr">
      <vt:lpstr>Terminal Evaluation Report</vt:lpstr>
    </vt:vector>
  </TitlesOfParts>
  <Company>Microsoft</Company>
  <LinksUpToDate>false</LinksUpToDate>
  <CharactersWithSpaces>283340</CharactersWithSpaces>
  <SharedDoc>false</SharedDoc>
  <HLinks>
    <vt:vector size="366" baseType="variant">
      <vt:variant>
        <vt:i4>1310778</vt:i4>
      </vt:variant>
      <vt:variant>
        <vt:i4>362</vt:i4>
      </vt:variant>
      <vt:variant>
        <vt:i4>0</vt:i4>
      </vt:variant>
      <vt:variant>
        <vt:i4>5</vt:i4>
      </vt:variant>
      <vt:variant>
        <vt:lpwstr/>
      </vt:variant>
      <vt:variant>
        <vt:lpwstr>_Toc358440523</vt:lpwstr>
      </vt:variant>
      <vt:variant>
        <vt:i4>1310778</vt:i4>
      </vt:variant>
      <vt:variant>
        <vt:i4>356</vt:i4>
      </vt:variant>
      <vt:variant>
        <vt:i4>0</vt:i4>
      </vt:variant>
      <vt:variant>
        <vt:i4>5</vt:i4>
      </vt:variant>
      <vt:variant>
        <vt:lpwstr/>
      </vt:variant>
      <vt:variant>
        <vt:lpwstr>_Toc358440522</vt:lpwstr>
      </vt:variant>
      <vt:variant>
        <vt:i4>1310778</vt:i4>
      </vt:variant>
      <vt:variant>
        <vt:i4>350</vt:i4>
      </vt:variant>
      <vt:variant>
        <vt:i4>0</vt:i4>
      </vt:variant>
      <vt:variant>
        <vt:i4>5</vt:i4>
      </vt:variant>
      <vt:variant>
        <vt:lpwstr/>
      </vt:variant>
      <vt:variant>
        <vt:lpwstr>_Toc358440521</vt:lpwstr>
      </vt:variant>
      <vt:variant>
        <vt:i4>1310778</vt:i4>
      </vt:variant>
      <vt:variant>
        <vt:i4>344</vt:i4>
      </vt:variant>
      <vt:variant>
        <vt:i4>0</vt:i4>
      </vt:variant>
      <vt:variant>
        <vt:i4>5</vt:i4>
      </vt:variant>
      <vt:variant>
        <vt:lpwstr/>
      </vt:variant>
      <vt:variant>
        <vt:lpwstr>_Toc358440520</vt:lpwstr>
      </vt:variant>
      <vt:variant>
        <vt:i4>1507386</vt:i4>
      </vt:variant>
      <vt:variant>
        <vt:i4>338</vt:i4>
      </vt:variant>
      <vt:variant>
        <vt:i4>0</vt:i4>
      </vt:variant>
      <vt:variant>
        <vt:i4>5</vt:i4>
      </vt:variant>
      <vt:variant>
        <vt:lpwstr/>
      </vt:variant>
      <vt:variant>
        <vt:lpwstr>_Toc358440519</vt:lpwstr>
      </vt:variant>
      <vt:variant>
        <vt:i4>1507386</vt:i4>
      </vt:variant>
      <vt:variant>
        <vt:i4>332</vt:i4>
      </vt:variant>
      <vt:variant>
        <vt:i4>0</vt:i4>
      </vt:variant>
      <vt:variant>
        <vt:i4>5</vt:i4>
      </vt:variant>
      <vt:variant>
        <vt:lpwstr/>
      </vt:variant>
      <vt:variant>
        <vt:lpwstr>_Toc358440518</vt:lpwstr>
      </vt:variant>
      <vt:variant>
        <vt:i4>1507386</vt:i4>
      </vt:variant>
      <vt:variant>
        <vt:i4>326</vt:i4>
      </vt:variant>
      <vt:variant>
        <vt:i4>0</vt:i4>
      </vt:variant>
      <vt:variant>
        <vt:i4>5</vt:i4>
      </vt:variant>
      <vt:variant>
        <vt:lpwstr/>
      </vt:variant>
      <vt:variant>
        <vt:lpwstr>_Toc358440517</vt:lpwstr>
      </vt:variant>
      <vt:variant>
        <vt:i4>1507386</vt:i4>
      </vt:variant>
      <vt:variant>
        <vt:i4>320</vt:i4>
      </vt:variant>
      <vt:variant>
        <vt:i4>0</vt:i4>
      </vt:variant>
      <vt:variant>
        <vt:i4>5</vt:i4>
      </vt:variant>
      <vt:variant>
        <vt:lpwstr/>
      </vt:variant>
      <vt:variant>
        <vt:lpwstr>_Toc358440516</vt:lpwstr>
      </vt:variant>
      <vt:variant>
        <vt:i4>1507386</vt:i4>
      </vt:variant>
      <vt:variant>
        <vt:i4>314</vt:i4>
      </vt:variant>
      <vt:variant>
        <vt:i4>0</vt:i4>
      </vt:variant>
      <vt:variant>
        <vt:i4>5</vt:i4>
      </vt:variant>
      <vt:variant>
        <vt:lpwstr/>
      </vt:variant>
      <vt:variant>
        <vt:lpwstr>_Toc358440515</vt:lpwstr>
      </vt:variant>
      <vt:variant>
        <vt:i4>1507386</vt:i4>
      </vt:variant>
      <vt:variant>
        <vt:i4>308</vt:i4>
      </vt:variant>
      <vt:variant>
        <vt:i4>0</vt:i4>
      </vt:variant>
      <vt:variant>
        <vt:i4>5</vt:i4>
      </vt:variant>
      <vt:variant>
        <vt:lpwstr/>
      </vt:variant>
      <vt:variant>
        <vt:lpwstr>_Toc358440514</vt:lpwstr>
      </vt:variant>
      <vt:variant>
        <vt:i4>1507386</vt:i4>
      </vt:variant>
      <vt:variant>
        <vt:i4>302</vt:i4>
      </vt:variant>
      <vt:variant>
        <vt:i4>0</vt:i4>
      </vt:variant>
      <vt:variant>
        <vt:i4>5</vt:i4>
      </vt:variant>
      <vt:variant>
        <vt:lpwstr/>
      </vt:variant>
      <vt:variant>
        <vt:lpwstr>_Toc358440513</vt:lpwstr>
      </vt:variant>
      <vt:variant>
        <vt:i4>1507386</vt:i4>
      </vt:variant>
      <vt:variant>
        <vt:i4>296</vt:i4>
      </vt:variant>
      <vt:variant>
        <vt:i4>0</vt:i4>
      </vt:variant>
      <vt:variant>
        <vt:i4>5</vt:i4>
      </vt:variant>
      <vt:variant>
        <vt:lpwstr/>
      </vt:variant>
      <vt:variant>
        <vt:lpwstr>_Toc358440512</vt:lpwstr>
      </vt:variant>
      <vt:variant>
        <vt:i4>1507386</vt:i4>
      </vt:variant>
      <vt:variant>
        <vt:i4>290</vt:i4>
      </vt:variant>
      <vt:variant>
        <vt:i4>0</vt:i4>
      </vt:variant>
      <vt:variant>
        <vt:i4>5</vt:i4>
      </vt:variant>
      <vt:variant>
        <vt:lpwstr/>
      </vt:variant>
      <vt:variant>
        <vt:lpwstr>_Toc358440511</vt:lpwstr>
      </vt:variant>
      <vt:variant>
        <vt:i4>1507386</vt:i4>
      </vt:variant>
      <vt:variant>
        <vt:i4>284</vt:i4>
      </vt:variant>
      <vt:variant>
        <vt:i4>0</vt:i4>
      </vt:variant>
      <vt:variant>
        <vt:i4>5</vt:i4>
      </vt:variant>
      <vt:variant>
        <vt:lpwstr/>
      </vt:variant>
      <vt:variant>
        <vt:lpwstr>_Toc358440510</vt:lpwstr>
      </vt:variant>
      <vt:variant>
        <vt:i4>1441850</vt:i4>
      </vt:variant>
      <vt:variant>
        <vt:i4>278</vt:i4>
      </vt:variant>
      <vt:variant>
        <vt:i4>0</vt:i4>
      </vt:variant>
      <vt:variant>
        <vt:i4>5</vt:i4>
      </vt:variant>
      <vt:variant>
        <vt:lpwstr/>
      </vt:variant>
      <vt:variant>
        <vt:lpwstr>_Toc358440509</vt:lpwstr>
      </vt:variant>
      <vt:variant>
        <vt:i4>1441850</vt:i4>
      </vt:variant>
      <vt:variant>
        <vt:i4>272</vt:i4>
      </vt:variant>
      <vt:variant>
        <vt:i4>0</vt:i4>
      </vt:variant>
      <vt:variant>
        <vt:i4>5</vt:i4>
      </vt:variant>
      <vt:variant>
        <vt:lpwstr/>
      </vt:variant>
      <vt:variant>
        <vt:lpwstr>_Toc358440508</vt:lpwstr>
      </vt:variant>
      <vt:variant>
        <vt:i4>1441850</vt:i4>
      </vt:variant>
      <vt:variant>
        <vt:i4>266</vt:i4>
      </vt:variant>
      <vt:variant>
        <vt:i4>0</vt:i4>
      </vt:variant>
      <vt:variant>
        <vt:i4>5</vt:i4>
      </vt:variant>
      <vt:variant>
        <vt:lpwstr/>
      </vt:variant>
      <vt:variant>
        <vt:lpwstr>_Toc358440507</vt:lpwstr>
      </vt:variant>
      <vt:variant>
        <vt:i4>1441850</vt:i4>
      </vt:variant>
      <vt:variant>
        <vt:i4>260</vt:i4>
      </vt:variant>
      <vt:variant>
        <vt:i4>0</vt:i4>
      </vt:variant>
      <vt:variant>
        <vt:i4>5</vt:i4>
      </vt:variant>
      <vt:variant>
        <vt:lpwstr/>
      </vt:variant>
      <vt:variant>
        <vt:lpwstr>_Toc358440506</vt:lpwstr>
      </vt:variant>
      <vt:variant>
        <vt:i4>1441850</vt:i4>
      </vt:variant>
      <vt:variant>
        <vt:i4>254</vt:i4>
      </vt:variant>
      <vt:variant>
        <vt:i4>0</vt:i4>
      </vt:variant>
      <vt:variant>
        <vt:i4>5</vt:i4>
      </vt:variant>
      <vt:variant>
        <vt:lpwstr/>
      </vt:variant>
      <vt:variant>
        <vt:lpwstr>_Toc358440505</vt:lpwstr>
      </vt:variant>
      <vt:variant>
        <vt:i4>1441850</vt:i4>
      </vt:variant>
      <vt:variant>
        <vt:i4>248</vt:i4>
      </vt:variant>
      <vt:variant>
        <vt:i4>0</vt:i4>
      </vt:variant>
      <vt:variant>
        <vt:i4>5</vt:i4>
      </vt:variant>
      <vt:variant>
        <vt:lpwstr/>
      </vt:variant>
      <vt:variant>
        <vt:lpwstr>_Toc358440504</vt:lpwstr>
      </vt:variant>
      <vt:variant>
        <vt:i4>1441850</vt:i4>
      </vt:variant>
      <vt:variant>
        <vt:i4>242</vt:i4>
      </vt:variant>
      <vt:variant>
        <vt:i4>0</vt:i4>
      </vt:variant>
      <vt:variant>
        <vt:i4>5</vt:i4>
      </vt:variant>
      <vt:variant>
        <vt:lpwstr/>
      </vt:variant>
      <vt:variant>
        <vt:lpwstr>_Toc358440503</vt:lpwstr>
      </vt:variant>
      <vt:variant>
        <vt:i4>1441850</vt:i4>
      </vt:variant>
      <vt:variant>
        <vt:i4>236</vt:i4>
      </vt:variant>
      <vt:variant>
        <vt:i4>0</vt:i4>
      </vt:variant>
      <vt:variant>
        <vt:i4>5</vt:i4>
      </vt:variant>
      <vt:variant>
        <vt:lpwstr/>
      </vt:variant>
      <vt:variant>
        <vt:lpwstr>_Toc358440502</vt:lpwstr>
      </vt:variant>
      <vt:variant>
        <vt:i4>1441850</vt:i4>
      </vt:variant>
      <vt:variant>
        <vt:i4>230</vt:i4>
      </vt:variant>
      <vt:variant>
        <vt:i4>0</vt:i4>
      </vt:variant>
      <vt:variant>
        <vt:i4>5</vt:i4>
      </vt:variant>
      <vt:variant>
        <vt:lpwstr/>
      </vt:variant>
      <vt:variant>
        <vt:lpwstr>_Toc358440501</vt:lpwstr>
      </vt:variant>
      <vt:variant>
        <vt:i4>1441850</vt:i4>
      </vt:variant>
      <vt:variant>
        <vt:i4>224</vt:i4>
      </vt:variant>
      <vt:variant>
        <vt:i4>0</vt:i4>
      </vt:variant>
      <vt:variant>
        <vt:i4>5</vt:i4>
      </vt:variant>
      <vt:variant>
        <vt:lpwstr/>
      </vt:variant>
      <vt:variant>
        <vt:lpwstr>_Toc358440500</vt:lpwstr>
      </vt:variant>
      <vt:variant>
        <vt:i4>2031675</vt:i4>
      </vt:variant>
      <vt:variant>
        <vt:i4>218</vt:i4>
      </vt:variant>
      <vt:variant>
        <vt:i4>0</vt:i4>
      </vt:variant>
      <vt:variant>
        <vt:i4>5</vt:i4>
      </vt:variant>
      <vt:variant>
        <vt:lpwstr/>
      </vt:variant>
      <vt:variant>
        <vt:lpwstr>_Toc358440499</vt:lpwstr>
      </vt:variant>
      <vt:variant>
        <vt:i4>2031675</vt:i4>
      </vt:variant>
      <vt:variant>
        <vt:i4>212</vt:i4>
      </vt:variant>
      <vt:variant>
        <vt:i4>0</vt:i4>
      </vt:variant>
      <vt:variant>
        <vt:i4>5</vt:i4>
      </vt:variant>
      <vt:variant>
        <vt:lpwstr/>
      </vt:variant>
      <vt:variant>
        <vt:lpwstr>_Toc358440498</vt:lpwstr>
      </vt:variant>
      <vt:variant>
        <vt:i4>2031675</vt:i4>
      </vt:variant>
      <vt:variant>
        <vt:i4>206</vt:i4>
      </vt:variant>
      <vt:variant>
        <vt:i4>0</vt:i4>
      </vt:variant>
      <vt:variant>
        <vt:i4>5</vt:i4>
      </vt:variant>
      <vt:variant>
        <vt:lpwstr/>
      </vt:variant>
      <vt:variant>
        <vt:lpwstr>_Toc358440497</vt:lpwstr>
      </vt:variant>
      <vt:variant>
        <vt:i4>2031675</vt:i4>
      </vt:variant>
      <vt:variant>
        <vt:i4>200</vt:i4>
      </vt:variant>
      <vt:variant>
        <vt:i4>0</vt:i4>
      </vt:variant>
      <vt:variant>
        <vt:i4>5</vt:i4>
      </vt:variant>
      <vt:variant>
        <vt:lpwstr/>
      </vt:variant>
      <vt:variant>
        <vt:lpwstr>_Toc358440496</vt:lpwstr>
      </vt:variant>
      <vt:variant>
        <vt:i4>2031675</vt:i4>
      </vt:variant>
      <vt:variant>
        <vt:i4>194</vt:i4>
      </vt:variant>
      <vt:variant>
        <vt:i4>0</vt:i4>
      </vt:variant>
      <vt:variant>
        <vt:i4>5</vt:i4>
      </vt:variant>
      <vt:variant>
        <vt:lpwstr/>
      </vt:variant>
      <vt:variant>
        <vt:lpwstr>_Toc358440495</vt:lpwstr>
      </vt:variant>
      <vt:variant>
        <vt:i4>2031675</vt:i4>
      </vt:variant>
      <vt:variant>
        <vt:i4>188</vt:i4>
      </vt:variant>
      <vt:variant>
        <vt:i4>0</vt:i4>
      </vt:variant>
      <vt:variant>
        <vt:i4>5</vt:i4>
      </vt:variant>
      <vt:variant>
        <vt:lpwstr/>
      </vt:variant>
      <vt:variant>
        <vt:lpwstr>_Toc358440494</vt:lpwstr>
      </vt:variant>
      <vt:variant>
        <vt:i4>2031675</vt:i4>
      </vt:variant>
      <vt:variant>
        <vt:i4>182</vt:i4>
      </vt:variant>
      <vt:variant>
        <vt:i4>0</vt:i4>
      </vt:variant>
      <vt:variant>
        <vt:i4>5</vt:i4>
      </vt:variant>
      <vt:variant>
        <vt:lpwstr/>
      </vt:variant>
      <vt:variant>
        <vt:lpwstr>_Toc358440493</vt:lpwstr>
      </vt:variant>
      <vt:variant>
        <vt:i4>2031675</vt:i4>
      </vt:variant>
      <vt:variant>
        <vt:i4>176</vt:i4>
      </vt:variant>
      <vt:variant>
        <vt:i4>0</vt:i4>
      </vt:variant>
      <vt:variant>
        <vt:i4>5</vt:i4>
      </vt:variant>
      <vt:variant>
        <vt:lpwstr/>
      </vt:variant>
      <vt:variant>
        <vt:lpwstr>_Toc358440492</vt:lpwstr>
      </vt:variant>
      <vt:variant>
        <vt:i4>2031675</vt:i4>
      </vt:variant>
      <vt:variant>
        <vt:i4>170</vt:i4>
      </vt:variant>
      <vt:variant>
        <vt:i4>0</vt:i4>
      </vt:variant>
      <vt:variant>
        <vt:i4>5</vt:i4>
      </vt:variant>
      <vt:variant>
        <vt:lpwstr/>
      </vt:variant>
      <vt:variant>
        <vt:lpwstr>_Toc358440491</vt:lpwstr>
      </vt:variant>
      <vt:variant>
        <vt:i4>2031675</vt:i4>
      </vt:variant>
      <vt:variant>
        <vt:i4>164</vt:i4>
      </vt:variant>
      <vt:variant>
        <vt:i4>0</vt:i4>
      </vt:variant>
      <vt:variant>
        <vt:i4>5</vt:i4>
      </vt:variant>
      <vt:variant>
        <vt:lpwstr/>
      </vt:variant>
      <vt:variant>
        <vt:lpwstr>_Toc358440490</vt:lpwstr>
      </vt:variant>
      <vt:variant>
        <vt:i4>1966139</vt:i4>
      </vt:variant>
      <vt:variant>
        <vt:i4>158</vt:i4>
      </vt:variant>
      <vt:variant>
        <vt:i4>0</vt:i4>
      </vt:variant>
      <vt:variant>
        <vt:i4>5</vt:i4>
      </vt:variant>
      <vt:variant>
        <vt:lpwstr/>
      </vt:variant>
      <vt:variant>
        <vt:lpwstr>_Toc358440489</vt:lpwstr>
      </vt:variant>
      <vt:variant>
        <vt:i4>1966139</vt:i4>
      </vt:variant>
      <vt:variant>
        <vt:i4>152</vt:i4>
      </vt:variant>
      <vt:variant>
        <vt:i4>0</vt:i4>
      </vt:variant>
      <vt:variant>
        <vt:i4>5</vt:i4>
      </vt:variant>
      <vt:variant>
        <vt:lpwstr/>
      </vt:variant>
      <vt:variant>
        <vt:lpwstr>_Toc358440488</vt:lpwstr>
      </vt:variant>
      <vt:variant>
        <vt:i4>1966139</vt:i4>
      </vt:variant>
      <vt:variant>
        <vt:i4>146</vt:i4>
      </vt:variant>
      <vt:variant>
        <vt:i4>0</vt:i4>
      </vt:variant>
      <vt:variant>
        <vt:i4>5</vt:i4>
      </vt:variant>
      <vt:variant>
        <vt:lpwstr/>
      </vt:variant>
      <vt:variant>
        <vt:lpwstr>_Toc358440487</vt:lpwstr>
      </vt:variant>
      <vt:variant>
        <vt:i4>1966139</vt:i4>
      </vt:variant>
      <vt:variant>
        <vt:i4>140</vt:i4>
      </vt:variant>
      <vt:variant>
        <vt:i4>0</vt:i4>
      </vt:variant>
      <vt:variant>
        <vt:i4>5</vt:i4>
      </vt:variant>
      <vt:variant>
        <vt:lpwstr/>
      </vt:variant>
      <vt:variant>
        <vt:lpwstr>_Toc358440486</vt:lpwstr>
      </vt:variant>
      <vt:variant>
        <vt:i4>1966139</vt:i4>
      </vt:variant>
      <vt:variant>
        <vt:i4>134</vt:i4>
      </vt:variant>
      <vt:variant>
        <vt:i4>0</vt:i4>
      </vt:variant>
      <vt:variant>
        <vt:i4>5</vt:i4>
      </vt:variant>
      <vt:variant>
        <vt:lpwstr/>
      </vt:variant>
      <vt:variant>
        <vt:lpwstr>_Toc358440485</vt:lpwstr>
      </vt:variant>
      <vt:variant>
        <vt:i4>1966139</vt:i4>
      </vt:variant>
      <vt:variant>
        <vt:i4>128</vt:i4>
      </vt:variant>
      <vt:variant>
        <vt:i4>0</vt:i4>
      </vt:variant>
      <vt:variant>
        <vt:i4>5</vt:i4>
      </vt:variant>
      <vt:variant>
        <vt:lpwstr/>
      </vt:variant>
      <vt:variant>
        <vt:lpwstr>_Toc358440484</vt:lpwstr>
      </vt:variant>
      <vt:variant>
        <vt:i4>1966139</vt:i4>
      </vt:variant>
      <vt:variant>
        <vt:i4>122</vt:i4>
      </vt:variant>
      <vt:variant>
        <vt:i4>0</vt:i4>
      </vt:variant>
      <vt:variant>
        <vt:i4>5</vt:i4>
      </vt:variant>
      <vt:variant>
        <vt:lpwstr/>
      </vt:variant>
      <vt:variant>
        <vt:lpwstr>_Toc358440483</vt:lpwstr>
      </vt:variant>
      <vt:variant>
        <vt:i4>1966139</vt:i4>
      </vt:variant>
      <vt:variant>
        <vt:i4>116</vt:i4>
      </vt:variant>
      <vt:variant>
        <vt:i4>0</vt:i4>
      </vt:variant>
      <vt:variant>
        <vt:i4>5</vt:i4>
      </vt:variant>
      <vt:variant>
        <vt:lpwstr/>
      </vt:variant>
      <vt:variant>
        <vt:lpwstr>_Toc358440482</vt:lpwstr>
      </vt:variant>
      <vt:variant>
        <vt:i4>1966139</vt:i4>
      </vt:variant>
      <vt:variant>
        <vt:i4>110</vt:i4>
      </vt:variant>
      <vt:variant>
        <vt:i4>0</vt:i4>
      </vt:variant>
      <vt:variant>
        <vt:i4>5</vt:i4>
      </vt:variant>
      <vt:variant>
        <vt:lpwstr/>
      </vt:variant>
      <vt:variant>
        <vt:lpwstr>_Toc358440481</vt:lpwstr>
      </vt:variant>
      <vt:variant>
        <vt:i4>1966139</vt:i4>
      </vt:variant>
      <vt:variant>
        <vt:i4>104</vt:i4>
      </vt:variant>
      <vt:variant>
        <vt:i4>0</vt:i4>
      </vt:variant>
      <vt:variant>
        <vt:i4>5</vt:i4>
      </vt:variant>
      <vt:variant>
        <vt:lpwstr/>
      </vt:variant>
      <vt:variant>
        <vt:lpwstr>_Toc358440480</vt:lpwstr>
      </vt:variant>
      <vt:variant>
        <vt:i4>1114171</vt:i4>
      </vt:variant>
      <vt:variant>
        <vt:i4>98</vt:i4>
      </vt:variant>
      <vt:variant>
        <vt:i4>0</vt:i4>
      </vt:variant>
      <vt:variant>
        <vt:i4>5</vt:i4>
      </vt:variant>
      <vt:variant>
        <vt:lpwstr/>
      </vt:variant>
      <vt:variant>
        <vt:lpwstr>_Toc358440479</vt:lpwstr>
      </vt:variant>
      <vt:variant>
        <vt:i4>1114171</vt:i4>
      </vt:variant>
      <vt:variant>
        <vt:i4>92</vt:i4>
      </vt:variant>
      <vt:variant>
        <vt:i4>0</vt:i4>
      </vt:variant>
      <vt:variant>
        <vt:i4>5</vt:i4>
      </vt:variant>
      <vt:variant>
        <vt:lpwstr/>
      </vt:variant>
      <vt:variant>
        <vt:lpwstr>_Toc358440478</vt:lpwstr>
      </vt:variant>
      <vt:variant>
        <vt:i4>1114171</vt:i4>
      </vt:variant>
      <vt:variant>
        <vt:i4>86</vt:i4>
      </vt:variant>
      <vt:variant>
        <vt:i4>0</vt:i4>
      </vt:variant>
      <vt:variant>
        <vt:i4>5</vt:i4>
      </vt:variant>
      <vt:variant>
        <vt:lpwstr/>
      </vt:variant>
      <vt:variant>
        <vt:lpwstr>_Toc358440477</vt:lpwstr>
      </vt:variant>
      <vt:variant>
        <vt:i4>1114171</vt:i4>
      </vt:variant>
      <vt:variant>
        <vt:i4>80</vt:i4>
      </vt:variant>
      <vt:variant>
        <vt:i4>0</vt:i4>
      </vt:variant>
      <vt:variant>
        <vt:i4>5</vt:i4>
      </vt:variant>
      <vt:variant>
        <vt:lpwstr/>
      </vt:variant>
      <vt:variant>
        <vt:lpwstr>_Toc358440476</vt:lpwstr>
      </vt:variant>
      <vt:variant>
        <vt:i4>1114171</vt:i4>
      </vt:variant>
      <vt:variant>
        <vt:i4>74</vt:i4>
      </vt:variant>
      <vt:variant>
        <vt:i4>0</vt:i4>
      </vt:variant>
      <vt:variant>
        <vt:i4>5</vt:i4>
      </vt:variant>
      <vt:variant>
        <vt:lpwstr/>
      </vt:variant>
      <vt:variant>
        <vt:lpwstr>_Toc358440475</vt:lpwstr>
      </vt:variant>
      <vt:variant>
        <vt:i4>1114171</vt:i4>
      </vt:variant>
      <vt:variant>
        <vt:i4>68</vt:i4>
      </vt:variant>
      <vt:variant>
        <vt:i4>0</vt:i4>
      </vt:variant>
      <vt:variant>
        <vt:i4>5</vt:i4>
      </vt:variant>
      <vt:variant>
        <vt:lpwstr/>
      </vt:variant>
      <vt:variant>
        <vt:lpwstr>_Toc358440474</vt:lpwstr>
      </vt:variant>
      <vt:variant>
        <vt:i4>1114171</vt:i4>
      </vt:variant>
      <vt:variant>
        <vt:i4>62</vt:i4>
      </vt:variant>
      <vt:variant>
        <vt:i4>0</vt:i4>
      </vt:variant>
      <vt:variant>
        <vt:i4>5</vt:i4>
      </vt:variant>
      <vt:variant>
        <vt:lpwstr/>
      </vt:variant>
      <vt:variant>
        <vt:lpwstr>_Toc358440473</vt:lpwstr>
      </vt:variant>
      <vt:variant>
        <vt:i4>1114171</vt:i4>
      </vt:variant>
      <vt:variant>
        <vt:i4>56</vt:i4>
      </vt:variant>
      <vt:variant>
        <vt:i4>0</vt:i4>
      </vt:variant>
      <vt:variant>
        <vt:i4>5</vt:i4>
      </vt:variant>
      <vt:variant>
        <vt:lpwstr/>
      </vt:variant>
      <vt:variant>
        <vt:lpwstr>_Toc358440472</vt:lpwstr>
      </vt:variant>
      <vt:variant>
        <vt:i4>1114171</vt:i4>
      </vt:variant>
      <vt:variant>
        <vt:i4>50</vt:i4>
      </vt:variant>
      <vt:variant>
        <vt:i4>0</vt:i4>
      </vt:variant>
      <vt:variant>
        <vt:i4>5</vt:i4>
      </vt:variant>
      <vt:variant>
        <vt:lpwstr/>
      </vt:variant>
      <vt:variant>
        <vt:lpwstr>_Toc358440471</vt:lpwstr>
      </vt:variant>
      <vt:variant>
        <vt:i4>1114171</vt:i4>
      </vt:variant>
      <vt:variant>
        <vt:i4>44</vt:i4>
      </vt:variant>
      <vt:variant>
        <vt:i4>0</vt:i4>
      </vt:variant>
      <vt:variant>
        <vt:i4>5</vt:i4>
      </vt:variant>
      <vt:variant>
        <vt:lpwstr/>
      </vt:variant>
      <vt:variant>
        <vt:lpwstr>_Toc358440470</vt:lpwstr>
      </vt:variant>
      <vt:variant>
        <vt:i4>1048635</vt:i4>
      </vt:variant>
      <vt:variant>
        <vt:i4>38</vt:i4>
      </vt:variant>
      <vt:variant>
        <vt:i4>0</vt:i4>
      </vt:variant>
      <vt:variant>
        <vt:i4>5</vt:i4>
      </vt:variant>
      <vt:variant>
        <vt:lpwstr/>
      </vt:variant>
      <vt:variant>
        <vt:lpwstr>_Toc358440469</vt:lpwstr>
      </vt:variant>
      <vt:variant>
        <vt:i4>1048635</vt:i4>
      </vt:variant>
      <vt:variant>
        <vt:i4>32</vt:i4>
      </vt:variant>
      <vt:variant>
        <vt:i4>0</vt:i4>
      </vt:variant>
      <vt:variant>
        <vt:i4>5</vt:i4>
      </vt:variant>
      <vt:variant>
        <vt:lpwstr/>
      </vt:variant>
      <vt:variant>
        <vt:lpwstr>_Toc358440468</vt:lpwstr>
      </vt:variant>
      <vt:variant>
        <vt:i4>1048635</vt:i4>
      </vt:variant>
      <vt:variant>
        <vt:i4>26</vt:i4>
      </vt:variant>
      <vt:variant>
        <vt:i4>0</vt:i4>
      </vt:variant>
      <vt:variant>
        <vt:i4>5</vt:i4>
      </vt:variant>
      <vt:variant>
        <vt:lpwstr/>
      </vt:variant>
      <vt:variant>
        <vt:lpwstr>_Toc358440467</vt:lpwstr>
      </vt:variant>
      <vt:variant>
        <vt:i4>1048635</vt:i4>
      </vt:variant>
      <vt:variant>
        <vt:i4>20</vt:i4>
      </vt:variant>
      <vt:variant>
        <vt:i4>0</vt:i4>
      </vt:variant>
      <vt:variant>
        <vt:i4>5</vt:i4>
      </vt:variant>
      <vt:variant>
        <vt:lpwstr/>
      </vt:variant>
      <vt:variant>
        <vt:lpwstr>_Toc358440466</vt:lpwstr>
      </vt:variant>
      <vt:variant>
        <vt:i4>1048635</vt:i4>
      </vt:variant>
      <vt:variant>
        <vt:i4>14</vt:i4>
      </vt:variant>
      <vt:variant>
        <vt:i4>0</vt:i4>
      </vt:variant>
      <vt:variant>
        <vt:i4>5</vt:i4>
      </vt:variant>
      <vt:variant>
        <vt:lpwstr/>
      </vt:variant>
      <vt:variant>
        <vt:lpwstr>_Toc358440465</vt:lpwstr>
      </vt:variant>
      <vt:variant>
        <vt:i4>1048635</vt:i4>
      </vt:variant>
      <vt:variant>
        <vt:i4>8</vt:i4>
      </vt:variant>
      <vt:variant>
        <vt:i4>0</vt:i4>
      </vt:variant>
      <vt:variant>
        <vt:i4>5</vt:i4>
      </vt:variant>
      <vt:variant>
        <vt:lpwstr/>
      </vt:variant>
      <vt:variant>
        <vt:lpwstr>_Toc358440464</vt:lpwstr>
      </vt:variant>
      <vt:variant>
        <vt:i4>1048635</vt:i4>
      </vt:variant>
      <vt:variant>
        <vt:i4>2</vt:i4>
      </vt:variant>
      <vt:variant>
        <vt:i4>0</vt:i4>
      </vt:variant>
      <vt:variant>
        <vt:i4>5</vt:i4>
      </vt:variant>
      <vt:variant>
        <vt:lpwstr/>
      </vt:variant>
      <vt:variant>
        <vt:lpwstr>_Toc358440463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Terminal Evaluation Report</dc:title>
  <dc:subject>SNC Belize PIMS 4207</dc:subject>
  <dc:creator>James Lenoci</dc:creator>
  <cp:lastModifiedBy>Khatuna Chanukvadze</cp:lastModifiedBy>
  <cp:revision>2</cp:revision>
  <cp:lastPrinted>2019-03-21T00:53:00Z</cp:lastPrinted>
  <dcterms:created xsi:type="dcterms:W3CDTF">2019-04-17T12:27:00Z</dcterms:created>
  <dcterms:modified xsi:type="dcterms:W3CDTF">2019-04-17T12:27:00Z</dcterms:modified>
</cp:coreProperties>
</file>