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CEC3" w14:textId="77777777" w:rsidR="00D6638C" w:rsidRPr="00C0295B"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color w:val="244061" w:themeColor="accent1" w:themeShade="80"/>
          <w:spacing w:val="15"/>
        </w:rPr>
      </w:pPr>
      <w:bookmarkStart w:id="0" w:name="_Toc321341546"/>
      <w:bookmarkStart w:id="1" w:name="_Toc323119582"/>
      <w:bookmarkStart w:id="2" w:name="_GoBack"/>
      <w:bookmarkEnd w:id="2"/>
      <w:r w:rsidRPr="00C0295B">
        <w:rPr>
          <w:rFonts w:ascii="Calibri" w:eastAsia="Times New Roman" w:hAnsi="Calibri" w:cs="Times New Roman"/>
          <w:caps/>
          <w:color w:val="244061" w:themeColor="accent1" w:themeShade="80"/>
          <w:spacing w:val="15"/>
        </w:rPr>
        <w:t>Terminal Evaluation Terms of Reference</w:t>
      </w:r>
      <w:bookmarkEnd w:id="0"/>
      <w:bookmarkEnd w:id="1"/>
    </w:p>
    <w:p w14:paraId="476BE708" w14:textId="77777777" w:rsidR="006C1964" w:rsidRPr="00C0295B" w:rsidRDefault="00B913F1" w:rsidP="00F05366">
      <w:pPr>
        <w:pStyle w:val="Heading51"/>
        <w:rPr>
          <w:color w:val="244061" w:themeColor="accent1" w:themeShade="80"/>
        </w:rPr>
      </w:pPr>
      <w:bookmarkStart w:id="3" w:name="_Toc299126613"/>
      <w:r w:rsidRPr="00C0295B">
        <w:rPr>
          <w:color w:val="244061" w:themeColor="accent1" w:themeShade="80"/>
        </w:rPr>
        <w:t>INTRODUCTION</w:t>
      </w:r>
    </w:p>
    <w:p w14:paraId="118AEFBB"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In accordance with UNDP and GEF M&amp;E policies and procedures, all full and medium-sized UNDP support GEF financed projects are required to undergo a terminal evaluation upon completion of implementation. </w:t>
      </w:r>
      <w:r w:rsidRPr="00C0295B">
        <w:rPr>
          <w:rFonts w:ascii="Calibri" w:eastAsia="Times New Roman" w:hAnsi="Calibri" w:cs="Times New Roman"/>
          <w:color w:val="244061" w:themeColor="accent1" w:themeShade="80"/>
          <w:sz w:val="20"/>
          <w:szCs w:val="20"/>
          <w:lang w:val="en-GB"/>
        </w:rPr>
        <w:t xml:space="preserve">These terms </w:t>
      </w:r>
      <w:r w:rsidRPr="00C0295B">
        <w:rPr>
          <w:rFonts w:ascii="Calibri" w:eastAsia="Times New Roman" w:hAnsi="Calibri" w:cs="Times New Roman"/>
          <w:color w:val="244061" w:themeColor="accent1" w:themeShade="80"/>
          <w:sz w:val="20"/>
          <w:szCs w:val="20"/>
        </w:rPr>
        <w:t xml:space="preserve">of </w:t>
      </w:r>
      <w:r w:rsidRPr="00C0295B">
        <w:rPr>
          <w:rFonts w:ascii="Calibri" w:eastAsia="Times New Roman" w:hAnsi="Calibri" w:cs="Times New Roman"/>
          <w:color w:val="244061" w:themeColor="accent1" w:themeShade="80"/>
          <w:sz w:val="20"/>
          <w:szCs w:val="20"/>
          <w:lang w:val="en-GB"/>
        </w:rPr>
        <w:t>reference</w:t>
      </w:r>
      <w:r w:rsidRPr="00C0295B">
        <w:rPr>
          <w:rFonts w:ascii="Calibri" w:eastAsia="Times New Roman" w:hAnsi="Calibri" w:cs="Times New Roman"/>
          <w:color w:val="244061" w:themeColor="accent1" w:themeShade="80"/>
          <w:sz w:val="20"/>
          <w:szCs w:val="20"/>
        </w:rPr>
        <w:t xml:space="preserve"> (TOR) sets </w:t>
      </w:r>
      <w:r w:rsidRPr="00C0295B">
        <w:rPr>
          <w:rFonts w:ascii="Calibri" w:eastAsia="Times New Roman" w:hAnsi="Calibri" w:cs="Times New Roman"/>
          <w:color w:val="244061" w:themeColor="accent1" w:themeShade="80"/>
          <w:sz w:val="20"/>
          <w:szCs w:val="20"/>
          <w:lang w:val="en-GB"/>
        </w:rPr>
        <w:t xml:space="preserve">out the </w:t>
      </w:r>
      <w:r w:rsidRPr="00C0295B">
        <w:rPr>
          <w:rFonts w:ascii="Calibri" w:eastAsia="Times New Roman" w:hAnsi="Calibri" w:cs="Times New Roman"/>
          <w:color w:val="244061" w:themeColor="accent1" w:themeShade="80"/>
          <w:sz w:val="20"/>
          <w:szCs w:val="20"/>
        </w:rPr>
        <w:t>expectations for a Terminal Evaluation (TE) of the</w:t>
      </w:r>
      <w:r w:rsidRPr="00C0295B">
        <w:rPr>
          <w:rFonts w:ascii="Calibri" w:eastAsia="Times New Roman" w:hAnsi="Calibri" w:cs="Times New Roman"/>
          <w:i/>
          <w:color w:val="244061" w:themeColor="accent1" w:themeShade="80"/>
          <w:sz w:val="20"/>
          <w:szCs w:val="20"/>
        </w:rPr>
        <w:t xml:space="preserve"> </w:t>
      </w:r>
      <w:r w:rsidR="00F83D45" w:rsidRPr="004A055D">
        <w:rPr>
          <w:rFonts w:ascii="Calibri" w:eastAsia="Times New Roman" w:hAnsi="Calibri" w:cs="Times New Roman"/>
          <w:b/>
          <w:i/>
          <w:color w:val="244061" w:themeColor="accent1" w:themeShade="80"/>
          <w:sz w:val="20"/>
          <w:szCs w:val="20"/>
          <w:highlight w:val="lightGray"/>
        </w:rPr>
        <w:t>Enhancing adaptive capacity of communities to climate change-related floods in the North Coast and Islands Region of Papua New Guinea</w:t>
      </w:r>
      <w:r w:rsidRPr="00C0295B">
        <w:rPr>
          <w:rFonts w:ascii="Calibri" w:eastAsia="Times New Roman" w:hAnsi="Calibri" w:cs="Times New Roman"/>
          <w:color w:val="244061" w:themeColor="accent1" w:themeShade="80"/>
          <w:sz w:val="20"/>
          <w:szCs w:val="20"/>
        </w:rPr>
        <w:t xml:space="preserve"> (PIMS </w:t>
      </w:r>
      <w:r w:rsidR="00F83D45" w:rsidRPr="00C0295B">
        <w:rPr>
          <w:rFonts w:ascii="Calibri" w:eastAsia="Times New Roman" w:hAnsi="Calibri" w:cs="Times New Roman"/>
          <w:color w:val="244061" w:themeColor="accent1" w:themeShade="80"/>
          <w:sz w:val="20"/>
          <w:szCs w:val="20"/>
          <w:highlight w:val="lightGray"/>
        </w:rPr>
        <w:t>4452</w:t>
      </w:r>
      <w:r w:rsidRPr="00C0295B">
        <w:rPr>
          <w:rFonts w:ascii="Calibri" w:eastAsia="Times New Roman" w:hAnsi="Calibri" w:cs="Times New Roman"/>
          <w:color w:val="244061" w:themeColor="accent1" w:themeShade="80"/>
          <w:sz w:val="20"/>
          <w:szCs w:val="20"/>
          <w:highlight w:val="lightGray"/>
        </w:rPr>
        <w:t>)</w:t>
      </w:r>
    </w:p>
    <w:p w14:paraId="1A1B99E6"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The essentials of the project to be evaluated are as follows:   </w:t>
      </w:r>
    </w:p>
    <w:p w14:paraId="2FEBD28A" w14:textId="77777777" w:rsidR="00D6638C" w:rsidRPr="00C0295B" w:rsidRDefault="00D6638C" w:rsidP="00F05366">
      <w:pPr>
        <w:pStyle w:val="Heading51"/>
        <w:rPr>
          <w:color w:val="244061" w:themeColor="accent1" w:themeShade="80"/>
        </w:rPr>
      </w:pPr>
      <w:bookmarkStart w:id="4" w:name="_Toc321341548"/>
      <w:r w:rsidRPr="00C0295B">
        <w:rPr>
          <w:color w:val="244061" w:themeColor="accent1" w:themeShade="80"/>
        </w:rPr>
        <w:t>Project Summary Table</w:t>
      </w:r>
      <w:bookmarkEnd w:id="4"/>
    </w:p>
    <w:tbl>
      <w:tblPr>
        <w:tblW w:w="492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28"/>
        <w:gridCol w:w="437"/>
        <w:gridCol w:w="2837"/>
        <w:gridCol w:w="1478"/>
        <w:gridCol w:w="7"/>
        <w:gridCol w:w="1560"/>
        <w:gridCol w:w="1734"/>
      </w:tblGrid>
      <w:tr w:rsidR="00D6638C" w:rsidRPr="00C0295B" w14:paraId="49079DD7" w14:textId="77777777" w:rsidTr="002F40CE">
        <w:trPr>
          <w:trHeight w:val="954"/>
        </w:trPr>
        <w:tc>
          <w:tcPr>
            <w:tcW w:w="467" w:type="pct"/>
            <w:shd w:val="clear" w:color="auto" w:fill="7F7F7F"/>
            <w:vAlign w:val="center"/>
          </w:tcPr>
          <w:p w14:paraId="04F8C4A3" w14:textId="77777777" w:rsidR="00D6638C" w:rsidRPr="00C0295B" w:rsidRDefault="00D6638C" w:rsidP="00D6638C">
            <w:pPr>
              <w:spacing w:after="0"/>
              <w:contextualSpacing/>
              <w:rPr>
                <w:rFonts w:ascii="Calibri" w:eastAsia="Times New Roman" w:hAnsi="Calibri" w:cs="Calibri"/>
                <w:bCs/>
                <w:color w:val="244061" w:themeColor="accent1" w:themeShade="80"/>
                <w:sz w:val="20"/>
                <w:szCs w:val="20"/>
              </w:rPr>
            </w:pPr>
            <w:r w:rsidRPr="00C0295B">
              <w:rPr>
                <w:rFonts w:ascii="Calibri" w:eastAsia="Times New Roman" w:hAnsi="Calibri" w:cs="Calibri"/>
                <w:bCs/>
                <w:color w:val="244061" w:themeColor="accent1" w:themeShade="80"/>
                <w:sz w:val="20"/>
                <w:szCs w:val="20"/>
              </w:rPr>
              <w:t xml:space="preserve">Project Title: </w:t>
            </w:r>
          </w:p>
        </w:tc>
        <w:tc>
          <w:tcPr>
            <w:tcW w:w="4533" w:type="pct"/>
            <w:gridSpan w:val="6"/>
            <w:shd w:val="clear" w:color="auto" w:fill="FFFFFF"/>
            <w:vAlign w:val="center"/>
          </w:tcPr>
          <w:p w14:paraId="569C6626" w14:textId="0B52D72A" w:rsidR="00D6638C" w:rsidRPr="00C0295B" w:rsidRDefault="00BB2A05" w:rsidP="00D6638C">
            <w:pPr>
              <w:spacing w:after="0"/>
              <w:contextualSpacing/>
              <w:rPr>
                <w:rFonts w:ascii="Calibri" w:eastAsia="Times New Roman" w:hAnsi="Calibri" w:cs="Calibri"/>
                <w:bCs/>
                <w:color w:val="244061" w:themeColor="accent1" w:themeShade="80"/>
                <w:sz w:val="20"/>
                <w:szCs w:val="20"/>
              </w:rPr>
            </w:pPr>
            <w:r>
              <w:rPr>
                <w:rFonts w:ascii="Calibri" w:eastAsia="Times New Roman" w:hAnsi="Calibri" w:cs="Calibri"/>
                <w:bCs/>
                <w:color w:val="244061" w:themeColor="accent1" w:themeShade="80"/>
                <w:sz w:val="20"/>
                <w:szCs w:val="20"/>
              </w:rPr>
              <w:pict w14:anchorId="588B3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5pt;height:18.15pt">
                  <v:imagedata r:id="rId11" o:title=""/>
                </v:shape>
              </w:pict>
            </w:r>
          </w:p>
        </w:tc>
      </w:tr>
      <w:tr w:rsidR="00D6638C" w:rsidRPr="00C0295B" w14:paraId="35AA2202" w14:textId="77777777" w:rsidTr="002F40CE">
        <w:trPr>
          <w:trHeight w:val="553"/>
        </w:trPr>
        <w:tc>
          <w:tcPr>
            <w:tcW w:w="713" w:type="pct"/>
            <w:gridSpan w:val="2"/>
          </w:tcPr>
          <w:p w14:paraId="443F195F"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GEF Project ID:</w:t>
            </w:r>
          </w:p>
        </w:tc>
        <w:tc>
          <w:tcPr>
            <w:tcW w:w="1597" w:type="pct"/>
            <w:vAlign w:val="center"/>
          </w:tcPr>
          <w:p w14:paraId="43BD2A4D" w14:textId="656EB5E9" w:rsidR="00D6638C" w:rsidRPr="00C0295B" w:rsidRDefault="00D33097"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PIMS 4452</w:t>
            </w:r>
          </w:p>
        </w:tc>
        <w:tc>
          <w:tcPr>
            <w:tcW w:w="836" w:type="pct"/>
            <w:gridSpan w:val="2"/>
          </w:tcPr>
          <w:p w14:paraId="4B0CAF2D"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w:t>
            </w:r>
          </w:p>
        </w:tc>
        <w:tc>
          <w:tcPr>
            <w:tcW w:w="878" w:type="pct"/>
          </w:tcPr>
          <w:p w14:paraId="40A93E12" w14:textId="77777777" w:rsidR="00D6638C" w:rsidRPr="00C0295B" w:rsidRDefault="00D6638C" w:rsidP="00D6638C">
            <w:pPr>
              <w:spacing w:after="0"/>
              <w:jc w:val="center"/>
              <w:rPr>
                <w:rFonts w:ascii="Calibri" w:eastAsia="Arial Unicode MS" w:hAnsi="Calibri" w:cs="Times New Roman"/>
                <w:i/>
                <w:color w:val="244061" w:themeColor="accent1" w:themeShade="80"/>
                <w:sz w:val="20"/>
                <w:szCs w:val="20"/>
                <w:u w:val="single"/>
              </w:rPr>
            </w:pPr>
            <w:r w:rsidRPr="00C0295B">
              <w:rPr>
                <w:rFonts w:ascii="Calibri" w:eastAsia="Times New Roman" w:hAnsi="Calibri" w:cs="Times New Roman"/>
                <w:i/>
                <w:color w:val="244061" w:themeColor="accent1" w:themeShade="80"/>
                <w:sz w:val="20"/>
                <w:szCs w:val="20"/>
                <w:u w:val="single"/>
              </w:rPr>
              <w:t>at endorsement (Million US$)</w:t>
            </w:r>
          </w:p>
        </w:tc>
        <w:tc>
          <w:tcPr>
            <w:tcW w:w="976" w:type="pct"/>
          </w:tcPr>
          <w:p w14:paraId="37BF0185" w14:textId="77777777" w:rsidR="00D6638C" w:rsidRPr="00C0295B" w:rsidRDefault="00D6638C" w:rsidP="00D6638C">
            <w:pPr>
              <w:spacing w:after="0"/>
              <w:jc w:val="center"/>
              <w:rPr>
                <w:rFonts w:ascii="Calibri" w:eastAsia="Arial Unicode MS" w:hAnsi="Calibri" w:cs="Times New Roman"/>
                <w:i/>
                <w:color w:val="244061" w:themeColor="accent1" w:themeShade="80"/>
                <w:sz w:val="20"/>
                <w:szCs w:val="20"/>
                <w:u w:val="single"/>
              </w:rPr>
            </w:pPr>
            <w:r w:rsidRPr="00C0295B">
              <w:rPr>
                <w:rFonts w:ascii="Calibri" w:eastAsia="Times New Roman" w:hAnsi="Calibri" w:cs="Times New Roman"/>
                <w:i/>
                <w:color w:val="244061" w:themeColor="accent1" w:themeShade="80"/>
                <w:sz w:val="20"/>
                <w:szCs w:val="20"/>
                <w:u w:val="single"/>
              </w:rPr>
              <w:t>at completion (Million US$)</w:t>
            </w:r>
          </w:p>
        </w:tc>
      </w:tr>
      <w:tr w:rsidR="00D6638C" w:rsidRPr="00C0295B" w14:paraId="008E7673" w14:textId="77777777" w:rsidTr="002F40CE">
        <w:trPr>
          <w:trHeight w:val="278"/>
        </w:trPr>
        <w:tc>
          <w:tcPr>
            <w:tcW w:w="713" w:type="pct"/>
            <w:gridSpan w:val="2"/>
          </w:tcPr>
          <w:p w14:paraId="5AE786A2"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UNDP Project ID:</w:t>
            </w:r>
          </w:p>
        </w:tc>
        <w:tc>
          <w:tcPr>
            <w:tcW w:w="1597" w:type="pct"/>
            <w:vAlign w:val="center"/>
          </w:tcPr>
          <w:p w14:paraId="7F24E1DE" w14:textId="77777777" w:rsidR="00D6638C" w:rsidRPr="00C0295B" w:rsidRDefault="00F83D45" w:rsidP="00D6638C">
            <w:pPr>
              <w:tabs>
                <w:tab w:val="right" w:pos="0"/>
              </w:tabs>
              <w:spacing w:after="0"/>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00074956</w:t>
            </w:r>
          </w:p>
        </w:tc>
        <w:tc>
          <w:tcPr>
            <w:tcW w:w="836" w:type="pct"/>
            <w:gridSpan w:val="2"/>
          </w:tcPr>
          <w:p w14:paraId="44FA0CDE"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GEF financing: </w:t>
            </w:r>
          </w:p>
        </w:tc>
        <w:tc>
          <w:tcPr>
            <w:tcW w:w="878" w:type="pct"/>
            <w:vAlign w:val="center"/>
          </w:tcPr>
          <w:p w14:paraId="47CC6702" w14:textId="77777777" w:rsidR="00D6638C" w:rsidRPr="00C0295B" w:rsidRDefault="004F010F" w:rsidP="00D6638C">
            <w:pPr>
              <w:spacing w:after="0"/>
              <w:rPr>
                <w:rFonts w:ascii="Calibri" w:eastAsia="Arial Unicode MS" w:hAnsi="Calibri" w:cs="Times New Roman"/>
                <w:color w:val="244061" w:themeColor="accent1" w:themeShade="80"/>
                <w:sz w:val="20"/>
                <w:szCs w:val="20"/>
              </w:rPr>
            </w:pPr>
            <w:r w:rsidRPr="00C0295B">
              <w:rPr>
                <w:rFonts w:ascii="Arial Narrow" w:hAnsi="Arial Narrow" w:cs="Arial"/>
                <w:color w:val="244061" w:themeColor="accent1" w:themeShade="80"/>
                <w:sz w:val="20"/>
                <w:szCs w:val="20"/>
              </w:rPr>
              <w:t>6,018,777</w:t>
            </w:r>
          </w:p>
        </w:tc>
        <w:tc>
          <w:tcPr>
            <w:tcW w:w="976" w:type="pct"/>
          </w:tcPr>
          <w:p w14:paraId="079880B6" w14:textId="634593F1" w:rsidR="00D6638C" w:rsidRPr="00C0295B" w:rsidRDefault="00D6638C" w:rsidP="00D6638C">
            <w:pPr>
              <w:spacing w:after="0"/>
              <w:jc w:val="both"/>
              <w:rPr>
                <w:rFonts w:ascii="Calibri" w:eastAsia="Arial Unicode MS" w:hAnsi="Calibri" w:cs="Times New Roman"/>
                <w:color w:val="244061" w:themeColor="accent1" w:themeShade="80"/>
                <w:sz w:val="20"/>
                <w:szCs w:val="20"/>
              </w:rPr>
            </w:pPr>
          </w:p>
        </w:tc>
      </w:tr>
      <w:tr w:rsidR="00D6638C" w:rsidRPr="00C0295B" w14:paraId="164D7109" w14:textId="77777777" w:rsidTr="002F40CE">
        <w:trPr>
          <w:trHeight w:val="269"/>
        </w:trPr>
        <w:tc>
          <w:tcPr>
            <w:tcW w:w="713" w:type="pct"/>
            <w:gridSpan w:val="2"/>
          </w:tcPr>
          <w:p w14:paraId="7462D352"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Country:</w:t>
            </w:r>
          </w:p>
        </w:tc>
        <w:tc>
          <w:tcPr>
            <w:tcW w:w="1597" w:type="pct"/>
            <w:vAlign w:val="center"/>
          </w:tcPr>
          <w:p w14:paraId="0E51DDD0" w14:textId="77777777" w:rsidR="00D6638C" w:rsidRPr="00C0295B" w:rsidRDefault="004F010F"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Papua New Guinea</w:t>
            </w:r>
          </w:p>
        </w:tc>
        <w:tc>
          <w:tcPr>
            <w:tcW w:w="836" w:type="pct"/>
            <w:gridSpan w:val="2"/>
          </w:tcPr>
          <w:p w14:paraId="75B73EAA"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bCs/>
                <w:color w:val="244061" w:themeColor="accent1" w:themeShade="80"/>
                <w:sz w:val="20"/>
                <w:szCs w:val="20"/>
              </w:rPr>
              <w:t>IA/EA own:</w:t>
            </w:r>
          </w:p>
        </w:tc>
        <w:tc>
          <w:tcPr>
            <w:tcW w:w="878" w:type="pct"/>
            <w:vAlign w:val="center"/>
          </w:tcPr>
          <w:p w14:paraId="11EBF240" w14:textId="77777777" w:rsidR="00D6638C" w:rsidRPr="00C0295B" w:rsidRDefault="004F010F" w:rsidP="00D6638C">
            <w:pPr>
              <w:spacing w:after="0"/>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100,000</w:t>
            </w:r>
            <w:r w:rsidR="00D6638C"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00D6638C" w:rsidRPr="00C0295B">
              <w:rPr>
                <w:rFonts w:ascii="Calibri" w:eastAsia="Times New Roman" w:hAnsi="Calibri" w:cs="Times New Roman"/>
                <w:color w:val="244061" w:themeColor="accent1" w:themeShade="80"/>
                <w:sz w:val="20"/>
                <w:szCs w:val="20"/>
              </w:rPr>
              <w:instrText xml:space="preserve"> FORMTEXT </w:instrText>
            </w:r>
            <w:r w:rsidR="00D6638C" w:rsidRPr="00C0295B">
              <w:rPr>
                <w:rFonts w:ascii="Calibri" w:eastAsia="Times New Roman" w:hAnsi="Calibri" w:cs="Times New Roman"/>
                <w:color w:val="244061" w:themeColor="accent1" w:themeShade="80"/>
                <w:sz w:val="20"/>
                <w:szCs w:val="20"/>
              </w:rPr>
            </w:r>
            <w:r w:rsidR="00D6638C" w:rsidRPr="00C0295B">
              <w:rPr>
                <w:rFonts w:ascii="Calibri" w:eastAsia="Times New Roman" w:hAnsi="Calibri" w:cs="Times New Roman"/>
                <w:color w:val="244061" w:themeColor="accent1" w:themeShade="80"/>
                <w:sz w:val="20"/>
                <w:szCs w:val="20"/>
              </w:rPr>
              <w:fldChar w:fldCharType="separate"/>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color w:val="244061" w:themeColor="accent1" w:themeShade="80"/>
                <w:sz w:val="20"/>
                <w:szCs w:val="20"/>
              </w:rPr>
              <w:fldChar w:fldCharType="end"/>
            </w:r>
          </w:p>
        </w:tc>
        <w:tc>
          <w:tcPr>
            <w:tcW w:w="976" w:type="pct"/>
          </w:tcPr>
          <w:p w14:paraId="23B949B5" w14:textId="77777777" w:rsidR="00D6638C" w:rsidRPr="00C0295B" w:rsidRDefault="00D6638C" w:rsidP="00D6638C">
            <w:pPr>
              <w:spacing w:after="0"/>
              <w:jc w:val="both"/>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3301614D" w14:textId="77777777" w:rsidTr="002F40CE">
        <w:trPr>
          <w:trHeight w:val="296"/>
        </w:trPr>
        <w:tc>
          <w:tcPr>
            <w:tcW w:w="713" w:type="pct"/>
            <w:gridSpan w:val="2"/>
          </w:tcPr>
          <w:p w14:paraId="33F6164D"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Region:</w:t>
            </w:r>
          </w:p>
        </w:tc>
        <w:tc>
          <w:tcPr>
            <w:tcW w:w="1597" w:type="pct"/>
            <w:vAlign w:val="center"/>
          </w:tcPr>
          <w:p w14:paraId="02C24C03" w14:textId="77777777" w:rsidR="00D6638C" w:rsidRPr="00C0295B" w:rsidRDefault="004F010F" w:rsidP="00D6638C">
            <w:pPr>
              <w:tabs>
                <w:tab w:val="right" w:pos="0"/>
              </w:tabs>
              <w:spacing w:after="0"/>
              <w:rPr>
                <w:rFonts w:ascii="Calibri" w:eastAsia="Times New Roman" w:hAnsi="Calibri" w:cs="Times New Roman"/>
                <w:color w:val="244061" w:themeColor="accent1" w:themeShade="80"/>
                <w:sz w:val="20"/>
                <w:szCs w:val="20"/>
                <w:lang w:val="es-ES_tradnl"/>
              </w:rPr>
            </w:pPr>
            <w:r w:rsidRPr="00C0295B">
              <w:rPr>
                <w:rFonts w:ascii="Calibri" w:eastAsia="Times New Roman" w:hAnsi="Calibri" w:cs="Times New Roman"/>
                <w:color w:val="244061" w:themeColor="accent1" w:themeShade="80"/>
                <w:sz w:val="20"/>
                <w:szCs w:val="20"/>
              </w:rPr>
              <w:t>Asia Pacific</w:t>
            </w:r>
          </w:p>
        </w:tc>
        <w:tc>
          <w:tcPr>
            <w:tcW w:w="836" w:type="pct"/>
            <w:gridSpan w:val="2"/>
          </w:tcPr>
          <w:p w14:paraId="72EABFDE"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bCs/>
                <w:color w:val="244061" w:themeColor="accent1" w:themeShade="80"/>
                <w:sz w:val="20"/>
                <w:szCs w:val="20"/>
              </w:rPr>
              <w:t>Government:</w:t>
            </w:r>
          </w:p>
        </w:tc>
        <w:tc>
          <w:tcPr>
            <w:tcW w:w="878" w:type="pct"/>
            <w:vAlign w:val="center"/>
          </w:tcPr>
          <w:p w14:paraId="32CF8B02" w14:textId="77777777" w:rsidR="00D6638C" w:rsidRPr="00C0295B" w:rsidRDefault="004F010F" w:rsidP="00D6638C">
            <w:pPr>
              <w:spacing w:after="0"/>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220,000</w:t>
            </w:r>
            <w:r w:rsidR="00D6638C"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00D6638C" w:rsidRPr="00C0295B">
              <w:rPr>
                <w:rFonts w:ascii="Calibri" w:eastAsia="Times New Roman" w:hAnsi="Calibri" w:cs="Times New Roman"/>
                <w:color w:val="244061" w:themeColor="accent1" w:themeShade="80"/>
                <w:sz w:val="20"/>
                <w:szCs w:val="20"/>
              </w:rPr>
              <w:instrText xml:space="preserve"> FORMTEXT </w:instrText>
            </w:r>
            <w:r w:rsidR="00D6638C" w:rsidRPr="00C0295B">
              <w:rPr>
                <w:rFonts w:ascii="Calibri" w:eastAsia="Times New Roman" w:hAnsi="Calibri" w:cs="Times New Roman"/>
                <w:color w:val="244061" w:themeColor="accent1" w:themeShade="80"/>
                <w:sz w:val="20"/>
                <w:szCs w:val="20"/>
              </w:rPr>
            </w:r>
            <w:r w:rsidR="00D6638C" w:rsidRPr="00C0295B">
              <w:rPr>
                <w:rFonts w:ascii="Calibri" w:eastAsia="Times New Roman" w:hAnsi="Calibri" w:cs="Times New Roman"/>
                <w:color w:val="244061" w:themeColor="accent1" w:themeShade="80"/>
                <w:sz w:val="20"/>
                <w:szCs w:val="20"/>
              </w:rPr>
              <w:fldChar w:fldCharType="separate"/>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noProof/>
                <w:color w:val="244061" w:themeColor="accent1" w:themeShade="80"/>
                <w:sz w:val="20"/>
                <w:szCs w:val="20"/>
              </w:rPr>
              <w:t> </w:t>
            </w:r>
            <w:r w:rsidR="00D6638C" w:rsidRPr="00C0295B">
              <w:rPr>
                <w:rFonts w:ascii="Calibri" w:eastAsia="Times New Roman" w:hAnsi="Calibri" w:cs="Times New Roman"/>
                <w:color w:val="244061" w:themeColor="accent1" w:themeShade="80"/>
                <w:sz w:val="20"/>
                <w:szCs w:val="20"/>
              </w:rPr>
              <w:fldChar w:fldCharType="end"/>
            </w:r>
          </w:p>
        </w:tc>
        <w:tc>
          <w:tcPr>
            <w:tcW w:w="976" w:type="pct"/>
          </w:tcPr>
          <w:p w14:paraId="5F1490BC" w14:textId="77777777" w:rsidR="00D6638C" w:rsidRPr="00C0295B" w:rsidRDefault="00D6638C" w:rsidP="00D6638C">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05EE64C4" w14:textId="77777777" w:rsidTr="002F40CE">
        <w:trPr>
          <w:trHeight w:val="314"/>
        </w:trPr>
        <w:tc>
          <w:tcPr>
            <w:tcW w:w="713" w:type="pct"/>
            <w:gridSpan w:val="2"/>
          </w:tcPr>
          <w:p w14:paraId="56FE9B1E"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Focal Area:</w:t>
            </w:r>
          </w:p>
        </w:tc>
        <w:tc>
          <w:tcPr>
            <w:tcW w:w="1597" w:type="pct"/>
            <w:vAlign w:val="center"/>
          </w:tcPr>
          <w:p w14:paraId="0091A711" w14:textId="7F497EC1" w:rsidR="00D6638C" w:rsidRPr="00C0295B" w:rsidRDefault="00D6638C" w:rsidP="00D6638C">
            <w:pPr>
              <w:tabs>
                <w:tab w:val="right" w:pos="0"/>
              </w:tabs>
              <w:spacing w:after="0"/>
              <w:rPr>
                <w:rFonts w:ascii="Calibri" w:eastAsia="Times New Roman" w:hAnsi="Calibri" w:cs="Times New Roman"/>
                <w:color w:val="244061" w:themeColor="accent1" w:themeShade="80"/>
                <w:sz w:val="20"/>
                <w:szCs w:val="20"/>
              </w:rPr>
            </w:pPr>
          </w:p>
        </w:tc>
        <w:tc>
          <w:tcPr>
            <w:tcW w:w="836" w:type="pct"/>
            <w:gridSpan w:val="2"/>
          </w:tcPr>
          <w:p w14:paraId="6EC2F07E" w14:textId="111DD988"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bCs/>
                <w:color w:val="244061" w:themeColor="accent1" w:themeShade="80"/>
                <w:sz w:val="20"/>
                <w:szCs w:val="20"/>
              </w:rPr>
              <w:t>Othe</w:t>
            </w:r>
            <w:r w:rsidR="00C16261">
              <w:rPr>
                <w:rFonts w:ascii="Calibri" w:eastAsia="Times New Roman" w:hAnsi="Calibri" w:cs="Times New Roman"/>
                <w:bCs/>
                <w:color w:val="244061" w:themeColor="accent1" w:themeShade="80"/>
                <w:sz w:val="20"/>
                <w:szCs w:val="20"/>
              </w:rPr>
              <w:t>r</w:t>
            </w:r>
            <w:r w:rsidR="00D33097" w:rsidRPr="00C0295B">
              <w:rPr>
                <w:rFonts w:ascii="Calibri" w:eastAsia="Times New Roman" w:hAnsi="Calibri" w:cs="Times New Roman"/>
                <w:bCs/>
                <w:color w:val="244061" w:themeColor="accent1" w:themeShade="80"/>
                <w:sz w:val="20"/>
                <w:szCs w:val="20"/>
              </w:rPr>
              <w:t xml:space="preserve"> (DFAT)</w:t>
            </w:r>
            <w:r w:rsidRPr="00C0295B">
              <w:rPr>
                <w:rFonts w:ascii="Calibri" w:eastAsia="Times New Roman" w:hAnsi="Calibri" w:cs="Times New Roman"/>
                <w:bCs/>
                <w:color w:val="244061" w:themeColor="accent1" w:themeShade="80"/>
                <w:sz w:val="20"/>
                <w:szCs w:val="20"/>
              </w:rPr>
              <w:t>r:</w:t>
            </w:r>
          </w:p>
        </w:tc>
        <w:tc>
          <w:tcPr>
            <w:tcW w:w="878" w:type="pct"/>
            <w:vAlign w:val="center"/>
          </w:tcPr>
          <w:p w14:paraId="47911041" w14:textId="4190BC22" w:rsidR="00D6638C" w:rsidRPr="00C0295B" w:rsidRDefault="00D33097"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500,000</w:t>
            </w:r>
          </w:p>
        </w:tc>
        <w:tc>
          <w:tcPr>
            <w:tcW w:w="976" w:type="pct"/>
          </w:tcPr>
          <w:p w14:paraId="23296402" w14:textId="77777777" w:rsidR="00D6638C" w:rsidRPr="00C0295B" w:rsidRDefault="00D6638C" w:rsidP="00D6638C">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42B7CD59" w14:textId="77777777" w:rsidTr="002F40CE">
        <w:trPr>
          <w:trHeight w:val="553"/>
        </w:trPr>
        <w:tc>
          <w:tcPr>
            <w:tcW w:w="713" w:type="pct"/>
            <w:gridSpan w:val="2"/>
          </w:tcPr>
          <w:p w14:paraId="259C63FC"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FA Objectives, (OP/SP):</w:t>
            </w:r>
          </w:p>
        </w:tc>
        <w:tc>
          <w:tcPr>
            <w:tcW w:w="1597" w:type="pct"/>
            <w:vAlign w:val="center"/>
          </w:tcPr>
          <w:p w14:paraId="7BB47789" w14:textId="77777777" w:rsidR="00D6638C" w:rsidRPr="00C0295B" w:rsidRDefault="00D6638C"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836" w:type="pct"/>
            <w:gridSpan w:val="2"/>
          </w:tcPr>
          <w:p w14:paraId="555ABD6D" w14:textId="77777777" w:rsidR="00D6638C" w:rsidRPr="00C0295B" w:rsidRDefault="00D6638C" w:rsidP="00D6638C">
            <w:pPr>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Total co-financing:</w:t>
            </w:r>
          </w:p>
        </w:tc>
        <w:tc>
          <w:tcPr>
            <w:tcW w:w="878" w:type="pct"/>
            <w:vAlign w:val="center"/>
          </w:tcPr>
          <w:p w14:paraId="1521E5C7" w14:textId="688E2E4E" w:rsidR="00D6638C" w:rsidRPr="00C0295B" w:rsidRDefault="006E1E6F" w:rsidP="00D6638C">
            <w:pPr>
              <w:spacing w:after="0"/>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8</w:t>
            </w:r>
            <w:r w:rsidR="004F010F" w:rsidRPr="00C0295B">
              <w:rPr>
                <w:rFonts w:ascii="Calibri" w:eastAsia="Times New Roman" w:hAnsi="Calibri" w:cs="Times New Roman"/>
                <w:color w:val="244061" w:themeColor="accent1" w:themeShade="80"/>
                <w:sz w:val="20"/>
                <w:szCs w:val="20"/>
              </w:rPr>
              <w:t>20,000</w:t>
            </w:r>
          </w:p>
        </w:tc>
        <w:tc>
          <w:tcPr>
            <w:tcW w:w="976" w:type="pct"/>
          </w:tcPr>
          <w:p w14:paraId="5078BB57" w14:textId="77777777" w:rsidR="00D6638C" w:rsidRPr="00C0295B" w:rsidRDefault="00D6638C" w:rsidP="00D6638C">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067A2AE2" w14:textId="77777777" w:rsidTr="002F40CE">
        <w:trPr>
          <w:trHeight w:val="341"/>
        </w:trPr>
        <w:tc>
          <w:tcPr>
            <w:tcW w:w="713" w:type="pct"/>
            <w:gridSpan w:val="2"/>
          </w:tcPr>
          <w:p w14:paraId="204DB9E2"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Executing Agency:</w:t>
            </w:r>
          </w:p>
        </w:tc>
        <w:tc>
          <w:tcPr>
            <w:tcW w:w="1597" w:type="pct"/>
            <w:vAlign w:val="center"/>
          </w:tcPr>
          <w:p w14:paraId="60E0D1D1" w14:textId="31934AE4" w:rsidR="00D6638C" w:rsidRPr="00C0295B" w:rsidRDefault="00D33097"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Climate Change Development Authority</w:t>
            </w:r>
          </w:p>
        </w:tc>
        <w:tc>
          <w:tcPr>
            <w:tcW w:w="836" w:type="pct"/>
            <w:gridSpan w:val="2"/>
          </w:tcPr>
          <w:p w14:paraId="2BDE1A0A"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Total Project Cost:</w:t>
            </w:r>
          </w:p>
        </w:tc>
        <w:tc>
          <w:tcPr>
            <w:tcW w:w="878" w:type="pct"/>
            <w:vAlign w:val="center"/>
          </w:tcPr>
          <w:p w14:paraId="0299C6AE" w14:textId="7AACDD86" w:rsidR="00D6638C" w:rsidRPr="00C0295B" w:rsidRDefault="008D203F" w:rsidP="00D6638C">
            <w:pPr>
              <w:spacing w:after="0"/>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6,838,777</w:t>
            </w:r>
          </w:p>
        </w:tc>
        <w:tc>
          <w:tcPr>
            <w:tcW w:w="976" w:type="pct"/>
          </w:tcPr>
          <w:p w14:paraId="6067BAE7" w14:textId="77777777" w:rsidR="00D6638C" w:rsidRPr="00C0295B" w:rsidRDefault="00D6638C" w:rsidP="00D6638C">
            <w:pPr>
              <w:spacing w:after="0"/>
              <w:jc w:val="both"/>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2"/>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623206A1" w14:textId="77777777" w:rsidTr="002F40CE">
        <w:trPr>
          <w:trHeight w:val="368"/>
        </w:trPr>
        <w:tc>
          <w:tcPr>
            <w:tcW w:w="713" w:type="pct"/>
            <w:gridSpan w:val="2"/>
            <w:vMerge w:val="restart"/>
          </w:tcPr>
          <w:p w14:paraId="17CBC6FE"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Other Partners involved:</w:t>
            </w:r>
          </w:p>
        </w:tc>
        <w:tc>
          <w:tcPr>
            <w:tcW w:w="1597" w:type="pct"/>
            <w:vMerge w:val="restart"/>
            <w:vAlign w:val="center"/>
          </w:tcPr>
          <w:p w14:paraId="7F9DBC29" w14:textId="54BB4F92" w:rsidR="00D6638C" w:rsidRPr="00C0295B" w:rsidRDefault="00D33097"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National Weather Service,</w:t>
            </w:r>
          </w:p>
          <w:p w14:paraId="61487272" w14:textId="0009F83A" w:rsidR="00D33097" w:rsidRPr="00C0295B" w:rsidRDefault="00D33097"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Conservation and Environmental </w:t>
            </w:r>
            <w:r w:rsidR="00A956A8" w:rsidRPr="00C0295B">
              <w:rPr>
                <w:rFonts w:ascii="Calibri" w:eastAsia="Times New Roman" w:hAnsi="Calibri" w:cs="Times New Roman"/>
                <w:color w:val="244061" w:themeColor="accent1" w:themeShade="80"/>
                <w:sz w:val="20"/>
                <w:szCs w:val="20"/>
              </w:rPr>
              <w:t>Protection</w:t>
            </w:r>
            <w:r w:rsidRPr="00C0295B">
              <w:rPr>
                <w:rFonts w:ascii="Calibri" w:eastAsia="Times New Roman" w:hAnsi="Calibri" w:cs="Times New Roman"/>
                <w:color w:val="244061" w:themeColor="accent1" w:themeShade="80"/>
                <w:sz w:val="20"/>
                <w:szCs w:val="20"/>
              </w:rPr>
              <w:t xml:space="preserve"> Authority, National Disaster </w:t>
            </w:r>
            <w:r w:rsidR="003E7090" w:rsidRPr="00C0295B">
              <w:rPr>
                <w:rFonts w:ascii="Calibri" w:eastAsia="Times New Roman" w:hAnsi="Calibri" w:cs="Times New Roman"/>
                <w:color w:val="244061" w:themeColor="accent1" w:themeShade="80"/>
                <w:sz w:val="20"/>
                <w:szCs w:val="20"/>
              </w:rPr>
              <w:t>Centre, Provincial</w:t>
            </w:r>
            <w:r w:rsidRPr="00C0295B">
              <w:rPr>
                <w:rFonts w:ascii="Calibri" w:eastAsia="Times New Roman" w:hAnsi="Calibri" w:cs="Times New Roman"/>
                <w:color w:val="244061" w:themeColor="accent1" w:themeShade="80"/>
                <w:sz w:val="20"/>
                <w:szCs w:val="20"/>
              </w:rPr>
              <w:t xml:space="preserve"> Governments of Morobe, New Ireland, East Sepik, Madang and Northern Province, World Vision International, WCS, WWF, ADRA, Asian Disaster Preparedness Centre </w:t>
            </w:r>
          </w:p>
        </w:tc>
        <w:tc>
          <w:tcPr>
            <w:tcW w:w="1714" w:type="pct"/>
            <w:gridSpan w:val="3"/>
          </w:tcPr>
          <w:p w14:paraId="335B5B81" w14:textId="77777777" w:rsidR="00D6638C" w:rsidRPr="00C0295B" w:rsidRDefault="00D6638C" w:rsidP="00D6638C">
            <w:pPr>
              <w:tabs>
                <w:tab w:val="right" w:pos="0"/>
              </w:tabs>
              <w:spacing w:after="0"/>
              <w:jc w:val="right"/>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ProDoc Signature (date project began): </w:t>
            </w:r>
          </w:p>
        </w:tc>
        <w:tc>
          <w:tcPr>
            <w:tcW w:w="976" w:type="pct"/>
            <w:vAlign w:val="center"/>
          </w:tcPr>
          <w:p w14:paraId="52D22068" w14:textId="77777777" w:rsidR="00D6638C" w:rsidRPr="00C0295B" w:rsidRDefault="00D6638C" w:rsidP="004F010F">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r w:rsidR="004F010F" w:rsidRPr="00C0295B">
              <w:rPr>
                <w:rFonts w:ascii="Calibri" w:eastAsia="Times New Roman" w:hAnsi="Calibri" w:cs="Times New Roman"/>
                <w:color w:val="244061" w:themeColor="accent1" w:themeShade="80"/>
                <w:sz w:val="20"/>
                <w:szCs w:val="20"/>
              </w:rPr>
              <w:t>17 May 2012</w:t>
            </w:r>
          </w:p>
        </w:tc>
      </w:tr>
      <w:tr w:rsidR="00D6638C" w:rsidRPr="00C0295B" w14:paraId="0CFCDB77" w14:textId="77777777" w:rsidTr="002F40CE">
        <w:trPr>
          <w:trHeight w:val="144"/>
        </w:trPr>
        <w:tc>
          <w:tcPr>
            <w:tcW w:w="713" w:type="pct"/>
            <w:gridSpan w:val="2"/>
            <w:vMerge/>
            <w:vAlign w:val="center"/>
          </w:tcPr>
          <w:p w14:paraId="343527F4" w14:textId="77777777" w:rsidR="00D6638C" w:rsidRPr="00C0295B" w:rsidRDefault="00D6638C" w:rsidP="00D6638C">
            <w:pPr>
              <w:spacing w:after="0"/>
              <w:rPr>
                <w:rFonts w:ascii="Calibri" w:eastAsia="Arial Unicode MS" w:hAnsi="Calibri" w:cs="Times New Roman"/>
                <w:color w:val="244061" w:themeColor="accent1" w:themeShade="80"/>
                <w:sz w:val="20"/>
                <w:szCs w:val="20"/>
              </w:rPr>
            </w:pPr>
          </w:p>
        </w:tc>
        <w:tc>
          <w:tcPr>
            <w:tcW w:w="1597" w:type="pct"/>
            <w:vMerge/>
          </w:tcPr>
          <w:p w14:paraId="764A90D5" w14:textId="77777777" w:rsidR="00D6638C" w:rsidRPr="00C0295B" w:rsidRDefault="00D6638C" w:rsidP="00D6638C">
            <w:pPr>
              <w:tabs>
                <w:tab w:val="right" w:pos="0"/>
              </w:tabs>
              <w:spacing w:after="0"/>
              <w:jc w:val="center"/>
              <w:rPr>
                <w:rFonts w:ascii="Calibri" w:eastAsia="Times New Roman" w:hAnsi="Calibri" w:cs="Times New Roman"/>
                <w:color w:val="244061" w:themeColor="accent1" w:themeShade="80"/>
                <w:sz w:val="20"/>
                <w:szCs w:val="20"/>
              </w:rPr>
            </w:pPr>
          </w:p>
        </w:tc>
        <w:tc>
          <w:tcPr>
            <w:tcW w:w="832" w:type="pct"/>
          </w:tcPr>
          <w:p w14:paraId="25A32960" w14:textId="77777777" w:rsidR="00D6638C" w:rsidRPr="00C0295B" w:rsidRDefault="00D6638C" w:rsidP="00D6638C">
            <w:pPr>
              <w:spacing w:after="0"/>
              <w:jc w:val="right"/>
              <w:rPr>
                <w:rFonts w:ascii="Calibri" w:eastAsia="Arial Unicode MS"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(Operational) Closing Date:</w:t>
            </w:r>
          </w:p>
        </w:tc>
        <w:tc>
          <w:tcPr>
            <w:tcW w:w="882" w:type="pct"/>
            <w:gridSpan w:val="2"/>
          </w:tcPr>
          <w:p w14:paraId="7F771439" w14:textId="77777777" w:rsidR="00D6638C" w:rsidRPr="00C0295B" w:rsidRDefault="00D6638C"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Proposed:</w:t>
            </w:r>
          </w:p>
          <w:p w14:paraId="164FD26F" w14:textId="77777777" w:rsidR="00D6638C" w:rsidRPr="00C0295B" w:rsidRDefault="004F010F"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October 2016</w:t>
            </w:r>
          </w:p>
        </w:tc>
        <w:tc>
          <w:tcPr>
            <w:tcW w:w="976" w:type="pct"/>
          </w:tcPr>
          <w:p w14:paraId="0F48AC64" w14:textId="77777777" w:rsidR="00D6638C" w:rsidRPr="00C0295B" w:rsidRDefault="00D6638C"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Actual:</w:t>
            </w:r>
          </w:p>
          <w:p w14:paraId="720A376A" w14:textId="77777777" w:rsidR="00D6638C" w:rsidRPr="00C0295B" w:rsidRDefault="004F010F" w:rsidP="00D6638C">
            <w:pPr>
              <w:tabs>
                <w:tab w:val="right" w:pos="0"/>
              </w:tabs>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December 2017</w:t>
            </w:r>
          </w:p>
        </w:tc>
      </w:tr>
    </w:tbl>
    <w:p w14:paraId="2F9CE3A6" w14:textId="77777777" w:rsidR="00D241C2" w:rsidRDefault="00D241C2" w:rsidP="00F05366">
      <w:pPr>
        <w:pStyle w:val="Heading51"/>
        <w:rPr>
          <w:color w:val="244061" w:themeColor="accent1" w:themeShade="80"/>
        </w:rPr>
      </w:pPr>
      <w:bookmarkStart w:id="5" w:name="_Toc321341549"/>
    </w:p>
    <w:p w14:paraId="232E155E" w14:textId="77777777" w:rsidR="00D241C2" w:rsidRDefault="00D241C2">
      <w:pPr>
        <w:rPr>
          <w:rFonts w:eastAsia="Times New Roman"/>
          <w:b/>
          <w:caps/>
          <w:color w:val="244061" w:themeColor="accent1" w:themeShade="80"/>
          <w:spacing w:val="10"/>
        </w:rPr>
      </w:pPr>
      <w:r>
        <w:rPr>
          <w:color w:val="244061" w:themeColor="accent1" w:themeShade="80"/>
        </w:rPr>
        <w:br w:type="page"/>
      </w:r>
    </w:p>
    <w:p w14:paraId="74AAC3F6" w14:textId="30D62AA0" w:rsidR="00D6638C" w:rsidRPr="00C0295B" w:rsidRDefault="00D6638C" w:rsidP="00F05366">
      <w:pPr>
        <w:pStyle w:val="Heading51"/>
        <w:rPr>
          <w:color w:val="244061" w:themeColor="accent1" w:themeShade="80"/>
        </w:rPr>
      </w:pPr>
      <w:r w:rsidRPr="00C0295B">
        <w:rPr>
          <w:color w:val="244061" w:themeColor="accent1" w:themeShade="80"/>
        </w:rPr>
        <w:lastRenderedPageBreak/>
        <w:t>Objective and Scope</w:t>
      </w:r>
      <w:bookmarkEnd w:id="5"/>
    </w:p>
    <w:p w14:paraId="089FDED3" w14:textId="77777777" w:rsidR="004F010F" w:rsidRPr="00C0295B" w:rsidRDefault="004F010F" w:rsidP="004F010F">
      <w:pPr>
        <w:spacing w:after="80"/>
        <w:jc w:val="both"/>
        <w:textAlignment w:val="top"/>
        <w:rPr>
          <w:rFonts w:cstheme="minorHAnsi"/>
          <w:color w:val="244061" w:themeColor="accent1" w:themeShade="80"/>
          <w:sz w:val="20"/>
          <w:szCs w:val="20"/>
          <w:lang w:val="en-GB"/>
        </w:rPr>
      </w:pPr>
      <w:r w:rsidRPr="00C0295B">
        <w:rPr>
          <w:rFonts w:cstheme="minorHAnsi"/>
          <w:color w:val="244061" w:themeColor="accent1" w:themeShade="80"/>
          <w:sz w:val="20"/>
          <w:szCs w:val="20"/>
          <w:lang w:val="en-GB"/>
        </w:rPr>
        <w:t>The impact of climate change-related hazards in the Papua New Guinea (PNG) country has been increasing in intensity and frequency. Further impacts from climate change include the loss of food gardens due to extensive flooding (both in coastal and riverine areas) combined with extended periods of drought. The rising sea level is causing some of PNG’s islands to be gradually submerged. Salt water intrusion is affecting groundwater particularly in the islands and in coastal areas, threatening domestic water supplies and agriculture. With the onset and multitude of climate change impacts, the country’s economy, environment and people are becoming more vulnerable and are at risk of not meeting basic human development needs. Climate change puts at risk the achievement of the goals set out in PNG’s major development plans.</w:t>
      </w:r>
    </w:p>
    <w:p w14:paraId="78340D08" w14:textId="77777777" w:rsidR="00D6638C" w:rsidRPr="00C0295B" w:rsidRDefault="004F010F" w:rsidP="004F010F">
      <w:pPr>
        <w:spacing w:before="200"/>
        <w:rPr>
          <w:rFonts w:eastAsia="Times New Roman" w:cstheme="minorHAnsi"/>
          <w:i/>
          <w:color w:val="244061" w:themeColor="accent1" w:themeShade="80"/>
          <w:sz w:val="20"/>
          <w:szCs w:val="20"/>
        </w:rPr>
      </w:pPr>
      <w:r w:rsidRPr="00C0295B">
        <w:rPr>
          <w:rFonts w:cstheme="minorHAnsi"/>
          <w:noProof/>
          <w:color w:val="244061" w:themeColor="accent1" w:themeShade="80"/>
          <w:sz w:val="20"/>
          <w:szCs w:val="20"/>
          <w:lang w:val="en-GB"/>
        </w:rPr>
        <w:t xml:space="preserve">Flooding in the coastal areas is one of the most important climate change related hazards in the North Coast and the Islands Region as settlements are usually located in the coasts, particularly the provincial capitals of East Sepik (Wewak), Madang (Madang), Morobe (Lae), and West New Britain (Kimbe). Similarly, in the hinterland areas, climate change-related inland flooding is the most pressing hazard with the largest potential for wide-spread damage. </w:t>
      </w:r>
    </w:p>
    <w:p w14:paraId="7FE4D793" w14:textId="464C33D0" w:rsidR="004F010F" w:rsidRPr="00C0295B" w:rsidRDefault="004F010F" w:rsidP="004F010F">
      <w:pPr>
        <w:jc w:val="both"/>
        <w:rPr>
          <w:rFonts w:cstheme="minorHAnsi"/>
          <w:color w:val="244061" w:themeColor="accent1" w:themeShade="80"/>
          <w:sz w:val="20"/>
          <w:szCs w:val="20"/>
        </w:rPr>
      </w:pPr>
      <w:r w:rsidRPr="00C0295B">
        <w:rPr>
          <w:rFonts w:cstheme="minorHAnsi"/>
          <w:color w:val="244061" w:themeColor="accent1" w:themeShade="80"/>
          <w:sz w:val="20"/>
          <w:szCs w:val="20"/>
        </w:rPr>
        <w:t xml:space="preserve">The project </w:t>
      </w:r>
      <w:r w:rsidR="005607C2">
        <w:rPr>
          <w:rFonts w:cstheme="minorHAnsi"/>
          <w:color w:val="244061" w:themeColor="accent1" w:themeShade="80"/>
          <w:sz w:val="20"/>
          <w:szCs w:val="20"/>
        </w:rPr>
        <w:t xml:space="preserve">was designed </w:t>
      </w:r>
      <w:r w:rsidRPr="00C0295B">
        <w:rPr>
          <w:rFonts w:cstheme="minorHAnsi"/>
          <w:color w:val="244061" w:themeColor="accent1" w:themeShade="80"/>
          <w:sz w:val="20"/>
          <w:szCs w:val="20"/>
        </w:rPr>
        <w:t xml:space="preserve">to enable the government of PNG to systematically assess vulnerability of these coastal and riverine communities to develop the necessary institutional and individual capacity at national, provincial, district, and local level to enable decentralized and well-informed decision-making. The project </w:t>
      </w:r>
      <w:r w:rsidR="005607C2">
        <w:rPr>
          <w:rFonts w:cstheme="minorHAnsi"/>
          <w:color w:val="244061" w:themeColor="accent1" w:themeShade="80"/>
          <w:sz w:val="20"/>
          <w:szCs w:val="20"/>
        </w:rPr>
        <w:t xml:space="preserve">has </w:t>
      </w:r>
      <w:r w:rsidRPr="00C0295B">
        <w:rPr>
          <w:rFonts w:cstheme="minorHAnsi"/>
          <w:color w:val="244061" w:themeColor="accent1" w:themeShade="80"/>
          <w:sz w:val="20"/>
          <w:szCs w:val="20"/>
        </w:rPr>
        <w:t>support</w:t>
      </w:r>
      <w:r w:rsidR="005607C2">
        <w:rPr>
          <w:rFonts w:cstheme="minorHAnsi"/>
          <w:color w:val="244061" w:themeColor="accent1" w:themeShade="80"/>
          <w:sz w:val="20"/>
          <w:szCs w:val="20"/>
        </w:rPr>
        <w:t>ed</w:t>
      </w:r>
      <w:r w:rsidRPr="00C0295B">
        <w:rPr>
          <w:rFonts w:cstheme="minorHAnsi"/>
          <w:color w:val="244061" w:themeColor="accent1" w:themeShade="80"/>
          <w:sz w:val="20"/>
          <w:szCs w:val="20"/>
        </w:rPr>
        <w:t xml:space="preserve"> development of guidance on climate resilient coastal and inlan</w:t>
      </w:r>
      <w:r w:rsidR="005607C2">
        <w:rPr>
          <w:rFonts w:cstheme="minorHAnsi"/>
          <w:color w:val="244061" w:themeColor="accent1" w:themeShade="80"/>
          <w:sz w:val="20"/>
          <w:szCs w:val="20"/>
        </w:rPr>
        <w:t>d protection, land-use planning;</w:t>
      </w:r>
      <w:r w:rsidRPr="00C0295B">
        <w:rPr>
          <w:rFonts w:cstheme="minorHAnsi"/>
          <w:color w:val="244061" w:themeColor="accent1" w:themeShade="80"/>
          <w:sz w:val="20"/>
          <w:szCs w:val="20"/>
        </w:rPr>
        <w:t xml:space="preserve"> and early warning relevant to the PNG context to assist planners, decision-makers and practitioners understand climate risks when making development and investment decisions. Project interventions at the community level seek to address specific vulnerability characteristics of two distinct geographic areas which are: i) selected coastal and island communities of the Northern and Island Coastal Provinces of East Sepik, Madang, Morobe, New Ireland and Northern, which face coastal flooding risks; ii) selected river communities in Northern Coastal Provinces exposed to inland flooding risks.</w:t>
      </w:r>
    </w:p>
    <w:p w14:paraId="092F235C" w14:textId="0AF89E79" w:rsidR="004F010F" w:rsidRPr="00C0295B" w:rsidRDefault="004F010F" w:rsidP="004F010F">
      <w:pPr>
        <w:jc w:val="both"/>
        <w:rPr>
          <w:rFonts w:cstheme="minorHAnsi"/>
          <w:color w:val="244061" w:themeColor="accent1" w:themeShade="80"/>
          <w:sz w:val="20"/>
          <w:szCs w:val="20"/>
        </w:rPr>
      </w:pPr>
      <w:r w:rsidRPr="00C0295B">
        <w:rPr>
          <w:rFonts w:cstheme="minorHAnsi"/>
          <w:color w:val="244061" w:themeColor="accent1" w:themeShade="80"/>
          <w:sz w:val="20"/>
          <w:szCs w:val="20"/>
        </w:rPr>
        <w:t xml:space="preserve">The objective of the project is to strengthen the ability of coastal and riverine communities in Papua New Guinea </w:t>
      </w:r>
      <w:r w:rsidR="00DF7308">
        <w:rPr>
          <w:rFonts w:cstheme="minorHAnsi"/>
          <w:color w:val="244061" w:themeColor="accent1" w:themeShade="80"/>
          <w:sz w:val="20"/>
          <w:szCs w:val="20"/>
        </w:rPr>
        <w:t>to make informed decisions;</w:t>
      </w:r>
      <w:r w:rsidRPr="00C0295B">
        <w:rPr>
          <w:rFonts w:cstheme="minorHAnsi"/>
          <w:color w:val="244061" w:themeColor="accent1" w:themeShade="80"/>
          <w:sz w:val="20"/>
          <w:szCs w:val="20"/>
        </w:rPr>
        <w:t xml:space="preserve"> and to undertake concrete actions to adapt to climate change-driven hazards affecting their specific locations. This objective was to be achieved through four </w:t>
      </w:r>
      <w:r w:rsidR="00A50B11" w:rsidRPr="00C0295B">
        <w:rPr>
          <w:rFonts w:cstheme="minorHAnsi"/>
          <w:color w:val="244061" w:themeColor="accent1" w:themeShade="80"/>
          <w:sz w:val="20"/>
          <w:szCs w:val="20"/>
        </w:rPr>
        <w:t>outcomes (</w:t>
      </w:r>
      <w:r w:rsidRPr="00C0295B">
        <w:rPr>
          <w:rFonts w:cstheme="minorHAnsi"/>
          <w:color w:val="244061" w:themeColor="accent1" w:themeShade="80"/>
          <w:sz w:val="20"/>
          <w:szCs w:val="20"/>
        </w:rPr>
        <w:t>and 11 outputs):</w:t>
      </w:r>
    </w:p>
    <w:p w14:paraId="706C24C2" w14:textId="77777777" w:rsidR="004F010F" w:rsidRPr="00C0295B" w:rsidRDefault="004F010F" w:rsidP="004F010F">
      <w:pPr>
        <w:pStyle w:val="ListParagraph"/>
        <w:widowControl w:val="0"/>
        <w:numPr>
          <w:ilvl w:val="0"/>
          <w:numId w:val="32"/>
        </w:numPr>
        <w:autoSpaceDE w:val="0"/>
        <w:autoSpaceDN w:val="0"/>
        <w:adjustRightInd w:val="0"/>
        <w:spacing w:before="0" w:after="0" w:line="240" w:lineRule="auto"/>
        <w:jc w:val="both"/>
        <w:rPr>
          <w:rFonts w:cstheme="minorHAnsi"/>
          <w:color w:val="244061" w:themeColor="accent1" w:themeShade="80"/>
          <w:lang w:val="en-CA"/>
        </w:rPr>
      </w:pPr>
      <w:r w:rsidRPr="00C0295B">
        <w:rPr>
          <w:rFonts w:cstheme="minorHAnsi"/>
          <w:color w:val="244061" w:themeColor="accent1" w:themeShade="80"/>
          <w:lang w:val="en-CA"/>
        </w:rPr>
        <w:t>Reduced exposure and increased adaptive capacity of coastal communities to flood-related risks and hazards in 8 communities and 3 cities of the 11 provinces of the North Coast and Islands Region;</w:t>
      </w:r>
    </w:p>
    <w:p w14:paraId="7FCB2A59" w14:textId="77777777" w:rsidR="004F010F" w:rsidRPr="00C0295B" w:rsidRDefault="004F010F" w:rsidP="004F010F">
      <w:pPr>
        <w:pStyle w:val="ListParagraph"/>
        <w:widowControl w:val="0"/>
        <w:numPr>
          <w:ilvl w:val="0"/>
          <w:numId w:val="32"/>
        </w:numPr>
        <w:autoSpaceDE w:val="0"/>
        <w:autoSpaceDN w:val="0"/>
        <w:adjustRightInd w:val="0"/>
        <w:spacing w:before="0" w:after="0" w:line="240" w:lineRule="auto"/>
        <w:jc w:val="both"/>
        <w:rPr>
          <w:rFonts w:cstheme="minorHAnsi"/>
          <w:color w:val="244061" w:themeColor="accent1" w:themeShade="80"/>
          <w:lang w:val="en-CA"/>
        </w:rPr>
      </w:pPr>
      <w:r w:rsidRPr="00C0295B">
        <w:rPr>
          <w:rFonts w:cstheme="minorHAnsi"/>
          <w:color w:val="244061" w:themeColor="accent1" w:themeShade="80"/>
          <w:lang w:val="en-CA"/>
        </w:rPr>
        <w:t>Reduced exposure and increased adaptive capacity of 8 riverine communities of the 4 provinces (East Sepik, Oro, Morobe and Madang Provinces);</w:t>
      </w:r>
    </w:p>
    <w:p w14:paraId="30248C8C" w14:textId="77777777" w:rsidR="004F010F" w:rsidRPr="00C0295B" w:rsidRDefault="004F010F" w:rsidP="004F010F">
      <w:pPr>
        <w:pStyle w:val="ListParagraph"/>
        <w:widowControl w:val="0"/>
        <w:numPr>
          <w:ilvl w:val="0"/>
          <w:numId w:val="32"/>
        </w:numPr>
        <w:autoSpaceDE w:val="0"/>
        <w:autoSpaceDN w:val="0"/>
        <w:adjustRightInd w:val="0"/>
        <w:spacing w:before="0" w:after="0" w:line="240" w:lineRule="auto"/>
        <w:jc w:val="both"/>
        <w:rPr>
          <w:rFonts w:cstheme="minorHAnsi"/>
          <w:color w:val="244061" w:themeColor="accent1" w:themeShade="80"/>
          <w:lang w:val="en-CA"/>
        </w:rPr>
      </w:pPr>
      <w:r w:rsidRPr="00C0295B">
        <w:rPr>
          <w:rFonts w:cstheme="minorHAnsi"/>
          <w:color w:val="244061" w:themeColor="accent1" w:themeShade="80"/>
          <w:lang w:val="en-CA"/>
        </w:rPr>
        <w:t>Strengthened institutional capacity at national and sub-national levels to integrate climate change-related risks into sectoral policies and management practices;</w:t>
      </w:r>
    </w:p>
    <w:p w14:paraId="0530A636" w14:textId="77777777" w:rsidR="004F010F" w:rsidRPr="00C0295B" w:rsidRDefault="004F010F" w:rsidP="004F010F">
      <w:pPr>
        <w:pStyle w:val="ListParagraph"/>
        <w:widowControl w:val="0"/>
        <w:numPr>
          <w:ilvl w:val="0"/>
          <w:numId w:val="32"/>
        </w:numPr>
        <w:autoSpaceDE w:val="0"/>
        <w:autoSpaceDN w:val="0"/>
        <w:adjustRightInd w:val="0"/>
        <w:spacing w:before="0" w:after="0" w:line="240" w:lineRule="auto"/>
        <w:jc w:val="both"/>
        <w:rPr>
          <w:rFonts w:cstheme="minorHAnsi"/>
          <w:color w:val="244061" w:themeColor="accent1" w:themeShade="80"/>
          <w:lang w:val="en-CA"/>
        </w:rPr>
      </w:pPr>
      <w:r w:rsidRPr="00C0295B">
        <w:rPr>
          <w:rFonts w:cstheme="minorHAnsi"/>
          <w:color w:val="244061" w:themeColor="accent1" w:themeShade="80"/>
          <w:lang w:val="en-CA"/>
        </w:rPr>
        <w:t>Strengthened awareness, education and advocacy to promote ownership of adaptation and climate change-related risk reduction processes at national and sub-national levels.</w:t>
      </w:r>
    </w:p>
    <w:p w14:paraId="618E87B9" w14:textId="77777777" w:rsidR="00D6638C" w:rsidRPr="00C0295B" w:rsidRDefault="00D6638C" w:rsidP="00D6638C">
      <w:pPr>
        <w:spacing w:before="200"/>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color w:val="244061" w:themeColor="accent1" w:themeShade="80"/>
          <w:sz w:val="20"/>
          <w:szCs w:val="20"/>
        </w:rPr>
        <w:t>The TE will be conducted according to the guidance, rules and procedures established by UNDP and GEF as reflected in the UNDP Evaluation Guidance for GEF Financed Projects</w:t>
      </w:r>
      <w:r w:rsidR="00022F8E" w:rsidRPr="00C0295B">
        <w:rPr>
          <w:rFonts w:ascii="Calibri" w:eastAsia="Times New Roman" w:hAnsi="Calibri" w:cs="Times New Roman"/>
          <w:color w:val="244061" w:themeColor="accent1" w:themeShade="80"/>
          <w:sz w:val="20"/>
          <w:szCs w:val="20"/>
        </w:rPr>
        <w:t xml:space="preserve">. </w:t>
      </w:r>
      <w:r w:rsidRPr="00C0295B">
        <w:rPr>
          <w:rFonts w:ascii="Calibri" w:eastAsia="Times New Roman" w:hAnsi="Calibri" w:cs="Times New Roman"/>
          <w:color w:val="244061" w:themeColor="accent1" w:themeShade="80"/>
          <w:sz w:val="20"/>
          <w:szCs w:val="20"/>
        </w:rPr>
        <w:t xml:space="preserve"> </w:t>
      </w:r>
    </w:p>
    <w:p w14:paraId="33F9AAB6" w14:textId="3DAC6E5F" w:rsidR="00D6638C" w:rsidRPr="00C0295B" w:rsidRDefault="00A50B11" w:rsidP="00D6638C">
      <w:pPr>
        <w:spacing w:after="120"/>
        <w:rPr>
          <w:rFonts w:ascii="Calibri" w:eastAsia="Times New Roman" w:hAnsi="Calibri" w:cs="Times New Roman"/>
          <w:color w:val="244061" w:themeColor="accent1" w:themeShade="80"/>
          <w:sz w:val="20"/>
          <w:szCs w:val="20"/>
        </w:rPr>
      </w:pPr>
      <w:bookmarkStart w:id="6" w:name="_Hlk497160596"/>
      <w:r>
        <w:rPr>
          <w:rFonts w:ascii="Calibri" w:eastAsia="Times New Roman" w:hAnsi="Calibri" w:cs="Times New Roman"/>
          <w:color w:val="244061" w:themeColor="accent1" w:themeShade="80"/>
          <w:sz w:val="20"/>
          <w:szCs w:val="20"/>
        </w:rPr>
        <w:t>The objective</w:t>
      </w:r>
      <w:r w:rsidR="00D6638C" w:rsidRPr="00C0295B">
        <w:rPr>
          <w:rFonts w:ascii="Calibri" w:eastAsia="Times New Roman" w:hAnsi="Calibri" w:cs="Times New Roman"/>
          <w:color w:val="244061" w:themeColor="accent1" w:themeShade="80"/>
          <w:sz w:val="20"/>
          <w:szCs w:val="20"/>
        </w:rPr>
        <w:t xml:space="preserve"> of the evaluati</w:t>
      </w:r>
      <w:r>
        <w:rPr>
          <w:rFonts w:ascii="Calibri" w:eastAsia="Times New Roman" w:hAnsi="Calibri" w:cs="Times New Roman"/>
          <w:color w:val="244061" w:themeColor="accent1" w:themeShade="80"/>
          <w:sz w:val="20"/>
          <w:szCs w:val="20"/>
        </w:rPr>
        <w:t>on is</w:t>
      </w:r>
      <w:r w:rsidR="00D6638C" w:rsidRPr="00C0295B">
        <w:rPr>
          <w:rFonts w:ascii="Calibri" w:eastAsia="Times New Roman" w:hAnsi="Calibri" w:cs="Times New Roman"/>
          <w:color w:val="244061" w:themeColor="accent1" w:themeShade="80"/>
          <w:sz w:val="20"/>
          <w:szCs w:val="20"/>
        </w:rPr>
        <w:t xml:space="preserve"> to assess the achievement of project results, and to draw lessons that can both improve the sustainability of benefits from this project, and aid in the overall enhancement of UNDP programming</w:t>
      </w:r>
      <w:bookmarkEnd w:id="6"/>
      <w:r w:rsidR="00D6638C" w:rsidRPr="00C0295B">
        <w:rPr>
          <w:rFonts w:ascii="Calibri" w:eastAsia="Times New Roman" w:hAnsi="Calibri" w:cs="Times New Roman"/>
          <w:color w:val="244061" w:themeColor="accent1" w:themeShade="80"/>
          <w:sz w:val="20"/>
          <w:szCs w:val="20"/>
        </w:rPr>
        <w:t xml:space="preserve">.   </w:t>
      </w:r>
    </w:p>
    <w:p w14:paraId="0C16CE2E" w14:textId="79D11425" w:rsidR="00A50B11" w:rsidRDefault="00A50B11">
      <w:pPr>
        <w:rPr>
          <w:color w:val="244061" w:themeColor="accent1" w:themeShade="80"/>
        </w:rPr>
      </w:pPr>
      <w:bookmarkStart w:id="7" w:name="_Toc299133043"/>
      <w:bookmarkStart w:id="8" w:name="_Toc321341550"/>
      <w:r>
        <w:rPr>
          <w:color w:val="244061" w:themeColor="accent1" w:themeShade="80"/>
        </w:rPr>
        <w:br w:type="page"/>
      </w:r>
    </w:p>
    <w:p w14:paraId="5ECBA41A" w14:textId="77777777" w:rsidR="00D6638C" w:rsidRPr="00C0295B" w:rsidRDefault="00D6638C" w:rsidP="00F05366">
      <w:pPr>
        <w:pStyle w:val="Heading51"/>
        <w:rPr>
          <w:color w:val="244061" w:themeColor="accent1" w:themeShade="80"/>
        </w:rPr>
      </w:pPr>
      <w:r w:rsidRPr="00C0295B">
        <w:rPr>
          <w:color w:val="244061" w:themeColor="accent1" w:themeShade="80"/>
        </w:rPr>
        <w:lastRenderedPageBreak/>
        <w:t>Evaluation approach and method</w:t>
      </w:r>
      <w:bookmarkEnd w:id="7"/>
      <w:bookmarkEnd w:id="8"/>
    </w:p>
    <w:p w14:paraId="456357DB" w14:textId="1C2D59AD" w:rsidR="00D6638C" w:rsidRPr="00C0295B" w:rsidRDefault="00D6638C" w:rsidP="00A956A8">
      <w:pPr>
        <w:spacing w:before="200"/>
        <w:jc w:val="both"/>
        <w:rPr>
          <w:rFonts w:ascii="Calibri" w:eastAsia="Times New Roman" w:hAnsi="Calibri" w:cs="Times New Roman"/>
          <w:color w:val="244061" w:themeColor="accent1" w:themeShade="80"/>
          <w:sz w:val="18"/>
          <w:szCs w:val="20"/>
        </w:rPr>
      </w:pPr>
      <w:r w:rsidRPr="00C0295B">
        <w:rPr>
          <w:rFonts w:ascii="Calibri" w:eastAsia="Times New Roman" w:hAnsi="Calibri" w:cs="Times New Roman"/>
          <w:color w:val="244061" w:themeColor="accent1" w:themeShade="80"/>
          <w:sz w:val="20"/>
          <w:szCs w:val="20"/>
        </w:rPr>
        <w:t>An overall approach and method</w:t>
      </w:r>
      <w:r w:rsidRPr="00C0295B">
        <w:rPr>
          <w:rFonts w:ascii="Calibri" w:eastAsia="Times New Roman" w:hAnsi="Calibri" w:cs="Times New Roman"/>
          <w:color w:val="244061" w:themeColor="accent1" w:themeShade="80"/>
          <w:sz w:val="20"/>
          <w:szCs w:val="20"/>
          <w:vertAlign w:val="superscript"/>
        </w:rPr>
        <w:footnoteReference w:id="1"/>
      </w:r>
      <w:r w:rsidRPr="00C0295B">
        <w:rPr>
          <w:rFonts w:ascii="Calibri" w:eastAsia="Times New Roman" w:hAnsi="Calibri" w:cs="Times New Roman"/>
          <w:color w:val="244061" w:themeColor="accent1" w:themeShade="80"/>
          <w:sz w:val="20"/>
          <w:szCs w:val="20"/>
        </w:rPr>
        <w:t xml:space="preserve"> for conducting project terminal evaluations of UNDP supported GEF financed projects has developed over time. The evaluator is expected to frame the evaluation effort using the criteria of </w:t>
      </w:r>
      <w:r w:rsidRPr="00C0295B">
        <w:rPr>
          <w:rFonts w:ascii="Calibri" w:eastAsia="Times New Roman" w:hAnsi="Calibri" w:cs="Times New Roman"/>
          <w:b/>
          <w:color w:val="244061" w:themeColor="accent1" w:themeShade="80"/>
          <w:sz w:val="20"/>
          <w:szCs w:val="20"/>
        </w:rPr>
        <w:t xml:space="preserve">relevance, effectiveness, efficiency, sustainability, and impact, </w:t>
      </w:r>
      <w:r w:rsidRPr="00C0295B">
        <w:rPr>
          <w:rFonts w:ascii="Calibri" w:eastAsia="Times New Roman" w:hAnsi="Calibri" w:cs="Times New Roman"/>
          <w:color w:val="244061" w:themeColor="accent1" w:themeShade="80"/>
          <w:sz w:val="20"/>
          <w:szCs w:val="20"/>
        </w:rPr>
        <w:t xml:space="preserve">as defined and explained in the </w:t>
      </w:r>
      <w:r w:rsidRPr="00C0295B">
        <w:rPr>
          <w:rFonts w:ascii="Calibri" w:eastAsia="Times New Roman" w:hAnsi="Calibri" w:cs="Times New Roman"/>
          <w:color w:val="244061" w:themeColor="accent1" w:themeShade="80"/>
          <w:sz w:val="20"/>
          <w:szCs w:val="20"/>
          <w:u w:val="single"/>
        </w:rPr>
        <w:t xml:space="preserve">UNDP Guidance for Conducting Terminal Evaluations </w:t>
      </w:r>
      <w:r w:rsidR="00A956A8" w:rsidRPr="00C0295B">
        <w:rPr>
          <w:rFonts w:ascii="Calibri" w:eastAsia="Times New Roman" w:hAnsi="Calibri" w:cs="Times New Roman"/>
          <w:color w:val="244061" w:themeColor="accent1" w:themeShade="80"/>
          <w:sz w:val="20"/>
          <w:szCs w:val="20"/>
          <w:u w:val="single"/>
        </w:rPr>
        <w:t>of UNDP</w:t>
      </w:r>
      <w:r w:rsidRPr="00C0295B">
        <w:rPr>
          <w:rFonts w:ascii="Calibri" w:eastAsia="Times New Roman" w:hAnsi="Calibri" w:cs="Times New Roman"/>
          <w:color w:val="244061" w:themeColor="accent1" w:themeShade="80"/>
          <w:sz w:val="20"/>
          <w:szCs w:val="20"/>
          <w:u w:val="single"/>
        </w:rPr>
        <w:t>-supported, GEF-financed Projects</w:t>
      </w:r>
      <w:r w:rsidR="00457A63" w:rsidRPr="00C0295B">
        <w:rPr>
          <w:rFonts w:ascii="Calibri" w:eastAsia="Times New Roman" w:hAnsi="Calibri" w:cs="Times New Roman"/>
          <w:color w:val="244061" w:themeColor="accent1" w:themeShade="80"/>
          <w:sz w:val="20"/>
          <w:szCs w:val="20"/>
        </w:rPr>
        <w:t xml:space="preserve">.    A </w:t>
      </w:r>
      <w:r w:rsidRPr="00C0295B">
        <w:rPr>
          <w:rFonts w:ascii="Calibri" w:eastAsia="Times New Roman" w:hAnsi="Calibri" w:cs="Times New Roman"/>
          <w:color w:val="244061" w:themeColor="accent1" w:themeShade="80"/>
          <w:sz w:val="20"/>
          <w:szCs w:val="20"/>
        </w:rPr>
        <w:t xml:space="preserve">set of questions covering each of these criteria have been drafted and are included with this TOR </w:t>
      </w:r>
      <w:r w:rsidRPr="00C0295B">
        <w:rPr>
          <w:rFonts w:ascii="Calibri" w:eastAsia="Times New Roman" w:hAnsi="Calibri" w:cs="Times New Roman"/>
          <w:color w:val="244061" w:themeColor="accent1" w:themeShade="80"/>
          <w:sz w:val="20"/>
          <w:szCs w:val="20"/>
          <w:shd w:val="clear" w:color="auto" w:fill="BFBFBF"/>
        </w:rPr>
        <w:t>(</w:t>
      </w:r>
      <w:r w:rsidRPr="00C0295B">
        <w:rPr>
          <w:rFonts w:ascii="Calibri" w:eastAsia="Times New Roman" w:hAnsi="Calibri" w:cs="Times New Roman"/>
          <w:i/>
          <w:color w:val="244061" w:themeColor="accent1" w:themeShade="80"/>
          <w:sz w:val="20"/>
          <w:szCs w:val="20"/>
          <w:shd w:val="clear" w:color="auto" w:fill="BFBFBF"/>
        </w:rPr>
        <w:t xml:space="preserve">fill in </w:t>
      </w:r>
      <w:hyperlink w:anchor="_TOR_Annex_C:" w:history="1">
        <w:r w:rsidRPr="00C0295B">
          <w:rPr>
            <w:rFonts w:ascii="Calibri" w:eastAsia="Times New Roman" w:hAnsi="Calibri" w:cs="Times New Roman"/>
            <w:i/>
            <w:color w:val="244061" w:themeColor="accent1" w:themeShade="80"/>
            <w:sz w:val="20"/>
            <w:szCs w:val="20"/>
            <w:u w:val="single"/>
            <w:shd w:val="clear" w:color="auto" w:fill="BFBFBF"/>
          </w:rPr>
          <w:t>Annex C</w:t>
        </w:r>
      </w:hyperlink>
      <w:r w:rsidRPr="00C0295B">
        <w:rPr>
          <w:rFonts w:ascii="Calibri" w:eastAsia="Times New Roman" w:hAnsi="Calibri" w:cs="Times New Roman"/>
          <w:color w:val="244061" w:themeColor="accent1" w:themeShade="80"/>
          <w:sz w:val="20"/>
          <w:szCs w:val="20"/>
          <w:shd w:val="clear" w:color="auto" w:fill="D9D9D9"/>
        </w:rPr>
        <w:t>)</w:t>
      </w:r>
      <w:r w:rsidRPr="00C0295B">
        <w:rPr>
          <w:rFonts w:ascii="Calibri" w:eastAsia="Times New Roman" w:hAnsi="Calibri" w:cs="Times New Roman"/>
          <w:color w:val="244061" w:themeColor="accent1" w:themeShade="80"/>
          <w:sz w:val="20"/>
          <w:szCs w:val="20"/>
        </w:rPr>
        <w:t xml:space="preserve"> The evaluator is expected to amend, complete and submit this matrix as part </w:t>
      </w:r>
      <w:r w:rsidR="00A50B11" w:rsidRPr="00C0295B">
        <w:rPr>
          <w:rFonts w:ascii="Calibri" w:eastAsia="Times New Roman" w:hAnsi="Calibri" w:cs="Times New Roman"/>
          <w:color w:val="244061" w:themeColor="accent1" w:themeShade="80"/>
          <w:sz w:val="20"/>
          <w:szCs w:val="20"/>
        </w:rPr>
        <w:t>of an</w:t>
      </w:r>
      <w:r w:rsidRPr="00C0295B">
        <w:rPr>
          <w:rFonts w:ascii="Calibri" w:eastAsia="Times New Roman" w:hAnsi="Calibri" w:cs="Times New Roman"/>
          <w:color w:val="244061" w:themeColor="accent1" w:themeShade="80"/>
          <w:sz w:val="20"/>
          <w:szCs w:val="20"/>
        </w:rPr>
        <w:t xml:space="preserve"> evaluation inception report, and shall include it as an annex to the final report.  </w:t>
      </w:r>
    </w:p>
    <w:p w14:paraId="0F2E414E" w14:textId="31DF1779" w:rsidR="00D6638C" w:rsidRPr="00C0295B" w:rsidRDefault="00D6638C" w:rsidP="00A956A8">
      <w:pPr>
        <w:jc w:val="both"/>
        <w:rPr>
          <w:rFonts w:eastAsia="Times New Roman"/>
          <w:color w:val="244061" w:themeColor="accent1" w:themeShade="80"/>
          <w:sz w:val="18"/>
          <w:szCs w:val="20"/>
        </w:rPr>
      </w:pPr>
      <w:r w:rsidRPr="00C0295B">
        <w:rPr>
          <w:color w:val="244061" w:themeColor="accent1" w:themeShade="80"/>
          <w:sz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457A63" w:rsidRPr="00C0295B">
        <w:rPr>
          <w:color w:val="244061" w:themeColor="accent1" w:themeShade="80"/>
          <w:sz w:val="20"/>
        </w:rPr>
        <w:t xml:space="preserve">at least </w:t>
      </w:r>
      <w:r w:rsidR="00C47609" w:rsidRPr="00C0295B">
        <w:rPr>
          <w:color w:val="244061" w:themeColor="accent1" w:themeShade="80"/>
          <w:sz w:val="20"/>
        </w:rPr>
        <w:t xml:space="preserve">3 </w:t>
      </w:r>
      <w:r w:rsidR="00457A63" w:rsidRPr="00C0295B">
        <w:rPr>
          <w:color w:val="244061" w:themeColor="accent1" w:themeShade="80"/>
          <w:sz w:val="20"/>
        </w:rPr>
        <w:t xml:space="preserve">of the 5 pilot </w:t>
      </w:r>
      <w:r w:rsidR="00C47609" w:rsidRPr="00C0295B">
        <w:rPr>
          <w:color w:val="244061" w:themeColor="accent1" w:themeShade="80"/>
          <w:sz w:val="20"/>
        </w:rPr>
        <w:t>locations</w:t>
      </w:r>
      <w:r w:rsidRPr="00C0295B">
        <w:rPr>
          <w:color w:val="244061" w:themeColor="accent1" w:themeShade="80"/>
          <w:sz w:val="20"/>
        </w:rPr>
        <w:t xml:space="preserve"> including the following project sites</w:t>
      </w:r>
      <w:r w:rsidR="00E212A6" w:rsidRPr="00C0295B">
        <w:rPr>
          <w:color w:val="244061" w:themeColor="accent1" w:themeShade="80"/>
          <w:sz w:val="20"/>
        </w:rPr>
        <w:t xml:space="preserve"> </w:t>
      </w:r>
      <w:r w:rsidR="00C47609" w:rsidRPr="00C0295B">
        <w:rPr>
          <w:color w:val="244061" w:themeColor="accent1" w:themeShade="80"/>
          <w:sz w:val="20"/>
        </w:rPr>
        <w:t>New Ireland, Madang and Morobe</w:t>
      </w:r>
      <w:r w:rsidRPr="00C0295B">
        <w:rPr>
          <w:color w:val="244061" w:themeColor="accent1" w:themeShade="80"/>
          <w:sz w:val="20"/>
        </w:rPr>
        <w:t>. Interviews will be held with the following organizations and individuals at a minimum:</w:t>
      </w:r>
      <w:r w:rsidR="00C47609" w:rsidRPr="00C0295B">
        <w:rPr>
          <w:color w:val="244061" w:themeColor="accent1" w:themeShade="80"/>
          <w:sz w:val="20"/>
        </w:rPr>
        <w:t xml:space="preserve"> Provincial governments of Morobe, New Ireland and Madang.  World Vision, Wildlife Conservation Society, World Wildlife Fund, beneficiary communities, schools in the above three provinces. </w:t>
      </w:r>
    </w:p>
    <w:p w14:paraId="7C8C1184" w14:textId="77777777" w:rsidR="00D6638C" w:rsidRPr="00C0295B" w:rsidRDefault="00D6638C" w:rsidP="00A956A8">
      <w:pPr>
        <w:spacing w:after="12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The evaluator will review all relevant sources of information, such as the project document, project reports</w:t>
      </w:r>
      <w:r w:rsidR="00022F8E" w:rsidRPr="00C0295B">
        <w:rPr>
          <w:rFonts w:ascii="Calibri" w:eastAsia="Times New Roman" w:hAnsi="Calibri" w:cs="Times New Roman"/>
          <w:color w:val="244061" w:themeColor="accent1" w:themeShade="80"/>
          <w:sz w:val="20"/>
          <w:szCs w:val="20"/>
        </w:rPr>
        <w:t xml:space="preserve"> – including</w:t>
      </w:r>
      <w:r w:rsidRPr="00C0295B">
        <w:rPr>
          <w:rFonts w:ascii="Calibri" w:eastAsia="Times New Roman" w:hAnsi="Calibri" w:cs="Times New Roman"/>
          <w:color w:val="244061" w:themeColor="accent1" w:themeShade="80"/>
          <w:sz w:val="20"/>
          <w:szCs w:val="20"/>
        </w:rPr>
        <w:t xml:space="preserve"> Annual APR/PIR, project budget revisions, midterm review, progress reports, GEF focal area tracking tools, project files, national strategic and legal documents, and any other material</w:t>
      </w:r>
      <w:r w:rsidR="00022F8E" w:rsidRPr="00C0295B">
        <w:rPr>
          <w:rFonts w:ascii="Calibri" w:eastAsia="Times New Roman" w:hAnsi="Calibri" w:cs="Times New Roman"/>
          <w:color w:val="244061" w:themeColor="accent1" w:themeShade="80"/>
          <w:sz w:val="20"/>
          <w:szCs w:val="20"/>
        </w:rPr>
        <w:t>s</w:t>
      </w:r>
      <w:r w:rsidRPr="00C0295B">
        <w:rPr>
          <w:rFonts w:ascii="Calibri" w:eastAsia="Times New Roman" w:hAnsi="Calibri" w:cs="Times New Roman"/>
          <w:color w:val="244061" w:themeColor="accent1" w:themeShade="80"/>
          <w:sz w:val="20"/>
          <w:szCs w:val="20"/>
        </w:rPr>
        <w:t xml:space="preserve"> that the evaluator considers useful for this evidence-based assessment. A list of documents that the project team will provide to the evaluator for review is included in </w:t>
      </w:r>
      <w:hyperlink w:anchor="_TOR_Annex_B:" w:history="1">
        <w:r w:rsidRPr="00C0295B">
          <w:rPr>
            <w:rFonts w:ascii="Calibri" w:eastAsia="Times New Roman" w:hAnsi="Calibri" w:cs="Times New Roman"/>
            <w:color w:val="244061" w:themeColor="accent1" w:themeShade="80"/>
            <w:sz w:val="20"/>
            <w:szCs w:val="20"/>
            <w:u w:val="single"/>
            <w:shd w:val="clear" w:color="auto" w:fill="FFFFFF"/>
          </w:rPr>
          <w:t>Annex B</w:t>
        </w:r>
      </w:hyperlink>
      <w:r w:rsidRPr="00C0295B">
        <w:rPr>
          <w:rFonts w:ascii="Calibri" w:eastAsia="Times New Roman" w:hAnsi="Calibri" w:cs="Times New Roman"/>
          <w:color w:val="244061" w:themeColor="accent1" w:themeShade="80"/>
          <w:sz w:val="20"/>
          <w:szCs w:val="20"/>
          <w:u w:val="single"/>
          <w:shd w:val="clear" w:color="auto" w:fill="FFFFFF"/>
        </w:rPr>
        <w:t xml:space="preserve"> </w:t>
      </w:r>
      <w:r w:rsidRPr="00C0295B">
        <w:rPr>
          <w:rFonts w:ascii="Calibri" w:eastAsia="Times New Roman" w:hAnsi="Calibri" w:cs="Times New Roman"/>
          <w:color w:val="244061" w:themeColor="accent1" w:themeShade="80"/>
          <w:sz w:val="20"/>
          <w:szCs w:val="20"/>
        </w:rPr>
        <w:t>of this Terms of Reference.</w:t>
      </w:r>
    </w:p>
    <w:p w14:paraId="24890066" w14:textId="77777777" w:rsidR="00D6638C" w:rsidRPr="00C0295B" w:rsidRDefault="00D6638C" w:rsidP="00A956A8">
      <w:pPr>
        <w:pStyle w:val="Heading51"/>
        <w:jc w:val="both"/>
        <w:rPr>
          <w:color w:val="244061" w:themeColor="accent1" w:themeShade="80"/>
        </w:rPr>
      </w:pPr>
      <w:bookmarkStart w:id="9" w:name="_Toc321341551"/>
      <w:r w:rsidRPr="00C0295B">
        <w:rPr>
          <w:color w:val="244061" w:themeColor="accent1" w:themeShade="80"/>
        </w:rPr>
        <w:t>Evaluation Criteria &amp; Ratings</w:t>
      </w:r>
      <w:bookmarkEnd w:id="9"/>
    </w:p>
    <w:p w14:paraId="36E0FDE1" w14:textId="77777777" w:rsidR="00D6638C" w:rsidRPr="00C0295B" w:rsidRDefault="00D6638C" w:rsidP="00A956A8">
      <w:pPr>
        <w:autoSpaceDE w:val="0"/>
        <w:autoSpaceDN w:val="0"/>
        <w:adjustRightInd w:val="0"/>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An assessment of project performance will be carried out, based against expectations set out in the Project Logical Framework/Results Framework </w:t>
      </w:r>
      <w:r w:rsidRPr="00C0295B">
        <w:rPr>
          <w:rFonts w:ascii="Calibri" w:eastAsia="Times New Roman" w:hAnsi="Calibri" w:cs="Times New Roman"/>
          <w:color w:val="244061" w:themeColor="accent1" w:themeShade="80"/>
          <w:sz w:val="20"/>
          <w:szCs w:val="20"/>
          <w:highlight w:val="lightGray"/>
        </w:rPr>
        <w:t xml:space="preserve">(see </w:t>
      </w:r>
      <w:hyperlink w:anchor="_TOR_Annex_A:" w:history="1">
        <w:r w:rsidRPr="00C0295B">
          <w:rPr>
            <w:rFonts w:ascii="Calibri" w:eastAsia="Times New Roman" w:hAnsi="Calibri" w:cs="Times New Roman"/>
            <w:color w:val="244061" w:themeColor="accent1" w:themeShade="80"/>
            <w:sz w:val="20"/>
            <w:szCs w:val="20"/>
            <w:u w:val="single"/>
          </w:rPr>
          <w:t xml:space="preserve"> Annex A</w:t>
        </w:r>
      </w:hyperlink>
      <w:r w:rsidRPr="00C0295B">
        <w:rPr>
          <w:rFonts w:ascii="Calibri" w:eastAsia="Times New Roman" w:hAnsi="Calibri" w:cs="Times New Roman"/>
          <w:color w:val="244061" w:themeColor="accent1" w:themeShade="80"/>
          <w:sz w:val="20"/>
          <w:szCs w:val="20"/>
          <w:highlight w:val="lightGray"/>
        </w:rPr>
        <w:t>)</w:t>
      </w:r>
      <w:r w:rsidRPr="00C0295B">
        <w:rPr>
          <w:rFonts w:ascii="Calibri" w:eastAsia="Times New Roman" w:hAnsi="Calibri" w:cs="Times New Roman"/>
          <w:color w:val="244061" w:themeColor="accent1" w:themeShade="80"/>
          <w:sz w:val="20"/>
          <w:szCs w:val="20"/>
        </w:rPr>
        <w:t>, which provides performance and impact indicators for project implementation along with their corresponding means of verification</w:t>
      </w:r>
      <w:r w:rsidRPr="00C0295B">
        <w:rPr>
          <w:rFonts w:ascii="Calibri" w:eastAsia="Times New Roman" w:hAnsi="Calibri" w:cs="Times New Roman"/>
          <w:color w:val="244061" w:themeColor="accent1" w:themeShade="80"/>
          <w:sz w:val="23"/>
          <w:szCs w:val="23"/>
        </w:rPr>
        <w:t xml:space="preserve">. </w:t>
      </w:r>
      <w:r w:rsidRPr="00C0295B">
        <w:rPr>
          <w:rFonts w:ascii="Calibri" w:eastAsia="Times New Roman" w:hAnsi="Calibri" w:cs="Times New Roman"/>
          <w:color w:val="244061" w:themeColor="accent1" w:themeShade="80"/>
          <w:sz w:val="20"/>
          <w:szCs w:val="20"/>
        </w:rPr>
        <w:t xml:space="preserve">The evaluation will at a minimum cover the criteria of: </w:t>
      </w:r>
      <w:r w:rsidRPr="00C0295B">
        <w:rPr>
          <w:rFonts w:ascii="Calibri" w:eastAsia="Times New Roman" w:hAnsi="Calibri" w:cs="Times New Roman"/>
          <w:b/>
          <w:color w:val="244061" w:themeColor="accent1" w:themeShade="80"/>
          <w:sz w:val="20"/>
          <w:szCs w:val="20"/>
        </w:rPr>
        <w:t xml:space="preserve">relevance, effectiveness, efficiency, sustainability and impact. </w:t>
      </w:r>
      <w:r w:rsidRPr="00C0295B">
        <w:rPr>
          <w:rFonts w:ascii="Calibri" w:eastAsia="Times New Roman" w:hAnsi="Calibri" w:cs="Times New Roman"/>
          <w:color w:val="244061" w:themeColor="accent1" w:themeShade="80"/>
          <w:sz w:val="20"/>
          <w:szCs w:val="20"/>
        </w:rPr>
        <w:t>Ratings must be provided on the following performance criteria. The comp</w:t>
      </w:r>
      <w:r w:rsidR="00022F8E" w:rsidRPr="00C0295B">
        <w:rPr>
          <w:rFonts w:ascii="Calibri" w:eastAsia="Times New Roman" w:hAnsi="Calibri" w:cs="Times New Roman"/>
          <w:color w:val="244061" w:themeColor="accent1" w:themeShade="80"/>
          <w:sz w:val="20"/>
          <w:szCs w:val="20"/>
        </w:rPr>
        <w:t>l</w:t>
      </w:r>
      <w:r w:rsidRPr="00C0295B">
        <w:rPr>
          <w:rFonts w:ascii="Calibri" w:eastAsia="Times New Roman" w:hAnsi="Calibri" w:cs="Times New Roman"/>
          <w:color w:val="244061" w:themeColor="accent1" w:themeShade="80"/>
          <w:sz w:val="20"/>
          <w:szCs w:val="20"/>
        </w:rPr>
        <w:t xml:space="preserve">eted table must be included in the evaluation executive summary.   The obligatory rating scales are included in </w:t>
      </w:r>
      <w:hyperlink w:anchor="_TOR_Annex_D:" w:history="1">
        <w:r w:rsidRPr="00C0295B">
          <w:rPr>
            <w:rFonts w:ascii="Calibri" w:eastAsia="Times New Roman" w:hAnsi="Calibri" w:cs="Times New Roman"/>
            <w:color w:val="244061" w:themeColor="accent1" w:themeShade="80"/>
            <w:sz w:val="20"/>
            <w:szCs w:val="20"/>
            <w:u w:val="single"/>
          </w:rPr>
          <w:t xml:space="preserve"> Annex D</w:t>
        </w:r>
      </w:hyperlink>
      <w:r w:rsidRPr="00C0295B">
        <w:rPr>
          <w:rFonts w:ascii="Calibri" w:eastAsia="Times New Roman" w:hAnsi="Calibri" w:cs="Times New Roman"/>
          <w:color w:val="244061" w:themeColor="accent1" w:themeShade="80"/>
          <w:sz w:val="20"/>
          <w:szCs w:val="20"/>
        </w:rPr>
        <w:t>.</w:t>
      </w:r>
    </w:p>
    <w:p w14:paraId="70787CBF" w14:textId="77777777" w:rsidR="00D6638C" w:rsidRPr="00C0295B" w:rsidRDefault="00D6638C" w:rsidP="00A956A8">
      <w:pPr>
        <w:autoSpaceDE w:val="0"/>
        <w:autoSpaceDN w:val="0"/>
        <w:adjustRightInd w:val="0"/>
        <w:spacing w:after="0"/>
        <w:jc w:val="both"/>
        <w:rPr>
          <w:rFonts w:ascii="Calibri" w:eastAsia="Times New Roman" w:hAnsi="Calibri" w:cs="Times New Roman"/>
          <w:color w:val="244061" w:themeColor="accent1" w:themeShade="80"/>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22"/>
        <w:gridCol w:w="4517"/>
        <w:gridCol w:w="722"/>
      </w:tblGrid>
      <w:tr w:rsidR="00D6638C" w:rsidRPr="00C0295B" w14:paraId="6D520DFB" w14:textId="77777777" w:rsidTr="006C1964">
        <w:trPr>
          <w:trHeight w:val="206"/>
        </w:trPr>
        <w:tc>
          <w:tcPr>
            <w:tcW w:w="5000" w:type="pct"/>
            <w:gridSpan w:val="4"/>
            <w:vAlign w:val="center"/>
          </w:tcPr>
          <w:p w14:paraId="5956ADB0" w14:textId="77777777" w:rsidR="00D6638C" w:rsidRPr="00C0295B" w:rsidRDefault="00D6638C" w:rsidP="00A956A8">
            <w:pPr>
              <w:tabs>
                <w:tab w:val="right" w:pos="0"/>
              </w:tabs>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Evaluation Ratings:</w:t>
            </w:r>
          </w:p>
        </w:tc>
      </w:tr>
      <w:tr w:rsidR="00D6638C" w:rsidRPr="00C0295B" w14:paraId="7DB1CB84" w14:textId="77777777" w:rsidTr="006C1964">
        <w:tblPrEx>
          <w:shd w:val="clear" w:color="auto" w:fill="4F81BD"/>
        </w:tblPrEx>
        <w:tc>
          <w:tcPr>
            <w:tcW w:w="1652" w:type="pct"/>
            <w:shd w:val="clear" w:color="auto" w:fill="7F7F7F"/>
          </w:tcPr>
          <w:p w14:paraId="7FEF363D" w14:textId="77777777" w:rsidR="00D6638C" w:rsidRPr="00C0295B" w:rsidRDefault="00D6638C" w:rsidP="00A956A8">
            <w:pPr>
              <w:spacing w:after="0"/>
              <w:jc w:val="both"/>
              <w:rPr>
                <w:rFonts w:ascii="Calibri" w:eastAsia="Times New Roman" w:hAnsi="Calibri" w:cs="Times New Roman"/>
                <w:b/>
                <w:bCs/>
                <w:color w:val="244061" w:themeColor="accent1" w:themeShade="80"/>
                <w:sz w:val="20"/>
                <w:szCs w:val="20"/>
              </w:rPr>
            </w:pPr>
            <w:bookmarkStart w:id="10" w:name="_Toc299133036"/>
            <w:r w:rsidRPr="00C0295B">
              <w:rPr>
                <w:rFonts w:ascii="Calibri" w:eastAsia="Times New Roman" w:hAnsi="Calibri" w:cs="Times New Roman"/>
                <w:b/>
                <w:color w:val="244061" w:themeColor="accent1" w:themeShade="80"/>
                <w:sz w:val="20"/>
                <w:szCs w:val="20"/>
              </w:rPr>
              <w:t>1. Monitoring and Evaluation</w:t>
            </w:r>
          </w:p>
        </w:tc>
        <w:tc>
          <w:tcPr>
            <w:tcW w:w="375" w:type="pct"/>
            <w:shd w:val="clear" w:color="auto" w:fill="7F7F7F"/>
          </w:tcPr>
          <w:p w14:paraId="1700BD45" w14:textId="77777777" w:rsidR="00D6638C" w:rsidRPr="00C0295B" w:rsidRDefault="00D6638C" w:rsidP="00A956A8">
            <w:pPr>
              <w:spacing w:after="0"/>
              <w:jc w:val="both"/>
              <w:rPr>
                <w:rFonts w:ascii="Calibri" w:eastAsia="Times New Roman" w:hAnsi="Calibri" w:cs="Times New Roman"/>
                <w:b/>
                <w:bCs/>
                <w:color w:val="244061" w:themeColor="accent1" w:themeShade="80"/>
                <w:sz w:val="20"/>
                <w:szCs w:val="20"/>
              </w:rPr>
            </w:pPr>
            <w:r w:rsidRPr="00C0295B">
              <w:rPr>
                <w:rFonts w:ascii="Calibri" w:eastAsia="Times New Roman" w:hAnsi="Calibri" w:cs="Times New Roman"/>
                <w:b/>
                <w:i/>
                <w:color w:val="244061" w:themeColor="accent1" w:themeShade="80"/>
                <w:sz w:val="20"/>
                <w:szCs w:val="20"/>
              </w:rPr>
              <w:t>rating</w:t>
            </w:r>
          </w:p>
        </w:tc>
        <w:tc>
          <w:tcPr>
            <w:tcW w:w="2598" w:type="pct"/>
            <w:shd w:val="clear" w:color="auto" w:fill="7F7F7F"/>
          </w:tcPr>
          <w:p w14:paraId="1269C454" w14:textId="77777777" w:rsidR="00D6638C" w:rsidRPr="00C0295B" w:rsidRDefault="00D6638C" w:rsidP="00A956A8">
            <w:pPr>
              <w:spacing w:after="0"/>
              <w:jc w:val="both"/>
              <w:rPr>
                <w:rFonts w:ascii="Calibri" w:eastAsia="Times New Roman" w:hAnsi="Calibri" w:cs="Times New Roman"/>
                <w:b/>
                <w:i/>
                <w:color w:val="244061" w:themeColor="accent1" w:themeShade="80"/>
                <w:sz w:val="20"/>
                <w:szCs w:val="20"/>
              </w:rPr>
            </w:pPr>
            <w:r w:rsidRPr="00C0295B">
              <w:rPr>
                <w:rFonts w:ascii="Calibri" w:eastAsia="Times New Roman" w:hAnsi="Calibri" w:cs="Times New Roman"/>
                <w:b/>
                <w:color w:val="244061" w:themeColor="accent1" w:themeShade="80"/>
                <w:sz w:val="20"/>
                <w:szCs w:val="20"/>
              </w:rPr>
              <w:t>2. IA&amp; EA Execution</w:t>
            </w:r>
          </w:p>
        </w:tc>
        <w:tc>
          <w:tcPr>
            <w:tcW w:w="375" w:type="pct"/>
            <w:shd w:val="clear" w:color="auto" w:fill="7F7F7F"/>
          </w:tcPr>
          <w:p w14:paraId="7E9D9032" w14:textId="77777777" w:rsidR="00D6638C" w:rsidRPr="00C0295B" w:rsidRDefault="00D6638C" w:rsidP="00A956A8">
            <w:pPr>
              <w:spacing w:after="0"/>
              <w:jc w:val="both"/>
              <w:rPr>
                <w:rFonts w:ascii="Calibri" w:eastAsia="Times New Roman" w:hAnsi="Calibri" w:cs="Times New Roman"/>
                <w:b/>
                <w:i/>
                <w:color w:val="244061" w:themeColor="accent1" w:themeShade="80"/>
                <w:sz w:val="20"/>
                <w:szCs w:val="20"/>
              </w:rPr>
            </w:pPr>
            <w:r w:rsidRPr="00C0295B">
              <w:rPr>
                <w:rFonts w:ascii="Calibri" w:eastAsia="Times New Roman" w:hAnsi="Calibri" w:cs="Times New Roman"/>
                <w:b/>
                <w:i/>
                <w:color w:val="244061" w:themeColor="accent1" w:themeShade="80"/>
                <w:sz w:val="20"/>
                <w:szCs w:val="20"/>
              </w:rPr>
              <w:t>rating</w:t>
            </w:r>
          </w:p>
        </w:tc>
      </w:tr>
      <w:tr w:rsidR="00D6638C" w:rsidRPr="00C0295B" w14:paraId="3B28432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8D982D0"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M&amp;E design at entry</w:t>
            </w:r>
          </w:p>
        </w:tc>
        <w:tc>
          <w:tcPr>
            <w:tcW w:w="375" w:type="pct"/>
            <w:tcBorders>
              <w:bottom w:val="single" w:sz="4" w:space="0" w:color="auto"/>
            </w:tcBorders>
          </w:tcPr>
          <w:p w14:paraId="3B7C22C8"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Borders>
              <w:bottom w:val="single" w:sz="4" w:space="0" w:color="auto"/>
            </w:tcBorders>
          </w:tcPr>
          <w:p w14:paraId="244F157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Quality of UNDP Implementation</w:t>
            </w:r>
          </w:p>
        </w:tc>
        <w:tc>
          <w:tcPr>
            <w:tcW w:w="375" w:type="pct"/>
            <w:tcBorders>
              <w:bottom w:val="single" w:sz="4" w:space="0" w:color="auto"/>
            </w:tcBorders>
          </w:tcPr>
          <w:p w14:paraId="08F85D84"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55DDA5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2A523D6"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M&amp;E Plan Implementation</w:t>
            </w:r>
          </w:p>
        </w:tc>
        <w:tc>
          <w:tcPr>
            <w:tcW w:w="375" w:type="pct"/>
            <w:tcBorders>
              <w:bottom w:val="single" w:sz="4" w:space="0" w:color="auto"/>
            </w:tcBorders>
          </w:tcPr>
          <w:p w14:paraId="645C7519"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Borders>
              <w:bottom w:val="single" w:sz="4" w:space="0" w:color="auto"/>
            </w:tcBorders>
          </w:tcPr>
          <w:p w14:paraId="4A052E4D"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Quality of Execution - Executing Agency </w:t>
            </w:r>
          </w:p>
        </w:tc>
        <w:tc>
          <w:tcPr>
            <w:tcW w:w="375" w:type="pct"/>
            <w:tcBorders>
              <w:bottom w:val="single" w:sz="4" w:space="0" w:color="auto"/>
            </w:tcBorders>
          </w:tcPr>
          <w:p w14:paraId="43CE213B"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02089C9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20545D"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Overall quality of M&amp;E</w:t>
            </w:r>
          </w:p>
        </w:tc>
        <w:tc>
          <w:tcPr>
            <w:tcW w:w="375" w:type="pct"/>
            <w:tcBorders>
              <w:bottom w:val="single" w:sz="4" w:space="0" w:color="auto"/>
            </w:tcBorders>
          </w:tcPr>
          <w:p w14:paraId="7A5140BC"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Borders>
              <w:bottom w:val="single" w:sz="4" w:space="0" w:color="auto"/>
            </w:tcBorders>
          </w:tcPr>
          <w:p w14:paraId="1A2D5B0B"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Overall quality of Implementation / Execution</w:t>
            </w:r>
          </w:p>
        </w:tc>
        <w:tc>
          <w:tcPr>
            <w:tcW w:w="375" w:type="pct"/>
            <w:tcBorders>
              <w:bottom w:val="single" w:sz="4" w:space="0" w:color="auto"/>
            </w:tcBorders>
          </w:tcPr>
          <w:p w14:paraId="590A7A74"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277BAD91" w14:textId="77777777" w:rsidTr="006C1964">
        <w:tblPrEx>
          <w:shd w:val="clear" w:color="auto" w:fill="4F81BD"/>
        </w:tblPrEx>
        <w:tc>
          <w:tcPr>
            <w:tcW w:w="1652" w:type="pct"/>
            <w:shd w:val="clear" w:color="auto" w:fill="7F7F7F"/>
          </w:tcPr>
          <w:p w14:paraId="1F6C2EA4" w14:textId="77777777" w:rsidR="00D6638C" w:rsidRPr="00C0295B" w:rsidRDefault="00D6638C" w:rsidP="00A956A8">
            <w:pPr>
              <w:spacing w:after="0" w:line="240" w:lineRule="auto"/>
              <w:contextualSpacing/>
              <w:jc w:val="both"/>
              <w:rPr>
                <w:rFonts w:ascii="Calibri" w:eastAsia="Times New Roman" w:hAnsi="Calibri" w:cs="Calibri"/>
                <w:b/>
                <w:bCs/>
                <w:color w:val="244061" w:themeColor="accent1" w:themeShade="80"/>
                <w:sz w:val="20"/>
                <w:szCs w:val="20"/>
              </w:rPr>
            </w:pPr>
            <w:r w:rsidRPr="00C0295B">
              <w:rPr>
                <w:rFonts w:ascii="Calibri" w:eastAsia="Times New Roman" w:hAnsi="Calibri" w:cs="Calibri"/>
                <w:b/>
                <w:bCs/>
                <w:color w:val="244061" w:themeColor="accent1" w:themeShade="80"/>
                <w:sz w:val="20"/>
                <w:szCs w:val="20"/>
              </w:rPr>
              <w:t xml:space="preserve">3. Assessment of Outcomes </w:t>
            </w:r>
          </w:p>
        </w:tc>
        <w:tc>
          <w:tcPr>
            <w:tcW w:w="375" w:type="pct"/>
            <w:shd w:val="clear" w:color="auto" w:fill="7F7F7F"/>
          </w:tcPr>
          <w:p w14:paraId="1445FEA2" w14:textId="77777777" w:rsidR="00D6638C" w:rsidRPr="00C0295B" w:rsidRDefault="00D6638C" w:rsidP="00A956A8">
            <w:pPr>
              <w:spacing w:after="0" w:line="240" w:lineRule="auto"/>
              <w:contextualSpacing/>
              <w:jc w:val="both"/>
              <w:rPr>
                <w:rFonts w:ascii="Calibri" w:eastAsia="Times New Roman" w:hAnsi="Calibri" w:cs="Calibri"/>
                <w:b/>
                <w:bCs/>
                <w:color w:val="244061" w:themeColor="accent1" w:themeShade="80"/>
                <w:sz w:val="20"/>
                <w:szCs w:val="20"/>
              </w:rPr>
            </w:pPr>
            <w:r w:rsidRPr="00C0295B">
              <w:rPr>
                <w:rFonts w:ascii="Calibri" w:eastAsia="Times New Roman" w:hAnsi="Calibri" w:cs="Calibri"/>
                <w:b/>
                <w:bCs/>
                <w:color w:val="244061" w:themeColor="accent1" w:themeShade="80"/>
                <w:sz w:val="20"/>
                <w:szCs w:val="20"/>
              </w:rPr>
              <w:t>rating</w:t>
            </w:r>
          </w:p>
        </w:tc>
        <w:tc>
          <w:tcPr>
            <w:tcW w:w="2598" w:type="pct"/>
            <w:shd w:val="clear" w:color="auto" w:fill="7F7F7F"/>
          </w:tcPr>
          <w:p w14:paraId="5C46480B" w14:textId="77777777" w:rsidR="00D6638C" w:rsidRPr="00C0295B" w:rsidRDefault="00D6638C" w:rsidP="00A956A8">
            <w:pPr>
              <w:spacing w:after="0" w:line="240" w:lineRule="auto"/>
              <w:contextualSpacing/>
              <w:jc w:val="both"/>
              <w:rPr>
                <w:rFonts w:ascii="Calibri" w:eastAsia="Times New Roman" w:hAnsi="Calibri" w:cs="Calibri"/>
                <w:b/>
                <w:bCs/>
                <w:color w:val="244061" w:themeColor="accent1" w:themeShade="80"/>
                <w:sz w:val="20"/>
                <w:szCs w:val="20"/>
              </w:rPr>
            </w:pPr>
            <w:r w:rsidRPr="00C0295B">
              <w:rPr>
                <w:rFonts w:ascii="Calibri" w:eastAsia="Times New Roman" w:hAnsi="Calibri" w:cs="Calibri"/>
                <w:b/>
                <w:bCs/>
                <w:color w:val="244061" w:themeColor="accent1" w:themeShade="80"/>
                <w:sz w:val="20"/>
                <w:szCs w:val="20"/>
              </w:rPr>
              <w:t>4. Sustainability</w:t>
            </w:r>
          </w:p>
        </w:tc>
        <w:tc>
          <w:tcPr>
            <w:tcW w:w="375" w:type="pct"/>
            <w:shd w:val="clear" w:color="auto" w:fill="7F7F7F"/>
          </w:tcPr>
          <w:p w14:paraId="0F46BADF" w14:textId="77777777" w:rsidR="00D6638C" w:rsidRPr="00C0295B" w:rsidRDefault="00D6638C" w:rsidP="00A956A8">
            <w:pPr>
              <w:spacing w:after="0" w:line="240" w:lineRule="auto"/>
              <w:contextualSpacing/>
              <w:jc w:val="both"/>
              <w:rPr>
                <w:rFonts w:ascii="Calibri" w:eastAsia="Times New Roman" w:hAnsi="Calibri" w:cs="Calibri"/>
                <w:b/>
                <w:bCs/>
                <w:color w:val="244061" w:themeColor="accent1" w:themeShade="80"/>
                <w:sz w:val="20"/>
                <w:szCs w:val="20"/>
              </w:rPr>
            </w:pPr>
            <w:r w:rsidRPr="00C0295B">
              <w:rPr>
                <w:rFonts w:ascii="Calibri" w:eastAsia="Times New Roman" w:hAnsi="Calibri" w:cs="Calibri"/>
                <w:b/>
                <w:bCs/>
                <w:color w:val="244061" w:themeColor="accent1" w:themeShade="80"/>
                <w:sz w:val="20"/>
                <w:szCs w:val="20"/>
              </w:rPr>
              <w:t>rating</w:t>
            </w:r>
          </w:p>
        </w:tc>
      </w:tr>
      <w:tr w:rsidR="00D6638C" w:rsidRPr="00C0295B" w14:paraId="6ADED33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EBE6220"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Relevance </w:t>
            </w:r>
          </w:p>
        </w:tc>
        <w:tc>
          <w:tcPr>
            <w:tcW w:w="375" w:type="pct"/>
          </w:tcPr>
          <w:p w14:paraId="78C74648"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Pr>
          <w:p w14:paraId="0FE01E23"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Financial resources:</w:t>
            </w:r>
          </w:p>
        </w:tc>
        <w:tc>
          <w:tcPr>
            <w:tcW w:w="375" w:type="pct"/>
          </w:tcPr>
          <w:p w14:paraId="23F0E06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2365127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5AF853"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Effectiveness</w:t>
            </w:r>
          </w:p>
        </w:tc>
        <w:tc>
          <w:tcPr>
            <w:tcW w:w="375" w:type="pct"/>
          </w:tcPr>
          <w:p w14:paraId="19F532F0"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Pr>
          <w:p w14:paraId="6EAFF029"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Socio-political:</w:t>
            </w:r>
          </w:p>
        </w:tc>
        <w:tc>
          <w:tcPr>
            <w:tcW w:w="375" w:type="pct"/>
          </w:tcPr>
          <w:p w14:paraId="6E9D4B77"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1BA44F7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82FB6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Efficiency </w:t>
            </w:r>
          </w:p>
        </w:tc>
        <w:tc>
          <w:tcPr>
            <w:tcW w:w="375" w:type="pct"/>
          </w:tcPr>
          <w:p w14:paraId="76F4A9BD"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Pr>
          <w:p w14:paraId="23209E64"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Institutional framework and governance:</w:t>
            </w:r>
          </w:p>
        </w:tc>
        <w:tc>
          <w:tcPr>
            <w:tcW w:w="375" w:type="pct"/>
          </w:tcPr>
          <w:p w14:paraId="35691701"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721F8BD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9885FD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Overall Project Outcome Rating</w:t>
            </w:r>
          </w:p>
        </w:tc>
        <w:tc>
          <w:tcPr>
            <w:tcW w:w="375" w:type="pct"/>
          </w:tcPr>
          <w:p w14:paraId="4FD29BD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c>
          <w:tcPr>
            <w:tcW w:w="2598" w:type="pct"/>
          </w:tcPr>
          <w:p w14:paraId="5DB273C8" w14:textId="3695FC87" w:rsidR="00D6638C" w:rsidRPr="00C0295B" w:rsidRDefault="00A50B11"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Environmental:</w:t>
            </w:r>
          </w:p>
        </w:tc>
        <w:tc>
          <w:tcPr>
            <w:tcW w:w="375" w:type="pct"/>
          </w:tcPr>
          <w:p w14:paraId="22109B39"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r w:rsidR="00D6638C" w:rsidRPr="00C0295B" w14:paraId="7E01793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445813"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p>
        </w:tc>
        <w:tc>
          <w:tcPr>
            <w:tcW w:w="375" w:type="pct"/>
          </w:tcPr>
          <w:p w14:paraId="3BF3A7B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p>
        </w:tc>
        <w:tc>
          <w:tcPr>
            <w:tcW w:w="2598" w:type="pct"/>
          </w:tcPr>
          <w:p w14:paraId="0D7711D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Overall likelihood of sustainability:</w:t>
            </w:r>
          </w:p>
        </w:tc>
        <w:tc>
          <w:tcPr>
            <w:tcW w:w="375" w:type="pct"/>
          </w:tcPr>
          <w:p w14:paraId="2BF5566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fldChar w:fldCharType="begin">
                <w:ffData>
                  <w:name w:val="Text1"/>
                  <w:enabled/>
                  <w:calcOnExit w:val="0"/>
                  <w:textInput/>
                </w:ffData>
              </w:fldChar>
            </w:r>
            <w:r w:rsidRPr="00C0295B">
              <w:rPr>
                <w:rFonts w:ascii="Calibri" w:eastAsia="Times New Roman" w:hAnsi="Calibri" w:cs="Times New Roman"/>
                <w:color w:val="244061" w:themeColor="accent1" w:themeShade="80"/>
                <w:sz w:val="20"/>
                <w:szCs w:val="20"/>
              </w:rPr>
              <w:instrText xml:space="preserve"> FORMTEXT </w:instrText>
            </w:r>
            <w:r w:rsidRPr="00C0295B">
              <w:rPr>
                <w:rFonts w:ascii="Calibri" w:eastAsia="Times New Roman" w:hAnsi="Calibri" w:cs="Times New Roman"/>
                <w:color w:val="244061" w:themeColor="accent1" w:themeShade="80"/>
                <w:sz w:val="20"/>
                <w:szCs w:val="20"/>
              </w:rPr>
            </w:r>
            <w:r w:rsidRPr="00C0295B">
              <w:rPr>
                <w:rFonts w:ascii="Calibri" w:eastAsia="Times New Roman" w:hAnsi="Calibri" w:cs="Times New Roman"/>
                <w:color w:val="244061" w:themeColor="accent1" w:themeShade="80"/>
                <w:sz w:val="20"/>
                <w:szCs w:val="20"/>
              </w:rPr>
              <w:fldChar w:fldCharType="separate"/>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noProof/>
                <w:color w:val="244061" w:themeColor="accent1" w:themeShade="80"/>
                <w:sz w:val="20"/>
                <w:szCs w:val="20"/>
              </w:rPr>
              <w:t> </w:t>
            </w:r>
            <w:r w:rsidRPr="00C0295B">
              <w:rPr>
                <w:rFonts w:ascii="Calibri" w:eastAsia="Times New Roman" w:hAnsi="Calibri" w:cs="Times New Roman"/>
                <w:color w:val="244061" w:themeColor="accent1" w:themeShade="80"/>
                <w:sz w:val="20"/>
                <w:szCs w:val="20"/>
              </w:rPr>
              <w:fldChar w:fldCharType="end"/>
            </w:r>
          </w:p>
        </w:tc>
      </w:tr>
    </w:tbl>
    <w:p w14:paraId="459EA571" w14:textId="77777777" w:rsidR="00D241C2" w:rsidRDefault="00D241C2" w:rsidP="00A956A8">
      <w:pPr>
        <w:pStyle w:val="Heading51"/>
        <w:jc w:val="both"/>
        <w:rPr>
          <w:color w:val="244061" w:themeColor="accent1" w:themeShade="80"/>
        </w:rPr>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3"/>
      <w:bookmarkEnd w:id="10"/>
    </w:p>
    <w:p w14:paraId="45420F4D" w14:textId="77777777" w:rsidR="00D241C2" w:rsidRDefault="00D241C2">
      <w:pPr>
        <w:rPr>
          <w:rFonts w:eastAsia="Times New Roman"/>
          <w:b/>
          <w:caps/>
          <w:color w:val="244061" w:themeColor="accent1" w:themeShade="80"/>
          <w:spacing w:val="10"/>
        </w:rPr>
      </w:pPr>
      <w:r>
        <w:rPr>
          <w:color w:val="244061" w:themeColor="accent1" w:themeShade="80"/>
        </w:rPr>
        <w:lastRenderedPageBreak/>
        <w:br w:type="page"/>
      </w:r>
    </w:p>
    <w:p w14:paraId="19937F0F" w14:textId="723DBB29" w:rsidR="00D6638C" w:rsidRPr="00C0295B" w:rsidRDefault="00D6638C" w:rsidP="00A956A8">
      <w:pPr>
        <w:pStyle w:val="Heading51"/>
        <w:jc w:val="both"/>
        <w:rPr>
          <w:color w:val="244061" w:themeColor="accent1" w:themeShade="80"/>
        </w:rPr>
      </w:pPr>
      <w:r w:rsidRPr="00C0295B">
        <w:rPr>
          <w:color w:val="244061" w:themeColor="accent1" w:themeShade="80"/>
        </w:rPr>
        <w:lastRenderedPageBreak/>
        <w:t>Project finance / cofinance</w:t>
      </w:r>
      <w:bookmarkEnd w:id="11"/>
    </w:p>
    <w:p w14:paraId="4A7E1AB8" w14:textId="17235C23" w:rsidR="00D6638C" w:rsidRPr="00C0295B" w:rsidRDefault="00D6638C" w:rsidP="00A956A8">
      <w:pPr>
        <w:spacing w:before="200"/>
        <w:jc w:val="both"/>
        <w:rPr>
          <w:rFonts w:ascii="Calibri" w:eastAsia="Times New Roman" w:hAnsi="Calibri" w:cs="Times New Roman"/>
          <w:color w:val="244061" w:themeColor="accent1" w:themeShade="80"/>
          <w:sz w:val="20"/>
          <w:szCs w:val="20"/>
          <w:lang w:val="en-GB"/>
        </w:rPr>
      </w:pPr>
      <w:r w:rsidRPr="00C0295B">
        <w:rPr>
          <w:rFonts w:ascii="Calibri" w:eastAsia="Times New Roman" w:hAnsi="Calibri" w:cs="Times New Roman"/>
          <w:color w:val="244061" w:themeColor="accent1" w:themeShade="80"/>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r w:rsidR="00A50B11" w:rsidRPr="00C0295B">
        <w:rPr>
          <w:rFonts w:ascii="Calibri" w:eastAsia="Times New Roman" w:hAnsi="Calibri" w:cs="Times New Roman"/>
          <w:color w:val="244061" w:themeColor="accent1" w:themeShade="80"/>
          <w:sz w:val="20"/>
          <w:szCs w:val="20"/>
          <w:lang w:val="en-GB"/>
        </w:rPr>
        <w:t>to</w:t>
      </w:r>
      <w:r w:rsidRPr="00C0295B">
        <w:rPr>
          <w:rFonts w:ascii="Calibri" w:eastAsia="Times New Roman" w:hAnsi="Calibri" w:cs="Times New Roman"/>
          <w:color w:val="244061" w:themeColor="accent1" w:themeShade="80"/>
          <w:sz w:val="20"/>
          <w:szCs w:val="20"/>
          <w:lang w:val="en-GB"/>
        </w:rPr>
        <w:t xml:space="preserve"> complete the co-financing table below, which will be included in the terminal evaluation report.  </w:t>
      </w:r>
    </w:p>
    <w:tbl>
      <w:tblPr>
        <w:tblpPr w:leftFromText="180" w:rightFromText="180" w:vertAnchor="text" w:horzAnchor="margin" w:tblpY="7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990"/>
        <w:gridCol w:w="900"/>
        <w:gridCol w:w="990"/>
        <w:gridCol w:w="990"/>
        <w:gridCol w:w="990"/>
        <w:gridCol w:w="810"/>
        <w:gridCol w:w="990"/>
        <w:gridCol w:w="900"/>
      </w:tblGrid>
      <w:tr w:rsidR="00D6638C" w:rsidRPr="00C0295B" w14:paraId="55B88070" w14:textId="77777777" w:rsidTr="0093283A">
        <w:tc>
          <w:tcPr>
            <w:tcW w:w="1615" w:type="dxa"/>
            <w:vMerge w:val="restart"/>
          </w:tcPr>
          <w:p w14:paraId="62D3EE7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Co-financing</w:t>
            </w:r>
          </w:p>
          <w:p w14:paraId="777135F5"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(type/source)</w:t>
            </w:r>
          </w:p>
        </w:tc>
        <w:tc>
          <w:tcPr>
            <w:tcW w:w="1890" w:type="dxa"/>
            <w:gridSpan w:val="2"/>
          </w:tcPr>
          <w:p w14:paraId="4D2FDE35"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UNDP own financing (mill. US$)</w:t>
            </w:r>
          </w:p>
        </w:tc>
        <w:tc>
          <w:tcPr>
            <w:tcW w:w="1980" w:type="dxa"/>
            <w:gridSpan w:val="2"/>
          </w:tcPr>
          <w:p w14:paraId="406C67CD"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Government</w:t>
            </w:r>
          </w:p>
          <w:p w14:paraId="19D7076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(mill. US$)</w:t>
            </w:r>
          </w:p>
        </w:tc>
        <w:tc>
          <w:tcPr>
            <w:tcW w:w="1800" w:type="dxa"/>
            <w:gridSpan w:val="2"/>
          </w:tcPr>
          <w:p w14:paraId="6944C646"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Partner Agency</w:t>
            </w:r>
          </w:p>
          <w:p w14:paraId="0E7757EE"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(mill. US$)</w:t>
            </w:r>
          </w:p>
        </w:tc>
        <w:tc>
          <w:tcPr>
            <w:tcW w:w="1890" w:type="dxa"/>
            <w:gridSpan w:val="2"/>
          </w:tcPr>
          <w:p w14:paraId="1374F98A"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Total</w:t>
            </w:r>
          </w:p>
          <w:p w14:paraId="0995DFD4"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(mill. US$)</w:t>
            </w:r>
          </w:p>
        </w:tc>
      </w:tr>
      <w:tr w:rsidR="0093283A" w:rsidRPr="00C0295B" w14:paraId="22937DEC" w14:textId="77777777" w:rsidTr="0093283A">
        <w:trPr>
          <w:trHeight w:val="143"/>
        </w:trPr>
        <w:tc>
          <w:tcPr>
            <w:tcW w:w="1615" w:type="dxa"/>
            <w:vMerge/>
          </w:tcPr>
          <w:p w14:paraId="222419E9"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p>
        </w:tc>
        <w:tc>
          <w:tcPr>
            <w:tcW w:w="990" w:type="dxa"/>
          </w:tcPr>
          <w:p w14:paraId="5E02D596"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Planned</w:t>
            </w:r>
          </w:p>
        </w:tc>
        <w:tc>
          <w:tcPr>
            <w:tcW w:w="900" w:type="dxa"/>
          </w:tcPr>
          <w:p w14:paraId="2DC8C272"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Actual </w:t>
            </w:r>
          </w:p>
        </w:tc>
        <w:tc>
          <w:tcPr>
            <w:tcW w:w="990" w:type="dxa"/>
          </w:tcPr>
          <w:p w14:paraId="09D858EC"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Planned</w:t>
            </w:r>
          </w:p>
        </w:tc>
        <w:tc>
          <w:tcPr>
            <w:tcW w:w="990" w:type="dxa"/>
          </w:tcPr>
          <w:p w14:paraId="4BD8107A"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Actual</w:t>
            </w:r>
          </w:p>
        </w:tc>
        <w:tc>
          <w:tcPr>
            <w:tcW w:w="990" w:type="dxa"/>
          </w:tcPr>
          <w:p w14:paraId="3AFD01BF"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Planned</w:t>
            </w:r>
          </w:p>
        </w:tc>
        <w:tc>
          <w:tcPr>
            <w:tcW w:w="810" w:type="dxa"/>
          </w:tcPr>
          <w:p w14:paraId="1738C5AB"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Actual</w:t>
            </w:r>
          </w:p>
        </w:tc>
        <w:tc>
          <w:tcPr>
            <w:tcW w:w="990" w:type="dxa"/>
          </w:tcPr>
          <w:p w14:paraId="7803FD52"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Actual</w:t>
            </w:r>
          </w:p>
        </w:tc>
        <w:tc>
          <w:tcPr>
            <w:tcW w:w="900" w:type="dxa"/>
          </w:tcPr>
          <w:p w14:paraId="4C1A2893"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Actual</w:t>
            </w:r>
          </w:p>
        </w:tc>
      </w:tr>
      <w:tr w:rsidR="0093283A" w:rsidRPr="00C0295B" w14:paraId="0D77952B" w14:textId="77777777" w:rsidTr="0093283A">
        <w:tc>
          <w:tcPr>
            <w:tcW w:w="1615" w:type="dxa"/>
          </w:tcPr>
          <w:p w14:paraId="0F529D81"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Grants </w:t>
            </w:r>
          </w:p>
        </w:tc>
        <w:tc>
          <w:tcPr>
            <w:tcW w:w="990" w:type="dxa"/>
          </w:tcPr>
          <w:p w14:paraId="6F711E60"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100,000</w:t>
            </w:r>
          </w:p>
        </w:tc>
        <w:tc>
          <w:tcPr>
            <w:tcW w:w="900" w:type="dxa"/>
          </w:tcPr>
          <w:p w14:paraId="61A731C6"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100,000</w:t>
            </w:r>
          </w:p>
        </w:tc>
        <w:tc>
          <w:tcPr>
            <w:tcW w:w="990" w:type="dxa"/>
          </w:tcPr>
          <w:p w14:paraId="662D5E28"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220,000</w:t>
            </w:r>
          </w:p>
        </w:tc>
        <w:tc>
          <w:tcPr>
            <w:tcW w:w="990" w:type="dxa"/>
          </w:tcPr>
          <w:p w14:paraId="75820D94"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222,000</w:t>
            </w:r>
          </w:p>
        </w:tc>
        <w:tc>
          <w:tcPr>
            <w:tcW w:w="990" w:type="dxa"/>
          </w:tcPr>
          <w:p w14:paraId="194FD9EF"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500,000</w:t>
            </w:r>
          </w:p>
        </w:tc>
        <w:tc>
          <w:tcPr>
            <w:tcW w:w="810" w:type="dxa"/>
          </w:tcPr>
          <w:p w14:paraId="27686058"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500,00</w:t>
            </w:r>
          </w:p>
        </w:tc>
        <w:tc>
          <w:tcPr>
            <w:tcW w:w="990" w:type="dxa"/>
          </w:tcPr>
          <w:p w14:paraId="6A44E47C"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820,000</w:t>
            </w:r>
          </w:p>
        </w:tc>
        <w:tc>
          <w:tcPr>
            <w:tcW w:w="900" w:type="dxa"/>
          </w:tcPr>
          <w:p w14:paraId="6FFE650D" w14:textId="77777777" w:rsidR="00D6638C"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820,000</w:t>
            </w:r>
          </w:p>
        </w:tc>
      </w:tr>
      <w:tr w:rsidR="0093283A" w:rsidRPr="00C0295B" w14:paraId="503B98C9" w14:textId="77777777" w:rsidTr="0093283A">
        <w:trPr>
          <w:trHeight w:val="332"/>
        </w:trPr>
        <w:tc>
          <w:tcPr>
            <w:tcW w:w="1615" w:type="dxa"/>
          </w:tcPr>
          <w:p w14:paraId="3FA2466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Loans/Concessions </w:t>
            </w:r>
          </w:p>
        </w:tc>
        <w:tc>
          <w:tcPr>
            <w:tcW w:w="990" w:type="dxa"/>
          </w:tcPr>
          <w:p w14:paraId="4F737E3C"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1CBEB311"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5AE862E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2026F59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11A841C7"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810" w:type="dxa"/>
          </w:tcPr>
          <w:p w14:paraId="7EF0314D"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5FA0582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25628957"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r>
      <w:tr w:rsidR="0093283A" w:rsidRPr="00C0295B" w14:paraId="7790731F" w14:textId="77777777" w:rsidTr="0093283A">
        <w:tc>
          <w:tcPr>
            <w:tcW w:w="1615" w:type="dxa"/>
          </w:tcPr>
          <w:p w14:paraId="19612A1E" w14:textId="77777777" w:rsidR="008D203F" w:rsidRPr="00C0295B" w:rsidRDefault="008D203F" w:rsidP="00A956A8">
            <w:pPr>
              <w:numPr>
                <w:ilvl w:val="0"/>
                <w:numId w:val="17"/>
              </w:numPr>
              <w:spacing w:before="60" w:after="60" w:line="240" w:lineRule="auto"/>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In-kind support</w:t>
            </w:r>
          </w:p>
        </w:tc>
        <w:tc>
          <w:tcPr>
            <w:tcW w:w="990" w:type="dxa"/>
          </w:tcPr>
          <w:p w14:paraId="3F99853C"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7F991B72"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2FBEDDA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4849FF3F"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59D1FAD6"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810" w:type="dxa"/>
          </w:tcPr>
          <w:p w14:paraId="6790D39C"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3A12E8C8"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027903B9"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r>
      <w:tr w:rsidR="0093283A" w:rsidRPr="00C0295B" w14:paraId="00D5A434" w14:textId="77777777" w:rsidTr="0093283A">
        <w:tc>
          <w:tcPr>
            <w:tcW w:w="1615" w:type="dxa"/>
          </w:tcPr>
          <w:p w14:paraId="7B9D5ED3" w14:textId="77777777" w:rsidR="008D203F" w:rsidRPr="00C0295B" w:rsidRDefault="008D203F" w:rsidP="00A956A8">
            <w:pPr>
              <w:numPr>
                <w:ilvl w:val="0"/>
                <w:numId w:val="17"/>
              </w:numPr>
              <w:spacing w:before="60" w:after="60" w:line="240" w:lineRule="auto"/>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Other</w:t>
            </w:r>
          </w:p>
        </w:tc>
        <w:tc>
          <w:tcPr>
            <w:tcW w:w="990" w:type="dxa"/>
          </w:tcPr>
          <w:p w14:paraId="5F4BD171"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7AAEC193"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1D452954"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014F37FD"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5723886D"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810" w:type="dxa"/>
          </w:tcPr>
          <w:p w14:paraId="09359B30"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90" w:type="dxa"/>
          </w:tcPr>
          <w:p w14:paraId="688F3A5B"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900" w:type="dxa"/>
          </w:tcPr>
          <w:p w14:paraId="59BE9E8E"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r>
      <w:tr w:rsidR="0093283A" w:rsidRPr="00C0295B" w14:paraId="08DD9F86" w14:textId="77777777" w:rsidTr="0093283A">
        <w:trPr>
          <w:trHeight w:val="215"/>
        </w:trPr>
        <w:tc>
          <w:tcPr>
            <w:tcW w:w="1615" w:type="dxa"/>
          </w:tcPr>
          <w:p w14:paraId="1F09009C"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Totals</w:t>
            </w:r>
          </w:p>
        </w:tc>
        <w:tc>
          <w:tcPr>
            <w:tcW w:w="990" w:type="dxa"/>
          </w:tcPr>
          <w:p w14:paraId="37693079"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100,000</w:t>
            </w:r>
          </w:p>
        </w:tc>
        <w:tc>
          <w:tcPr>
            <w:tcW w:w="900" w:type="dxa"/>
          </w:tcPr>
          <w:p w14:paraId="59756217"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100,000</w:t>
            </w:r>
          </w:p>
        </w:tc>
        <w:tc>
          <w:tcPr>
            <w:tcW w:w="990" w:type="dxa"/>
          </w:tcPr>
          <w:p w14:paraId="0741037F"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220,000</w:t>
            </w:r>
          </w:p>
        </w:tc>
        <w:tc>
          <w:tcPr>
            <w:tcW w:w="990" w:type="dxa"/>
          </w:tcPr>
          <w:p w14:paraId="642FCB45"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222,000</w:t>
            </w:r>
          </w:p>
        </w:tc>
        <w:tc>
          <w:tcPr>
            <w:tcW w:w="990" w:type="dxa"/>
          </w:tcPr>
          <w:p w14:paraId="1895EF62"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500,000</w:t>
            </w:r>
          </w:p>
        </w:tc>
        <w:tc>
          <w:tcPr>
            <w:tcW w:w="810" w:type="dxa"/>
          </w:tcPr>
          <w:p w14:paraId="4B0D49DC"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500,00</w:t>
            </w:r>
          </w:p>
        </w:tc>
        <w:tc>
          <w:tcPr>
            <w:tcW w:w="990" w:type="dxa"/>
          </w:tcPr>
          <w:p w14:paraId="57D74CCB"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820,000</w:t>
            </w:r>
          </w:p>
        </w:tc>
        <w:tc>
          <w:tcPr>
            <w:tcW w:w="900" w:type="dxa"/>
          </w:tcPr>
          <w:p w14:paraId="79A9F9B5" w14:textId="77777777" w:rsidR="008D203F" w:rsidRPr="00C0295B" w:rsidRDefault="008D203F"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820,000</w:t>
            </w:r>
          </w:p>
        </w:tc>
      </w:tr>
    </w:tbl>
    <w:p w14:paraId="393D9A71" w14:textId="77777777" w:rsidR="00D6638C" w:rsidRPr="00C0295B" w:rsidRDefault="00D6638C" w:rsidP="00A956A8">
      <w:pPr>
        <w:pStyle w:val="Heading51"/>
        <w:jc w:val="both"/>
        <w:rPr>
          <w:color w:val="244061" w:themeColor="accent1" w:themeShade="80"/>
        </w:rPr>
      </w:pPr>
      <w:bookmarkStart w:id="18" w:name="_Toc321341553"/>
      <w:r w:rsidRPr="00C0295B">
        <w:rPr>
          <w:color w:val="244061" w:themeColor="accent1" w:themeShade="80"/>
        </w:rPr>
        <w:t>Mainstreaming</w:t>
      </w:r>
      <w:bookmarkEnd w:id="12"/>
      <w:bookmarkEnd w:id="18"/>
    </w:p>
    <w:p w14:paraId="0B5AB4D3" w14:textId="77777777" w:rsidR="00D6638C" w:rsidRPr="00C0295B" w:rsidRDefault="00D6638C" w:rsidP="00A956A8">
      <w:pPr>
        <w:spacing w:after="12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1D7B8FA" w14:textId="77777777" w:rsidR="00D6638C" w:rsidRPr="00C0295B" w:rsidRDefault="00D6638C" w:rsidP="00A956A8">
      <w:pPr>
        <w:pStyle w:val="Heading51"/>
        <w:jc w:val="both"/>
        <w:rPr>
          <w:color w:val="244061" w:themeColor="accent1" w:themeShade="80"/>
        </w:rPr>
      </w:pPr>
      <w:bookmarkStart w:id="19" w:name="_Toc277677980"/>
      <w:bookmarkStart w:id="20" w:name="_Toc321341554"/>
      <w:r w:rsidRPr="00C0295B">
        <w:rPr>
          <w:color w:val="244061" w:themeColor="accent1" w:themeShade="80"/>
        </w:rPr>
        <w:t>Impact</w:t>
      </w:r>
      <w:bookmarkEnd w:id="19"/>
      <w:bookmarkEnd w:id="20"/>
    </w:p>
    <w:p w14:paraId="3BE01CBF" w14:textId="77777777" w:rsidR="00D6638C" w:rsidRPr="00C0295B" w:rsidRDefault="00D6638C" w:rsidP="00A956A8">
      <w:pPr>
        <w:spacing w:after="12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The evaluators will assess the extent to which the project is achieving impacts or progressing towards the achievement of impacts.</w:t>
      </w:r>
      <w:r w:rsidRPr="00C0295B">
        <w:rPr>
          <w:rFonts w:ascii="Calibri" w:eastAsia="Times New Roman" w:hAnsi="Calibri" w:cs="WarnockPro-Light"/>
          <w:color w:val="244061" w:themeColor="accent1" w:themeShade="80"/>
          <w:sz w:val="20"/>
          <w:szCs w:val="20"/>
        </w:rPr>
        <w:t xml:space="preserve"> K</w:t>
      </w:r>
      <w:r w:rsidRPr="00C0295B">
        <w:rPr>
          <w:rFonts w:ascii="Calibri" w:eastAsia="Times New Roman" w:hAnsi="Calibri" w:cs="Times New Roman"/>
          <w:color w:val="244061" w:themeColor="accent1" w:themeShade="80"/>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C0295B">
        <w:rPr>
          <w:rFonts w:ascii="Calibri" w:eastAsia="Times New Roman" w:hAnsi="Calibri" w:cs="Times New Roman"/>
          <w:color w:val="244061" w:themeColor="accent1" w:themeShade="80"/>
          <w:sz w:val="20"/>
          <w:szCs w:val="20"/>
        </w:rPr>
        <w:t>and/</w:t>
      </w:r>
      <w:r w:rsidRPr="00C0295B">
        <w:rPr>
          <w:rFonts w:ascii="Calibri" w:eastAsia="Times New Roman" w:hAnsi="Calibri" w:cs="Times New Roman"/>
          <w:color w:val="244061" w:themeColor="accent1" w:themeShade="80"/>
          <w:sz w:val="20"/>
          <w:szCs w:val="20"/>
        </w:rPr>
        <w:t>or c) demonstrated progress towards these impact achievements.</w:t>
      </w:r>
      <w:r w:rsidR="00022F8E" w:rsidRPr="00C0295B">
        <w:rPr>
          <w:rStyle w:val="FootnoteReference"/>
          <w:rFonts w:ascii="Calibri" w:eastAsia="Times New Roman" w:hAnsi="Calibri" w:cs="Times New Roman"/>
          <w:color w:val="244061" w:themeColor="accent1" w:themeShade="80"/>
          <w:sz w:val="20"/>
          <w:szCs w:val="20"/>
        </w:rPr>
        <w:footnoteReference w:id="2"/>
      </w:r>
      <w:r w:rsidRPr="00C0295B">
        <w:rPr>
          <w:rFonts w:ascii="Calibri" w:eastAsia="Times New Roman" w:hAnsi="Calibri" w:cs="Times New Roman"/>
          <w:color w:val="244061" w:themeColor="accent1" w:themeShade="80"/>
          <w:sz w:val="20"/>
          <w:szCs w:val="20"/>
        </w:rPr>
        <w:t xml:space="preserve"> </w:t>
      </w:r>
    </w:p>
    <w:p w14:paraId="1FBBA1A2" w14:textId="77777777" w:rsidR="00D6638C" w:rsidRPr="00C0295B" w:rsidRDefault="00D6638C" w:rsidP="00A956A8">
      <w:pPr>
        <w:pStyle w:val="Heading51"/>
        <w:jc w:val="both"/>
        <w:rPr>
          <w:color w:val="244061" w:themeColor="accent1" w:themeShade="80"/>
        </w:rPr>
      </w:pPr>
      <w:bookmarkStart w:id="21" w:name="_Toc278193982"/>
      <w:bookmarkStart w:id="22" w:name="_Toc299133042"/>
      <w:bookmarkStart w:id="23" w:name="_Toc321341555"/>
      <w:bookmarkStart w:id="24" w:name="_Toc299126621"/>
      <w:bookmarkEnd w:id="13"/>
      <w:bookmarkEnd w:id="14"/>
      <w:bookmarkEnd w:id="15"/>
      <w:bookmarkEnd w:id="16"/>
      <w:bookmarkEnd w:id="17"/>
      <w:r w:rsidRPr="00C0295B">
        <w:rPr>
          <w:color w:val="244061" w:themeColor="accent1" w:themeShade="80"/>
        </w:rPr>
        <w:t>Conclusions</w:t>
      </w:r>
      <w:bookmarkStart w:id="25" w:name="_Toc277677982"/>
      <w:r w:rsidRPr="00C0295B">
        <w:rPr>
          <w:color w:val="244061" w:themeColor="accent1" w:themeShade="80"/>
        </w:rPr>
        <w:t>, recommendations &amp; lessons</w:t>
      </w:r>
      <w:bookmarkEnd w:id="21"/>
      <w:bookmarkEnd w:id="22"/>
      <w:bookmarkEnd w:id="23"/>
      <w:bookmarkEnd w:id="25"/>
    </w:p>
    <w:p w14:paraId="7C3479F2" w14:textId="77777777" w:rsidR="00D6638C" w:rsidRPr="00C0295B" w:rsidRDefault="00D6638C" w:rsidP="00A956A8">
      <w:pPr>
        <w:spacing w:after="12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The evaluation report must include a chapter providing a set of </w:t>
      </w:r>
      <w:r w:rsidRPr="00C0295B">
        <w:rPr>
          <w:rFonts w:ascii="Calibri" w:eastAsia="Times New Roman" w:hAnsi="Calibri" w:cs="Times New Roman"/>
          <w:b/>
          <w:color w:val="244061" w:themeColor="accent1" w:themeShade="80"/>
          <w:sz w:val="20"/>
          <w:szCs w:val="20"/>
        </w:rPr>
        <w:t>conclusions</w:t>
      </w:r>
      <w:r w:rsidRPr="00C0295B">
        <w:rPr>
          <w:rFonts w:ascii="Calibri" w:eastAsia="Times New Roman" w:hAnsi="Calibri" w:cs="Times New Roman"/>
          <w:color w:val="244061" w:themeColor="accent1" w:themeShade="80"/>
          <w:sz w:val="20"/>
          <w:szCs w:val="20"/>
        </w:rPr>
        <w:t xml:space="preserve">, </w:t>
      </w:r>
      <w:r w:rsidRPr="00C0295B">
        <w:rPr>
          <w:rFonts w:ascii="Calibri" w:eastAsia="Times New Roman" w:hAnsi="Calibri" w:cs="Times New Roman"/>
          <w:b/>
          <w:color w:val="244061" w:themeColor="accent1" w:themeShade="80"/>
          <w:sz w:val="20"/>
          <w:szCs w:val="20"/>
        </w:rPr>
        <w:t>recommendations</w:t>
      </w:r>
      <w:r w:rsidRPr="00C0295B">
        <w:rPr>
          <w:rFonts w:ascii="Calibri" w:eastAsia="Times New Roman" w:hAnsi="Calibri" w:cs="Times New Roman"/>
          <w:color w:val="244061" w:themeColor="accent1" w:themeShade="80"/>
          <w:sz w:val="20"/>
          <w:szCs w:val="20"/>
        </w:rPr>
        <w:t xml:space="preserve"> and </w:t>
      </w:r>
      <w:r w:rsidRPr="00C0295B">
        <w:rPr>
          <w:rFonts w:ascii="Calibri" w:eastAsia="Times New Roman" w:hAnsi="Calibri" w:cs="Times New Roman"/>
          <w:b/>
          <w:color w:val="244061" w:themeColor="accent1" w:themeShade="80"/>
          <w:sz w:val="20"/>
          <w:szCs w:val="20"/>
        </w:rPr>
        <w:t>lessons</w:t>
      </w:r>
      <w:r w:rsidRPr="00C0295B">
        <w:rPr>
          <w:rFonts w:ascii="Calibri" w:eastAsia="Times New Roman" w:hAnsi="Calibri" w:cs="Times New Roman"/>
          <w:color w:val="244061" w:themeColor="accent1" w:themeShade="80"/>
          <w:sz w:val="20"/>
          <w:szCs w:val="20"/>
        </w:rPr>
        <w:t xml:space="preserve">.  </w:t>
      </w:r>
    </w:p>
    <w:p w14:paraId="04373EAA" w14:textId="77777777" w:rsidR="00D6638C" w:rsidRPr="00C0295B" w:rsidRDefault="00D6638C" w:rsidP="00A956A8">
      <w:pPr>
        <w:pStyle w:val="Heading51"/>
        <w:jc w:val="both"/>
        <w:rPr>
          <w:color w:val="244061" w:themeColor="accent1" w:themeShade="80"/>
        </w:rPr>
      </w:pPr>
      <w:bookmarkStart w:id="26" w:name="_Toc299126625"/>
      <w:bookmarkStart w:id="27" w:name="_Toc299133044"/>
      <w:bookmarkStart w:id="28" w:name="_Toc321341556"/>
      <w:r w:rsidRPr="00C0295B">
        <w:rPr>
          <w:color w:val="244061" w:themeColor="accent1" w:themeShade="80"/>
        </w:rPr>
        <w:t>Implementation arrangements</w:t>
      </w:r>
      <w:bookmarkEnd w:id="26"/>
      <w:bookmarkEnd w:id="27"/>
      <w:bookmarkEnd w:id="28"/>
    </w:p>
    <w:p w14:paraId="566BBC13" w14:textId="77777777" w:rsidR="00022F8E" w:rsidRPr="00C0295B" w:rsidRDefault="00D6638C" w:rsidP="00A956A8">
      <w:pPr>
        <w:spacing w:before="20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The principal responsibility for managing this evaluation resides with the UNDP CO in</w:t>
      </w:r>
      <w:r w:rsidR="002B6D89" w:rsidRPr="00C0295B">
        <w:rPr>
          <w:rFonts w:ascii="Calibri" w:eastAsia="Times New Roman" w:hAnsi="Calibri" w:cs="Times New Roman"/>
          <w:color w:val="244061" w:themeColor="accent1" w:themeShade="80"/>
          <w:sz w:val="20"/>
          <w:szCs w:val="20"/>
        </w:rPr>
        <w:t xml:space="preserve"> Papua New Guinea. </w:t>
      </w:r>
      <w:r w:rsidRPr="00C0295B">
        <w:rPr>
          <w:rFonts w:ascii="Calibri" w:eastAsia="Times New Roman" w:hAnsi="Calibri" w:cs="Times New Roman"/>
          <w:color w:val="244061" w:themeColor="accent1" w:themeShade="80"/>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14:paraId="7E1B0734" w14:textId="77777777" w:rsidR="00022F8E" w:rsidRPr="00C0295B" w:rsidRDefault="00022F8E" w:rsidP="00A956A8">
      <w:pPr>
        <w:spacing w:before="200"/>
        <w:jc w:val="both"/>
        <w:rPr>
          <w:rFonts w:ascii="Calibri" w:eastAsia="Times New Roman" w:hAnsi="Calibri" w:cs="Times New Roman"/>
          <w:color w:val="244061" w:themeColor="accent1" w:themeShade="80"/>
          <w:sz w:val="20"/>
          <w:szCs w:val="20"/>
        </w:rPr>
      </w:pPr>
    </w:p>
    <w:p w14:paraId="1240FD87" w14:textId="77777777" w:rsidR="00D241C2" w:rsidRDefault="00D241C2">
      <w:pPr>
        <w:rPr>
          <w:rFonts w:eastAsia="Times New Roman"/>
          <w:b/>
          <w:caps/>
          <w:color w:val="244061" w:themeColor="accent1" w:themeShade="80"/>
          <w:spacing w:val="10"/>
        </w:rPr>
      </w:pPr>
      <w:r>
        <w:rPr>
          <w:color w:val="244061" w:themeColor="accent1" w:themeShade="80"/>
        </w:rPr>
        <w:br w:type="page"/>
      </w:r>
    </w:p>
    <w:p w14:paraId="6DF06214" w14:textId="58ECDF57" w:rsidR="00D6638C" w:rsidRPr="00C0295B" w:rsidRDefault="00D6638C" w:rsidP="00A956A8">
      <w:pPr>
        <w:pStyle w:val="Heading51"/>
        <w:jc w:val="both"/>
        <w:rPr>
          <w:color w:val="244061" w:themeColor="accent1" w:themeShade="80"/>
        </w:rPr>
      </w:pPr>
      <w:r w:rsidRPr="00C0295B">
        <w:rPr>
          <w:color w:val="244061" w:themeColor="accent1" w:themeShade="80"/>
        </w:rPr>
        <w:lastRenderedPageBreak/>
        <w:t>Evaluation timeframe</w:t>
      </w:r>
      <w:bookmarkEnd w:id="29"/>
      <w:bookmarkEnd w:id="30"/>
      <w:bookmarkEnd w:id="31"/>
      <w:bookmarkEnd w:id="32"/>
    </w:p>
    <w:p w14:paraId="39EF93C6" w14:textId="77777777" w:rsidR="00D6638C" w:rsidRPr="00C0295B" w:rsidRDefault="00D6638C" w:rsidP="00A956A8">
      <w:pPr>
        <w:spacing w:after="12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The total duration of the evaluation will be </w:t>
      </w:r>
      <w:r w:rsidR="002B6D89" w:rsidRPr="00C0295B">
        <w:rPr>
          <w:rFonts w:ascii="Calibri" w:eastAsia="Times New Roman" w:hAnsi="Calibri" w:cs="Times New Roman"/>
          <w:i/>
          <w:color w:val="244061" w:themeColor="accent1" w:themeShade="80"/>
          <w:sz w:val="20"/>
          <w:szCs w:val="20"/>
        </w:rPr>
        <w:t xml:space="preserve">31 </w:t>
      </w:r>
      <w:r w:rsidRPr="00C0295B">
        <w:rPr>
          <w:rFonts w:ascii="Calibri" w:eastAsia="Times New Roman" w:hAnsi="Calibri" w:cs="Times New Roman"/>
          <w:color w:val="244061" w:themeColor="accent1" w:themeShade="80"/>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306"/>
        <w:gridCol w:w="2895"/>
      </w:tblGrid>
      <w:tr w:rsidR="00D6638C" w:rsidRPr="00C0295B" w14:paraId="0A3C41D4" w14:textId="77777777" w:rsidTr="00224F9C">
        <w:trPr>
          <w:trHeight w:val="440"/>
        </w:trPr>
        <w:tc>
          <w:tcPr>
            <w:tcW w:w="2988" w:type="dxa"/>
            <w:shd w:val="clear" w:color="auto" w:fill="7F7F7F"/>
          </w:tcPr>
          <w:p w14:paraId="3704EC2C" w14:textId="77777777" w:rsidR="00D6638C" w:rsidRPr="00C0295B" w:rsidRDefault="00D6638C" w:rsidP="00A956A8">
            <w:pPr>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Activity</w:t>
            </w:r>
          </w:p>
        </w:tc>
        <w:tc>
          <w:tcPr>
            <w:tcW w:w="3499" w:type="dxa"/>
            <w:shd w:val="clear" w:color="auto" w:fill="7F7F7F"/>
          </w:tcPr>
          <w:p w14:paraId="52E51446"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Timing</w:t>
            </w:r>
          </w:p>
        </w:tc>
        <w:tc>
          <w:tcPr>
            <w:tcW w:w="3071" w:type="dxa"/>
            <w:shd w:val="clear" w:color="auto" w:fill="7F7F7F"/>
          </w:tcPr>
          <w:p w14:paraId="3947956D" w14:textId="77777777" w:rsidR="00D6638C" w:rsidRPr="00C0295B" w:rsidRDefault="00D6638C" w:rsidP="00A956A8">
            <w:pPr>
              <w:spacing w:after="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Completion Date</w:t>
            </w:r>
          </w:p>
        </w:tc>
      </w:tr>
      <w:tr w:rsidR="00D6638C" w:rsidRPr="00C0295B" w14:paraId="796AFD2E" w14:textId="77777777" w:rsidTr="000F629B">
        <w:tc>
          <w:tcPr>
            <w:tcW w:w="2988" w:type="dxa"/>
          </w:tcPr>
          <w:p w14:paraId="44B62394" w14:textId="77777777" w:rsidR="00D6638C" w:rsidRPr="00C0295B" w:rsidRDefault="00D6638C" w:rsidP="00A956A8">
            <w:pPr>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Preparation</w:t>
            </w:r>
          </w:p>
        </w:tc>
        <w:tc>
          <w:tcPr>
            <w:tcW w:w="3499" w:type="dxa"/>
            <w:shd w:val="clear" w:color="auto" w:fill="auto"/>
          </w:tcPr>
          <w:p w14:paraId="1A7FBC22" w14:textId="77777777" w:rsidR="00D6638C" w:rsidRPr="000F629B" w:rsidRDefault="002B6D89" w:rsidP="00A956A8">
            <w:pPr>
              <w:spacing w:after="0"/>
              <w:jc w:val="both"/>
              <w:rPr>
                <w:rFonts w:ascii="Calibri" w:eastAsia="Times New Roman" w:hAnsi="Calibri" w:cs="Times New Roman"/>
                <w:b/>
                <w:color w:val="244061" w:themeColor="accent1" w:themeShade="80"/>
                <w:sz w:val="20"/>
                <w:szCs w:val="20"/>
              </w:rPr>
            </w:pPr>
            <w:r w:rsidRPr="000F629B">
              <w:rPr>
                <w:rFonts w:ascii="Calibri" w:eastAsia="Times New Roman" w:hAnsi="Calibri" w:cs="Times New Roman"/>
                <w:i/>
                <w:color w:val="244061" w:themeColor="accent1" w:themeShade="80"/>
                <w:sz w:val="20"/>
                <w:szCs w:val="20"/>
              </w:rPr>
              <w:t>4</w:t>
            </w:r>
            <w:r w:rsidR="00D6638C" w:rsidRPr="000F629B">
              <w:rPr>
                <w:rFonts w:ascii="Calibri" w:eastAsia="Times New Roman" w:hAnsi="Calibri" w:cs="Times New Roman"/>
                <w:color w:val="244061" w:themeColor="accent1" w:themeShade="80"/>
                <w:sz w:val="20"/>
                <w:szCs w:val="20"/>
              </w:rPr>
              <w:t xml:space="preserve"> days </w:t>
            </w:r>
            <w:r w:rsidR="00D6638C" w:rsidRPr="000F629B">
              <w:rPr>
                <w:rFonts w:ascii="Calibri" w:eastAsia="Times New Roman" w:hAnsi="Calibri" w:cs="Times New Roman"/>
                <w:i/>
                <w:color w:val="244061" w:themeColor="accent1" w:themeShade="80"/>
                <w:sz w:val="20"/>
                <w:szCs w:val="20"/>
              </w:rPr>
              <w:t>(recommended: 2-4)</w:t>
            </w:r>
          </w:p>
        </w:tc>
        <w:tc>
          <w:tcPr>
            <w:tcW w:w="3071" w:type="dxa"/>
            <w:shd w:val="clear" w:color="auto" w:fill="auto"/>
          </w:tcPr>
          <w:p w14:paraId="31613640" w14:textId="7F4C158D" w:rsidR="00D6638C" w:rsidRPr="000F629B" w:rsidRDefault="00457A63" w:rsidP="00A956A8">
            <w:pPr>
              <w:spacing w:after="0"/>
              <w:jc w:val="both"/>
              <w:rPr>
                <w:rFonts w:ascii="Calibri" w:eastAsia="Times New Roman" w:hAnsi="Calibri" w:cs="Times New Roman"/>
                <w:i/>
                <w:color w:val="244061" w:themeColor="accent1" w:themeShade="80"/>
                <w:sz w:val="20"/>
                <w:szCs w:val="20"/>
              </w:rPr>
            </w:pPr>
            <w:r w:rsidRPr="000F629B">
              <w:rPr>
                <w:rFonts w:ascii="Calibri" w:eastAsia="Times New Roman" w:hAnsi="Calibri" w:cs="Times New Roman"/>
                <w:i/>
                <w:color w:val="244061" w:themeColor="accent1" w:themeShade="80"/>
                <w:sz w:val="20"/>
                <w:szCs w:val="20"/>
              </w:rPr>
              <w:t>1</w:t>
            </w:r>
            <w:r w:rsidR="008861A6" w:rsidRPr="000F629B">
              <w:rPr>
                <w:rFonts w:ascii="Calibri" w:eastAsia="Times New Roman" w:hAnsi="Calibri" w:cs="Times New Roman"/>
                <w:i/>
                <w:color w:val="244061" w:themeColor="accent1" w:themeShade="80"/>
                <w:sz w:val="20"/>
                <w:szCs w:val="20"/>
              </w:rPr>
              <w:t>3</w:t>
            </w:r>
            <w:r w:rsidRPr="000F629B">
              <w:rPr>
                <w:rFonts w:ascii="Calibri" w:eastAsia="Times New Roman" w:hAnsi="Calibri" w:cs="Times New Roman"/>
                <w:i/>
                <w:color w:val="244061" w:themeColor="accent1" w:themeShade="80"/>
                <w:sz w:val="20"/>
                <w:szCs w:val="20"/>
              </w:rPr>
              <w:t>/1</w:t>
            </w:r>
            <w:r w:rsidR="008861A6" w:rsidRPr="000F629B">
              <w:rPr>
                <w:rFonts w:ascii="Calibri" w:eastAsia="Times New Roman" w:hAnsi="Calibri" w:cs="Times New Roman"/>
                <w:i/>
                <w:color w:val="244061" w:themeColor="accent1" w:themeShade="80"/>
                <w:sz w:val="20"/>
                <w:szCs w:val="20"/>
              </w:rPr>
              <w:t>1</w:t>
            </w:r>
            <w:r w:rsidRPr="000F629B">
              <w:rPr>
                <w:rFonts w:ascii="Calibri" w:eastAsia="Times New Roman" w:hAnsi="Calibri" w:cs="Times New Roman"/>
                <w:i/>
                <w:color w:val="244061" w:themeColor="accent1" w:themeShade="80"/>
                <w:sz w:val="20"/>
                <w:szCs w:val="20"/>
              </w:rPr>
              <w:t xml:space="preserve">/2017- </w:t>
            </w:r>
            <w:r w:rsidR="008861A6" w:rsidRPr="000F629B">
              <w:rPr>
                <w:rFonts w:ascii="Calibri" w:eastAsia="Times New Roman" w:hAnsi="Calibri" w:cs="Times New Roman"/>
                <w:i/>
                <w:color w:val="244061" w:themeColor="accent1" w:themeShade="80"/>
                <w:sz w:val="20"/>
                <w:szCs w:val="20"/>
              </w:rPr>
              <w:t>1</w:t>
            </w:r>
            <w:r w:rsidRPr="000F629B">
              <w:rPr>
                <w:rFonts w:ascii="Calibri" w:eastAsia="Times New Roman" w:hAnsi="Calibri" w:cs="Times New Roman"/>
                <w:i/>
                <w:color w:val="244061" w:themeColor="accent1" w:themeShade="80"/>
                <w:sz w:val="20"/>
                <w:szCs w:val="20"/>
              </w:rPr>
              <w:t>7/1</w:t>
            </w:r>
            <w:r w:rsidR="008861A6" w:rsidRPr="000F629B">
              <w:rPr>
                <w:rFonts w:ascii="Calibri" w:eastAsia="Times New Roman" w:hAnsi="Calibri" w:cs="Times New Roman"/>
                <w:i/>
                <w:color w:val="244061" w:themeColor="accent1" w:themeShade="80"/>
                <w:sz w:val="20"/>
                <w:szCs w:val="20"/>
              </w:rPr>
              <w:t>1</w:t>
            </w:r>
            <w:r w:rsidR="002B6D89" w:rsidRPr="000F629B">
              <w:rPr>
                <w:rFonts w:ascii="Calibri" w:eastAsia="Times New Roman" w:hAnsi="Calibri" w:cs="Times New Roman"/>
                <w:i/>
                <w:color w:val="244061" w:themeColor="accent1" w:themeShade="80"/>
                <w:sz w:val="20"/>
                <w:szCs w:val="20"/>
              </w:rPr>
              <w:t>/2017</w:t>
            </w:r>
          </w:p>
        </w:tc>
      </w:tr>
      <w:tr w:rsidR="00D6638C" w:rsidRPr="00C0295B" w14:paraId="284B3A54" w14:textId="77777777" w:rsidTr="000F629B">
        <w:tc>
          <w:tcPr>
            <w:tcW w:w="2988" w:type="dxa"/>
          </w:tcPr>
          <w:p w14:paraId="187FB5F0" w14:textId="77777777" w:rsidR="00D6638C" w:rsidRPr="00C0295B" w:rsidRDefault="00D6638C" w:rsidP="00A956A8">
            <w:pPr>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Evaluation Mission</w:t>
            </w:r>
          </w:p>
        </w:tc>
        <w:tc>
          <w:tcPr>
            <w:tcW w:w="3499" w:type="dxa"/>
            <w:shd w:val="clear" w:color="auto" w:fill="auto"/>
          </w:tcPr>
          <w:p w14:paraId="76738523" w14:textId="77777777" w:rsidR="00D6638C" w:rsidRPr="000F629B" w:rsidRDefault="002B6D89" w:rsidP="00A956A8">
            <w:pPr>
              <w:spacing w:after="0"/>
              <w:jc w:val="both"/>
              <w:rPr>
                <w:rFonts w:ascii="Calibri" w:eastAsia="Times New Roman" w:hAnsi="Calibri" w:cs="Times New Roman"/>
                <w:b/>
                <w:color w:val="244061" w:themeColor="accent1" w:themeShade="80"/>
                <w:sz w:val="20"/>
                <w:szCs w:val="20"/>
              </w:rPr>
            </w:pPr>
            <w:r w:rsidRPr="000F629B">
              <w:rPr>
                <w:rFonts w:ascii="Calibri" w:eastAsia="Times New Roman" w:hAnsi="Calibri" w:cs="Times New Roman"/>
                <w:i/>
                <w:color w:val="244061" w:themeColor="accent1" w:themeShade="80"/>
                <w:sz w:val="20"/>
                <w:szCs w:val="20"/>
              </w:rPr>
              <w:t xml:space="preserve">15 </w:t>
            </w:r>
            <w:r w:rsidR="00D6638C" w:rsidRPr="000F629B">
              <w:rPr>
                <w:rFonts w:ascii="Calibri" w:eastAsia="Times New Roman" w:hAnsi="Calibri" w:cs="Times New Roman"/>
                <w:color w:val="244061" w:themeColor="accent1" w:themeShade="80"/>
                <w:sz w:val="20"/>
                <w:szCs w:val="20"/>
              </w:rPr>
              <w:t>days (</w:t>
            </w:r>
            <w:r w:rsidR="00D6638C" w:rsidRPr="000F629B">
              <w:rPr>
                <w:rFonts w:ascii="Calibri" w:eastAsia="Times New Roman" w:hAnsi="Calibri" w:cs="Times New Roman"/>
                <w:i/>
                <w:color w:val="244061" w:themeColor="accent1" w:themeShade="80"/>
                <w:sz w:val="20"/>
                <w:szCs w:val="20"/>
              </w:rPr>
              <w:t>r: 7-15)</w:t>
            </w:r>
          </w:p>
        </w:tc>
        <w:tc>
          <w:tcPr>
            <w:tcW w:w="3071" w:type="dxa"/>
            <w:shd w:val="clear" w:color="auto" w:fill="auto"/>
          </w:tcPr>
          <w:p w14:paraId="48C77E75" w14:textId="15670640" w:rsidR="00D6638C" w:rsidRPr="000F629B" w:rsidRDefault="008861A6" w:rsidP="00A956A8">
            <w:pPr>
              <w:spacing w:after="0"/>
              <w:jc w:val="both"/>
              <w:rPr>
                <w:rFonts w:ascii="Calibri" w:eastAsia="Times New Roman" w:hAnsi="Calibri" w:cs="Times New Roman"/>
                <w:i/>
                <w:color w:val="244061" w:themeColor="accent1" w:themeShade="80"/>
                <w:sz w:val="20"/>
                <w:szCs w:val="20"/>
              </w:rPr>
            </w:pPr>
            <w:r w:rsidRPr="000F629B">
              <w:rPr>
                <w:rFonts w:ascii="Calibri" w:eastAsia="Times New Roman" w:hAnsi="Calibri" w:cs="Times New Roman"/>
                <w:i/>
                <w:color w:val="244061" w:themeColor="accent1" w:themeShade="80"/>
                <w:sz w:val="20"/>
                <w:szCs w:val="20"/>
              </w:rPr>
              <w:t>20</w:t>
            </w:r>
            <w:r w:rsidR="00457A63" w:rsidRPr="000F629B">
              <w:rPr>
                <w:rFonts w:ascii="Calibri" w:eastAsia="Times New Roman" w:hAnsi="Calibri" w:cs="Times New Roman"/>
                <w:i/>
                <w:color w:val="244061" w:themeColor="accent1" w:themeShade="80"/>
                <w:sz w:val="20"/>
                <w:szCs w:val="20"/>
              </w:rPr>
              <w:t>/11</w:t>
            </w:r>
            <w:r w:rsidR="002B6D89" w:rsidRPr="000F629B">
              <w:rPr>
                <w:rFonts w:ascii="Calibri" w:eastAsia="Times New Roman" w:hAnsi="Calibri" w:cs="Times New Roman"/>
                <w:i/>
                <w:color w:val="244061" w:themeColor="accent1" w:themeShade="80"/>
                <w:sz w:val="20"/>
                <w:szCs w:val="20"/>
              </w:rPr>
              <w:t>/2017-</w:t>
            </w:r>
            <w:r w:rsidRPr="000F629B">
              <w:rPr>
                <w:rFonts w:ascii="Calibri" w:eastAsia="Times New Roman" w:hAnsi="Calibri" w:cs="Times New Roman"/>
                <w:i/>
                <w:color w:val="244061" w:themeColor="accent1" w:themeShade="80"/>
                <w:sz w:val="20"/>
                <w:szCs w:val="20"/>
              </w:rPr>
              <w:t>08</w:t>
            </w:r>
            <w:r w:rsidR="00457A63" w:rsidRPr="000F629B">
              <w:rPr>
                <w:rFonts w:ascii="Calibri" w:eastAsia="Times New Roman" w:hAnsi="Calibri" w:cs="Times New Roman"/>
                <w:i/>
                <w:color w:val="244061" w:themeColor="accent1" w:themeShade="80"/>
                <w:sz w:val="20"/>
                <w:szCs w:val="20"/>
              </w:rPr>
              <w:t>/1</w:t>
            </w:r>
            <w:r w:rsidRPr="000F629B">
              <w:rPr>
                <w:rFonts w:ascii="Calibri" w:eastAsia="Times New Roman" w:hAnsi="Calibri" w:cs="Times New Roman"/>
                <w:i/>
                <w:color w:val="244061" w:themeColor="accent1" w:themeShade="80"/>
                <w:sz w:val="20"/>
                <w:szCs w:val="20"/>
              </w:rPr>
              <w:t>2</w:t>
            </w:r>
            <w:r w:rsidR="002B6D89" w:rsidRPr="000F629B">
              <w:rPr>
                <w:rFonts w:ascii="Calibri" w:eastAsia="Times New Roman" w:hAnsi="Calibri" w:cs="Times New Roman"/>
                <w:i/>
                <w:color w:val="244061" w:themeColor="accent1" w:themeShade="80"/>
                <w:sz w:val="20"/>
                <w:szCs w:val="20"/>
              </w:rPr>
              <w:t>/2017</w:t>
            </w:r>
          </w:p>
        </w:tc>
      </w:tr>
      <w:tr w:rsidR="00D6638C" w:rsidRPr="00C0295B" w14:paraId="70B58F19" w14:textId="77777777" w:rsidTr="000F629B">
        <w:tc>
          <w:tcPr>
            <w:tcW w:w="2988" w:type="dxa"/>
          </w:tcPr>
          <w:p w14:paraId="69096A9A" w14:textId="47419B6D" w:rsidR="00D6638C" w:rsidRPr="00C0295B" w:rsidRDefault="00D6638C" w:rsidP="00A956A8">
            <w:pPr>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Draft</w:t>
            </w:r>
            <w:r w:rsidR="008861A6">
              <w:rPr>
                <w:rFonts w:ascii="Calibri" w:eastAsia="Times New Roman" w:hAnsi="Calibri" w:cs="Times New Roman"/>
                <w:b/>
                <w:color w:val="244061" w:themeColor="accent1" w:themeShade="80"/>
                <w:sz w:val="20"/>
                <w:szCs w:val="20"/>
              </w:rPr>
              <w:t>ing</w:t>
            </w:r>
            <w:r w:rsidRPr="00C0295B">
              <w:rPr>
                <w:rFonts w:ascii="Calibri" w:eastAsia="Times New Roman" w:hAnsi="Calibri" w:cs="Times New Roman"/>
                <w:b/>
                <w:color w:val="244061" w:themeColor="accent1" w:themeShade="80"/>
                <w:sz w:val="20"/>
                <w:szCs w:val="20"/>
              </w:rPr>
              <w:t xml:space="preserve"> Evaluation Report</w:t>
            </w:r>
            <w:r w:rsidR="008861A6">
              <w:rPr>
                <w:rFonts w:ascii="Calibri" w:eastAsia="Times New Roman" w:hAnsi="Calibri" w:cs="Times New Roman"/>
                <w:b/>
                <w:color w:val="244061" w:themeColor="accent1" w:themeShade="80"/>
                <w:sz w:val="20"/>
                <w:szCs w:val="20"/>
              </w:rPr>
              <w:t xml:space="preserve"> and stakeholder validation</w:t>
            </w:r>
          </w:p>
        </w:tc>
        <w:tc>
          <w:tcPr>
            <w:tcW w:w="3499" w:type="dxa"/>
            <w:shd w:val="clear" w:color="auto" w:fill="auto"/>
          </w:tcPr>
          <w:p w14:paraId="294B77BA" w14:textId="77777777" w:rsidR="00D6638C" w:rsidRPr="000F629B" w:rsidRDefault="002B6D89" w:rsidP="00A956A8">
            <w:pPr>
              <w:spacing w:after="0"/>
              <w:jc w:val="both"/>
              <w:rPr>
                <w:rFonts w:ascii="Calibri" w:eastAsia="Times New Roman" w:hAnsi="Calibri" w:cs="Times New Roman"/>
                <w:b/>
                <w:color w:val="244061" w:themeColor="accent1" w:themeShade="80"/>
                <w:sz w:val="20"/>
                <w:szCs w:val="20"/>
              </w:rPr>
            </w:pPr>
            <w:r w:rsidRPr="000F629B">
              <w:rPr>
                <w:rFonts w:ascii="Calibri" w:eastAsia="Times New Roman" w:hAnsi="Calibri" w:cs="Times New Roman"/>
                <w:i/>
                <w:color w:val="244061" w:themeColor="accent1" w:themeShade="80"/>
                <w:sz w:val="20"/>
                <w:szCs w:val="20"/>
              </w:rPr>
              <w:t>10</w:t>
            </w:r>
            <w:r w:rsidR="00D6638C" w:rsidRPr="000F629B">
              <w:rPr>
                <w:rFonts w:ascii="Calibri" w:eastAsia="Times New Roman" w:hAnsi="Calibri" w:cs="Times New Roman"/>
                <w:color w:val="244061" w:themeColor="accent1" w:themeShade="80"/>
                <w:sz w:val="20"/>
                <w:szCs w:val="20"/>
              </w:rPr>
              <w:t xml:space="preserve"> days (</w:t>
            </w:r>
            <w:r w:rsidR="00D6638C" w:rsidRPr="000F629B">
              <w:rPr>
                <w:rFonts w:ascii="Calibri" w:eastAsia="Times New Roman" w:hAnsi="Calibri" w:cs="Times New Roman"/>
                <w:i/>
                <w:color w:val="244061" w:themeColor="accent1" w:themeShade="80"/>
                <w:sz w:val="20"/>
                <w:szCs w:val="20"/>
                <w:shd w:val="clear" w:color="auto" w:fill="FFFFFF"/>
              </w:rPr>
              <w:t>r: 5-10</w:t>
            </w:r>
            <w:r w:rsidR="00D6638C" w:rsidRPr="000F629B">
              <w:rPr>
                <w:rFonts w:ascii="Calibri" w:eastAsia="Times New Roman" w:hAnsi="Calibri" w:cs="Times New Roman"/>
                <w:color w:val="244061" w:themeColor="accent1" w:themeShade="80"/>
                <w:sz w:val="20"/>
                <w:szCs w:val="20"/>
                <w:shd w:val="clear" w:color="auto" w:fill="FFFFFF"/>
              </w:rPr>
              <w:t>)</w:t>
            </w:r>
          </w:p>
        </w:tc>
        <w:tc>
          <w:tcPr>
            <w:tcW w:w="3071" w:type="dxa"/>
            <w:shd w:val="clear" w:color="auto" w:fill="auto"/>
          </w:tcPr>
          <w:p w14:paraId="4F3CF5FB" w14:textId="529B6CFA" w:rsidR="00D6638C" w:rsidRPr="000F629B" w:rsidRDefault="008861A6" w:rsidP="00A956A8">
            <w:pPr>
              <w:spacing w:after="0"/>
              <w:jc w:val="both"/>
              <w:rPr>
                <w:rFonts w:ascii="Calibri" w:eastAsia="Times New Roman" w:hAnsi="Calibri" w:cs="Times New Roman"/>
                <w:i/>
                <w:color w:val="244061" w:themeColor="accent1" w:themeShade="80"/>
                <w:sz w:val="20"/>
                <w:szCs w:val="20"/>
              </w:rPr>
            </w:pPr>
            <w:r w:rsidRPr="000F629B">
              <w:rPr>
                <w:rFonts w:ascii="Calibri" w:eastAsia="Times New Roman" w:hAnsi="Calibri" w:cs="Times New Roman"/>
                <w:i/>
                <w:color w:val="244061" w:themeColor="accent1" w:themeShade="80"/>
                <w:sz w:val="20"/>
                <w:szCs w:val="20"/>
              </w:rPr>
              <w:t>4</w:t>
            </w:r>
            <w:r w:rsidR="002B6D89" w:rsidRPr="000F629B">
              <w:rPr>
                <w:rFonts w:ascii="Calibri" w:eastAsia="Times New Roman" w:hAnsi="Calibri" w:cs="Times New Roman"/>
                <w:i/>
                <w:color w:val="244061" w:themeColor="accent1" w:themeShade="80"/>
                <w:sz w:val="20"/>
                <w:szCs w:val="20"/>
              </w:rPr>
              <w:t>/</w:t>
            </w:r>
            <w:r w:rsidRPr="000F629B">
              <w:rPr>
                <w:rFonts w:ascii="Calibri" w:eastAsia="Times New Roman" w:hAnsi="Calibri" w:cs="Times New Roman"/>
                <w:i/>
                <w:color w:val="244061" w:themeColor="accent1" w:themeShade="80"/>
                <w:sz w:val="20"/>
                <w:szCs w:val="20"/>
              </w:rPr>
              <w:t>12</w:t>
            </w:r>
            <w:r w:rsidR="002B6D89" w:rsidRPr="000F629B">
              <w:rPr>
                <w:rFonts w:ascii="Calibri" w:eastAsia="Times New Roman" w:hAnsi="Calibri" w:cs="Times New Roman"/>
                <w:i/>
                <w:color w:val="244061" w:themeColor="accent1" w:themeShade="80"/>
                <w:sz w:val="20"/>
                <w:szCs w:val="20"/>
              </w:rPr>
              <w:t>/2017</w:t>
            </w:r>
            <w:r w:rsidR="00457A63" w:rsidRPr="000F629B">
              <w:rPr>
                <w:rFonts w:ascii="Calibri" w:eastAsia="Times New Roman" w:hAnsi="Calibri" w:cs="Times New Roman"/>
                <w:i/>
                <w:color w:val="244061" w:themeColor="accent1" w:themeShade="80"/>
                <w:sz w:val="20"/>
                <w:szCs w:val="20"/>
              </w:rPr>
              <w:t>-1</w:t>
            </w:r>
            <w:r w:rsidRPr="000F629B">
              <w:rPr>
                <w:rFonts w:ascii="Calibri" w:eastAsia="Times New Roman" w:hAnsi="Calibri" w:cs="Times New Roman"/>
                <w:i/>
                <w:color w:val="244061" w:themeColor="accent1" w:themeShade="80"/>
                <w:sz w:val="20"/>
                <w:szCs w:val="20"/>
              </w:rPr>
              <w:t>5</w:t>
            </w:r>
            <w:r w:rsidR="00457A63" w:rsidRPr="000F629B">
              <w:rPr>
                <w:rFonts w:ascii="Calibri" w:eastAsia="Times New Roman" w:hAnsi="Calibri" w:cs="Times New Roman"/>
                <w:i/>
                <w:color w:val="244061" w:themeColor="accent1" w:themeShade="80"/>
                <w:sz w:val="20"/>
                <w:szCs w:val="20"/>
              </w:rPr>
              <w:t>/12</w:t>
            </w:r>
            <w:r w:rsidR="002B6D89" w:rsidRPr="000F629B">
              <w:rPr>
                <w:rFonts w:ascii="Calibri" w:eastAsia="Times New Roman" w:hAnsi="Calibri" w:cs="Times New Roman"/>
                <w:i/>
                <w:color w:val="244061" w:themeColor="accent1" w:themeShade="80"/>
                <w:sz w:val="20"/>
                <w:szCs w:val="20"/>
              </w:rPr>
              <w:t>/2017</w:t>
            </w:r>
          </w:p>
        </w:tc>
      </w:tr>
      <w:tr w:rsidR="00D6638C" w:rsidRPr="00C0295B" w14:paraId="1195B56B" w14:textId="77777777" w:rsidTr="000F629B">
        <w:tc>
          <w:tcPr>
            <w:tcW w:w="2988" w:type="dxa"/>
          </w:tcPr>
          <w:p w14:paraId="003FA806" w14:textId="77777777" w:rsidR="00D6638C" w:rsidRPr="00C0295B" w:rsidRDefault="00D6638C" w:rsidP="00A956A8">
            <w:pPr>
              <w:spacing w:after="0"/>
              <w:jc w:val="both"/>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Final Report</w:t>
            </w:r>
          </w:p>
        </w:tc>
        <w:tc>
          <w:tcPr>
            <w:tcW w:w="3499" w:type="dxa"/>
            <w:shd w:val="clear" w:color="auto" w:fill="auto"/>
          </w:tcPr>
          <w:p w14:paraId="251D9E10" w14:textId="77777777" w:rsidR="00D6638C" w:rsidRPr="000F629B" w:rsidRDefault="002B6D89" w:rsidP="00A956A8">
            <w:pPr>
              <w:spacing w:after="0"/>
              <w:jc w:val="both"/>
              <w:rPr>
                <w:rFonts w:ascii="Calibri" w:eastAsia="Times New Roman" w:hAnsi="Calibri" w:cs="Times New Roman"/>
                <w:color w:val="244061" w:themeColor="accent1" w:themeShade="80"/>
                <w:sz w:val="20"/>
                <w:szCs w:val="20"/>
              </w:rPr>
            </w:pPr>
            <w:r w:rsidRPr="000F629B">
              <w:rPr>
                <w:rFonts w:ascii="Calibri" w:eastAsia="Times New Roman" w:hAnsi="Calibri" w:cs="Times New Roman"/>
                <w:i/>
                <w:color w:val="244061" w:themeColor="accent1" w:themeShade="80"/>
                <w:sz w:val="20"/>
                <w:szCs w:val="20"/>
              </w:rPr>
              <w:t>2</w:t>
            </w:r>
            <w:r w:rsidR="00D6638C" w:rsidRPr="000F629B">
              <w:rPr>
                <w:rFonts w:ascii="Calibri" w:eastAsia="Times New Roman" w:hAnsi="Calibri" w:cs="Times New Roman"/>
                <w:color w:val="244061" w:themeColor="accent1" w:themeShade="80"/>
                <w:sz w:val="20"/>
                <w:szCs w:val="20"/>
              </w:rPr>
              <w:t xml:space="preserve"> days </w:t>
            </w:r>
            <w:r w:rsidR="00D6638C" w:rsidRPr="000F629B">
              <w:rPr>
                <w:rFonts w:ascii="Calibri" w:eastAsia="Times New Roman" w:hAnsi="Calibri" w:cs="Times New Roman"/>
                <w:i/>
                <w:color w:val="244061" w:themeColor="accent1" w:themeShade="80"/>
                <w:sz w:val="20"/>
                <w:szCs w:val="20"/>
              </w:rPr>
              <w:t>(r;: 1-2</w:t>
            </w:r>
            <w:r w:rsidR="00D6638C" w:rsidRPr="000F629B">
              <w:rPr>
                <w:rFonts w:ascii="Calibri" w:eastAsia="Times New Roman" w:hAnsi="Calibri" w:cs="Times New Roman"/>
                <w:color w:val="244061" w:themeColor="accent1" w:themeShade="80"/>
                <w:sz w:val="20"/>
                <w:szCs w:val="20"/>
              </w:rPr>
              <w:t>)</w:t>
            </w:r>
          </w:p>
        </w:tc>
        <w:tc>
          <w:tcPr>
            <w:tcW w:w="3071" w:type="dxa"/>
            <w:shd w:val="clear" w:color="auto" w:fill="auto"/>
          </w:tcPr>
          <w:p w14:paraId="7C4581E9" w14:textId="0E6CF2B3" w:rsidR="00D6638C" w:rsidRPr="000F629B" w:rsidRDefault="008861A6" w:rsidP="00A956A8">
            <w:pPr>
              <w:spacing w:after="0"/>
              <w:jc w:val="both"/>
              <w:rPr>
                <w:rFonts w:ascii="Calibri" w:eastAsia="Times New Roman" w:hAnsi="Calibri" w:cs="Times New Roman"/>
                <w:i/>
                <w:color w:val="244061" w:themeColor="accent1" w:themeShade="80"/>
                <w:sz w:val="20"/>
                <w:szCs w:val="20"/>
              </w:rPr>
            </w:pPr>
            <w:r w:rsidRPr="000F629B">
              <w:rPr>
                <w:rFonts w:ascii="Calibri" w:eastAsia="Times New Roman" w:hAnsi="Calibri" w:cs="Times New Roman"/>
                <w:i/>
                <w:color w:val="244061" w:themeColor="accent1" w:themeShade="80"/>
                <w:sz w:val="20"/>
                <w:szCs w:val="20"/>
              </w:rPr>
              <w:t>18</w:t>
            </w:r>
            <w:r w:rsidR="00457A63" w:rsidRPr="000F629B">
              <w:rPr>
                <w:rFonts w:ascii="Calibri" w:eastAsia="Times New Roman" w:hAnsi="Calibri" w:cs="Times New Roman"/>
                <w:i/>
                <w:color w:val="244061" w:themeColor="accent1" w:themeShade="80"/>
                <w:sz w:val="20"/>
                <w:szCs w:val="20"/>
              </w:rPr>
              <w:t>/12</w:t>
            </w:r>
            <w:r w:rsidR="008A27D9" w:rsidRPr="000F629B">
              <w:rPr>
                <w:rFonts w:ascii="Calibri" w:eastAsia="Times New Roman" w:hAnsi="Calibri" w:cs="Times New Roman"/>
                <w:i/>
                <w:color w:val="244061" w:themeColor="accent1" w:themeShade="80"/>
                <w:sz w:val="20"/>
                <w:szCs w:val="20"/>
              </w:rPr>
              <w:t>/2017-</w:t>
            </w:r>
            <w:r w:rsidRPr="000F629B">
              <w:rPr>
                <w:rFonts w:ascii="Calibri" w:eastAsia="Times New Roman" w:hAnsi="Calibri" w:cs="Times New Roman"/>
                <w:i/>
                <w:color w:val="244061" w:themeColor="accent1" w:themeShade="80"/>
                <w:sz w:val="20"/>
                <w:szCs w:val="20"/>
              </w:rPr>
              <w:t>19</w:t>
            </w:r>
            <w:r w:rsidR="00457A63" w:rsidRPr="000F629B">
              <w:rPr>
                <w:rFonts w:ascii="Calibri" w:eastAsia="Times New Roman" w:hAnsi="Calibri" w:cs="Times New Roman"/>
                <w:i/>
                <w:color w:val="244061" w:themeColor="accent1" w:themeShade="80"/>
                <w:sz w:val="20"/>
                <w:szCs w:val="20"/>
              </w:rPr>
              <w:t>/12</w:t>
            </w:r>
            <w:r w:rsidR="008A27D9" w:rsidRPr="000F629B">
              <w:rPr>
                <w:rFonts w:ascii="Calibri" w:eastAsia="Times New Roman" w:hAnsi="Calibri" w:cs="Times New Roman"/>
                <w:i/>
                <w:color w:val="244061" w:themeColor="accent1" w:themeShade="80"/>
                <w:sz w:val="20"/>
                <w:szCs w:val="20"/>
              </w:rPr>
              <w:t>/2017</w:t>
            </w:r>
          </w:p>
        </w:tc>
      </w:tr>
    </w:tbl>
    <w:p w14:paraId="375D8165" w14:textId="77777777" w:rsidR="00D6638C" w:rsidRPr="00C0295B" w:rsidRDefault="00D6638C" w:rsidP="00A956A8">
      <w:pPr>
        <w:pStyle w:val="Heading31"/>
        <w:jc w:val="both"/>
        <w:rPr>
          <w:color w:val="244061" w:themeColor="accent1" w:themeShade="80"/>
        </w:rPr>
      </w:pPr>
      <w:bookmarkStart w:id="33" w:name="_Toc299133045"/>
      <w:bookmarkStart w:id="34" w:name="_Toc321341557"/>
      <w:bookmarkStart w:id="35" w:name="_Toc299126622"/>
      <w:bookmarkStart w:id="36" w:name="_Toc299133048"/>
      <w:r w:rsidRPr="00C0295B">
        <w:rPr>
          <w:color w:val="244061" w:themeColor="accent1" w:themeShade="80"/>
        </w:rPr>
        <w:t>Evaluation deliverables</w:t>
      </w:r>
      <w:bookmarkEnd w:id="33"/>
      <w:bookmarkEnd w:id="34"/>
    </w:p>
    <w:p w14:paraId="1939CA06" w14:textId="77777777" w:rsidR="00D6638C" w:rsidRPr="00C0295B" w:rsidRDefault="00D6638C" w:rsidP="00D241C2">
      <w:pPr>
        <w:spacing w:before="200" w:after="0" w:line="240" w:lineRule="auto"/>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208"/>
        <w:gridCol w:w="2424"/>
        <w:gridCol w:w="2868"/>
      </w:tblGrid>
      <w:tr w:rsidR="00D6638C" w:rsidRPr="00C0295B" w14:paraId="0B6A1E48" w14:textId="77777777" w:rsidTr="006C1964">
        <w:tc>
          <w:tcPr>
            <w:tcW w:w="1548" w:type="dxa"/>
            <w:shd w:val="clear" w:color="auto" w:fill="7F7F7F"/>
          </w:tcPr>
          <w:p w14:paraId="590802D9" w14:textId="77777777" w:rsidR="00D6638C" w:rsidRPr="00C0295B" w:rsidRDefault="00D6638C" w:rsidP="00D6638C">
            <w:pPr>
              <w:spacing w:before="20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Deliverable</w:t>
            </w:r>
          </w:p>
        </w:tc>
        <w:tc>
          <w:tcPr>
            <w:tcW w:w="2340" w:type="dxa"/>
            <w:shd w:val="clear" w:color="auto" w:fill="7F7F7F"/>
          </w:tcPr>
          <w:p w14:paraId="2362214A" w14:textId="77777777" w:rsidR="00D6638C" w:rsidRPr="00C0295B" w:rsidRDefault="00D6638C" w:rsidP="00D6638C">
            <w:pPr>
              <w:spacing w:before="20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Content </w:t>
            </w:r>
          </w:p>
        </w:tc>
        <w:tc>
          <w:tcPr>
            <w:tcW w:w="2610" w:type="dxa"/>
            <w:shd w:val="clear" w:color="auto" w:fill="7F7F7F"/>
          </w:tcPr>
          <w:p w14:paraId="06A3E14A" w14:textId="77777777" w:rsidR="00D6638C" w:rsidRPr="00C0295B" w:rsidRDefault="00D6638C" w:rsidP="00D6638C">
            <w:pPr>
              <w:spacing w:before="20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Timing</w:t>
            </w:r>
          </w:p>
        </w:tc>
        <w:tc>
          <w:tcPr>
            <w:tcW w:w="3060" w:type="dxa"/>
            <w:shd w:val="clear" w:color="auto" w:fill="7F7F7F"/>
          </w:tcPr>
          <w:p w14:paraId="58067959" w14:textId="77777777" w:rsidR="00D6638C" w:rsidRPr="00C0295B" w:rsidRDefault="00D6638C" w:rsidP="00D6638C">
            <w:pPr>
              <w:spacing w:before="20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Responsibilities</w:t>
            </w:r>
          </w:p>
        </w:tc>
      </w:tr>
      <w:tr w:rsidR="00D6638C" w:rsidRPr="00C0295B" w14:paraId="4ECDDF7F" w14:textId="77777777" w:rsidTr="006C1964">
        <w:tc>
          <w:tcPr>
            <w:tcW w:w="1548" w:type="dxa"/>
          </w:tcPr>
          <w:p w14:paraId="0118668F" w14:textId="77777777" w:rsidR="00D6638C" w:rsidRPr="00C0295B" w:rsidRDefault="00D6638C" w:rsidP="00D6638C">
            <w:pPr>
              <w:spacing w:after="0"/>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Inception Report</w:t>
            </w:r>
          </w:p>
        </w:tc>
        <w:tc>
          <w:tcPr>
            <w:tcW w:w="2340" w:type="dxa"/>
          </w:tcPr>
          <w:p w14:paraId="20232A7B"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Evaluator provides clarifications on timing and method </w:t>
            </w:r>
          </w:p>
        </w:tc>
        <w:tc>
          <w:tcPr>
            <w:tcW w:w="2610" w:type="dxa"/>
          </w:tcPr>
          <w:p w14:paraId="002182CF" w14:textId="4ABC0A1D" w:rsidR="00D6638C" w:rsidRPr="00C0295B" w:rsidRDefault="00457A63"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No later than 1</w:t>
            </w:r>
            <w:r w:rsidR="00D6638C" w:rsidRPr="00C0295B">
              <w:rPr>
                <w:rFonts w:ascii="Calibri" w:eastAsia="Times New Roman" w:hAnsi="Calibri" w:cs="Times New Roman"/>
                <w:color w:val="244061" w:themeColor="accent1" w:themeShade="80"/>
                <w:sz w:val="20"/>
                <w:szCs w:val="20"/>
              </w:rPr>
              <w:t xml:space="preserve"> weeks before the evaluation mission. </w:t>
            </w:r>
          </w:p>
        </w:tc>
        <w:tc>
          <w:tcPr>
            <w:tcW w:w="3060" w:type="dxa"/>
          </w:tcPr>
          <w:p w14:paraId="20A4012D"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Evaluator submits to UNDP CO </w:t>
            </w:r>
          </w:p>
        </w:tc>
      </w:tr>
      <w:tr w:rsidR="00D6638C" w:rsidRPr="00C0295B" w14:paraId="435D17D9" w14:textId="77777777" w:rsidTr="006C1964">
        <w:tc>
          <w:tcPr>
            <w:tcW w:w="1548" w:type="dxa"/>
          </w:tcPr>
          <w:p w14:paraId="4B03E7EF" w14:textId="77777777" w:rsidR="00D6638C" w:rsidRPr="00C0295B" w:rsidRDefault="00D6638C" w:rsidP="00D6638C">
            <w:pPr>
              <w:spacing w:after="0"/>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Presentation</w:t>
            </w:r>
          </w:p>
        </w:tc>
        <w:tc>
          <w:tcPr>
            <w:tcW w:w="2340" w:type="dxa"/>
          </w:tcPr>
          <w:p w14:paraId="6FE5A76B"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Initial Findings </w:t>
            </w:r>
          </w:p>
        </w:tc>
        <w:tc>
          <w:tcPr>
            <w:tcW w:w="2610" w:type="dxa"/>
          </w:tcPr>
          <w:p w14:paraId="5854ADC7"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End of evaluation mission</w:t>
            </w:r>
          </w:p>
        </w:tc>
        <w:tc>
          <w:tcPr>
            <w:tcW w:w="3060" w:type="dxa"/>
          </w:tcPr>
          <w:p w14:paraId="439B9983"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To project management, UNDP CO</w:t>
            </w:r>
          </w:p>
        </w:tc>
      </w:tr>
      <w:tr w:rsidR="00D6638C" w:rsidRPr="00C0295B" w14:paraId="2AE7B273" w14:textId="77777777" w:rsidTr="006C1964">
        <w:tc>
          <w:tcPr>
            <w:tcW w:w="1548" w:type="dxa"/>
          </w:tcPr>
          <w:p w14:paraId="6568B0D4" w14:textId="77777777" w:rsidR="00D6638C" w:rsidRPr="00C0295B" w:rsidRDefault="00D6638C" w:rsidP="00D6638C">
            <w:pPr>
              <w:spacing w:after="0"/>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 xml:space="preserve">Draft Final Report </w:t>
            </w:r>
          </w:p>
        </w:tc>
        <w:tc>
          <w:tcPr>
            <w:tcW w:w="2340" w:type="dxa"/>
          </w:tcPr>
          <w:p w14:paraId="7C549C6A" w14:textId="77777777" w:rsidR="00D6638C" w:rsidRPr="00C0295B" w:rsidRDefault="00D6638C" w:rsidP="00E23201">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Full report, (per annexed template) with annexes</w:t>
            </w:r>
          </w:p>
        </w:tc>
        <w:tc>
          <w:tcPr>
            <w:tcW w:w="2610" w:type="dxa"/>
          </w:tcPr>
          <w:p w14:paraId="550181D2"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Within 3 weeks of the evaluation mission</w:t>
            </w:r>
          </w:p>
        </w:tc>
        <w:tc>
          <w:tcPr>
            <w:tcW w:w="3060" w:type="dxa"/>
          </w:tcPr>
          <w:p w14:paraId="35DE441C"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Sent to CO, reviewed by RTA, PCU, GEF OFPs</w:t>
            </w:r>
          </w:p>
        </w:tc>
      </w:tr>
      <w:tr w:rsidR="00D6638C" w:rsidRPr="00C0295B" w14:paraId="5BAA7D96" w14:textId="77777777" w:rsidTr="006C1964">
        <w:tc>
          <w:tcPr>
            <w:tcW w:w="1548" w:type="dxa"/>
          </w:tcPr>
          <w:p w14:paraId="15B5BC2C" w14:textId="77777777" w:rsidR="00D6638C" w:rsidRPr="00C0295B" w:rsidRDefault="00D6638C" w:rsidP="00D6638C">
            <w:pPr>
              <w:spacing w:after="0"/>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b/>
                <w:color w:val="244061" w:themeColor="accent1" w:themeShade="80"/>
                <w:sz w:val="20"/>
                <w:szCs w:val="20"/>
              </w:rPr>
              <w:t>Final Report*</w:t>
            </w:r>
          </w:p>
        </w:tc>
        <w:tc>
          <w:tcPr>
            <w:tcW w:w="2340" w:type="dxa"/>
          </w:tcPr>
          <w:p w14:paraId="7800A804"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Revised report </w:t>
            </w:r>
          </w:p>
        </w:tc>
        <w:tc>
          <w:tcPr>
            <w:tcW w:w="2610" w:type="dxa"/>
          </w:tcPr>
          <w:p w14:paraId="4C3A9EF5"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Within 1 week of receiving UNDP comments on draft </w:t>
            </w:r>
          </w:p>
        </w:tc>
        <w:tc>
          <w:tcPr>
            <w:tcW w:w="3060" w:type="dxa"/>
          </w:tcPr>
          <w:p w14:paraId="7FF1006E"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Sent to CO for uploading to UNDP ERC. </w:t>
            </w:r>
          </w:p>
        </w:tc>
      </w:tr>
    </w:tbl>
    <w:p w14:paraId="36A0C6A0" w14:textId="77777777" w:rsidR="00D6638C" w:rsidRPr="00C0295B" w:rsidRDefault="00E23201" w:rsidP="00D6638C">
      <w:pPr>
        <w:spacing w:before="200"/>
        <w:jc w:val="both"/>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r w:rsidR="00D6638C" w:rsidRPr="00C0295B">
        <w:rPr>
          <w:rFonts w:ascii="Calibri" w:eastAsia="Times New Roman" w:hAnsi="Calibri" w:cs="Times New Roman"/>
          <w:color w:val="244061" w:themeColor="accent1" w:themeShade="80"/>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C0295B">
        <w:rPr>
          <w:rFonts w:ascii="Calibri" w:eastAsia="Times New Roman" w:hAnsi="Calibri" w:cs="Times New Roman"/>
          <w:color w:val="244061" w:themeColor="accent1" w:themeShade="80"/>
          <w:sz w:val="20"/>
          <w:szCs w:val="20"/>
        </w:rPr>
        <w:t xml:space="preserve">report. </w:t>
      </w:r>
    </w:p>
    <w:p w14:paraId="50F0A783" w14:textId="6D2C4411" w:rsidR="00D6638C" w:rsidRPr="00C0295B" w:rsidRDefault="00A956A8" w:rsidP="00F05366">
      <w:pPr>
        <w:pStyle w:val="Heading51"/>
        <w:rPr>
          <w:color w:val="244061" w:themeColor="accent1" w:themeShade="80"/>
        </w:rPr>
      </w:pPr>
      <w:bookmarkStart w:id="37" w:name="_Toc321341558"/>
      <w:r>
        <w:rPr>
          <w:color w:val="244061" w:themeColor="accent1" w:themeShade="80"/>
        </w:rPr>
        <w:t>Qualifications and expewrience</w:t>
      </w:r>
      <w:bookmarkEnd w:id="37"/>
    </w:p>
    <w:p w14:paraId="3B57400E" w14:textId="2A888820" w:rsidR="00D6638C" w:rsidRPr="00C0295B" w:rsidRDefault="00D6638C" w:rsidP="00D6638C">
      <w:pPr>
        <w:spacing w:before="200"/>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 xml:space="preserve">The </w:t>
      </w:r>
      <w:r w:rsidR="00195CD9" w:rsidRPr="00A956A8">
        <w:rPr>
          <w:rFonts w:ascii="Calibri" w:eastAsia="Times New Roman" w:hAnsi="Calibri" w:cs="Times New Roman"/>
          <w:color w:val="244061" w:themeColor="accent1" w:themeShade="80"/>
          <w:sz w:val="20"/>
          <w:szCs w:val="20"/>
          <w:shd w:val="clear" w:color="auto" w:fill="FFFFFF"/>
        </w:rPr>
        <w:t xml:space="preserve">international </w:t>
      </w:r>
      <w:r w:rsidR="00A956A8" w:rsidRPr="00A956A8">
        <w:rPr>
          <w:rFonts w:ascii="Calibri" w:eastAsia="Times New Roman" w:hAnsi="Calibri" w:cs="Times New Roman"/>
          <w:color w:val="244061" w:themeColor="accent1" w:themeShade="80"/>
          <w:sz w:val="20"/>
          <w:szCs w:val="20"/>
          <w:shd w:val="clear" w:color="auto" w:fill="FFFFFF"/>
        </w:rPr>
        <w:t xml:space="preserve">consultant will be the </w:t>
      </w:r>
      <w:r w:rsidR="00195CD9" w:rsidRPr="00A956A8">
        <w:rPr>
          <w:rFonts w:ascii="Calibri" w:eastAsia="Times New Roman" w:hAnsi="Calibri" w:cs="Times New Roman"/>
          <w:color w:val="244061" w:themeColor="accent1" w:themeShade="80"/>
          <w:sz w:val="20"/>
          <w:szCs w:val="20"/>
          <w:shd w:val="clear" w:color="auto" w:fill="FFFFFF"/>
        </w:rPr>
        <w:t xml:space="preserve">Team Leader responsible for </w:t>
      </w:r>
      <w:r w:rsidR="00A956A8" w:rsidRPr="00A956A8">
        <w:rPr>
          <w:rFonts w:ascii="Calibri" w:eastAsia="Times New Roman" w:hAnsi="Calibri" w:cs="Times New Roman"/>
          <w:color w:val="244061" w:themeColor="accent1" w:themeShade="80"/>
          <w:sz w:val="20"/>
          <w:szCs w:val="20"/>
          <w:shd w:val="clear" w:color="auto" w:fill="FFFFFF"/>
        </w:rPr>
        <w:t>preparing the final evaluation report and its submission to UNDP.</w:t>
      </w:r>
      <w:r w:rsidR="00457A63" w:rsidRPr="00C0295B">
        <w:rPr>
          <w:rFonts w:ascii="Calibri" w:eastAsia="Times New Roman" w:hAnsi="Calibri" w:cs="Times New Roman"/>
          <w:i/>
          <w:color w:val="244061" w:themeColor="accent1" w:themeShade="80"/>
          <w:sz w:val="20"/>
          <w:szCs w:val="20"/>
          <w:shd w:val="clear" w:color="auto" w:fill="FFFFFF"/>
        </w:rPr>
        <w:t xml:space="preserve"> </w:t>
      </w:r>
      <w:r w:rsidRPr="00C0295B">
        <w:rPr>
          <w:rFonts w:ascii="Calibri" w:eastAsia="Times New Roman" w:hAnsi="Calibri" w:cs="Times New Roman"/>
          <w:color w:val="244061" w:themeColor="accent1" w:themeShade="80"/>
          <w:sz w:val="20"/>
          <w:szCs w:val="20"/>
        </w:rPr>
        <w:t>The consultant shall have prior experience in evaluating similar</w:t>
      </w:r>
      <w:r w:rsidR="009A67B6">
        <w:rPr>
          <w:rFonts w:ascii="Calibri" w:eastAsia="Times New Roman" w:hAnsi="Calibri" w:cs="Times New Roman"/>
          <w:color w:val="244061" w:themeColor="accent1" w:themeShade="80"/>
          <w:sz w:val="20"/>
          <w:szCs w:val="20"/>
        </w:rPr>
        <w:t xml:space="preserve"> projects.  Experience with GEF/Adaptation Fund </w:t>
      </w:r>
      <w:r w:rsidRPr="00C0295B">
        <w:rPr>
          <w:rFonts w:ascii="Calibri" w:eastAsia="Times New Roman" w:hAnsi="Calibri" w:cs="Times New Roman"/>
          <w:color w:val="244061" w:themeColor="accent1" w:themeShade="80"/>
          <w:sz w:val="20"/>
          <w:szCs w:val="20"/>
        </w:rPr>
        <w:t>financed projects is an advantage. The evaluator selected should not have participated in the project preparation and/or implementation and should not have conflict of interest with project related activities.</w:t>
      </w:r>
    </w:p>
    <w:p w14:paraId="1D412F68" w14:textId="3F2504A4" w:rsidR="00D6638C" w:rsidRPr="00C0295B" w:rsidRDefault="00D6638C" w:rsidP="00D241C2">
      <w:pPr>
        <w:spacing w:before="200"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The Team </w:t>
      </w:r>
      <w:r w:rsidR="001E488B">
        <w:rPr>
          <w:rFonts w:ascii="Calibri" w:eastAsia="Times New Roman" w:hAnsi="Calibri" w:cs="Times New Roman"/>
          <w:color w:val="244061" w:themeColor="accent1" w:themeShade="80"/>
          <w:sz w:val="20"/>
          <w:szCs w:val="20"/>
        </w:rPr>
        <w:t xml:space="preserve">Leader </w:t>
      </w:r>
      <w:r w:rsidRPr="00C0295B">
        <w:rPr>
          <w:rFonts w:ascii="Calibri" w:eastAsia="Times New Roman" w:hAnsi="Calibri" w:cs="Times New Roman"/>
          <w:color w:val="244061" w:themeColor="accent1" w:themeShade="80"/>
          <w:sz w:val="20"/>
          <w:szCs w:val="20"/>
        </w:rPr>
        <w:t>must present the following qualifications:</w:t>
      </w:r>
    </w:p>
    <w:p w14:paraId="68C465D8" w14:textId="5BA4550B" w:rsidR="00D6638C" w:rsidRPr="00C0295B" w:rsidRDefault="0073571E"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Pr>
          <w:rFonts w:ascii="Calibri" w:eastAsia="Times New Roman" w:hAnsi="Calibri" w:cs="Times New Roman"/>
          <w:color w:val="244061" w:themeColor="accent1" w:themeShade="80"/>
          <w:sz w:val="20"/>
          <w:szCs w:val="20"/>
          <w:shd w:val="clear" w:color="auto" w:fill="FFFFFF"/>
        </w:rPr>
        <w:t>Advanced degree and m</w:t>
      </w:r>
      <w:r w:rsidR="00D6638C" w:rsidRPr="00C0295B">
        <w:rPr>
          <w:rFonts w:ascii="Calibri" w:eastAsia="Times New Roman" w:hAnsi="Calibri" w:cs="Times New Roman"/>
          <w:color w:val="244061" w:themeColor="accent1" w:themeShade="80"/>
          <w:sz w:val="20"/>
          <w:szCs w:val="20"/>
          <w:shd w:val="clear" w:color="auto" w:fill="FFFFFF"/>
        </w:rPr>
        <w:t xml:space="preserve">inimum </w:t>
      </w:r>
      <w:r w:rsidR="00457A63" w:rsidRPr="00C0295B">
        <w:rPr>
          <w:rFonts w:ascii="Calibri" w:eastAsia="Times New Roman" w:hAnsi="Calibri" w:cs="Times New Roman"/>
          <w:i/>
          <w:color w:val="244061" w:themeColor="accent1" w:themeShade="80"/>
          <w:sz w:val="20"/>
          <w:szCs w:val="20"/>
          <w:shd w:val="clear" w:color="auto" w:fill="FFFFFF"/>
        </w:rPr>
        <w:t>10</w:t>
      </w:r>
      <w:r w:rsidR="00195CD9" w:rsidRPr="00C0295B">
        <w:rPr>
          <w:rFonts w:ascii="Calibri" w:eastAsia="Times New Roman" w:hAnsi="Calibri" w:cs="Times New Roman"/>
          <w:i/>
          <w:color w:val="244061" w:themeColor="accent1" w:themeShade="80"/>
          <w:sz w:val="20"/>
          <w:szCs w:val="20"/>
          <w:shd w:val="clear" w:color="auto" w:fill="FFFFFF"/>
        </w:rPr>
        <w:t xml:space="preserve"> </w:t>
      </w:r>
      <w:r w:rsidR="00D6638C" w:rsidRPr="00C0295B">
        <w:rPr>
          <w:rFonts w:ascii="Calibri" w:eastAsia="Times New Roman" w:hAnsi="Calibri" w:cs="Times New Roman"/>
          <w:color w:val="244061" w:themeColor="accent1" w:themeShade="80"/>
          <w:sz w:val="20"/>
          <w:szCs w:val="20"/>
          <w:shd w:val="clear" w:color="auto" w:fill="FFFFFF"/>
        </w:rPr>
        <w:t>years of</w:t>
      </w:r>
      <w:r w:rsidR="00D6638C" w:rsidRPr="00C0295B">
        <w:rPr>
          <w:rFonts w:ascii="Calibri" w:eastAsia="Times New Roman" w:hAnsi="Calibri" w:cs="Times New Roman"/>
          <w:color w:val="244061" w:themeColor="accent1" w:themeShade="80"/>
          <w:sz w:val="20"/>
          <w:szCs w:val="20"/>
        </w:rPr>
        <w:t xml:space="preserve"> relevant professional experience</w:t>
      </w:r>
    </w:p>
    <w:p w14:paraId="5290A8B3" w14:textId="77777777" w:rsidR="00D6638C" w:rsidRPr="00C0295B" w:rsidRDefault="00D6638C"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Previous experience with results‐based monitoring and evaluation methodologies;</w:t>
      </w:r>
    </w:p>
    <w:p w14:paraId="1EAE0553" w14:textId="13383EB7" w:rsidR="00457A63" w:rsidRDefault="00D6638C"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Technical knowledge in the targeted focal area(s)</w:t>
      </w:r>
      <w:bookmarkStart w:id="38" w:name="_Toc278193977"/>
      <w:bookmarkStart w:id="39" w:name="_Toc299122835"/>
      <w:bookmarkStart w:id="40" w:name="_Toc299122857"/>
      <w:bookmarkStart w:id="41" w:name="_Toc299126624"/>
      <w:bookmarkStart w:id="42" w:name="_Toc299133050"/>
      <w:bookmarkStart w:id="43" w:name="_Toc321341559"/>
      <w:r w:rsidR="00457A63" w:rsidRPr="00C0295B">
        <w:rPr>
          <w:rFonts w:ascii="Calibri" w:eastAsia="Times New Roman" w:hAnsi="Calibri" w:cs="Times New Roman"/>
          <w:color w:val="244061" w:themeColor="accent1" w:themeShade="80"/>
          <w:sz w:val="20"/>
          <w:szCs w:val="20"/>
        </w:rPr>
        <w:t xml:space="preserve"> such as climate change adaptation, disaster risk management, environmental policy/planning/science, international development, public policy, engineering, other social sciences</w:t>
      </w:r>
    </w:p>
    <w:p w14:paraId="1E523F59" w14:textId="0FBC9E8F" w:rsidR="00245A58" w:rsidRPr="00A86465" w:rsidRDefault="00245A58"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Pr>
          <w:rFonts w:ascii="Calibri" w:eastAsia="Times New Roman" w:hAnsi="Calibri" w:cs="Times New Roman"/>
          <w:color w:val="244061" w:themeColor="accent1" w:themeShade="80"/>
          <w:sz w:val="20"/>
          <w:szCs w:val="20"/>
        </w:rPr>
        <w:t xml:space="preserve">Experience in </w:t>
      </w:r>
      <w:r w:rsidRPr="00A86465">
        <w:rPr>
          <w:rFonts w:ascii="Calibri" w:eastAsia="Times New Roman" w:hAnsi="Calibri" w:cs="Times New Roman"/>
          <w:color w:val="244061" w:themeColor="accent1" w:themeShade="80"/>
          <w:sz w:val="20"/>
          <w:szCs w:val="20"/>
        </w:rPr>
        <w:t xml:space="preserve">managing or evaluating </w:t>
      </w:r>
      <w:r>
        <w:rPr>
          <w:rFonts w:ascii="Calibri" w:eastAsia="Times New Roman" w:hAnsi="Calibri" w:cs="Times New Roman"/>
          <w:color w:val="244061" w:themeColor="accent1" w:themeShade="80"/>
          <w:sz w:val="20"/>
          <w:szCs w:val="20"/>
        </w:rPr>
        <w:t xml:space="preserve">multi-donor </w:t>
      </w:r>
      <w:r w:rsidRPr="00A86465">
        <w:rPr>
          <w:rFonts w:ascii="Calibri" w:eastAsia="Times New Roman" w:hAnsi="Calibri" w:cs="Times New Roman"/>
          <w:color w:val="244061" w:themeColor="accent1" w:themeShade="80"/>
          <w:sz w:val="20"/>
          <w:szCs w:val="20"/>
        </w:rPr>
        <w:t xml:space="preserve">funded projects particularly in </w:t>
      </w:r>
      <w:r>
        <w:rPr>
          <w:rFonts w:ascii="Calibri" w:eastAsia="Times New Roman" w:hAnsi="Calibri" w:cs="Times New Roman"/>
          <w:color w:val="244061" w:themeColor="accent1" w:themeShade="80"/>
          <w:sz w:val="20"/>
          <w:szCs w:val="20"/>
        </w:rPr>
        <w:t>S</w:t>
      </w:r>
      <w:r w:rsidRPr="00A86465">
        <w:rPr>
          <w:rFonts w:ascii="Calibri" w:eastAsia="Times New Roman" w:hAnsi="Calibri" w:cs="Times New Roman"/>
          <w:color w:val="244061" w:themeColor="accent1" w:themeShade="80"/>
          <w:sz w:val="20"/>
          <w:szCs w:val="20"/>
        </w:rPr>
        <w:t>mall Island States or Developing Countries</w:t>
      </w:r>
      <w:r>
        <w:rPr>
          <w:rFonts w:ascii="Calibri" w:eastAsia="Times New Roman" w:hAnsi="Calibri" w:cs="Times New Roman"/>
          <w:color w:val="244061" w:themeColor="accent1" w:themeShade="80"/>
          <w:sz w:val="20"/>
          <w:szCs w:val="20"/>
        </w:rPr>
        <w:t>;</w:t>
      </w:r>
    </w:p>
    <w:p w14:paraId="16BDED52" w14:textId="428F054E" w:rsidR="001E488B" w:rsidRPr="00A86465" w:rsidRDefault="001E488B"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sidRPr="00A86465">
        <w:rPr>
          <w:rFonts w:ascii="Calibri" w:eastAsia="Times New Roman" w:hAnsi="Calibri" w:cs="Times New Roman"/>
          <w:color w:val="244061" w:themeColor="accent1" w:themeShade="80"/>
          <w:sz w:val="20"/>
          <w:szCs w:val="20"/>
        </w:rPr>
        <w:t>Experience working with the AF, GEF or GEF evaluations, AF evaluations or other UN agencies and/or international organizations is recommended;</w:t>
      </w:r>
    </w:p>
    <w:p w14:paraId="493EABCC" w14:textId="7193925C" w:rsidR="001E488B" w:rsidRPr="00A86465" w:rsidRDefault="0073571E" w:rsidP="00D241C2">
      <w:pPr>
        <w:numPr>
          <w:ilvl w:val="0"/>
          <w:numId w:val="37"/>
        </w:numPr>
        <w:spacing w:before="60" w:after="60" w:line="240" w:lineRule="auto"/>
        <w:rPr>
          <w:rFonts w:ascii="Calibri" w:eastAsia="Times New Roman" w:hAnsi="Calibri" w:cs="Times New Roman"/>
          <w:color w:val="244061" w:themeColor="accent1" w:themeShade="80"/>
          <w:sz w:val="20"/>
          <w:szCs w:val="20"/>
        </w:rPr>
      </w:pPr>
      <w:r w:rsidRPr="00A86465">
        <w:rPr>
          <w:rFonts w:ascii="Calibri" w:eastAsia="Times New Roman" w:hAnsi="Calibri" w:cs="Times New Roman"/>
          <w:color w:val="244061" w:themeColor="accent1" w:themeShade="80"/>
          <w:sz w:val="20"/>
          <w:szCs w:val="20"/>
        </w:rPr>
        <w:t>Experience in leading small multi-disciplinary, multi-national teams to deliver quality products in high stress, short deadline situations.</w:t>
      </w:r>
    </w:p>
    <w:p w14:paraId="6D0217DE" w14:textId="3A9D5C27" w:rsidR="002F40CE" w:rsidRPr="00D241C2" w:rsidRDefault="002F40CE" w:rsidP="00D241C2">
      <w:pPr>
        <w:pStyle w:val="Heading51"/>
        <w:rPr>
          <w:color w:val="244061" w:themeColor="accent1" w:themeShade="80"/>
        </w:rPr>
      </w:pPr>
      <w:r w:rsidRPr="00D241C2">
        <w:rPr>
          <w:color w:val="244061" w:themeColor="accent1" w:themeShade="80"/>
        </w:rPr>
        <w:lastRenderedPageBreak/>
        <w:t xml:space="preserve">Evaluation </w:t>
      </w:r>
    </w:p>
    <w:p w14:paraId="230C8772" w14:textId="77777777" w:rsidR="002F40CE" w:rsidRPr="002F40CE" w:rsidRDefault="002F40CE" w:rsidP="002F40CE">
      <w:pPr>
        <w:rPr>
          <w:rFonts w:ascii="Calibri" w:eastAsia="Times New Roman" w:hAnsi="Calibri" w:cs="Times New Roman"/>
          <w:b/>
          <w:color w:val="244061" w:themeColor="accent1" w:themeShade="80"/>
          <w:sz w:val="20"/>
          <w:szCs w:val="20"/>
        </w:rPr>
      </w:pPr>
      <w:r w:rsidRPr="002F40CE">
        <w:rPr>
          <w:rFonts w:ascii="Calibri" w:eastAsia="Times New Roman" w:hAnsi="Calibri" w:cs="Times New Roman"/>
          <w:b/>
          <w:color w:val="244061" w:themeColor="accent1" w:themeShade="80"/>
          <w:sz w:val="20"/>
          <w:szCs w:val="20"/>
        </w:rPr>
        <w:t xml:space="preserve">Cumulative analysis </w:t>
      </w:r>
    </w:p>
    <w:p w14:paraId="32B4E340"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The proposals will be evaluated using the cumulative analysis method with a split 70% technical and 30% financial scoring. The proposal with the highest cumulative scoring will be awarded the contract. Applications will be evaluated technically and points are attributed based on how well the proposal meets the requirements of the Terms of Reference using the guidelines detailed in the table below:</w:t>
      </w:r>
    </w:p>
    <w:p w14:paraId="607EE8FD"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When using this weighted scoring method, the award of the contract to be made to the individual consultant whose offer has been evaluated and determined as:</w:t>
      </w:r>
    </w:p>
    <w:p w14:paraId="7FBD0A79"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a) Responsive/compliant/acceptable, and</w:t>
      </w:r>
    </w:p>
    <w:p w14:paraId="1247B8A0"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 xml:space="preserve">b) Having received the highest score out of a pre-determined set of weighted technical and financial criteria specific to the solicitation. </w:t>
      </w:r>
    </w:p>
    <w:p w14:paraId="64827E8E"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 Technical Criteria weighting; 70%</w:t>
      </w:r>
    </w:p>
    <w:p w14:paraId="7D3E02C5" w14:textId="77777777" w:rsidR="002F40CE" w:rsidRPr="002F40CE" w:rsidRDefault="002F40CE" w:rsidP="002F40CE">
      <w:pPr>
        <w:jc w:val="both"/>
        <w:rPr>
          <w:rFonts w:ascii="Calibri" w:eastAsia="Times New Roman" w:hAnsi="Calibri" w:cs="Times New Roman"/>
          <w:color w:val="244061" w:themeColor="accent1" w:themeShade="80"/>
          <w:sz w:val="20"/>
          <w:szCs w:val="20"/>
        </w:rPr>
      </w:pPr>
      <w:r w:rsidRPr="002F40CE">
        <w:rPr>
          <w:rFonts w:ascii="Calibri" w:eastAsia="Times New Roman" w:hAnsi="Calibri" w:cs="Times New Roman"/>
          <w:color w:val="244061" w:themeColor="accent1" w:themeShade="80"/>
          <w:sz w:val="20"/>
          <w:szCs w:val="20"/>
        </w:rPr>
        <w:t>* Financial Criteria weighting; 30%</w:t>
      </w:r>
    </w:p>
    <w:p w14:paraId="4EFD4311" w14:textId="77777777" w:rsidR="002F40CE" w:rsidRPr="002F40CE" w:rsidRDefault="002F40CE" w:rsidP="002F40CE">
      <w:pPr>
        <w:pStyle w:val="Default"/>
        <w:jc w:val="both"/>
        <w:rPr>
          <w:rFonts w:ascii="Calibri" w:hAnsi="Calibri" w:cs="Times New Roman"/>
          <w:color w:val="244061" w:themeColor="accent1" w:themeShade="80"/>
          <w:sz w:val="20"/>
          <w:szCs w:val="20"/>
        </w:rPr>
      </w:pPr>
      <w:r w:rsidRPr="002F40CE">
        <w:rPr>
          <w:rFonts w:ascii="Calibri" w:hAnsi="Calibri" w:cs="Times New Roman"/>
          <w:color w:val="244061" w:themeColor="accent1" w:themeShade="80"/>
          <w:sz w:val="20"/>
          <w:szCs w:val="20"/>
        </w:rPr>
        <w:t>Only candidates obtaining a minimum of 49 points in the Technical Evaluation would be considered for the Financial Evaluation. Interviews may be conducted as part of technical assessment for shortlisted proposals.</w:t>
      </w:r>
    </w:p>
    <w:p w14:paraId="6502B49F" w14:textId="77777777" w:rsidR="002F40CE" w:rsidRDefault="002F40CE" w:rsidP="002F40CE">
      <w:pPr>
        <w:pStyle w:val="Default"/>
        <w:jc w:val="both"/>
        <w:rPr>
          <w:rFonts w:ascii="Calibri" w:hAnsi="Calibri" w:cs="Times New Roman"/>
          <w:color w:val="244061" w:themeColor="accent1" w:themeShade="80"/>
          <w:sz w:val="20"/>
          <w:szCs w:val="20"/>
        </w:rPr>
      </w:pPr>
    </w:p>
    <w:p w14:paraId="119C978A" w14:textId="77777777" w:rsidR="00420742" w:rsidRPr="002F40CE" w:rsidRDefault="00420742" w:rsidP="002F40CE">
      <w:pPr>
        <w:pStyle w:val="Default"/>
        <w:jc w:val="both"/>
        <w:rPr>
          <w:rFonts w:ascii="Calibri" w:hAnsi="Calibri" w:cs="Times New Roman"/>
          <w:color w:val="244061" w:themeColor="accent1" w:themeShade="80"/>
          <w:sz w:val="20"/>
          <w:szCs w:val="20"/>
        </w:rPr>
      </w:pPr>
    </w:p>
    <w:p w14:paraId="33D8229C" w14:textId="71C577E9" w:rsidR="002F40CE" w:rsidRPr="00A956A8" w:rsidRDefault="002F40CE" w:rsidP="002F40CE">
      <w:pPr>
        <w:pStyle w:val="Default"/>
        <w:jc w:val="both"/>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E</w:t>
      </w:r>
      <w:r w:rsidR="00A956A8">
        <w:rPr>
          <w:rFonts w:ascii="Calibri" w:hAnsi="Calibri" w:cs="Times New Roman"/>
          <w:color w:val="244061" w:themeColor="accent1" w:themeShade="80"/>
          <w:sz w:val="20"/>
          <w:szCs w:val="20"/>
        </w:rPr>
        <w:t>valuation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1130"/>
        <w:gridCol w:w="1510"/>
      </w:tblGrid>
      <w:tr w:rsidR="00D616EC" w:rsidRPr="00D241C2" w14:paraId="03E5450F" w14:textId="77777777" w:rsidTr="00D241C2">
        <w:trPr>
          <w:trHeight w:val="359"/>
          <w:tblHeader/>
        </w:trPr>
        <w:tc>
          <w:tcPr>
            <w:tcW w:w="6376" w:type="dxa"/>
            <w:shd w:val="clear" w:color="auto" w:fill="auto"/>
          </w:tcPr>
          <w:p w14:paraId="3CD5DE08" w14:textId="77777777" w:rsidR="00D616EC" w:rsidRPr="00D241C2" w:rsidRDefault="00D616EC" w:rsidP="00A956A8">
            <w:pPr>
              <w:pStyle w:val="Default"/>
              <w:spacing w:line="240" w:lineRule="auto"/>
              <w:jc w:val="both"/>
              <w:rPr>
                <w:rFonts w:ascii="Calibri" w:hAnsi="Calibri" w:cs="Times New Roman"/>
                <w:b/>
                <w:color w:val="244061" w:themeColor="accent1" w:themeShade="80"/>
                <w:sz w:val="20"/>
                <w:szCs w:val="20"/>
              </w:rPr>
            </w:pPr>
            <w:r w:rsidRPr="00D241C2">
              <w:rPr>
                <w:rFonts w:ascii="Calibri" w:hAnsi="Calibri" w:cs="Times New Roman"/>
                <w:b/>
                <w:color w:val="244061" w:themeColor="accent1" w:themeShade="80"/>
                <w:sz w:val="20"/>
                <w:szCs w:val="20"/>
              </w:rPr>
              <w:t>Criteria</w:t>
            </w:r>
          </w:p>
        </w:tc>
        <w:tc>
          <w:tcPr>
            <w:tcW w:w="1130" w:type="dxa"/>
            <w:shd w:val="clear" w:color="auto" w:fill="auto"/>
          </w:tcPr>
          <w:p w14:paraId="73B3BA3C" w14:textId="77777777" w:rsidR="00D616EC" w:rsidRPr="00D241C2" w:rsidRDefault="00D616EC" w:rsidP="00A956A8">
            <w:pPr>
              <w:pStyle w:val="Default"/>
              <w:spacing w:line="240" w:lineRule="auto"/>
              <w:jc w:val="center"/>
              <w:rPr>
                <w:rFonts w:ascii="Calibri" w:hAnsi="Calibri" w:cs="Times New Roman"/>
                <w:b/>
                <w:color w:val="244061" w:themeColor="accent1" w:themeShade="80"/>
                <w:sz w:val="20"/>
                <w:szCs w:val="20"/>
              </w:rPr>
            </w:pPr>
            <w:r w:rsidRPr="00D241C2">
              <w:rPr>
                <w:rFonts w:ascii="Calibri" w:hAnsi="Calibri" w:cs="Times New Roman"/>
                <w:b/>
                <w:color w:val="244061" w:themeColor="accent1" w:themeShade="80"/>
                <w:sz w:val="20"/>
                <w:szCs w:val="20"/>
              </w:rPr>
              <w:t>Points</w:t>
            </w:r>
          </w:p>
        </w:tc>
        <w:tc>
          <w:tcPr>
            <w:tcW w:w="1510" w:type="dxa"/>
          </w:tcPr>
          <w:p w14:paraId="50FC8E20" w14:textId="77777777" w:rsidR="00D616EC" w:rsidRPr="00D241C2" w:rsidRDefault="00D616EC" w:rsidP="00A956A8">
            <w:pPr>
              <w:pStyle w:val="Default"/>
              <w:spacing w:line="240" w:lineRule="auto"/>
              <w:jc w:val="center"/>
              <w:rPr>
                <w:rFonts w:ascii="Calibri" w:hAnsi="Calibri" w:cs="Times New Roman"/>
                <w:b/>
                <w:color w:val="244061" w:themeColor="accent1" w:themeShade="80"/>
                <w:sz w:val="20"/>
                <w:szCs w:val="20"/>
              </w:rPr>
            </w:pPr>
            <w:r w:rsidRPr="00D241C2">
              <w:rPr>
                <w:rFonts w:ascii="Calibri" w:hAnsi="Calibri" w:cs="Times New Roman"/>
                <w:b/>
                <w:color w:val="244061" w:themeColor="accent1" w:themeShade="80"/>
                <w:sz w:val="20"/>
                <w:szCs w:val="20"/>
              </w:rPr>
              <w:t>Percentage</w:t>
            </w:r>
          </w:p>
        </w:tc>
      </w:tr>
      <w:tr w:rsidR="00D616EC" w:rsidRPr="00A956A8" w14:paraId="2C326B15" w14:textId="77777777" w:rsidTr="00A956A8">
        <w:trPr>
          <w:trHeight w:val="710"/>
        </w:trPr>
        <w:tc>
          <w:tcPr>
            <w:tcW w:w="6376" w:type="dxa"/>
            <w:shd w:val="clear" w:color="auto" w:fill="auto"/>
          </w:tcPr>
          <w:p w14:paraId="0D97055A" w14:textId="77777777" w:rsidR="00D616EC" w:rsidRPr="00D241C2" w:rsidRDefault="00D616EC" w:rsidP="00A956A8">
            <w:pPr>
              <w:pStyle w:val="Default"/>
              <w:spacing w:line="240" w:lineRule="auto"/>
              <w:jc w:val="both"/>
              <w:rPr>
                <w:rFonts w:ascii="Calibri" w:hAnsi="Calibri" w:cs="Times New Roman"/>
                <w:b/>
                <w:color w:val="244061" w:themeColor="accent1" w:themeShade="80"/>
                <w:sz w:val="20"/>
                <w:szCs w:val="20"/>
              </w:rPr>
            </w:pPr>
            <w:r w:rsidRPr="00D241C2">
              <w:rPr>
                <w:rFonts w:ascii="Calibri" w:hAnsi="Calibri" w:cs="Times New Roman"/>
                <w:b/>
                <w:color w:val="244061" w:themeColor="accent1" w:themeShade="80"/>
                <w:sz w:val="20"/>
                <w:szCs w:val="20"/>
              </w:rPr>
              <w:t>Qualification</w:t>
            </w:r>
          </w:p>
        </w:tc>
        <w:tc>
          <w:tcPr>
            <w:tcW w:w="1130" w:type="dxa"/>
            <w:shd w:val="clear" w:color="auto" w:fill="auto"/>
          </w:tcPr>
          <w:p w14:paraId="75B50A4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3D5976E1"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tc>
      </w:tr>
      <w:tr w:rsidR="00D616EC" w:rsidRPr="00A956A8" w14:paraId="0F337864" w14:textId="77777777" w:rsidTr="00A956A8">
        <w:trPr>
          <w:trHeight w:val="431"/>
        </w:trPr>
        <w:tc>
          <w:tcPr>
            <w:tcW w:w="6376" w:type="dxa"/>
            <w:shd w:val="clear" w:color="auto" w:fill="auto"/>
          </w:tcPr>
          <w:p w14:paraId="2542DA33" w14:textId="77777777" w:rsidR="00D616EC" w:rsidRPr="00A956A8" w:rsidRDefault="00D616EC" w:rsidP="00A956A8">
            <w:pPr>
              <w:numPr>
                <w:ilvl w:val="0"/>
                <w:numId w:val="39"/>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Advanced degree in relevant field</w:t>
            </w:r>
          </w:p>
        </w:tc>
        <w:tc>
          <w:tcPr>
            <w:tcW w:w="1130" w:type="dxa"/>
            <w:shd w:val="clear" w:color="auto" w:fill="auto"/>
          </w:tcPr>
          <w:p w14:paraId="10B99AA4" w14:textId="77777777" w:rsidR="00D616EC" w:rsidRPr="00A956A8" w:rsidRDefault="00D616EC" w:rsidP="00A956A8">
            <w:pPr>
              <w:pStyle w:val="Default"/>
              <w:tabs>
                <w:tab w:val="left" w:pos="405"/>
                <w:tab w:val="center" w:pos="466"/>
              </w:tabs>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tc>
        <w:tc>
          <w:tcPr>
            <w:tcW w:w="1510" w:type="dxa"/>
          </w:tcPr>
          <w:p w14:paraId="3B6E3D53"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r>
      <w:tr w:rsidR="00D616EC" w:rsidRPr="00A956A8" w14:paraId="4895F4A2" w14:textId="77777777" w:rsidTr="00A956A8">
        <w:tc>
          <w:tcPr>
            <w:tcW w:w="6376" w:type="dxa"/>
            <w:shd w:val="clear" w:color="auto" w:fill="auto"/>
          </w:tcPr>
          <w:p w14:paraId="449E42A2" w14:textId="77777777" w:rsidR="00D616EC" w:rsidRPr="00D241C2" w:rsidRDefault="00D616EC" w:rsidP="00A956A8">
            <w:pPr>
              <w:pStyle w:val="Default"/>
              <w:spacing w:line="240" w:lineRule="auto"/>
              <w:jc w:val="both"/>
              <w:rPr>
                <w:rFonts w:ascii="Calibri" w:hAnsi="Calibri" w:cs="Times New Roman"/>
                <w:b/>
                <w:color w:val="244061" w:themeColor="accent1" w:themeShade="80"/>
                <w:sz w:val="20"/>
                <w:szCs w:val="20"/>
              </w:rPr>
            </w:pPr>
            <w:r w:rsidRPr="00D241C2">
              <w:rPr>
                <w:rFonts w:ascii="Calibri" w:hAnsi="Calibri" w:cs="Times New Roman"/>
                <w:b/>
                <w:color w:val="244061" w:themeColor="accent1" w:themeShade="80"/>
                <w:sz w:val="20"/>
                <w:szCs w:val="20"/>
              </w:rPr>
              <w:t>Experience</w:t>
            </w:r>
          </w:p>
        </w:tc>
        <w:tc>
          <w:tcPr>
            <w:tcW w:w="1130" w:type="dxa"/>
            <w:shd w:val="clear" w:color="auto" w:fill="auto"/>
          </w:tcPr>
          <w:p w14:paraId="066F246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70D57928"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60%</w:t>
            </w:r>
          </w:p>
        </w:tc>
      </w:tr>
      <w:tr w:rsidR="00D616EC" w:rsidRPr="00A956A8" w14:paraId="40A07DD9" w14:textId="77777777" w:rsidTr="00A956A8">
        <w:trPr>
          <w:trHeight w:val="665"/>
        </w:trPr>
        <w:tc>
          <w:tcPr>
            <w:tcW w:w="6376" w:type="dxa"/>
            <w:shd w:val="clear" w:color="auto" w:fill="auto"/>
          </w:tcPr>
          <w:p w14:paraId="3BD6C37E"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Minimum 10 years of relevant professional experience</w:t>
            </w:r>
          </w:p>
          <w:p w14:paraId="39168E0B"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Previous experience with results‐based monitoring and evaluation methodologies;</w:t>
            </w:r>
          </w:p>
          <w:p w14:paraId="31540A99"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Technical knowledge in the targeted focal area(s) such as climate change adaptation, disaster risk management, environmental policy/planning/science, international development, public policy, engineering, other social sciences</w:t>
            </w:r>
          </w:p>
          <w:p w14:paraId="002757D1"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Experience in managing or evaluating multi-donor funded projects particularly in Small Island States or Developing Countries;</w:t>
            </w:r>
          </w:p>
          <w:p w14:paraId="0060A44D"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Experience working with the AF, GEF or GEF evaluations, AF evaluations or other UN agencies and/or international organizations is recommended;</w:t>
            </w:r>
          </w:p>
          <w:p w14:paraId="168BDA5F" w14:textId="77777777" w:rsidR="00D616EC" w:rsidRPr="00A956A8" w:rsidRDefault="00D616EC" w:rsidP="00A956A8">
            <w:pPr>
              <w:numPr>
                <w:ilvl w:val="0"/>
                <w:numId w:val="40"/>
              </w:numPr>
              <w:spacing w:before="60" w:after="60" w:line="240" w:lineRule="auto"/>
              <w:rPr>
                <w:rFonts w:ascii="Calibri" w:eastAsia="Times New Roman" w:hAnsi="Calibri" w:cs="Times New Roman"/>
                <w:color w:val="244061" w:themeColor="accent1" w:themeShade="80"/>
                <w:sz w:val="20"/>
                <w:szCs w:val="20"/>
              </w:rPr>
            </w:pPr>
            <w:r w:rsidRPr="00A956A8">
              <w:rPr>
                <w:rFonts w:ascii="Calibri" w:eastAsia="Times New Roman" w:hAnsi="Calibri" w:cs="Times New Roman"/>
                <w:color w:val="244061" w:themeColor="accent1" w:themeShade="80"/>
                <w:sz w:val="20"/>
                <w:szCs w:val="20"/>
              </w:rPr>
              <w:t>Experience in leading small multi-disciplinary, multi-national teams to deliver quality products in high stress, short deadline situations.</w:t>
            </w:r>
          </w:p>
          <w:p w14:paraId="0E451970" w14:textId="77777777" w:rsidR="00D616EC" w:rsidRPr="00A956A8" w:rsidRDefault="00D616EC" w:rsidP="00A956A8">
            <w:pPr>
              <w:spacing w:after="0" w:line="240" w:lineRule="auto"/>
              <w:ind w:left="720"/>
              <w:jc w:val="both"/>
              <w:textAlignment w:val="baseline"/>
              <w:rPr>
                <w:rFonts w:ascii="Calibri" w:eastAsia="Times New Roman" w:hAnsi="Calibri" w:cs="Times New Roman"/>
                <w:color w:val="244061" w:themeColor="accent1" w:themeShade="80"/>
                <w:sz w:val="20"/>
                <w:szCs w:val="20"/>
              </w:rPr>
            </w:pPr>
          </w:p>
        </w:tc>
        <w:tc>
          <w:tcPr>
            <w:tcW w:w="1130" w:type="dxa"/>
            <w:shd w:val="clear" w:color="auto" w:fill="auto"/>
          </w:tcPr>
          <w:p w14:paraId="0BED8E9A"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lastRenderedPageBreak/>
              <w:t>10</w:t>
            </w:r>
          </w:p>
          <w:p w14:paraId="3384565C"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p w14:paraId="76F1DE18"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p w14:paraId="37E2267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p w14:paraId="79EB9FA3"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p w14:paraId="5F5837A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p w14:paraId="565D1DF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p w14:paraId="4D54AF48"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w:t>
            </w:r>
          </w:p>
        </w:tc>
        <w:tc>
          <w:tcPr>
            <w:tcW w:w="1510" w:type="dxa"/>
          </w:tcPr>
          <w:p w14:paraId="44D5295C"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r>
      <w:tr w:rsidR="00D616EC" w:rsidRPr="00A956A8" w14:paraId="52C1921B" w14:textId="77777777" w:rsidTr="00A956A8">
        <w:tc>
          <w:tcPr>
            <w:tcW w:w="6376" w:type="dxa"/>
            <w:shd w:val="clear" w:color="auto" w:fill="auto"/>
          </w:tcPr>
          <w:p w14:paraId="6808B5FC" w14:textId="77777777" w:rsidR="00D616EC" w:rsidRPr="00A956A8" w:rsidRDefault="00D616EC" w:rsidP="00A956A8">
            <w:pPr>
              <w:pStyle w:val="Default"/>
              <w:spacing w:line="240" w:lineRule="auto"/>
              <w:jc w:val="both"/>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Technical Criteria ( Minimum score (49 out of 70) to be technically competent</w:t>
            </w:r>
          </w:p>
        </w:tc>
        <w:tc>
          <w:tcPr>
            <w:tcW w:w="1130" w:type="dxa"/>
            <w:shd w:val="clear" w:color="auto" w:fill="auto"/>
          </w:tcPr>
          <w:p w14:paraId="313A81AE"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2C8DB0BA"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70%</w:t>
            </w:r>
          </w:p>
        </w:tc>
      </w:tr>
      <w:tr w:rsidR="00D616EC" w:rsidRPr="00A956A8" w14:paraId="47D338AA" w14:textId="77777777" w:rsidTr="00A956A8">
        <w:tc>
          <w:tcPr>
            <w:tcW w:w="6376" w:type="dxa"/>
            <w:shd w:val="clear" w:color="auto" w:fill="auto"/>
          </w:tcPr>
          <w:p w14:paraId="670EFB09" w14:textId="77777777" w:rsidR="00D616EC" w:rsidRPr="00A956A8" w:rsidRDefault="00D616EC" w:rsidP="00A956A8">
            <w:pPr>
              <w:pStyle w:val="Default"/>
              <w:spacing w:line="240" w:lineRule="auto"/>
              <w:jc w:val="both"/>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 xml:space="preserve">**If necessary interviews shall also be conducted as part of the technical evaluation to ascertain best value for money.  </w:t>
            </w:r>
          </w:p>
        </w:tc>
        <w:tc>
          <w:tcPr>
            <w:tcW w:w="1130" w:type="dxa"/>
            <w:shd w:val="clear" w:color="auto" w:fill="auto"/>
          </w:tcPr>
          <w:p w14:paraId="44C17152"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4C252397"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r>
      <w:tr w:rsidR="00D616EC" w:rsidRPr="00A956A8" w14:paraId="646CBC55" w14:textId="77777777" w:rsidTr="00A956A8">
        <w:tc>
          <w:tcPr>
            <w:tcW w:w="6376" w:type="dxa"/>
            <w:shd w:val="clear" w:color="auto" w:fill="auto"/>
          </w:tcPr>
          <w:p w14:paraId="0D319F50" w14:textId="77777777" w:rsidR="00D616EC" w:rsidRPr="00A956A8" w:rsidRDefault="00D616EC" w:rsidP="00A956A8">
            <w:pPr>
              <w:pStyle w:val="Default"/>
              <w:spacing w:line="240" w:lineRule="auto"/>
              <w:jc w:val="both"/>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Financial Criteria – Lowest Price</w:t>
            </w:r>
          </w:p>
        </w:tc>
        <w:tc>
          <w:tcPr>
            <w:tcW w:w="1130" w:type="dxa"/>
            <w:shd w:val="clear" w:color="auto" w:fill="auto"/>
          </w:tcPr>
          <w:p w14:paraId="43B97377"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3C8F66E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30%</w:t>
            </w:r>
          </w:p>
        </w:tc>
      </w:tr>
      <w:tr w:rsidR="00D616EC" w:rsidRPr="00A956A8" w14:paraId="7A6CB090" w14:textId="77777777" w:rsidTr="00A956A8">
        <w:tc>
          <w:tcPr>
            <w:tcW w:w="6376" w:type="dxa"/>
            <w:shd w:val="clear" w:color="auto" w:fill="auto"/>
          </w:tcPr>
          <w:p w14:paraId="3A81FD18" w14:textId="77777777" w:rsidR="00D616EC" w:rsidRPr="00A956A8" w:rsidRDefault="00D616EC" w:rsidP="00A956A8">
            <w:pPr>
              <w:pStyle w:val="Default"/>
              <w:spacing w:line="240" w:lineRule="auto"/>
              <w:jc w:val="both"/>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Total</w:t>
            </w:r>
          </w:p>
        </w:tc>
        <w:tc>
          <w:tcPr>
            <w:tcW w:w="1130" w:type="dxa"/>
            <w:shd w:val="clear" w:color="auto" w:fill="auto"/>
          </w:tcPr>
          <w:p w14:paraId="27D750FF"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p>
        </w:tc>
        <w:tc>
          <w:tcPr>
            <w:tcW w:w="1510" w:type="dxa"/>
          </w:tcPr>
          <w:p w14:paraId="0A4B00DC" w14:textId="77777777" w:rsidR="00D616EC" w:rsidRPr="00A956A8" w:rsidRDefault="00D616EC" w:rsidP="00A956A8">
            <w:pPr>
              <w:pStyle w:val="Default"/>
              <w:spacing w:line="240" w:lineRule="auto"/>
              <w:jc w:val="center"/>
              <w:rPr>
                <w:rFonts w:ascii="Calibri" w:hAnsi="Calibri" w:cs="Times New Roman"/>
                <w:color w:val="244061" w:themeColor="accent1" w:themeShade="80"/>
                <w:sz w:val="20"/>
                <w:szCs w:val="20"/>
              </w:rPr>
            </w:pPr>
            <w:r w:rsidRPr="00A956A8">
              <w:rPr>
                <w:rFonts w:ascii="Calibri" w:hAnsi="Calibri" w:cs="Times New Roman"/>
                <w:color w:val="244061" w:themeColor="accent1" w:themeShade="80"/>
                <w:sz w:val="20"/>
                <w:szCs w:val="20"/>
              </w:rPr>
              <w:t>100%</w:t>
            </w:r>
          </w:p>
        </w:tc>
      </w:tr>
    </w:tbl>
    <w:p w14:paraId="774F8BBF" w14:textId="77777777" w:rsidR="002F40CE" w:rsidRDefault="002F40CE" w:rsidP="002F40CE">
      <w:pPr>
        <w:spacing w:before="60" w:after="60" w:line="240" w:lineRule="auto"/>
        <w:rPr>
          <w:rFonts w:ascii="Calibri" w:eastAsia="Times New Roman" w:hAnsi="Calibri" w:cs="Times New Roman"/>
          <w:color w:val="244061" w:themeColor="accent1" w:themeShade="80"/>
          <w:sz w:val="20"/>
          <w:szCs w:val="20"/>
        </w:rPr>
      </w:pPr>
    </w:p>
    <w:p w14:paraId="41B120B0" w14:textId="6E16EDB2" w:rsidR="00D616EC" w:rsidRDefault="00D616EC">
      <w:pPr>
        <w:rPr>
          <w:rFonts w:ascii="Calibri" w:eastAsia="Times New Roman" w:hAnsi="Calibri" w:cs="Times New Roman"/>
          <w:color w:val="244061" w:themeColor="accent1" w:themeShade="80"/>
          <w:sz w:val="20"/>
          <w:szCs w:val="20"/>
        </w:rPr>
      </w:pPr>
      <w:r>
        <w:rPr>
          <w:rFonts w:ascii="Calibri" w:eastAsia="Times New Roman" w:hAnsi="Calibri" w:cs="Times New Roman"/>
          <w:color w:val="244061" w:themeColor="accent1" w:themeShade="80"/>
          <w:sz w:val="20"/>
          <w:szCs w:val="20"/>
        </w:rPr>
        <w:br w:type="page"/>
      </w:r>
    </w:p>
    <w:p w14:paraId="029FBE77" w14:textId="77777777" w:rsidR="00D6638C" w:rsidRPr="00C0295B" w:rsidRDefault="00D6638C" w:rsidP="00F05366">
      <w:pPr>
        <w:pStyle w:val="Heading51"/>
        <w:rPr>
          <w:color w:val="244061" w:themeColor="accent1" w:themeShade="80"/>
        </w:rPr>
      </w:pPr>
      <w:r w:rsidRPr="00C0295B">
        <w:rPr>
          <w:color w:val="244061" w:themeColor="accent1" w:themeShade="80"/>
        </w:rPr>
        <w:lastRenderedPageBreak/>
        <w:t>Evaluator Ethics</w:t>
      </w:r>
      <w:bookmarkEnd w:id="38"/>
      <w:bookmarkEnd w:id="39"/>
      <w:bookmarkEnd w:id="40"/>
      <w:bookmarkEnd w:id="41"/>
      <w:bookmarkEnd w:id="42"/>
      <w:bookmarkEnd w:id="43"/>
    </w:p>
    <w:p w14:paraId="3EC5600F" w14:textId="77777777" w:rsidR="00D6638C" w:rsidRPr="00C0295B" w:rsidRDefault="00D6638C" w:rsidP="00022F8E">
      <w:pPr>
        <w:rPr>
          <w:color w:val="244061" w:themeColor="accent1" w:themeShade="80"/>
        </w:rPr>
      </w:pPr>
      <w:r w:rsidRPr="00C0295B">
        <w:rPr>
          <w:color w:val="244061" w:themeColor="accent1" w:themeShade="80"/>
        </w:rPr>
        <w:t xml:space="preserve">Evaluation consultants will be held to the highest ethical standards and are required to sign a Code of Conduct </w:t>
      </w:r>
      <w:r w:rsidR="00F05366" w:rsidRPr="00C0295B">
        <w:rPr>
          <w:color w:val="244061" w:themeColor="accent1" w:themeShade="80"/>
        </w:rPr>
        <w:t>(Annex E) u</w:t>
      </w:r>
      <w:r w:rsidRPr="00C0295B">
        <w:rPr>
          <w:color w:val="244061" w:themeColor="accent1" w:themeShade="80"/>
        </w:rPr>
        <w:t xml:space="preserve">pon acceptance of the assignment. UNDP evaluations are conducted in accordance with the principles outlined in the </w:t>
      </w:r>
      <w:hyperlink r:id="rId12" w:history="1">
        <w:r w:rsidRPr="00C0295B">
          <w:rPr>
            <w:rStyle w:val="Hyperlink"/>
            <w:rFonts w:ascii="Calibri" w:eastAsia="Times New Roman" w:hAnsi="Calibri" w:cs="Times New Roman"/>
            <w:color w:val="244061" w:themeColor="accent1" w:themeShade="80"/>
            <w:sz w:val="20"/>
            <w:szCs w:val="20"/>
          </w:rPr>
          <w:t>UNEG 'Ethical Guidelines for Evaluations'</w:t>
        </w:r>
      </w:hyperlink>
    </w:p>
    <w:p w14:paraId="3502E4C2" w14:textId="77777777" w:rsidR="00D6638C" w:rsidRPr="00C0295B" w:rsidRDefault="00D6638C" w:rsidP="00F05366">
      <w:pPr>
        <w:pStyle w:val="Heading51"/>
        <w:rPr>
          <w:color w:val="244061" w:themeColor="accent1" w:themeShade="80"/>
        </w:rPr>
      </w:pPr>
      <w:bookmarkStart w:id="44" w:name="_Toc299126626"/>
      <w:bookmarkStart w:id="45" w:name="_Toc299133051"/>
      <w:bookmarkStart w:id="46" w:name="_Toc321341560"/>
      <w:bookmarkStart w:id="47" w:name="_Toc299122837"/>
      <w:bookmarkStart w:id="48" w:name="_Toc299122859"/>
      <w:bookmarkStart w:id="49" w:name="_Toc299126627"/>
      <w:r w:rsidRPr="00C0295B">
        <w:rPr>
          <w:color w:val="244061" w:themeColor="accent1" w:themeShade="80"/>
        </w:rPr>
        <w:t>Payment modalities and specifications</w:t>
      </w:r>
      <w:bookmarkEnd w:id="44"/>
      <w:bookmarkEnd w:id="45"/>
      <w:bookmarkEnd w:id="46"/>
      <w:r w:rsidR="00E23201" w:rsidRPr="00C0295B">
        <w:rPr>
          <w:color w:val="244061" w:themeColor="accent1" w:themeShade="80"/>
        </w:rPr>
        <w:t xml:space="preserve"> </w:t>
      </w:r>
    </w:p>
    <w:p w14:paraId="4B0EC0FD" w14:textId="77777777" w:rsidR="00E23201" w:rsidRPr="00C0295B" w:rsidRDefault="00E23201" w:rsidP="00E23201">
      <w:pPr>
        <w:rPr>
          <w:color w:val="244061" w:themeColor="accent1" w:themeShade="80"/>
        </w:rPr>
      </w:pPr>
      <w:r w:rsidRPr="00C0295B">
        <w:rPr>
          <w:color w:val="244061" w:themeColor="accent1" w:themeShade="80"/>
          <w:highlight w:val="lightGray"/>
        </w:rPr>
        <w:t>(</w:t>
      </w:r>
      <w:r w:rsidRPr="00C0295B">
        <w:rPr>
          <w:i/>
          <w:color w:val="244061" w:themeColor="accent1" w:themeShade="80"/>
          <w:highlight w:val="lightGray"/>
        </w:rPr>
        <w:t xml:space="preserve">this payment schedule is indicative, to be filled in </w:t>
      </w:r>
      <w:r w:rsidR="00310398" w:rsidRPr="00C0295B">
        <w:rPr>
          <w:i/>
          <w:color w:val="244061" w:themeColor="accent1" w:themeShade="80"/>
          <w:highlight w:val="lightGray"/>
        </w:rPr>
        <w:t xml:space="preserve">by the </w:t>
      </w:r>
      <w:r w:rsidR="00310398" w:rsidRPr="00C0295B">
        <w:rPr>
          <w:rFonts w:ascii="Calibri" w:eastAsia="Times New Roman" w:hAnsi="Calibri" w:cs="Times New Roman"/>
          <w:i/>
          <w:color w:val="244061" w:themeColor="accent1" w:themeShade="80"/>
          <w:sz w:val="20"/>
          <w:szCs w:val="20"/>
          <w:highlight w:val="lightGray"/>
        </w:rPr>
        <w:t xml:space="preserve">CO and UNDP GEF Technical Adviser </w:t>
      </w:r>
      <w:r w:rsidRPr="00C0295B">
        <w:rPr>
          <w:i/>
          <w:color w:val="244061" w:themeColor="accent1" w:themeShade="80"/>
          <w:highlight w:val="lightGray"/>
        </w:rPr>
        <w:t>based on</w:t>
      </w:r>
      <w:r w:rsidR="00310398" w:rsidRPr="00C0295B">
        <w:rPr>
          <w:i/>
          <w:color w:val="244061" w:themeColor="accent1" w:themeShade="80"/>
          <w:highlight w:val="lightGray"/>
        </w:rPr>
        <w:t xml:space="preserve"> their</w:t>
      </w:r>
      <w:r w:rsidRPr="00C0295B">
        <w:rPr>
          <w:i/>
          <w:color w:val="244061" w:themeColor="accent1" w:themeShade="80"/>
          <w:highlight w:val="lightGray"/>
        </w:rPr>
        <w:t xml:space="preserve"> standard procurement procedures)</w:t>
      </w:r>
      <w:r w:rsidRPr="00C0295B">
        <w:rPr>
          <w:color w:val="244061" w:themeColor="accent1" w:themeShade="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811"/>
      </w:tblGrid>
      <w:tr w:rsidR="00D6638C" w:rsidRPr="00C0295B" w14:paraId="40281702" w14:textId="77777777" w:rsidTr="006C1964">
        <w:tc>
          <w:tcPr>
            <w:tcW w:w="1278" w:type="dxa"/>
            <w:shd w:val="clear" w:color="auto" w:fill="7F7F7F"/>
          </w:tcPr>
          <w:p w14:paraId="100E93F0" w14:textId="77777777" w:rsidR="00D6638C" w:rsidRPr="00C0295B" w:rsidRDefault="00D6638C" w:rsidP="00D6638C">
            <w:pPr>
              <w:spacing w:after="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w:t>
            </w:r>
          </w:p>
        </w:tc>
        <w:tc>
          <w:tcPr>
            <w:tcW w:w="8576" w:type="dxa"/>
            <w:shd w:val="clear" w:color="auto" w:fill="7F7F7F"/>
          </w:tcPr>
          <w:p w14:paraId="1A4E127D" w14:textId="77777777" w:rsidR="00D6638C" w:rsidRPr="00C0295B" w:rsidRDefault="00D6638C" w:rsidP="00D6638C">
            <w:pPr>
              <w:spacing w:after="0"/>
              <w:jc w:val="center"/>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Milestone</w:t>
            </w:r>
          </w:p>
        </w:tc>
      </w:tr>
      <w:tr w:rsidR="00D6638C" w:rsidRPr="00C0295B" w14:paraId="4655618C" w14:textId="77777777" w:rsidTr="006C1964">
        <w:tc>
          <w:tcPr>
            <w:tcW w:w="1278" w:type="dxa"/>
          </w:tcPr>
          <w:p w14:paraId="5D077A25" w14:textId="77777777" w:rsidR="00D6638C" w:rsidRPr="00C0295B" w:rsidRDefault="00D6638C" w:rsidP="00D6638C">
            <w:pPr>
              <w:spacing w:after="0"/>
              <w:jc w:val="center"/>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i/>
                <w:color w:val="244061" w:themeColor="accent1" w:themeShade="80"/>
                <w:sz w:val="20"/>
                <w:szCs w:val="20"/>
              </w:rPr>
              <w:t>10%</w:t>
            </w:r>
          </w:p>
        </w:tc>
        <w:tc>
          <w:tcPr>
            <w:tcW w:w="8576" w:type="dxa"/>
          </w:tcPr>
          <w:p w14:paraId="02E5D628"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At contract signing</w:t>
            </w:r>
          </w:p>
        </w:tc>
      </w:tr>
      <w:tr w:rsidR="00D6638C" w:rsidRPr="00C0295B" w14:paraId="65E9FCCD" w14:textId="77777777" w:rsidTr="006C1964">
        <w:tc>
          <w:tcPr>
            <w:tcW w:w="1278" w:type="dxa"/>
          </w:tcPr>
          <w:p w14:paraId="548C075C" w14:textId="77777777" w:rsidR="00D6638C" w:rsidRPr="00C0295B" w:rsidRDefault="00D6638C" w:rsidP="00D6638C">
            <w:pPr>
              <w:spacing w:after="0"/>
              <w:jc w:val="center"/>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i/>
                <w:color w:val="244061" w:themeColor="accent1" w:themeShade="80"/>
                <w:sz w:val="20"/>
                <w:szCs w:val="20"/>
              </w:rPr>
              <w:t>40%</w:t>
            </w:r>
          </w:p>
        </w:tc>
        <w:tc>
          <w:tcPr>
            <w:tcW w:w="8576" w:type="dxa"/>
          </w:tcPr>
          <w:p w14:paraId="1B033A8D"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Following submission and approval of the 1ST draft terminal evaluation report</w:t>
            </w:r>
          </w:p>
        </w:tc>
      </w:tr>
      <w:tr w:rsidR="00D6638C" w:rsidRPr="00C0295B" w14:paraId="667400E9" w14:textId="77777777" w:rsidTr="006C1964">
        <w:tc>
          <w:tcPr>
            <w:tcW w:w="1278" w:type="dxa"/>
          </w:tcPr>
          <w:p w14:paraId="5C942C8C" w14:textId="77777777" w:rsidR="00D6638C" w:rsidRPr="00C0295B" w:rsidRDefault="00D6638C" w:rsidP="00D6638C">
            <w:pPr>
              <w:spacing w:after="0"/>
              <w:jc w:val="center"/>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i/>
                <w:color w:val="244061" w:themeColor="accent1" w:themeShade="80"/>
                <w:sz w:val="20"/>
                <w:szCs w:val="20"/>
              </w:rPr>
              <w:t>50%</w:t>
            </w:r>
          </w:p>
        </w:tc>
        <w:tc>
          <w:tcPr>
            <w:tcW w:w="8576" w:type="dxa"/>
          </w:tcPr>
          <w:p w14:paraId="3B7DDC2A"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Following submission and approval (UNDP-CO and UNDP RTA) of the final terminal evaluation report </w:t>
            </w:r>
          </w:p>
        </w:tc>
      </w:tr>
    </w:tbl>
    <w:p w14:paraId="0B53D9B1" w14:textId="77777777" w:rsidR="00D6638C" w:rsidRPr="00C0295B" w:rsidRDefault="00D6638C" w:rsidP="00F05366">
      <w:pPr>
        <w:pStyle w:val="Heading51"/>
        <w:rPr>
          <w:color w:val="244061" w:themeColor="accent1" w:themeShade="80"/>
        </w:rPr>
      </w:pPr>
      <w:bookmarkStart w:id="50" w:name="_Toc299133052"/>
      <w:bookmarkStart w:id="51" w:name="_Toc321341561"/>
      <w:r w:rsidRPr="00C0295B">
        <w:rPr>
          <w:color w:val="244061" w:themeColor="accent1" w:themeShade="80"/>
        </w:rPr>
        <w:t>Application process</w:t>
      </w:r>
      <w:bookmarkEnd w:id="47"/>
      <w:bookmarkEnd w:id="48"/>
      <w:bookmarkEnd w:id="49"/>
      <w:bookmarkEnd w:id="50"/>
      <w:bookmarkEnd w:id="51"/>
    </w:p>
    <w:p w14:paraId="6D022FFF" w14:textId="77777777" w:rsidR="00A86465" w:rsidRPr="009A67B6" w:rsidRDefault="00A86465" w:rsidP="009A67B6">
      <w:pPr>
        <w:pStyle w:val="ListParagraph"/>
        <w:numPr>
          <w:ilvl w:val="0"/>
          <w:numId w:val="36"/>
        </w:numPr>
        <w:rPr>
          <w:color w:val="244061" w:themeColor="accent1" w:themeShade="80"/>
        </w:rPr>
      </w:pPr>
      <w:r w:rsidRPr="009A67B6">
        <w:rPr>
          <w:rFonts w:eastAsiaTheme="minorHAnsi"/>
          <w:color w:val="244061" w:themeColor="accent1" w:themeShade="80"/>
        </w:rPr>
        <w:t>The application should contain a current and complete C.V. in English with indication of the e‐mail and phone contact</w:t>
      </w:r>
      <w:r w:rsidRPr="009A67B6">
        <w:rPr>
          <w:color w:val="244061" w:themeColor="accent1" w:themeShade="80"/>
        </w:rPr>
        <w:t xml:space="preserve"> </w:t>
      </w:r>
    </w:p>
    <w:p w14:paraId="16541580" w14:textId="0B0F8230" w:rsidR="00A86465" w:rsidRPr="009A67B6" w:rsidRDefault="00A86465" w:rsidP="009A67B6">
      <w:pPr>
        <w:pStyle w:val="ListParagraph"/>
        <w:numPr>
          <w:ilvl w:val="0"/>
          <w:numId w:val="36"/>
        </w:numPr>
        <w:rPr>
          <w:color w:val="244061" w:themeColor="accent1" w:themeShade="80"/>
        </w:rPr>
      </w:pPr>
      <w:r w:rsidRPr="009A67B6">
        <w:rPr>
          <w:color w:val="244061" w:themeColor="accent1" w:themeShade="80"/>
        </w:rPr>
        <w:t xml:space="preserve">Letter of Confirmation of Interest and Availability using the </w:t>
      </w:r>
      <w:hyperlink r:id="rId13" w:history="1">
        <w:r w:rsidRPr="009A67B6">
          <w:rPr>
            <w:rFonts w:eastAsiaTheme="minorHAnsi"/>
            <w:color w:val="244061" w:themeColor="accent1" w:themeShade="80"/>
          </w:rPr>
          <w:t>template</w:t>
        </w:r>
      </w:hyperlink>
      <w:r w:rsidRPr="009A67B6">
        <w:rPr>
          <w:rFonts w:eastAsiaTheme="minorHAnsi"/>
          <w:sz w:val="22"/>
        </w:rPr>
        <w:footnoteReference w:id="3"/>
      </w:r>
      <w:r w:rsidRPr="009A67B6">
        <w:rPr>
          <w:color w:val="244061" w:themeColor="accent1" w:themeShade="80"/>
        </w:rPr>
        <w:t xml:space="preserve"> provided by UNDP;</w:t>
      </w:r>
    </w:p>
    <w:p w14:paraId="32C981A1" w14:textId="77777777" w:rsidR="00A86465" w:rsidRPr="009A67B6" w:rsidRDefault="00A86465" w:rsidP="009A67B6">
      <w:pPr>
        <w:pStyle w:val="ListParagraph"/>
        <w:numPr>
          <w:ilvl w:val="0"/>
          <w:numId w:val="36"/>
        </w:numPr>
        <w:rPr>
          <w:color w:val="244061" w:themeColor="accent1" w:themeShade="80"/>
          <w:sz w:val="22"/>
          <w:szCs w:val="22"/>
        </w:rPr>
      </w:pPr>
      <w:r w:rsidRPr="009A67B6">
        <w:rPr>
          <w:color w:val="244061" w:themeColor="accent1" w:themeShade="80"/>
        </w:rPr>
        <w:t>CV and a Personal History Form</w:t>
      </w:r>
      <w:r w:rsidRPr="009A67B6">
        <w:rPr>
          <w:rFonts w:eastAsiaTheme="minorHAnsi"/>
          <w:color w:val="244061" w:themeColor="accent1" w:themeShade="80"/>
          <w:sz w:val="22"/>
          <w:szCs w:val="22"/>
        </w:rPr>
        <w:t xml:space="preserve"> (</w:t>
      </w:r>
      <w:hyperlink r:id="rId14" w:tgtFrame="_blank" w:history="1">
        <w:r w:rsidRPr="009A67B6">
          <w:rPr>
            <w:rFonts w:eastAsiaTheme="minorHAnsi"/>
            <w:color w:val="244061" w:themeColor="accent1" w:themeShade="80"/>
          </w:rPr>
          <w:t>P11 form</w:t>
        </w:r>
      </w:hyperlink>
      <w:r w:rsidRPr="009A67B6">
        <w:rPr>
          <w:rFonts w:eastAsiaTheme="minorHAnsi"/>
          <w:sz w:val="22"/>
        </w:rPr>
        <w:footnoteReference w:id="4"/>
      </w:r>
      <w:r w:rsidRPr="009A67B6">
        <w:rPr>
          <w:rFonts w:eastAsiaTheme="minorHAnsi"/>
          <w:color w:val="244061" w:themeColor="accent1" w:themeShade="80"/>
        </w:rPr>
        <w:t>);</w:t>
      </w:r>
    </w:p>
    <w:p w14:paraId="777EC4D1" w14:textId="77777777" w:rsidR="00A86465" w:rsidRPr="009A67B6" w:rsidRDefault="00A86465" w:rsidP="009A67B6">
      <w:pPr>
        <w:pStyle w:val="ListParagraph"/>
        <w:numPr>
          <w:ilvl w:val="0"/>
          <w:numId w:val="36"/>
        </w:numPr>
        <w:rPr>
          <w:color w:val="244061" w:themeColor="accent1" w:themeShade="80"/>
        </w:rPr>
      </w:pPr>
      <w:r w:rsidRPr="009A67B6">
        <w:rPr>
          <w:color w:val="244061" w:themeColor="accent1" w:themeShade="80"/>
        </w:rPr>
        <w:t>Brief description of approach to work/technical proposal of why the individual considers him/herself as the most suitable for the assignment, and a proposed methodology on how they will approach and complete the assignment; (max 1 page)</w:t>
      </w:r>
    </w:p>
    <w:p w14:paraId="55518321" w14:textId="77777777" w:rsidR="00A86465" w:rsidRPr="009A67B6" w:rsidRDefault="00A86465" w:rsidP="009A67B6">
      <w:pPr>
        <w:pStyle w:val="ListParagraph"/>
        <w:numPr>
          <w:ilvl w:val="0"/>
          <w:numId w:val="36"/>
        </w:numPr>
        <w:rPr>
          <w:color w:val="244061" w:themeColor="accent1" w:themeShade="80"/>
        </w:rPr>
      </w:pPr>
      <w:r w:rsidRPr="009A67B6">
        <w:rPr>
          <w:color w:val="244061" w:themeColor="accent1" w:themeShade="80"/>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26FFDA7" w14:textId="1DD57E39" w:rsidR="0041309A" w:rsidRPr="009A67B6" w:rsidRDefault="00A86465" w:rsidP="009A67B6">
      <w:pPr>
        <w:spacing w:before="200"/>
        <w:rPr>
          <w:rFonts w:ascii="Calibri" w:eastAsia="Times New Roman" w:hAnsi="Calibri" w:cs="Times New Roman"/>
          <w:color w:val="244061" w:themeColor="accent1" w:themeShade="80"/>
          <w:sz w:val="20"/>
          <w:szCs w:val="20"/>
        </w:rPr>
      </w:pPr>
      <w:r w:rsidRPr="009A67B6">
        <w:rPr>
          <w:rFonts w:ascii="Calibri" w:eastAsia="Times New Roman" w:hAnsi="Calibri" w:cs="Times New Roman"/>
          <w:color w:val="244061" w:themeColor="accent1" w:themeShade="80"/>
          <w:sz w:val="20"/>
          <w:szCs w:val="20"/>
        </w:rPr>
        <w:t>A</w:t>
      </w:r>
      <w:r w:rsidR="00D6638C" w:rsidRPr="009A67B6">
        <w:rPr>
          <w:rFonts w:ascii="Calibri" w:eastAsia="Times New Roman" w:hAnsi="Calibri" w:cs="Times New Roman"/>
          <w:color w:val="244061" w:themeColor="accent1" w:themeShade="80"/>
          <w:sz w:val="20"/>
          <w:szCs w:val="20"/>
        </w:rPr>
        <w:t>pplicant</w:t>
      </w:r>
      <w:r w:rsidR="00C87EB3" w:rsidRPr="009A67B6">
        <w:rPr>
          <w:rFonts w:ascii="Calibri" w:eastAsia="Times New Roman" w:hAnsi="Calibri" w:cs="Times New Roman"/>
          <w:color w:val="244061" w:themeColor="accent1" w:themeShade="80"/>
          <w:sz w:val="20"/>
          <w:szCs w:val="20"/>
        </w:rPr>
        <w:t>s are requested to submit their quotes and ava</w:t>
      </w:r>
      <w:r w:rsidR="0041309A" w:rsidRPr="009A67B6">
        <w:rPr>
          <w:rFonts w:ascii="Calibri" w:eastAsia="Times New Roman" w:hAnsi="Calibri" w:cs="Times New Roman"/>
          <w:color w:val="244061" w:themeColor="accent1" w:themeShade="80"/>
          <w:sz w:val="20"/>
          <w:szCs w:val="20"/>
        </w:rPr>
        <w:t>ilability for the assignment addressed to ( UNDP Resident Representative, UNDP PNG, P.o.Box 1041, Port Moresby, Papua New Guinea) in a sealed envelope indicating the following reference “Consultant for (Climate Change Adaptation Project) Terminal Evaluation” or by email at the following address ONLY: (</w:t>
      </w:r>
      <w:hyperlink r:id="rId15" w:history="1">
        <w:r w:rsidR="0041309A" w:rsidRPr="009A67B6">
          <w:rPr>
            <w:rFonts w:ascii="Calibri" w:eastAsia="Times New Roman" w:hAnsi="Calibri" w:cs="Times New Roman"/>
            <w:color w:val="244061" w:themeColor="accent1" w:themeShade="80"/>
            <w:sz w:val="20"/>
            <w:szCs w:val="20"/>
          </w:rPr>
          <w:t>registry.pg@undp.org</w:t>
        </w:r>
      </w:hyperlink>
      <w:r w:rsidR="0041309A" w:rsidRPr="009A67B6">
        <w:rPr>
          <w:rFonts w:ascii="Calibri" w:eastAsia="Times New Roman" w:hAnsi="Calibri" w:cs="Times New Roman"/>
          <w:color w:val="244061" w:themeColor="accent1" w:themeShade="80"/>
          <w:sz w:val="20"/>
          <w:szCs w:val="20"/>
        </w:rPr>
        <w:t xml:space="preserve">) This email address is being protected from spam bots, you need Javascript enabled to view it by (5pm, 3 </w:t>
      </w:r>
      <w:r w:rsidR="008106F3">
        <w:rPr>
          <w:rFonts w:ascii="Calibri" w:eastAsia="Times New Roman" w:hAnsi="Calibri" w:cs="Times New Roman"/>
          <w:color w:val="244061" w:themeColor="accent1" w:themeShade="80"/>
          <w:sz w:val="20"/>
          <w:szCs w:val="20"/>
        </w:rPr>
        <w:t>November</w:t>
      </w:r>
      <w:r w:rsidR="0041309A" w:rsidRPr="009A67B6">
        <w:rPr>
          <w:rFonts w:ascii="Calibri" w:eastAsia="Times New Roman" w:hAnsi="Calibri" w:cs="Times New Roman"/>
          <w:color w:val="244061" w:themeColor="accent1" w:themeShade="80"/>
          <w:sz w:val="20"/>
          <w:szCs w:val="20"/>
        </w:rPr>
        <w:t>, 2017). Incomplete applications will be excluded from further consideration.</w:t>
      </w:r>
    </w:p>
    <w:p w14:paraId="7F046D4A" w14:textId="2E63B7C9" w:rsidR="00D6638C" w:rsidRPr="00C0295B" w:rsidRDefault="00D6638C" w:rsidP="00D6638C">
      <w:pPr>
        <w:spacing w:before="20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UNDP applies a fair and transparent selection process that will </w:t>
      </w:r>
      <w:r w:rsidR="009A67B6" w:rsidRPr="00C0295B">
        <w:rPr>
          <w:rFonts w:ascii="Calibri" w:eastAsia="Times New Roman" w:hAnsi="Calibri" w:cs="Times New Roman"/>
          <w:color w:val="244061" w:themeColor="accent1" w:themeShade="80"/>
          <w:sz w:val="20"/>
          <w:szCs w:val="20"/>
        </w:rPr>
        <w:t>consider</w:t>
      </w:r>
      <w:r w:rsidRPr="00C0295B">
        <w:rPr>
          <w:rFonts w:ascii="Calibri" w:eastAsia="Times New Roman" w:hAnsi="Calibri" w:cs="Times New Roman"/>
          <w:color w:val="244061" w:themeColor="accent1" w:themeShade="80"/>
          <w:sz w:val="20"/>
          <w:szCs w:val="20"/>
        </w:rPr>
        <w:t xml:space="preserve"> the competencies/skills of the applicants as well as their financial proposals. Qualified women and members of social minorities are encouraged to apply. </w:t>
      </w:r>
    </w:p>
    <w:p w14:paraId="67E19B67" w14:textId="77777777" w:rsidR="007A4FB9" w:rsidRPr="00C0295B" w:rsidRDefault="007A4FB9" w:rsidP="00D6638C">
      <w:pPr>
        <w:spacing w:before="200"/>
        <w:rPr>
          <w:rFonts w:ascii="Calibri" w:eastAsia="Times New Roman" w:hAnsi="Calibri" w:cs="Times New Roman"/>
          <w:color w:val="244061" w:themeColor="accent1" w:themeShade="80"/>
          <w:sz w:val="20"/>
          <w:szCs w:val="20"/>
        </w:rPr>
        <w:sectPr w:rsidR="007A4FB9" w:rsidRPr="00C0295B" w:rsidSect="00A956A8">
          <w:footerReference w:type="default" r:id="rId16"/>
          <w:pgSz w:w="11906" w:h="16838" w:code="9"/>
          <w:pgMar w:top="1440" w:right="1440" w:bottom="1440" w:left="1440" w:header="708" w:footer="708" w:gutter="0"/>
          <w:cols w:space="708"/>
          <w:docGrid w:linePitch="360"/>
        </w:sectPr>
      </w:pPr>
    </w:p>
    <w:p w14:paraId="5513B16F" w14:textId="77777777" w:rsidR="00D6638C" w:rsidRPr="00C0295B" w:rsidRDefault="00D6638C" w:rsidP="00F05366">
      <w:pPr>
        <w:pStyle w:val="Heading31"/>
        <w:rPr>
          <w:color w:val="244061" w:themeColor="accent1" w:themeShade="80"/>
        </w:rPr>
      </w:pPr>
      <w:bookmarkStart w:id="52" w:name="_TOR_Annex_A:"/>
      <w:bookmarkStart w:id="53" w:name="_Toc299122844"/>
      <w:bookmarkStart w:id="54" w:name="_Toc299122866"/>
      <w:bookmarkStart w:id="55" w:name="_Toc299126630"/>
      <w:bookmarkStart w:id="56" w:name="_Toc299133053"/>
      <w:bookmarkStart w:id="57" w:name="_Toc321341562"/>
      <w:bookmarkEnd w:id="52"/>
      <w:r w:rsidRPr="00C0295B">
        <w:rPr>
          <w:color w:val="244061" w:themeColor="accent1" w:themeShade="80"/>
        </w:rPr>
        <w:lastRenderedPageBreak/>
        <w:t>Annex A: Project Logical Framework</w:t>
      </w:r>
      <w:bookmarkEnd w:id="53"/>
      <w:bookmarkEnd w:id="54"/>
      <w:bookmarkEnd w:id="55"/>
      <w:bookmarkEnd w:id="56"/>
      <w:bookmarkEnd w:id="57"/>
    </w:p>
    <w:p w14:paraId="3948CDF5" w14:textId="77777777" w:rsidR="007A4FB9" w:rsidRPr="00C0295B" w:rsidRDefault="007A4FB9" w:rsidP="007A4FB9">
      <w:pPr>
        <w:pStyle w:val="Footer"/>
        <w:rPr>
          <w:rFonts w:ascii="Arial" w:hAnsi="Arial" w:cs="Arial"/>
          <w:noProof/>
          <w:color w:val="244061" w:themeColor="accent1" w:themeShade="80"/>
          <w:sz w:val="28"/>
          <w:szCs w:val="28"/>
          <w:lang w:val="en-GB"/>
        </w:rPr>
      </w:pPr>
      <w:bookmarkStart w:id="58" w:name="_Hlk494463799"/>
    </w:p>
    <w:tbl>
      <w:tblPr>
        <w:tblW w:w="146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903"/>
        <w:gridCol w:w="2417"/>
        <w:gridCol w:w="3510"/>
        <w:gridCol w:w="2218"/>
        <w:gridCol w:w="2912"/>
      </w:tblGrid>
      <w:tr w:rsidR="007A4FB9" w:rsidRPr="00C0295B" w14:paraId="54FDFCCB" w14:textId="77777777" w:rsidTr="00C16261">
        <w:trPr>
          <w:tblHeader/>
        </w:trPr>
        <w:tc>
          <w:tcPr>
            <w:tcW w:w="1699" w:type="dxa"/>
            <w:shd w:val="clear" w:color="auto" w:fill="D9D9D9"/>
          </w:tcPr>
          <w:p w14:paraId="39120918"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Project Strategy</w:t>
            </w:r>
          </w:p>
        </w:tc>
        <w:tc>
          <w:tcPr>
            <w:tcW w:w="1903" w:type="dxa"/>
            <w:shd w:val="clear" w:color="auto" w:fill="D9D9D9"/>
          </w:tcPr>
          <w:p w14:paraId="03F3B670"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Indicator</w:t>
            </w:r>
          </w:p>
        </w:tc>
        <w:tc>
          <w:tcPr>
            <w:tcW w:w="2417" w:type="dxa"/>
            <w:shd w:val="clear" w:color="auto" w:fill="D9D9D9"/>
          </w:tcPr>
          <w:p w14:paraId="37AA9C90"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Baseline</w:t>
            </w:r>
          </w:p>
        </w:tc>
        <w:tc>
          <w:tcPr>
            <w:tcW w:w="3510" w:type="dxa"/>
            <w:shd w:val="clear" w:color="auto" w:fill="D9D9D9"/>
          </w:tcPr>
          <w:p w14:paraId="27450ACB"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Target at end of Project</w:t>
            </w:r>
          </w:p>
        </w:tc>
        <w:tc>
          <w:tcPr>
            <w:tcW w:w="2218" w:type="dxa"/>
            <w:shd w:val="clear" w:color="auto" w:fill="D9D9D9"/>
          </w:tcPr>
          <w:p w14:paraId="1EBBD65B"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Sources of Verification</w:t>
            </w:r>
          </w:p>
        </w:tc>
        <w:tc>
          <w:tcPr>
            <w:tcW w:w="2912" w:type="dxa"/>
            <w:shd w:val="clear" w:color="auto" w:fill="D9D9D9"/>
          </w:tcPr>
          <w:p w14:paraId="271B14E9"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Assumptions</w:t>
            </w:r>
          </w:p>
        </w:tc>
      </w:tr>
      <w:tr w:rsidR="007A4FB9" w:rsidRPr="00C0295B" w14:paraId="14BD4C94" w14:textId="77777777" w:rsidTr="006E1E6F">
        <w:trPr>
          <w:trHeight w:val="1223"/>
        </w:trPr>
        <w:tc>
          <w:tcPr>
            <w:tcW w:w="1699" w:type="dxa"/>
            <w:vMerge w:val="restart"/>
          </w:tcPr>
          <w:p w14:paraId="2ED7E2E5" w14:textId="77777777" w:rsidR="007A4FB9" w:rsidRPr="00C0295B" w:rsidRDefault="007A4FB9" w:rsidP="006E1E6F">
            <w:pPr>
              <w:pStyle w:val="Footer"/>
              <w:rPr>
                <w:rFonts w:ascii="Arial" w:hAnsi="Arial"/>
                <w:b/>
                <w:color w:val="244061" w:themeColor="accent1" w:themeShade="80"/>
                <w:sz w:val="18"/>
                <w:szCs w:val="18"/>
                <w:lang w:val="en-GB"/>
              </w:rPr>
            </w:pPr>
            <w:r w:rsidRPr="00C0295B">
              <w:rPr>
                <w:rFonts w:ascii="Arial" w:hAnsi="Arial"/>
                <w:b/>
                <w:color w:val="244061" w:themeColor="accent1" w:themeShade="80"/>
                <w:sz w:val="18"/>
                <w:szCs w:val="18"/>
                <w:lang w:val="en-GB"/>
              </w:rPr>
              <w:t>Objective</w:t>
            </w:r>
          </w:p>
          <w:p w14:paraId="2B283B4B"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olor w:val="244061" w:themeColor="accent1" w:themeShade="80"/>
                <w:sz w:val="18"/>
                <w:szCs w:val="18"/>
                <w:lang w:val="en-GB"/>
              </w:rPr>
              <w:t>Strengthened ability of coastal and riverine communities in Papua New Guinea to make informed decisions about and to undertake concrete actions to adapt to climate change-driven hazards affecting their specific locations</w:t>
            </w:r>
          </w:p>
        </w:tc>
        <w:tc>
          <w:tcPr>
            <w:tcW w:w="1903" w:type="dxa"/>
          </w:tcPr>
          <w:p w14:paraId="4177666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risk-exposed  coastal communities protected through adaptation measures</w:t>
            </w:r>
          </w:p>
          <w:p w14:paraId="1C9FE25F"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vMerge w:val="restart"/>
          </w:tcPr>
          <w:p w14:paraId="3CBC1A66"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In the current scenario, risk-exposed communities are to a large extent unable to adapt to climate change due to a lack of resources, capacity, knowledge and the necessary support through provincial and national institutions as well as policy frameworks. </w:t>
            </w:r>
          </w:p>
          <w:p w14:paraId="174D8443"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3D7C39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With the scale of adaptation measures planned for implementation the total population in the 16 targeted communities would be an estimated 32,000 </w:t>
            </w:r>
          </w:p>
        </w:tc>
        <w:tc>
          <w:tcPr>
            <w:tcW w:w="3510" w:type="dxa"/>
          </w:tcPr>
          <w:p w14:paraId="5776B1F2"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By the end of the project at least 8 coastal communities are protected through adaptation measures against coastal flooding scenarios, with attention to the special concerns of women as participants and beneficiaries.</w:t>
            </w:r>
          </w:p>
          <w:p w14:paraId="7F957F0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val="restart"/>
          </w:tcPr>
          <w:p w14:paraId="25383CBD"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Project reports</w:t>
            </w:r>
          </w:p>
          <w:p w14:paraId="797EF3D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65DE031"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Minutes form the ATWG &amp; PSC </w:t>
            </w:r>
          </w:p>
          <w:p w14:paraId="2A6E8428"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CD0A98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Provincial policy documents, development plans</w:t>
            </w:r>
          </w:p>
          <w:p w14:paraId="1C048653"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4A1CF61"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Disaster preparedness and response plans, project monitoring and evaluation reports</w:t>
            </w:r>
          </w:p>
          <w:p w14:paraId="7E9DA30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0849891" w14:textId="77777777" w:rsidR="007A4FB9" w:rsidRPr="00C0295B" w:rsidRDefault="007A4FB9" w:rsidP="006E1E6F">
            <w:pPr>
              <w:pStyle w:val="Footer"/>
              <w:tabs>
                <w:tab w:val="left" w:pos="2142"/>
              </w:tabs>
              <w:ind w:right="-50"/>
              <w:rPr>
                <w:rFonts w:ascii="Arial" w:hAnsi="Arial" w:cs="Arial"/>
                <w:noProof/>
                <w:color w:val="244061" w:themeColor="accent1" w:themeShade="80"/>
                <w:sz w:val="18"/>
                <w:szCs w:val="18"/>
                <w:lang w:val="en-GB"/>
              </w:rPr>
            </w:pPr>
            <w:r w:rsidRPr="00C0295B">
              <w:rPr>
                <w:rFonts w:ascii="Arial" w:hAnsi="Arial" w:cs="Arial"/>
                <w:color w:val="244061" w:themeColor="accent1" w:themeShade="80"/>
                <w:sz w:val="18"/>
                <w:szCs w:val="18"/>
                <w:lang w:val="en-GB"/>
              </w:rPr>
              <w:t>Gender-disaggregated data reflecting participation of women and in terms of project impacts</w:t>
            </w:r>
          </w:p>
        </w:tc>
        <w:tc>
          <w:tcPr>
            <w:tcW w:w="2912" w:type="dxa"/>
            <w:vMerge w:val="restart"/>
          </w:tcPr>
          <w:p w14:paraId="79DDB5B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Policital stability and commitment to climate compatible development is maintained</w:t>
            </w:r>
          </w:p>
          <w:p w14:paraId="4991DCF1"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BD5E14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Political will and commitment by senior government officials to integrate climate change and adaptation</w:t>
            </w:r>
          </w:p>
          <w:p w14:paraId="5730C89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58D559B"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Strong coordination amongst climate change stakeholders in the country, especially at provincial level</w:t>
            </w:r>
          </w:p>
          <w:p w14:paraId="1A19C69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9E574C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Strong community leadership, cooperation and support for project activities.</w:t>
            </w:r>
          </w:p>
          <w:p w14:paraId="22BE379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668276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Financial resources are allocated from government budgets and cofinanciers to address climate-related risks</w:t>
            </w:r>
          </w:p>
        </w:tc>
      </w:tr>
      <w:tr w:rsidR="007A4FB9" w:rsidRPr="00C0295B" w14:paraId="120E4E48" w14:textId="77777777" w:rsidTr="006E1E6F">
        <w:tc>
          <w:tcPr>
            <w:tcW w:w="1699" w:type="dxa"/>
            <w:vMerge/>
          </w:tcPr>
          <w:p w14:paraId="3D2F846F" w14:textId="77777777" w:rsidR="007A4FB9" w:rsidRPr="00C0295B" w:rsidRDefault="007A4FB9" w:rsidP="006E1E6F">
            <w:pPr>
              <w:pStyle w:val="Footer"/>
              <w:rPr>
                <w:rFonts w:ascii="Arial" w:hAnsi="Arial"/>
                <w:b/>
                <w:color w:val="244061" w:themeColor="accent1" w:themeShade="80"/>
                <w:sz w:val="18"/>
                <w:szCs w:val="18"/>
                <w:lang w:val="en-GB"/>
              </w:rPr>
            </w:pPr>
          </w:p>
        </w:tc>
        <w:tc>
          <w:tcPr>
            <w:tcW w:w="1903" w:type="dxa"/>
          </w:tcPr>
          <w:p w14:paraId="62F878C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risk-exposed riverine communities protected through adaptation measures</w:t>
            </w:r>
          </w:p>
          <w:p w14:paraId="713E5E0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vMerge/>
          </w:tcPr>
          <w:p w14:paraId="00AB3148"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428E43BD"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Eight (8) riverine communities are protected through adaptation measures against inland flooding, with attention to the special concerns of women as participants and beneficiaries</w:t>
            </w:r>
          </w:p>
          <w:p w14:paraId="66C9866C"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tcPr>
          <w:p w14:paraId="5C36BD97"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912" w:type="dxa"/>
            <w:vMerge/>
          </w:tcPr>
          <w:p w14:paraId="3B143A53"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3996AA2A" w14:textId="77777777" w:rsidTr="006E1E6F">
        <w:trPr>
          <w:trHeight w:val="1848"/>
        </w:trPr>
        <w:tc>
          <w:tcPr>
            <w:tcW w:w="1699" w:type="dxa"/>
            <w:vMerge/>
          </w:tcPr>
          <w:p w14:paraId="49DDE89D" w14:textId="77777777" w:rsidR="007A4FB9" w:rsidRPr="00C0295B" w:rsidRDefault="007A4FB9" w:rsidP="006E1E6F">
            <w:pPr>
              <w:pStyle w:val="Footer"/>
              <w:rPr>
                <w:rFonts w:ascii="Arial" w:hAnsi="Arial"/>
                <w:b/>
                <w:color w:val="244061" w:themeColor="accent1" w:themeShade="80"/>
                <w:sz w:val="18"/>
                <w:szCs w:val="18"/>
                <w:lang w:val="en-GB"/>
              </w:rPr>
            </w:pPr>
          </w:p>
        </w:tc>
        <w:tc>
          <w:tcPr>
            <w:tcW w:w="1903" w:type="dxa"/>
          </w:tcPr>
          <w:p w14:paraId="61319B4F"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Number of provinces with improved climate-related planning and policy frameworks to increase resilience </w:t>
            </w:r>
          </w:p>
          <w:p w14:paraId="47202274"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vMerge/>
          </w:tcPr>
          <w:p w14:paraId="36D6A68A"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63BFD346"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the end of the programme, adaptation to climate change is managed, monitored and planned at the provincial level in the targeted provinces and supported by a framework of policies and plans including disaster preparedeness and response plans, coastal zone management plans.</w:t>
            </w:r>
          </w:p>
        </w:tc>
        <w:tc>
          <w:tcPr>
            <w:tcW w:w="2218" w:type="dxa"/>
            <w:vMerge/>
          </w:tcPr>
          <w:p w14:paraId="511907C9"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912" w:type="dxa"/>
            <w:vMerge/>
          </w:tcPr>
          <w:p w14:paraId="484C7E50"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660CE4BE" w14:textId="77777777" w:rsidTr="006E1E6F">
        <w:tc>
          <w:tcPr>
            <w:tcW w:w="1699" w:type="dxa"/>
            <w:shd w:val="clear" w:color="auto" w:fill="D9D9D9"/>
          </w:tcPr>
          <w:p w14:paraId="640AE4B2"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Project Strategy</w:t>
            </w:r>
          </w:p>
        </w:tc>
        <w:tc>
          <w:tcPr>
            <w:tcW w:w="1903" w:type="dxa"/>
            <w:shd w:val="clear" w:color="auto" w:fill="D9D9D9"/>
          </w:tcPr>
          <w:p w14:paraId="10F47FE5"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Indicator</w:t>
            </w:r>
          </w:p>
        </w:tc>
        <w:tc>
          <w:tcPr>
            <w:tcW w:w="2417" w:type="dxa"/>
            <w:shd w:val="clear" w:color="auto" w:fill="D9D9D9"/>
          </w:tcPr>
          <w:p w14:paraId="0EDB3801"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Baseline</w:t>
            </w:r>
          </w:p>
        </w:tc>
        <w:tc>
          <w:tcPr>
            <w:tcW w:w="3510" w:type="dxa"/>
            <w:shd w:val="clear" w:color="auto" w:fill="D9D9D9"/>
          </w:tcPr>
          <w:p w14:paraId="0B00409A"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Target at end of Project</w:t>
            </w:r>
          </w:p>
        </w:tc>
        <w:tc>
          <w:tcPr>
            <w:tcW w:w="2218" w:type="dxa"/>
            <w:shd w:val="clear" w:color="auto" w:fill="D9D9D9"/>
          </w:tcPr>
          <w:p w14:paraId="23BB1D4D"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Sources of Verification</w:t>
            </w:r>
          </w:p>
        </w:tc>
        <w:tc>
          <w:tcPr>
            <w:tcW w:w="2912" w:type="dxa"/>
            <w:shd w:val="clear" w:color="auto" w:fill="D9D9D9"/>
          </w:tcPr>
          <w:p w14:paraId="5C5FE624"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Assumptions</w:t>
            </w:r>
          </w:p>
        </w:tc>
      </w:tr>
      <w:tr w:rsidR="007A4FB9" w:rsidRPr="00C0295B" w14:paraId="1E682D34" w14:textId="77777777" w:rsidTr="006E1E6F">
        <w:tc>
          <w:tcPr>
            <w:tcW w:w="1699" w:type="dxa"/>
            <w:vMerge w:val="restart"/>
          </w:tcPr>
          <w:p w14:paraId="17B03BE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Outcome 1:</w:t>
            </w:r>
            <w:r w:rsidRPr="00C0295B">
              <w:rPr>
                <w:rFonts w:ascii="Arial" w:hAnsi="Arial" w:cs="Arial"/>
                <w:noProof/>
                <w:color w:val="244061" w:themeColor="accent1" w:themeShade="80"/>
                <w:sz w:val="18"/>
                <w:szCs w:val="18"/>
                <w:lang w:val="en-GB"/>
              </w:rPr>
              <w:t xml:space="preserve"> Reduced exposure and increased adaptive capacity of coastal communities to flood-related risks and hazards in 8 communities and three cities of the 11 provinces of the  North Coast and Islands Region.</w:t>
            </w:r>
          </w:p>
          <w:p w14:paraId="5EF7799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70174AB"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DE5AEE4"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F735AD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76FAC5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2324F3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F165FE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86AEA9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8B70F2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1CE2DA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DBA469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E340B45"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1903" w:type="dxa"/>
          </w:tcPr>
          <w:p w14:paraId="1DA110D0"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Number of communities benefitting from improved protection from coastal floods</w:t>
            </w:r>
          </w:p>
          <w:p w14:paraId="470EBEA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BB3C968"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B4266FB"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D75A0F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4AD389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461B5C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388605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1E51F3B"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DEBFFA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1BBDF72"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tcPr>
          <w:p w14:paraId="5F77E53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The vast majority of communities exposed to coastal flooding is inadequately equipped with resources, capacity and support to adapt to the heightened risks from climate change </w:t>
            </w:r>
          </w:p>
          <w:p w14:paraId="15A14FC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87EC5E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The total number of inhabitants in the 8 target coastal communities that are vulnerable to coastal flooding is estimated at 16,000. An additional population of 120,000 in the cities of Lae, Wewak </w:t>
            </w:r>
            <w:r w:rsidRPr="00C0295B">
              <w:rPr>
                <w:rFonts w:ascii="Arial" w:hAnsi="Arial" w:cs="Arial"/>
                <w:noProof/>
                <w:color w:val="244061" w:themeColor="accent1" w:themeShade="80"/>
                <w:sz w:val="18"/>
                <w:szCs w:val="18"/>
                <w:lang w:val="en-GB"/>
              </w:rPr>
              <w:lastRenderedPageBreak/>
              <w:t xml:space="preserve">and Madang will benefit from the programme’s implementation  </w:t>
            </w:r>
          </w:p>
          <w:p w14:paraId="627C3B96"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5306DA8F"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By the end of the project, 8  communities are protected from coastal flooding through adaptation measures that were put in place in a community-led way with the agreements/compacts agreed on by communities to preserve the mangrove forests</w:t>
            </w:r>
          </w:p>
          <w:p w14:paraId="48FB7D76"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308E5B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761931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555C6A2"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6B1FB6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507AF35"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2D974F1"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val="restart"/>
          </w:tcPr>
          <w:p w14:paraId="1B6848F3"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 xml:space="preserve">Project reports, monitoring &amp; evaluation reports, </w:t>
            </w:r>
          </w:p>
          <w:p w14:paraId="0AC34E73"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01A53FCA"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Minutes from the ATWG, project reports, verification through reports from local CBOs and NGOs</w:t>
            </w:r>
          </w:p>
          <w:p w14:paraId="3B8CC9BA"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2323B7E5"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Procurement records of relevant agencies</w:t>
            </w:r>
          </w:p>
          <w:p w14:paraId="2C528A89"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7599620A"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Site plans for establishment of AWS.</w:t>
            </w:r>
          </w:p>
          <w:p w14:paraId="18530349"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43B1BF7E"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lastRenderedPageBreak/>
              <w:t>Progress reports from PNGNWS</w:t>
            </w:r>
          </w:p>
          <w:p w14:paraId="150C128D"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0B307388"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Distributed weather information reports</w:t>
            </w:r>
          </w:p>
          <w:p w14:paraId="5CCCE6BF"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3BBD0C06"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Provincial policies, disaster managment plan, project reports</w:t>
            </w:r>
          </w:p>
          <w:p w14:paraId="5E830577"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6375846A"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Feasibility studies, provincial coastal infrastructure development plans</w:t>
            </w:r>
          </w:p>
        </w:tc>
        <w:tc>
          <w:tcPr>
            <w:tcW w:w="2912" w:type="dxa"/>
            <w:vMerge w:val="restart"/>
          </w:tcPr>
          <w:p w14:paraId="2E65BCB6"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lastRenderedPageBreak/>
              <w:t>There is a strong commitment from the communities and their leadership throughout the time of the project</w:t>
            </w:r>
          </w:p>
          <w:p w14:paraId="100562AB"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39A6F7B6"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PNGNWS remains committed to expand and manage their weather monitoring and forecasting activities and is adequately funded through government resources to allow for maintenance and further expansion after the project.</w:t>
            </w:r>
          </w:p>
          <w:p w14:paraId="5579E6CB"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4097E63E"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 xml:space="preserve">There is strong support from district and provincial level officials that ensure the continued </w:t>
            </w:r>
            <w:r w:rsidRPr="00C0295B">
              <w:rPr>
                <w:rFonts w:ascii="Arial" w:hAnsi="Arial" w:cs="Arial"/>
                <w:i/>
                <w:noProof/>
                <w:color w:val="244061" w:themeColor="accent1" w:themeShade="80"/>
                <w:sz w:val="18"/>
                <w:szCs w:val="18"/>
                <w:lang w:val="en-GB"/>
              </w:rPr>
              <w:lastRenderedPageBreak/>
              <w:t>cooperation among communities, districts and provinces</w:t>
            </w:r>
          </w:p>
          <w:p w14:paraId="1E68B2F7"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31A66A6C"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Provincial governments are supportive in expanding the role and resources for the climate change officers/focal points</w:t>
            </w:r>
          </w:p>
          <w:p w14:paraId="584D9004"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329AE10A"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Landowners allowing their land to be used to establish the AWS and voluntary weather recorders are committed and consistently recording data.</w:t>
            </w:r>
          </w:p>
          <w:p w14:paraId="7AB81293"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02AD785C"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 xml:space="preserve">The provincial administrations support the identified coastal engineering measures  and adopt them in their development plans </w:t>
            </w:r>
          </w:p>
          <w:p w14:paraId="53EF04B6" w14:textId="77777777" w:rsidR="007A4FB9" w:rsidRPr="00C0295B" w:rsidRDefault="007A4FB9" w:rsidP="006E1E6F">
            <w:pPr>
              <w:pStyle w:val="Footer"/>
              <w:rPr>
                <w:rFonts w:ascii="Arial" w:hAnsi="Arial" w:cs="Arial"/>
                <w:i/>
                <w:noProof/>
                <w:color w:val="244061" w:themeColor="accent1" w:themeShade="80"/>
                <w:sz w:val="18"/>
                <w:szCs w:val="18"/>
                <w:lang w:val="en-GB"/>
              </w:rPr>
            </w:pPr>
          </w:p>
          <w:p w14:paraId="1394A92B"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i/>
                <w:noProof/>
                <w:color w:val="244061" w:themeColor="accent1" w:themeShade="80"/>
                <w:sz w:val="18"/>
                <w:szCs w:val="18"/>
                <w:lang w:val="en-GB"/>
              </w:rPr>
              <w:t>Financial resources are allocated from government budgets and cofinanciers to address climate-related risks</w:t>
            </w:r>
          </w:p>
          <w:p w14:paraId="492A8214"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ECD2097" w14:textId="77777777" w:rsidR="007A4FB9" w:rsidRPr="00C0295B" w:rsidRDefault="007A4FB9" w:rsidP="006E1E6F">
            <w:pPr>
              <w:pStyle w:val="Footer"/>
              <w:rPr>
                <w:rFonts w:ascii="Arial" w:hAnsi="Arial" w:cs="Arial"/>
                <w:i/>
                <w:noProof/>
                <w:color w:val="244061" w:themeColor="accent1" w:themeShade="80"/>
                <w:sz w:val="18"/>
                <w:szCs w:val="18"/>
                <w:lang w:val="en-GB"/>
              </w:rPr>
            </w:pPr>
            <w:r w:rsidRPr="00C0295B">
              <w:rPr>
                <w:rFonts w:ascii="Arial" w:hAnsi="Arial" w:cs="Arial"/>
                <w:color w:val="244061" w:themeColor="accent1" w:themeShade="80"/>
                <w:sz w:val="18"/>
                <w:szCs w:val="18"/>
                <w:lang w:val="en-GB"/>
              </w:rPr>
              <w:t>The mangrove-focussed training concept will translate into new community-driven mangrove rehabilitation and conservation initiatives as indicated by feedback from the consultation</w:t>
            </w:r>
          </w:p>
        </w:tc>
      </w:tr>
      <w:tr w:rsidR="007A4FB9" w:rsidRPr="00C0295B" w14:paraId="6983010E" w14:textId="77777777" w:rsidTr="006E1E6F">
        <w:trPr>
          <w:trHeight w:val="2287"/>
        </w:trPr>
        <w:tc>
          <w:tcPr>
            <w:tcW w:w="1699" w:type="dxa"/>
            <w:vMerge/>
          </w:tcPr>
          <w:p w14:paraId="1D9AF08B"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903" w:type="dxa"/>
            <w:tcBorders>
              <w:bottom w:val="single" w:sz="4" w:space="0" w:color="auto"/>
            </w:tcBorders>
          </w:tcPr>
          <w:p w14:paraId="5C0AD75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AWS and voluntary weather stations in operation</w:t>
            </w:r>
          </w:p>
          <w:p w14:paraId="26F506F1"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1182491"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Number of communities covered by the improved coastal warning system and weather information </w:t>
            </w:r>
          </w:p>
          <w:p w14:paraId="363FA06C"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tcBorders>
              <w:bottom w:val="single" w:sz="4" w:space="0" w:color="auto"/>
            </w:tcBorders>
          </w:tcPr>
          <w:p w14:paraId="41FA2F9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There is lack of equipment and capacity of the PNGNWS, hence, the forecasting of disasters and extreme weather events is severely limited.</w:t>
            </w:r>
          </w:p>
        </w:tc>
        <w:tc>
          <w:tcPr>
            <w:tcW w:w="3510" w:type="dxa"/>
            <w:tcBorders>
              <w:bottom w:val="single" w:sz="4" w:space="0" w:color="auto"/>
            </w:tcBorders>
          </w:tcPr>
          <w:p w14:paraId="3600A453"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At least 6 tidal gauges and at least 6 AWS and 10 voluntary weather stations established at strategic locations, meet WMO standards and contribute to the monitoring and early warning system. </w:t>
            </w:r>
          </w:p>
          <w:p w14:paraId="51ACD04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DBF229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One AWS will have been installed in each target 8 communities.</w:t>
            </w:r>
          </w:p>
          <w:p w14:paraId="589FAD50"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tcPr>
          <w:p w14:paraId="00C8AC9C" w14:textId="77777777" w:rsidR="007A4FB9" w:rsidRPr="00C0295B" w:rsidRDefault="007A4FB9" w:rsidP="006E1E6F">
            <w:pPr>
              <w:pStyle w:val="Footer"/>
              <w:rPr>
                <w:rFonts w:ascii="Arial" w:hAnsi="Arial" w:cs="Arial"/>
                <w:i/>
                <w:noProof/>
                <w:color w:val="244061" w:themeColor="accent1" w:themeShade="80"/>
                <w:sz w:val="18"/>
                <w:szCs w:val="18"/>
                <w:lang w:val="en-GB"/>
              </w:rPr>
            </w:pPr>
          </w:p>
        </w:tc>
        <w:tc>
          <w:tcPr>
            <w:tcW w:w="2912" w:type="dxa"/>
            <w:vMerge/>
          </w:tcPr>
          <w:p w14:paraId="2D928848" w14:textId="77777777" w:rsidR="007A4FB9" w:rsidRPr="00C0295B" w:rsidRDefault="007A4FB9" w:rsidP="006E1E6F">
            <w:pPr>
              <w:pStyle w:val="Footer"/>
              <w:rPr>
                <w:rFonts w:ascii="Arial" w:hAnsi="Arial" w:cs="Arial"/>
                <w:i/>
                <w:noProof/>
                <w:color w:val="244061" w:themeColor="accent1" w:themeShade="80"/>
                <w:sz w:val="18"/>
                <w:szCs w:val="18"/>
                <w:lang w:val="en-GB"/>
              </w:rPr>
            </w:pPr>
          </w:p>
        </w:tc>
      </w:tr>
      <w:tr w:rsidR="007A4FB9" w:rsidRPr="00C0295B" w14:paraId="3DEC5103" w14:textId="77777777" w:rsidTr="006E1E6F">
        <w:tc>
          <w:tcPr>
            <w:tcW w:w="1699" w:type="dxa"/>
            <w:vMerge/>
          </w:tcPr>
          <w:p w14:paraId="61CC65B1"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903" w:type="dxa"/>
          </w:tcPr>
          <w:p w14:paraId="7966132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provinces wth comprehensive disaster prepared ness and response plans for coastal flooding in place</w:t>
            </w:r>
          </w:p>
          <w:p w14:paraId="5BFA0042"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17" w:type="dxa"/>
          </w:tcPr>
          <w:p w14:paraId="20E8C14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The provincial and national-level disaster management frameworks are evidently inadequate to address the risks </w:t>
            </w:r>
          </w:p>
          <w:p w14:paraId="1C4B06A7"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054AE9F2"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least four provinces will have a comprehensive disaster preparedness and response plans for coastal flooding in place and will have conducted dry run tests.</w:t>
            </w:r>
          </w:p>
          <w:p w14:paraId="25FDA203"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E3D104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tcPr>
          <w:p w14:paraId="57A73130" w14:textId="77777777" w:rsidR="007A4FB9" w:rsidRPr="00C0295B" w:rsidRDefault="007A4FB9" w:rsidP="006E1E6F">
            <w:pPr>
              <w:pStyle w:val="Footer"/>
              <w:rPr>
                <w:rFonts w:ascii="Arial" w:hAnsi="Arial" w:cs="Arial"/>
                <w:i/>
                <w:noProof/>
                <w:color w:val="244061" w:themeColor="accent1" w:themeShade="80"/>
                <w:sz w:val="18"/>
                <w:szCs w:val="18"/>
                <w:lang w:val="en-GB"/>
              </w:rPr>
            </w:pPr>
          </w:p>
        </w:tc>
        <w:tc>
          <w:tcPr>
            <w:tcW w:w="2912" w:type="dxa"/>
            <w:vMerge/>
          </w:tcPr>
          <w:p w14:paraId="4416E8C3" w14:textId="77777777" w:rsidR="007A4FB9" w:rsidRPr="00C0295B" w:rsidRDefault="007A4FB9" w:rsidP="006E1E6F">
            <w:pPr>
              <w:pStyle w:val="Footer"/>
              <w:rPr>
                <w:rFonts w:ascii="Arial" w:hAnsi="Arial" w:cs="Arial"/>
                <w:i/>
                <w:noProof/>
                <w:color w:val="244061" w:themeColor="accent1" w:themeShade="80"/>
                <w:sz w:val="18"/>
                <w:szCs w:val="18"/>
                <w:lang w:val="en-GB"/>
              </w:rPr>
            </w:pPr>
          </w:p>
        </w:tc>
      </w:tr>
      <w:tr w:rsidR="007A4FB9" w:rsidRPr="00C0295B" w14:paraId="26EF0C88" w14:textId="77777777" w:rsidTr="006E1E6F">
        <w:tc>
          <w:tcPr>
            <w:tcW w:w="1699" w:type="dxa"/>
            <w:vMerge/>
          </w:tcPr>
          <w:p w14:paraId="2DECC791"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903" w:type="dxa"/>
          </w:tcPr>
          <w:p w14:paraId="6FB0D99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provincial capitals with assessed engineering measures for adaptation</w:t>
            </w:r>
          </w:p>
        </w:tc>
        <w:tc>
          <w:tcPr>
            <w:tcW w:w="2417" w:type="dxa"/>
          </w:tcPr>
          <w:p w14:paraId="6E9886D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No effort has been done on this aspect in the target provincial capitals.</w:t>
            </w:r>
          </w:p>
        </w:tc>
        <w:tc>
          <w:tcPr>
            <w:tcW w:w="3510" w:type="dxa"/>
          </w:tcPr>
          <w:p w14:paraId="6C79D23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For three provincial capitals of Lae, Madang and Wewak suitable coastal engineering measures for adaptation are identified and addressed through respective planning and funding. </w:t>
            </w:r>
          </w:p>
          <w:p w14:paraId="1882D91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For three provincial capitals of Lae, Madang and Wewak suitable coastal engineering measures for adaptation are identified and addressed through respective planning and funding. </w:t>
            </w:r>
          </w:p>
          <w:p w14:paraId="6ECFB926"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18" w:type="dxa"/>
            <w:vMerge/>
          </w:tcPr>
          <w:p w14:paraId="31FEC690" w14:textId="77777777" w:rsidR="007A4FB9" w:rsidRPr="00C0295B" w:rsidRDefault="007A4FB9" w:rsidP="006E1E6F">
            <w:pPr>
              <w:pStyle w:val="Footer"/>
              <w:rPr>
                <w:rFonts w:ascii="Arial" w:hAnsi="Arial" w:cs="Arial"/>
                <w:i/>
                <w:noProof/>
                <w:color w:val="244061" w:themeColor="accent1" w:themeShade="80"/>
                <w:sz w:val="18"/>
                <w:szCs w:val="18"/>
                <w:lang w:val="en-GB"/>
              </w:rPr>
            </w:pPr>
          </w:p>
        </w:tc>
        <w:tc>
          <w:tcPr>
            <w:tcW w:w="2912" w:type="dxa"/>
            <w:vMerge/>
          </w:tcPr>
          <w:p w14:paraId="1614618D" w14:textId="77777777" w:rsidR="007A4FB9" w:rsidRPr="00C0295B" w:rsidRDefault="007A4FB9" w:rsidP="006E1E6F">
            <w:pPr>
              <w:pStyle w:val="Footer"/>
              <w:rPr>
                <w:rFonts w:ascii="Arial" w:hAnsi="Arial" w:cs="Arial"/>
                <w:i/>
                <w:noProof/>
                <w:color w:val="244061" w:themeColor="accent1" w:themeShade="80"/>
                <w:sz w:val="18"/>
                <w:szCs w:val="18"/>
                <w:lang w:val="en-GB"/>
              </w:rPr>
            </w:pPr>
          </w:p>
        </w:tc>
      </w:tr>
      <w:tr w:rsidR="007A4FB9" w:rsidRPr="00C0295B" w14:paraId="31107F37" w14:textId="77777777" w:rsidTr="006E1E6F">
        <w:trPr>
          <w:trHeight w:val="1673"/>
        </w:trPr>
        <w:tc>
          <w:tcPr>
            <w:tcW w:w="1699" w:type="dxa"/>
            <w:vMerge w:val="restart"/>
          </w:tcPr>
          <w:p w14:paraId="3BC07AA0"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903" w:type="dxa"/>
          </w:tcPr>
          <w:p w14:paraId="622D0EF6"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Number of community-led mangrove projects benefitting from support system for mangrove projects</w:t>
            </w:r>
          </w:p>
          <w:p w14:paraId="75A3CE1A" w14:textId="77777777" w:rsidR="007A4FB9" w:rsidRPr="00C0295B" w:rsidRDefault="007A4FB9" w:rsidP="006E1E6F">
            <w:pPr>
              <w:rPr>
                <w:rFonts w:ascii="Arial" w:hAnsi="Arial" w:cs="Arial"/>
                <w:color w:val="244061" w:themeColor="accent1" w:themeShade="80"/>
                <w:sz w:val="18"/>
                <w:szCs w:val="18"/>
                <w:lang w:val="en-GB"/>
              </w:rPr>
            </w:pPr>
          </w:p>
        </w:tc>
        <w:tc>
          <w:tcPr>
            <w:tcW w:w="2417" w:type="dxa"/>
          </w:tcPr>
          <w:p w14:paraId="2826BA60"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Community-based mangrove projects are undertaken ad-hoc and largely without sufficient expertise and support</w:t>
            </w:r>
          </w:p>
        </w:tc>
        <w:tc>
          <w:tcPr>
            <w:tcW w:w="3510" w:type="dxa"/>
          </w:tcPr>
          <w:p w14:paraId="70C8C353"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33 community-led mangrove conservation and/or reforestation projects, covering about 100 hectares are supported through the support network and nurseries</w:t>
            </w:r>
          </w:p>
        </w:tc>
        <w:tc>
          <w:tcPr>
            <w:tcW w:w="2218" w:type="dxa"/>
            <w:vMerge w:val="restart"/>
          </w:tcPr>
          <w:p w14:paraId="60FA27CF"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Project reports, monitoring and evaluation reports</w:t>
            </w:r>
          </w:p>
          <w:p w14:paraId="77D61653" w14:textId="77777777" w:rsidR="007A4FB9" w:rsidRPr="00C0295B" w:rsidRDefault="007A4FB9" w:rsidP="006E1E6F">
            <w:pPr>
              <w:rPr>
                <w:rFonts w:ascii="Arial" w:hAnsi="Arial" w:cs="Arial"/>
                <w:color w:val="244061" w:themeColor="accent1" w:themeShade="80"/>
                <w:sz w:val="18"/>
                <w:szCs w:val="18"/>
                <w:lang w:val="en-GB"/>
              </w:rPr>
            </w:pPr>
          </w:p>
          <w:p w14:paraId="6B235E18"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Annual reports from the nurseries</w:t>
            </w:r>
          </w:p>
          <w:p w14:paraId="46DDA6F2" w14:textId="77777777" w:rsidR="007A4FB9" w:rsidRPr="00C0295B" w:rsidRDefault="007A4FB9" w:rsidP="006E1E6F">
            <w:pPr>
              <w:rPr>
                <w:rFonts w:ascii="Arial" w:hAnsi="Arial" w:cs="Arial"/>
                <w:color w:val="244061" w:themeColor="accent1" w:themeShade="80"/>
                <w:sz w:val="18"/>
                <w:szCs w:val="18"/>
                <w:lang w:val="en-GB"/>
              </w:rPr>
            </w:pPr>
          </w:p>
          <w:p w14:paraId="405A5EDE"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Government budgets at local and national levels indicating allocation for operation of nurseries</w:t>
            </w:r>
          </w:p>
        </w:tc>
        <w:tc>
          <w:tcPr>
            <w:tcW w:w="2912" w:type="dxa"/>
            <w:vMerge/>
          </w:tcPr>
          <w:p w14:paraId="65F63307" w14:textId="77777777" w:rsidR="007A4FB9" w:rsidRPr="00C0295B" w:rsidRDefault="007A4FB9" w:rsidP="006E1E6F">
            <w:pPr>
              <w:pStyle w:val="Footer"/>
              <w:rPr>
                <w:rFonts w:ascii="Arial" w:hAnsi="Arial" w:cs="Arial"/>
                <w:i/>
                <w:noProof/>
                <w:color w:val="244061" w:themeColor="accent1" w:themeShade="80"/>
                <w:sz w:val="18"/>
                <w:szCs w:val="18"/>
                <w:lang w:val="en-GB"/>
              </w:rPr>
            </w:pPr>
          </w:p>
        </w:tc>
      </w:tr>
      <w:tr w:rsidR="007A4FB9" w:rsidRPr="00C0295B" w14:paraId="559844AC" w14:textId="77777777" w:rsidTr="006E1E6F">
        <w:trPr>
          <w:trHeight w:val="1052"/>
        </w:trPr>
        <w:tc>
          <w:tcPr>
            <w:tcW w:w="1699" w:type="dxa"/>
            <w:vMerge/>
          </w:tcPr>
          <w:p w14:paraId="60ED3B7E"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903" w:type="dxa"/>
          </w:tcPr>
          <w:p w14:paraId="08103ACD"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Number of mangrove nurseries established and sustainably operating</w:t>
            </w:r>
          </w:p>
          <w:p w14:paraId="71AC7EC5" w14:textId="77777777" w:rsidR="007A4FB9" w:rsidRPr="00C0295B" w:rsidRDefault="007A4FB9" w:rsidP="006E1E6F">
            <w:pPr>
              <w:rPr>
                <w:rFonts w:ascii="Arial" w:hAnsi="Arial" w:cs="Arial"/>
                <w:color w:val="244061" w:themeColor="accent1" w:themeShade="80"/>
                <w:sz w:val="18"/>
                <w:szCs w:val="18"/>
                <w:lang w:val="en-GB"/>
              </w:rPr>
            </w:pPr>
          </w:p>
          <w:p w14:paraId="01884388"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Resources allocated for continued operations of the nurseries</w:t>
            </w:r>
          </w:p>
        </w:tc>
        <w:tc>
          <w:tcPr>
            <w:tcW w:w="2417" w:type="dxa"/>
          </w:tcPr>
          <w:p w14:paraId="6393648A"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None</w:t>
            </w:r>
          </w:p>
        </w:tc>
        <w:tc>
          <w:tcPr>
            <w:tcW w:w="3510" w:type="dxa"/>
          </w:tcPr>
          <w:p w14:paraId="2884DB73"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Eight (8) regional nurseries operate sustainably supplying the requirements of the target sites and replication areas</w:t>
            </w:r>
          </w:p>
          <w:p w14:paraId="0BE39D80" w14:textId="77777777" w:rsidR="007A4FB9" w:rsidRPr="00C0295B" w:rsidRDefault="007A4FB9" w:rsidP="006E1E6F">
            <w:pPr>
              <w:rPr>
                <w:rFonts w:ascii="Arial" w:hAnsi="Arial" w:cs="Arial"/>
                <w:color w:val="244061" w:themeColor="accent1" w:themeShade="80"/>
                <w:sz w:val="18"/>
                <w:szCs w:val="18"/>
                <w:lang w:val="en-GB"/>
              </w:rPr>
            </w:pPr>
          </w:p>
          <w:p w14:paraId="361DFF5B" w14:textId="77777777" w:rsidR="007A4FB9" w:rsidRPr="00C0295B" w:rsidRDefault="007A4FB9" w:rsidP="006E1E6F">
            <w:pPr>
              <w:rPr>
                <w:rFonts w:ascii="Arial" w:hAnsi="Arial" w:cs="Arial"/>
                <w:color w:val="244061" w:themeColor="accent1" w:themeShade="80"/>
                <w:sz w:val="18"/>
                <w:szCs w:val="18"/>
                <w:lang w:val="en-GB"/>
              </w:rPr>
            </w:pPr>
          </w:p>
          <w:p w14:paraId="37DA2751" w14:textId="77777777" w:rsidR="007A4FB9" w:rsidRPr="00C0295B" w:rsidRDefault="007A4FB9" w:rsidP="006E1E6F">
            <w:pPr>
              <w:rPr>
                <w:rFonts w:ascii="Arial" w:hAnsi="Arial" w:cs="Arial"/>
                <w:color w:val="244061" w:themeColor="accent1" w:themeShade="80"/>
                <w:sz w:val="18"/>
                <w:szCs w:val="18"/>
                <w:lang w:val="en-GB"/>
              </w:rPr>
            </w:pPr>
          </w:p>
          <w:p w14:paraId="47231F6C" w14:textId="77777777" w:rsidR="007A4FB9" w:rsidRPr="00C0295B" w:rsidRDefault="007A4FB9" w:rsidP="006E1E6F">
            <w:pPr>
              <w:rPr>
                <w:rFonts w:ascii="Arial" w:hAnsi="Arial" w:cs="Arial"/>
                <w:color w:val="244061" w:themeColor="accent1" w:themeShade="80"/>
                <w:sz w:val="18"/>
                <w:szCs w:val="18"/>
                <w:lang w:val="en-GB"/>
              </w:rPr>
            </w:pPr>
            <w:r w:rsidRPr="00C0295B">
              <w:rPr>
                <w:rFonts w:ascii="Arial" w:hAnsi="Arial" w:cs="Arial"/>
                <w:color w:val="244061" w:themeColor="accent1" w:themeShade="80"/>
                <w:sz w:val="18"/>
                <w:szCs w:val="18"/>
                <w:lang w:val="en-GB"/>
              </w:rPr>
              <w:t xml:space="preserve">Before the end of the project, sufficient resources are allocated by government for the continued operations of the nurseries beyond the life of the project. </w:t>
            </w:r>
          </w:p>
          <w:p w14:paraId="297959A3" w14:textId="77777777" w:rsidR="007A4FB9" w:rsidRPr="00C0295B" w:rsidRDefault="007A4FB9" w:rsidP="006E1E6F">
            <w:pPr>
              <w:rPr>
                <w:rFonts w:ascii="Arial" w:hAnsi="Arial" w:cs="Arial"/>
                <w:color w:val="244061" w:themeColor="accent1" w:themeShade="80"/>
                <w:sz w:val="18"/>
                <w:szCs w:val="18"/>
                <w:lang w:val="en-GB"/>
              </w:rPr>
            </w:pPr>
          </w:p>
        </w:tc>
        <w:tc>
          <w:tcPr>
            <w:tcW w:w="2218" w:type="dxa"/>
            <w:vMerge/>
          </w:tcPr>
          <w:p w14:paraId="2F708F2B" w14:textId="77777777" w:rsidR="007A4FB9" w:rsidRPr="00C0295B" w:rsidRDefault="007A4FB9" w:rsidP="006E1E6F">
            <w:pPr>
              <w:rPr>
                <w:rFonts w:ascii="Arial" w:hAnsi="Arial" w:cs="Arial"/>
                <w:i/>
                <w:color w:val="244061" w:themeColor="accent1" w:themeShade="80"/>
                <w:sz w:val="18"/>
                <w:szCs w:val="18"/>
                <w:lang w:val="en-GB"/>
              </w:rPr>
            </w:pPr>
          </w:p>
        </w:tc>
        <w:tc>
          <w:tcPr>
            <w:tcW w:w="2912" w:type="dxa"/>
            <w:vMerge/>
          </w:tcPr>
          <w:p w14:paraId="0C312D01" w14:textId="77777777" w:rsidR="007A4FB9" w:rsidRPr="00C0295B" w:rsidRDefault="007A4FB9" w:rsidP="006E1E6F">
            <w:pPr>
              <w:pStyle w:val="Footer"/>
              <w:rPr>
                <w:rFonts w:ascii="Arial" w:hAnsi="Arial" w:cs="Arial"/>
                <w:i/>
                <w:noProof/>
                <w:color w:val="244061" w:themeColor="accent1" w:themeShade="80"/>
                <w:sz w:val="18"/>
                <w:szCs w:val="18"/>
                <w:lang w:val="en-GB"/>
              </w:rPr>
            </w:pPr>
          </w:p>
        </w:tc>
      </w:tr>
    </w:tbl>
    <w:p w14:paraId="4D8F54FF" w14:textId="77777777" w:rsidR="007A4FB9" w:rsidRPr="00C0295B" w:rsidRDefault="007A4FB9" w:rsidP="007A4FB9">
      <w:pPr>
        <w:rPr>
          <w:color w:val="244061" w:themeColor="accent1" w:themeShade="80"/>
        </w:rPr>
      </w:pPr>
    </w:p>
    <w:tbl>
      <w:tblPr>
        <w:tblW w:w="146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90"/>
        <w:gridCol w:w="2430"/>
        <w:gridCol w:w="3510"/>
        <w:gridCol w:w="2250"/>
        <w:gridCol w:w="2880"/>
      </w:tblGrid>
      <w:tr w:rsidR="007A4FB9" w:rsidRPr="00C0295B" w14:paraId="0D1119BB" w14:textId="77777777" w:rsidTr="006E1E6F">
        <w:tc>
          <w:tcPr>
            <w:tcW w:w="1699" w:type="dxa"/>
            <w:shd w:val="clear" w:color="auto" w:fill="D9D9D9"/>
          </w:tcPr>
          <w:p w14:paraId="0EBCA4AA"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Project Strategy</w:t>
            </w:r>
          </w:p>
        </w:tc>
        <w:tc>
          <w:tcPr>
            <w:tcW w:w="1890" w:type="dxa"/>
            <w:shd w:val="clear" w:color="auto" w:fill="D9D9D9"/>
          </w:tcPr>
          <w:p w14:paraId="7605C20E"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Indicator</w:t>
            </w:r>
          </w:p>
        </w:tc>
        <w:tc>
          <w:tcPr>
            <w:tcW w:w="2430" w:type="dxa"/>
            <w:shd w:val="clear" w:color="auto" w:fill="D9D9D9"/>
          </w:tcPr>
          <w:p w14:paraId="55F28B0C"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Baseline</w:t>
            </w:r>
          </w:p>
        </w:tc>
        <w:tc>
          <w:tcPr>
            <w:tcW w:w="3510" w:type="dxa"/>
            <w:shd w:val="clear" w:color="auto" w:fill="D9D9D9"/>
          </w:tcPr>
          <w:p w14:paraId="54CD1DDB"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Target at end of Project</w:t>
            </w:r>
          </w:p>
        </w:tc>
        <w:tc>
          <w:tcPr>
            <w:tcW w:w="2250" w:type="dxa"/>
            <w:shd w:val="clear" w:color="auto" w:fill="D9D9D9"/>
          </w:tcPr>
          <w:p w14:paraId="5BFF33DF"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Sources of Verification</w:t>
            </w:r>
          </w:p>
        </w:tc>
        <w:tc>
          <w:tcPr>
            <w:tcW w:w="2880" w:type="dxa"/>
            <w:shd w:val="clear" w:color="auto" w:fill="D9D9D9"/>
          </w:tcPr>
          <w:p w14:paraId="6875DFA1"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Assumptions</w:t>
            </w:r>
          </w:p>
        </w:tc>
      </w:tr>
      <w:tr w:rsidR="007A4FB9" w:rsidRPr="00C0295B" w14:paraId="094EBD5A" w14:textId="77777777" w:rsidTr="006E1E6F">
        <w:tc>
          <w:tcPr>
            <w:tcW w:w="1699" w:type="dxa"/>
            <w:vMerge w:val="restart"/>
          </w:tcPr>
          <w:p w14:paraId="6414C02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Outcome 2:</w:t>
            </w:r>
            <w:r w:rsidRPr="00C0295B">
              <w:rPr>
                <w:rFonts w:ascii="Arial" w:hAnsi="Arial" w:cs="Arial"/>
                <w:noProof/>
                <w:color w:val="244061" w:themeColor="accent1" w:themeShade="80"/>
                <w:sz w:val="18"/>
                <w:szCs w:val="18"/>
                <w:lang w:val="en-GB"/>
              </w:rPr>
              <w:t xml:space="preserve"> Reduced exposure and increased adaptive capacity of 8 riverine communities in 4 provinces</w:t>
            </w:r>
          </w:p>
        </w:tc>
        <w:tc>
          <w:tcPr>
            <w:tcW w:w="1890" w:type="dxa"/>
          </w:tcPr>
          <w:p w14:paraId="0B1D3C6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communities benefitting from improved protection from inland flooding</w:t>
            </w:r>
          </w:p>
          <w:p w14:paraId="7BA28B16"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5BEC521"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229D397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vast majority of communities exposed to inland flooding risk is inadequately equipped with resources, capacity and support to adapt to the changed scenario</w:t>
            </w:r>
          </w:p>
          <w:p w14:paraId="04B23FB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543B6EF"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total number of inhabitants in the 8 target riverine communities that are vulnerable to coastal flooding is estimated at a minimum 32000 people.</w:t>
            </w:r>
          </w:p>
          <w:p w14:paraId="51CDCC09"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5F194D9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By the end of the project, eight  communities are protected from inland flooding through adaptation measures that were put in place in a community-led way.</w:t>
            </w:r>
          </w:p>
          <w:p w14:paraId="68C3396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47F100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9976318"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val="restart"/>
          </w:tcPr>
          <w:p w14:paraId="7FC1552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Project reports, monitoring &amp; evaluation reports, </w:t>
            </w:r>
          </w:p>
          <w:p w14:paraId="36ED87C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17F7F0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Minutes from the ATWG, project reports, verification through reports from local CBOs and NGOs</w:t>
            </w:r>
          </w:p>
          <w:p w14:paraId="23398BF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1BC04DB"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Procurement records</w:t>
            </w:r>
          </w:p>
          <w:p w14:paraId="55133C3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DFB0BEF"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Site plans for establishment of AWS.</w:t>
            </w:r>
          </w:p>
          <w:p w14:paraId="0305C1D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EEB26A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Progress reports from PNGNWS</w:t>
            </w:r>
          </w:p>
          <w:p w14:paraId="6E36E00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A3DA46B"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Distributed weather information reports</w:t>
            </w:r>
          </w:p>
          <w:p w14:paraId="39D96D1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53C065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Provincial policies, disaster management plan</w:t>
            </w:r>
          </w:p>
          <w:p w14:paraId="4ACC2DC4"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val="restart"/>
          </w:tcPr>
          <w:p w14:paraId="1604A33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There is a strong commitment from the communities and their leadership throughout the time of the project</w:t>
            </w:r>
          </w:p>
          <w:p w14:paraId="4AF5C40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16F0F7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PNGNWS remains committed to expand and manage their weather monitoring and forecasting activities and is adequately funded through government resources to allow for maintenance and further expansion after the project.</w:t>
            </w:r>
          </w:p>
          <w:p w14:paraId="2CB16C4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D929E2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There is strong support from district and provincial level officials that ensure the continued cooperation among communities, districts and provinces</w:t>
            </w:r>
          </w:p>
          <w:p w14:paraId="6CCB16C3"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6351EB1"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Provincial governments are supportive in expanding the role and resources for the climate change officers/focal points</w:t>
            </w:r>
          </w:p>
          <w:p w14:paraId="7EE73CD8"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81634C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Landowners allowing their land to be used to establish the AWSs.</w:t>
            </w:r>
          </w:p>
          <w:p w14:paraId="56F3E8D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638A0E6"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Voluntary weather recorders are committed and consistently recording data.</w:t>
            </w:r>
          </w:p>
          <w:p w14:paraId="2581901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6828C56"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033597E1" w14:textId="77777777" w:rsidTr="006E1E6F">
        <w:tc>
          <w:tcPr>
            <w:tcW w:w="1699" w:type="dxa"/>
            <w:vMerge/>
          </w:tcPr>
          <w:p w14:paraId="2CC2CDC9"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890" w:type="dxa"/>
          </w:tcPr>
          <w:p w14:paraId="485D5250"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Number of communities covered by the improved  warning system and weather information </w:t>
            </w:r>
          </w:p>
          <w:p w14:paraId="3F2BAD0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99A3AA5"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AWS and voluntary weather stations in operation</w:t>
            </w:r>
          </w:p>
          <w:p w14:paraId="7CC86F8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06B98F6"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2AD7E63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Disaster preparedness is limited by the lack of and state of facilites and plans</w:t>
            </w:r>
          </w:p>
          <w:p w14:paraId="37A7A572"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582DB9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There is lack of equipment and capacity of the </w:t>
            </w:r>
            <w:r w:rsidRPr="00C0295B">
              <w:rPr>
                <w:rFonts w:ascii="Arial" w:hAnsi="Arial" w:cs="Arial"/>
                <w:noProof/>
                <w:color w:val="244061" w:themeColor="accent1" w:themeShade="80"/>
                <w:sz w:val="18"/>
                <w:szCs w:val="18"/>
                <w:lang w:val="en-GB"/>
              </w:rPr>
              <w:lastRenderedPageBreak/>
              <w:t>PNGNWS is weak, hence theh forecasting of disasters and weather patterns is limited.</w:t>
            </w:r>
          </w:p>
        </w:tc>
        <w:tc>
          <w:tcPr>
            <w:tcW w:w="3510" w:type="dxa"/>
          </w:tcPr>
          <w:p w14:paraId="782FB74D"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 xml:space="preserve">At least 6 AWS and at least 20 voluntary weather stations established at strategic locations, meet WMO standards and contribute to the monitoring and early warning system. </w:t>
            </w:r>
          </w:p>
          <w:p w14:paraId="5997F7B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605F860"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One AWS will have been installed in each target 8 communities.</w:t>
            </w:r>
          </w:p>
          <w:p w14:paraId="1E1641C2"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tcPr>
          <w:p w14:paraId="56E582DF"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tcPr>
          <w:p w14:paraId="3DDA8538"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7FE27C82" w14:textId="77777777" w:rsidTr="006E1E6F">
        <w:tc>
          <w:tcPr>
            <w:tcW w:w="1699" w:type="dxa"/>
            <w:vMerge/>
          </w:tcPr>
          <w:p w14:paraId="3A1040BF"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890" w:type="dxa"/>
          </w:tcPr>
          <w:p w14:paraId="1C90A71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provinces with comprehensive disaster preparedness and response plan for inland flooding</w:t>
            </w:r>
          </w:p>
        </w:tc>
        <w:tc>
          <w:tcPr>
            <w:tcW w:w="2430" w:type="dxa"/>
          </w:tcPr>
          <w:p w14:paraId="74672E0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The provincial and national-level disaster managment frameworks are evidently inadquate </w:t>
            </w:r>
          </w:p>
          <w:p w14:paraId="355E2C2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8D1553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11C033BF"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least four provinces will have a comprehensive disaster preparedness and response plan for inland flooding in place and will have conducted dry run tests.</w:t>
            </w:r>
          </w:p>
          <w:p w14:paraId="158DE28F"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tcPr>
          <w:p w14:paraId="7F3935F4"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tcPr>
          <w:p w14:paraId="50D7BFB6"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bl>
    <w:p w14:paraId="2ECF8DCD" w14:textId="77777777" w:rsidR="007A4FB9" w:rsidRPr="00C0295B" w:rsidRDefault="007A4FB9" w:rsidP="007A4FB9">
      <w:pPr>
        <w:rPr>
          <w:color w:val="244061" w:themeColor="accent1" w:themeShade="80"/>
        </w:rPr>
      </w:pPr>
      <w:r w:rsidRPr="00C0295B">
        <w:rPr>
          <w:color w:val="244061" w:themeColor="accent1" w:themeShade="80"/>
        </w:rPr>
        <w:br w:type="page"/>
      </w:r>
    </w:p>
    <w:tbl>
      <w:tblPr>
        <w:tblW w:w="146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723"/>
        <w:gridCol w:w="2430"/>
        <w:gridCol w:w="3510"/>
        <w:gridCol w:w="2250"/>
        <w:gridCol w:w="2880"/>
      </w:tblGrid>
      <w:tr w:rsidR="007A4FB9" w:rsidRPr="00C0295B" w14:paraId="0A3A3495" w14:textId="77777777" w:rsidTr="006E1E6F">
        <w:tc>
          <w:tcPr>
            <w:tcW w:w="1866" w:type="dxa"/>
            <w:shd w:val="clear" w:color="auto" w:fill="D9D9D9"/>
          </w:tcPr>
          <w:p w14:paraId="6B7FADA3"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lastRenderedPageBreak/>
              <w:t>Project Strategy</w:t>
            </w:r>
          </w:p>
        </w:tc>
        <w:tc>
          <w:tcPr>
            <w:tcW w:w="1723" w:type="dxa"/>
            <w:shd w:val="clear" w:color="auto" w:fill="D9D9D9"/>
          </w:tcPr>
          <w:p w14:paraId="1C3540F3"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Indicator</w:t>
            </w:r>
          </w:p>
        </w:tc>
        <w:tc>
          <w:tcPr>
            <w:tcW w:w="2430" w:type="dxa"/>
            <w:shd w:val="clear" w:color="auto" w:fill="D9D9D9"/>
          </w:tcPr>
          <w:p w14:paraId="42097222"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Baseline</w:t>
            </w:r>
          </w:p>
        </w:tc>
        <w:tc>
          <w:tcPr>
            <w:tcW w:w="3510" w:type="dxa"/>
            <w:shd w:val="clear" w:color="auto" w:fill="D9D9D9"/>
          </w:tcPr>
          <w:p w14:paraId="7F6C639B"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Target at end of Project</w:t>
            </w:r>
          </w:p>
        </w:tc>
        <w:tc>
          <w:tcPr>
            <w:tcW w:w="2250" w:type="dxa"/>
            <w:shd w:val="clear" w:color="auto" w:fill="D9D9D9"/>
          </w:tcPr>
          <w:p w14:paraId="7C3628AB"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Sources of Verification</w:t>
            </w:r>
          </w:p>
        </w:tc>
        <w:tc>
          <w:tcPr>
            <w:tcW w:w="2880" w:type="dxa"/>
            <w:shd w:val="clear" w:color="auto" w:fill="D9D9D9"/>
          </w:tcPr>
          <w:p w14:paraId="44C30F99"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Assumptions</w:t>
            </w:r>
          </w:p>
        </w:tc>
      </w:tr>
      <w:tr w:rsidR="007A4FB9" w:rsidRPr="00C0295B" w14:paraId="11A7AD8E" w14:textId="77777777" w:rsidTr="006E1E6F">
        <w:tc>
          <w:tcPr>
            <w:tcW w:w="1866" w:type="dxa"/>
            <w:vMerge w:val="restart"/>
          </w:tcPr>
          <w:p w14:paraId="75FFDCF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Outcome 3:</w:t>
            </w:r>
            <w:r w:rsidRPr="00C0295B">
              <w:rPr>
                <w:rFonts w:ascii="Arial" w:hAnsi="Arial" w:cs="Arial"/>
                <w:noProof/>
                <w:color w:val="244061" w:themeColor="accent1" w:themeShade="80"/>
                <w:sz w:val="18"/>
                <w:szCs w:val="18"/>
                <w:lang w:val="en-GB"/>
              </w:rPr>
              <w:t xml:space="preserve"> Strengthened institutional capacity at national and sub-national levels to integrate climate change-related risks into sectoral policies and management practices</w:t>
            </w:r>
          </w:p>
        </w:tc>
        <w:tc>
          <w:tcPr>
            <w:tcW w:w="1723" w:type="dxa"/>
          </w:tcPr>
          <w:p w14:paraId="73CDE432"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national and provincial level policies, strategies, plans and coordinating mechanisms reviewed and incorporating resilience to climate change</w:t>
            </w:r>
          </w:p>
        </w:tc>
        <w:tc>
          <w:tcPr>
            <w:tcW w:w="2430" w:type="dxa"/>
          </w:tcPr>
          <w:p w14:paraId="3CB84FF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Adaptation to the changed climate scenario of the present and future is inadequately considered in national and provincial level policies and planning frameworks </w:t>
            </w:r>
          </w:p>
        </w:tc>
        <w:tc>
          <w:tcPr>
            <w:tcW w:w="3510" w:type="dxa"/>
          </w:tcPr>
          <w:p w14:paraId="05E0B60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the end of the project, all major development plans in the targeted provinces reflect climate change and adaptation considerations and coastal zone management policies are developed for the most populated areas (especially Wewak, Kavieng, Madang, Lae)</w:t>
            </w:r>
          </w:p>
          <w:p w14:paraId="18B4420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656AAD6"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5E4C3D5"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val="restart"/>
          </w:tcPr>
          <w:p w14:paraId="4439B86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Development plans, monitoring and evaluation reports</w:t>
            </w:r>
          </w:p>
          <w:p w14:paraId="7563B163"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C9913B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Coastal zone management policies and their gazettment</w:t>
            </w:r>
          </w:p>
          <w:p w14:paraId="6796D502"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076930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Project reports, monitoring and evaluation reports, verification through CBOs and NGOs</w:t>
            </w:r>
          </w:p>
          <w:p w14:paraId="7FF3638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73F53F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Minutes of high-level policy meetings (NEC/NCCC/OCCD, etc)</w:t>
            </w:r>
          </w:p>
          <w:p w14:paraId="1386189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A6ACA4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DDEC2B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Gender-disaggregated data analysis</w:t>
            </w:r>
          </w:p>
          <w:p w14:paraId="35E08D72"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val="restart"/>
          </w:tcPr>
          <w:p w14:paraId="029F134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Senior officials of the provincial administrations are supportive of the project and the integration of climate change and adaptation in development plans and policies. </w:t>
            </w:r>
          </w:p>
          <w:p w14:paraId="2BB33B7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5FE538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Climate change officers / focal points at the provincial level are able to utilise trainings and resources to build their own and local capacity for adaptation</w:t>
            </w:r>
          </w:p>
          <w:p w14:paraId="58D72B1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19D3BB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Climate Change Act is gazetted and the CEPA is established</w:t>
            </w:r>
          </w:p>
          <w:p w14:paraId="1809C3D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9A9C99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government remains committed to the CCDS</w:t>
            </w:r>
          </w:p>
        </w:tc>
      </w:tr>
      <w:tr w:rsidR="007A4FB9" w:rsidRPr="00C0295B" w14:paraId="50344D07" w14:textId="77777777" w:rsidTr="006E1E6F">
        <w:tc>
          <w:tcPr>
            <w:tcW w:w="1866" w:type="dxa"/>
            <w:vMerge/>
          </w:tcPr>
          <w:p w14:paraId="68B9D230"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723" w:type="dxa"/>
          </w:tcPr>
          <w:p w14:paraId="3BC15EB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Number of provincial and national-level officers trained in climate adaptation planning and implementation</w:t>
            </w:r>
          </w:p>
          <w:p w14:paraId="045B862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6370AD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Participation of women in project activities</w:t>
            </w:r>
          </w:p>
          <w:p w14:paraId="48A7D789"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6A047F27"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the provincial level the lack of resources, capacity and in some cases basic management mechanisms/plans is evident</w:t>
            </w:r>
          </w:p>
          <w:p w14:paraId="498EF9F2"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D179FA5"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E54318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To be established at project inception</w:t>
            </w:r>
          </w:p>
        </w:tc>
        <w:tc>
          <w:tcPr>
            <w:tcW w:w="3510" w:type="dxa"/>
          </w:tcPr>
          <w:p w14:paraId="5EFD689A"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At the provincial level, there is a strong link between all climate change officers/focal points and the communities in their respective provinces and the officers are equipped with the resources and capacity to identify and manage adaptation needs in the province</w:t>
            </w:r>
          </w:p>
          <w:p w14:paraId="3AA2C43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14F78BC"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Increased (at least 20%) number of women participating in capacity building activities at national and subnational level</w:t>
            </w:r>
          </w:p>
          <w:p w14:paraId="30D78197"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tcPr>
          <w:p w14:paraId="569347A9"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tcPr>
          <w:p w14:paraId="6B30F502"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0F04F514" w14:textId="77777777" w:rsidTr="006E1E6F">
        <w:tc>
          <w:tcPr>
            <w:tcW w:w="1866" w:type="dxa"/>
            <w:shd w:val="clear" w:color="auto" w:fill="D9D9D9"/>
          </w:tcPr>
          <w:p w14:paraId="017BF6C4"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Project Strategy</w:t>
            </w:r>
          </w:p>
        </w:tc>
        <w:tc>
          <w:tcPr>
            <w:tcW w:w="1723" w:type="dxa"/>
            <w:shd w:val="clear" w:color="auto" w:fill="D9D9D9"/>
          </w:tcPr>
          <w:p w14:paraId="0BB65BED"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Indicator</w:t>
            </w:r>
          </w:p>
        </w:tc>
        <w:tc>
          <w:tcPr>
            <w:tcW w:w="2430" w:type="dxa"/>
            <w:shd w:val="clear" w:color="auto" w:fill="D9D9D9"/>
          </w:tcPr>
          <w:p w14:paraId="6DF158B4"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Baseline</w:t>
            </w:r>
          </w:p>
        </w:tc>
        <w:tc>
          <w:tcPr>
            <w:tcW w:w="3510" w:type="dxa"/>
            <w:shd w:val="clear" w:color="auto" w:fill="D9D9D9"/>
          </w:tcPr>
          <w:p w14:paraId="5EE4F347"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Target at end of Project</w:t>
            </w:r>
          </w:p>
        </w:tc>
        <w:tc>
          <w:tcPr>
            <w:tcW w:w="2250" w:type="dxa"/>
            <w:shd w:val="clear" w:color="auto" w:fill="D9D9D9"/>
          </w:tcPr>
          <w:p w14:paraId="1055D305"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Sources of Verification</w:t>
            </w:r>
          </w:p>
        </w:tc>
        <w:tc>
          <w:tcPr>
            <w:tcW w:w="2880" w:type="dxa"/>
            <w:shd w:val="clear" w:color="auto" w:fill="D9D9D9"/>
          </w:tcPr>
          <w:p w14:paraId="478D33B1" w14:textId="77777777" w:rsidR="007A4FB9" w:rsidRPr="00C0295B" w:rsidRDefault="007A4FB9" w:rsidP="006E1E6F">
            <w:pPr>
              <w:pStyle w:val="Footer"/>
              <w:jc w:val="center"/>
              <w:rPr>
                <w:rFonts w:ascii="Arial" w:hAnsi="Arial" w:cs="Arial"/>
                <w:b/>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Assumptions</w:t>
            </w:r>
          </w:p>
        </w:tc>
      </w:tr>
      <w:tr w:rsidR="007A4FB9" w:rsidRPr="00C0295B" w14:paraId="44B01CFE" w14:textId="77777777" w:rsidTr="006E1E6F">
        <w:tc>
          <w:tcPr>
            <w:tcW w:w="1866" w:type="dxa"/>
            <w:vMerge w:val="restart"/>
          </w:tcPr>
          <w:p w14:paraId="4C3AC9B2"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b/>
                <w:noProof/>
                <w:color w:val="244061" w:themeColor="accent1" w:themeShade="80"/>
                <w:sz w:val="18"/>
                <w:szCs w:val="18"/>
                <w:lang w:val="en-GB"/>
              </w:rPr>
              <w:t>Outcome 4:</w:t>
            </w:r>
            <w:r w:rsidRPr="00C0295B">
              <w:rPr>
                <w:rFonts w:ascii="Arial" w:hAnsi="Arial" w:cs="Arial"/>
                <w:noProof/>
                <w:color w:val="244061" w:themeColor="accent1" w:themeShade="80"/>
                <w:sz w:val="18"/>
                <w:szCs w:val="18"/>
                <w:lang w:val="en-GB"/>
              </w:rPr>
              <w:t xml:space="preserve"> Strengthened awareness and ownership of adaptation and climate change-related risk reduction processes at national and sub-national levels</w:t>
            </w:r>
          </w:p>
          <w:p w14:paraId="06588BCF"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DF82505"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3B0F9B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768FDE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1E2777D"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780EE30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E297875"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7FF21C1"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1BECFB1"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0328654"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D5813D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1723" w:type="dxa"/>
          </w:tcPr>
          <w:p w14:paraId="56FEECD6"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 of the risk-affected population exposed to awareness raising activities and materials</w:t>
            </w:r>
          </w:p>
          <w:p w14:paraId="0CD0A8A2"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BE20EFE"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6A65EC5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Awareness raising efforts to date remain ad-hoc, uncoordinated and often undertaken with insufficient technical basis </w:t>
            </w:r>
          </w:p>
          <w:p w14:paraId="63284C5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C05D983"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27762EA3"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75 % of the risk-affected population is exposed to awareness raising activities and materials.</w:t>
            </w:r>
          </w:p>
          <w:p w14:paraId="7BE7F7F5"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D205C8E"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D8B7274"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9B28ED3"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val="restart"/>
          </w:tcPr>
          <w:p w14:paraId="321E27D1"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Awareness raising materials, best practice toolkits, monitroing and evaluation reports, </w:t>
            </w:r>
          </w:p>
          <w:p w14:paraId="49EA5DBC"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3F1AC2D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Field reports, project monitoring and evaluation reports</w:t>
            </w:r>
          </w:p>
          <w:p w14:paraId="00B1D89A"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1CF3049"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School curricula documents</w:t>
            </w:r>
          </w:p>
          <w:p w14:paraId="447C3E08"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D64923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Training materials and records of trainings </w:t>
            </w:r>
          </w:p>
          <w:p w14:paraId="464A5BF7"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2DB6E2A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MOUs/agreements</w:t>
            </w:r>
          </w:p>
          <w:p w14:paraId="5C22FFC8"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5BB7BF0"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448E8FB0"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val="restart"/>
          </w:tcPr>
          <w:p w14:paraId="2C2B2330"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lastRenderedPageBreak/>
              <w:t>Strong community leadership allows for capacity building and awareness raising to translate into community-led replication activities</w:t>
            </w:r>
          </w:p>
          <w:p w14:paraId="0DF1B086"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0C0DAE1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 xml:space="preserve">Department of Education remains committed to the integration of climate change in school curricula </w:t>
            </w:r>
          </w:p>
          <w:p w14:paraId="03DD7989"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628C3EE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role of corporate social responsibility in PNG gains further momentum and can be tapped for contributions in the area of climate change and adaptation</w:t>
            </w:r>
          </w:p>
          <w:p w14:paraId="39571936"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5D6F03E8"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Infrastructure tax credit schemes remain in place</w:t>
            </w:r>
          </w:p>
          <w:p w14:paraId="06F5CC94" w14:textId="77777777" w:rsidR="007A4FB9" w:rsidRPr="00C0295B" w:rsidRDefault="007A4FB9" w:rsidP="006E1E6F">
            <w:pPr>
              <w:pStyle w:val="Footer"/>
              <w:rPr>
                <w:rFonts w:ascii="Arial" w:hAnsi="Arial" w:cs="Arial"/>
                <w:noProof/>
                <w:color w:val="244061" w:themeColor="accent1" w:themeShade="80"/>
                <w:sz w:val="18"/>
                <w:szCs w:val="18"/>
                <w:lang w:val="en-GB"/>
              </w:rPr>
            </w:pPr>
          </w:p>
          <w:p w14:paraId="1EB5EF75" w14:textId="77777777" w:rsidR="007A4FB9" w:rsidRPr="00C0295B" w:rsidRDefault="007A4FB9" w:rsidP="006E1E6F">
            <w:pPr>
              <w:pStyle w:val="Footer"/>
              <w:rPr>
                <w:rFonts w:ascii="Arial" w:hAnsi="Arial" w:cs="Arial"/>
                <w:noProof/>
                <w:color w:val="244061" w:themeColor="accent1" w:themeShade="80"/>
                <w:sz w:val="18"/>
                <w:szCs w:val="18"/>
                <w:lang w:val="en-GB"/>
              </w:rPr>
            </w:pPr>
          </w:p>
        </w:tc>
      </w:tr>
      <w:bookmarkEnd w:id="58"/>
      <w:tr w:rsidR="007A4FB9" w:rsidRPr="00C0295B" w14:paraId="1B9BB4F0" w14:textId="77777777" w:rsidTr="006E1E6F">
        <w:tc>
          <w:tcPr>
            <w:tcW w:w="1866" w:type="dxa"/>
            <w:vMerge/>
          </w:tcPr>
          <w:p w14:paraId="33550CAC"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723" w:type="dxa"/>
          </w:tcPr>
          <w:p w14:paraId="60D3F880"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Integration of climate change into the national school curricula and university academic programmes</w:t>
            </w:r>
          </w:p>
          <w:p w14:paraId="3EF1346C"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4674D89E"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Only few schools cover climate change in their classes and activites; there is very limited guidance for teachers</w:t>
            </w:r>
          </w:p>
          <w:p w14:paraId="0BA706E2"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3510" w:type="dxa"/>
          </w:tcPr>
          <w:p w14:paraId="21BFCBA5"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The topics of climate  change and adaptation are introduced in PNG’s school curricula and university academic programmes and teachers are equipped with the required knowledge and material</w:t>
            </w:r>
          </w:p>
          <w:p w14:paraId="55F42D9D"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tcPr>
          <w:p w14:paraId="1386D47A"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tcPr>
          <w:p w14:paraId="36920A23"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r w:rsidR="007A4FB9" w:rsidRPr="00C0295B" w14:paraId="07AEA824" w14:textId="77777777" w:rsidTr="006E1E6F">
        <w:tc>
          <w:tcPr>
            <w:tcW w:w="1866" w:type="dxa"/>
            <w:vMerge/>
          </w:tcPr>
          <w:p w14:paraId="3F7914F5" w14:textId="77777777" w:rsidR="007A4FB9" w:rsidRPr="00C0295B" w:rsidRDefault="007A4FB9" w:rsidP="006E1E6F">
            <w:pPr>
              <w:pStyle w:val="Footer"/>
              <w:rPr>
                <w:rFonts w:ascii="Arial" w:hAnsi="Arial" w:cs="Arial"/>
                <w:b/>
                <w:noProof/>
                <w:color w:val="244061" w:themeColor="accent1" w:themeShade="80"/>
                <w:sz w:val="18"/>
                <w:szCs w:val="18"/>
                <w:lang w:val="en-GB"/>
              </w:rPr>
            </w:pPr>
          </w:p>
        </w:tc>
        <w:tc>
          <w:tcPr>
            <w:tcW w:w="1723" w:type="dxa"/>
          </w:tcPr>
          <w:p w14:paraId="2325D692"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Amount of funding mobilized via CSR and sponsorship agreements</w:t>
            </w:r>
          </w:p>
          <w:p w14:paraId="7DA5512A"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430" w:type="dxa"/>
          </w:tcPr>
          <w:p w14:paraId="4A27A5F4"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CSR funding sources is currently nil.</w:t>
            </w:r>
          </w:p>
        </w:tc>
        <w:tc>
          <w:tcPr>
            <w:tcW w:w="3510" w:type="dxa"/>
          </w:tcPr>
          <w:p w14:paraId="6E16587B" w14:textId="77777777" w:rsidR="007A4FB9" w:rsidRPr="00C0295B" w:rsidRDefault="007A4FB9" w:rsidP="006E1E6F">
            <w:pPr>
              <w:pStyle w:val="Footer"/>
              <w:rPr>
                <w:rFonts w:ascii="Arial" w:hAnsi="Arial" w:cs="Arial"/>
                <w:noProof/>
                <w:color w:val="244061" w:themeColor="accent1" w:themeShade="80"/>
                <w:sz w:val="18"/>
                <w:szCs w:val="18"/>
                <w:lang w:val="en-GB"/>
              </w:rPr>
            </w:pPr>
            <w:r w:rsidRPr="00C0295B">
              <w:rPr>
                <w:rFonts w:ascii="Arial" w:hAnsi="Arial" w:cs="Arial"/>
                <w:noProof/>
                <w:color w:val="244061" w:themeColor="accent1" w:themeShade="80"/>
                <w:sz w:val="18"/>
                <w:szCs w:val="18"/>
                <w:lang w:val="en-GB"/>
              </w:rPr>
              <w:t>By the end of the project agreements on continuation of awareness raising and adaptation activities (especially replication) through contributions from Corporate Social Responsibilty programmes and private sector participation are reached (including projects under infrastructure tax credit schemes) and make resources available for the community-led adaption in at least 10 further communities (estimated 500,000 USD)</w:t>
            </w:r>
          </w:p>
          <w:p w14:paraId="6A4D5487"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250" w:type="dxa"/>
            <w:vMerge/>
          </w:tcPr>
          <w:p w14:paraId="33B0A3F9" w14:textId="77777777" w:rsidR="007A4FB9" w:rsidRPr="00C0295B" w:rsidRDefault="007A4FB9" w:rsidP="006E1E6F">
            <w:pPr>
              <w:pStyle w:val="Footer"/>
              <w:rPr>
                <w:rFonts w:ascii="Arial" w:hAnsi="Arial" w:cs="Arial"/>
                <w:noProof/>
                <w:color w:val="244061" w:themeColor="accent1" w:themeShade="80"/>
                <w:sz w:val="18"/>
                <w:szCs w:val="18"/>
                <w:lang w:val="en-GB"/>
              </w:rPr>
            </w:pPr>
          </w:p>
        </w:tc>
        <w:tc>
          <w:tcPr>
            <w:tcW w:w="2880" w:type="dxa"/>
            <w:vMerge/>
          </w:tcPr>
          <w:p w14:paraId="1A8F54A3" w14:textId="77777777" w:rsidR="007A4FB9" w:rsidRPr="00C0295B" w:rsidRDefault="007A4FB9" w:rsidP="006E1E6F">
            <w:pPr>
              <w:pStyle w:val="Footer"/>
              <w:rPr>
                <w:rFonts w:ascii="Arial" w:hAnsi="Arial" w:cs="Arial"/>
                <w:noProof/>
                <w:color w:val="244061" w:themeColor="accent1" w:themeShade="80"/>
                <w:sz w:val="18"/>
                <w:szCs w:val="18"/>
                <w:lang w:val="en-GB"/>
              </w:rPr>
            </w:pPr>
          </w:p>
        </w:tc>
      </w:tr>
    </w:tbl>
    <w:p w14:paraId="52752606" w14:textId="77777777" w:rsidR="007A4FB9" w:rsidRPr="00C0295B" w:rsidRDefault="007A4FB9" w:rsidP="007A4FB9">
      <w:pPr>
        <w:pStyle w:val="Footer"/>
        <w:rPr>
          <w:rFonts w:ascii="Arial" w:hAnsi="Arial" w:cs="Arial"/>
          <w:noProof/>
          <w:color w:val="244061" w:themeColor="accent1" w:themeShade="80"/>
          <w:sz w:val="28"/>
          <w:szCs w:val="28"/>
          <w:lang w:val="en-GB"/>
        </w:rPr>
        <w:sectPr w:rsidR="007A4FB9" w:rsidRPr="00C0295B" w:rsidSect="006E1E6F">
          <w:pgSz w:w="15840" w:h="12240" w:orient="landscape"/>
          <w:pgMar w:top="1440" w:right="1440" w:bottom="1440" w:left="1440" w:header="720" w:footer="720" w:gutter="0"/>
          <w:cols w:space="720"/>
          <w:docGrid w:linePitch="360"/>
        </w:sectPr>
      </w:pPr>
    </w:p>
    <w:p w14:paraId="73408FD0" w14:textId="77777777" w:rsidR="007A4FB9" w:rsidRPr="00C0295B" w:rsidRDefault="007A4FB9">
      <w:pPr>
        <w:rPr>
          <w:rFonts w:eastAsia="Times New Roman"/>
          <w:b/>
          <w:caps/>
          <w:color w:val="244061" w:themeColor="accent1" w:themeShade="80"/>
          <w:spacing w:val="10"/>
        </w:rPr>
      </w:pPr>
      <w:bookmarkStart w:id="59" w:name="_TOR_Annex_B:"/>
      <w:bookmarkStart w:id="60" w:name="_Toc299122845"/>
      <w:bookmarkStart w:id="61" w:name="_Toc299122867"/>
      <w:bookmarkStart w:id="62" w:name="_Toc299126631"/>
      <w:bookmarkStart w:id="63" w:name="_Toc299133054"/>
      <w:bookmarkStart w:id="64" w:name="_Toc321341563"/>
      <w:bookmarkEnd w:id="59"/>
    </w:p>
    <w:p w14:paraId="0EDA2463" w14:textId="77777777" w:rsidR="00D6638C" w:rsidRPr="00C0295B" w:rsidRDefault="00D6638C" w:rsidP="00F05366">
      <w:pPr>
        <w:pStyle w:val="Heading31"/>
        <w:rPr>
          <w:color w:val="244061" w:themeColor="accent1" w:themeShade="80"/>
        </w:rPr>
      </w:pPr>
      <w:r w:rsidRPr="00C0295B">
        <w:rPr>
          <w:color w:val="244061" w:themeColor="accent1" w:themeShade="80"/>
        </w:rPr>
        <w:t>Annex B: List of Documents to be reviewed by the evaluators</w:t>
      </w:r>
      <w:bookmarkEnd w:id="60"/>
      <w:bookmarkEnd w:id="61"/>
      <w:bookmarkEnd w:id="62"/>
      <w:bookmarkEnd w:id="63"/>
      <w:bookmarkEnd w:id="64"/>
    </w:p>
    <w:p w14:paraId="61B2AD53"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Project Document</w:t>
      </w:r>
    </w:p>
    <w:p w14:paraId="1EB02E4F"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Mid-term Review Report</w:t>
      </w:r>
    </w:p>
    <w:p w14:paraId="67ED486A"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 xml:space="preserve">Project Progress Reports for 2013, 2014 and 2015 </w:t>
      </w:r>
    </w:p>
    <w:p w14:paraId="150001CC"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Final Project Progress Report 2017</w:t>
      </w:r>
    </w:p>
    <w:p w14:paraId="3C51A92E"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 xml:space="preserve">Project Budget Revisions </w:t>
      </w:r>
    </w:p>
    <w:p w14:paraId="23D41AC9" w14:textId="77777777" w:rsidR="0020208E"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i/>
          <w:color w:val="244061" w:themeColor="accent1" w:themeShade="80"/>
          <w:highlight w:val="lightGray"/>
          <w:lang w:val="en-GB"/>
        </w:rPr>
        <w:t>GEF CCA Tracking Tool and mid-term review</w:t>
      </w:r>
    </w:p>
    <w:p w14:paraId="734F2E39" w14:textId="77777777" w:rsidR="000C682D" w:rsidRPr="00C0295B" w:rsidRDefault="0020208E" w:rsidP="0020208E">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color w:val="244061" w:themeColor="accent1" w:themeShade="80"/>
        </w:rPr>
        <w:t>project files, national strategic and legal documents</w:t>
      </w:r>
    </w:p>
    <w:p w14:paraId="1B145907" w14:textId="5526BDE0" w:rsidR="00D6638C" w:rsidRPr="00C0295B" w:rsidRDefault="000C682D" w:rsidP="000C682D">
      <w:pPr>
        <w:pStyle w:val="ListParagraph"/>
        <w:numPr>
          <w:ilvl w:val="0"/>
          <w:numId w:val="33"/>
        </w:numPr>
        <w:rPr>
          <w:rFonts w:ascii="Calibri" w:hAnsi="Calibri" w:cs="Times New Roman"/>
          <w:i/>
          <w:color w:val="244061" w:themeColor="accent1" w:themeShade="80"/>
          <w:highlight w:val="lightGray"/>
          <w:lang w:val="en-GB"/>
        </w:rPr>
      </w:pPr>
      <w:r w:rsidRPr="00C0295B">
        <w:rPr>
          <w:rFonts w:ascii="Calibri" w:hAnsi="Calibri" w:cs="Times New Roman"/>
          <w:color w:val="244061" w:themeColor="accent1" w:themeShade="80"/>
        </w:rPr>
        <w:t xml:space="preserve"> National Inception Workshop Report, Community Based Mangrove conservation  Handbook, Hazard Assessment  report &amp; maps for the  5 provinces, East Sepik), Early warning systems field assessment reports, Assessment of Flood Early Warning System in five province of Papua New Guinea, Roadmap for establishment of Flood Early Warning System in PNG, Communication Strategy,  Climate Change Institutional and Capacity Assessment report, Early Warning Systems Inception report, Micro-Grant Agreements progressive reports (World Wide Fund for Nature, Foundation for People &amp; Community Development, World Vision PNG and Adventist Development Relief Agency -  PNG, Asian Disaster Preparedness Centre), Training course -Mainstreaming Climate Change Adaptation into Development Planning Process, Additional resources titled- Reader-Mainstreaming Climate Change Adaptation into Development Process, ADPC mission report,  CCA mainstreaming training modules, draft  CCA provincial  plans, Teaching Guide for Climate Change Adaptation for Lower Primary Schools in PNG, Draft CCA curriculum for primary Schools, communication materials including  posters: restoring mangrove in your community, benifits of mangrove for coastal communities, vegetable gardens,  floating vegetable gardens, Guide for Yam planting, drought coping strategies, 21 photo stories on climate change impact on peopple, 18 digital stories on climate change impact on people.  Press coverage - Inception Workshop on Flood Early Warning, Press coverage- Mangrove planting and conservation in East Sepik,  Press Website Story on TV Infomercial - El Nino Preparedness (45 Second infomercial broadcasted on National TV for two months), Website story titled 'Local communities of Papua New Guinea are committed to fight climate change' Exposure Photo Story: Take Care of the Mangroves (https://undp-adaptation.exposure.co/take-care-of-the-mangroves).</w:t>
      </w:r>
    </w:p>
    <w:p w14:paraId="76A82A5F" w14:textId="77777777" w:rsidR="0020208E" w:rsidRPr="00C0295B" w:rsidRDefault="0020208E" w:rsidP="0020208E">
      <w:pPr>
        <w:rPr>
          <w:rFonts w:ascii="Calibri" w:hAnsi="Calibri" w:cs="Times New Roman"/>
          <w:i/>
          <w:color w:val="244061" w:themeColor="accent1" w:themeShade="80"/>
          <w:highlight w:val="lightGray"/>
          <w:lang w:val="en-GB"/>
        </w:rPr>
      </w:pPr>
    </w:p>
    <w:p w14:paraId="2C6E6DA2" w14:textId="77777777" w:rsidR="0020208E" w:rsidRPr="00C0295B" w:rsidRDefault="0020208E" w:rsidP="0020208E">
      <w:pPr>
        <w:rPr>
          <w:rFonts w:ascii="Calibri" w:hAnsi="Calibri" w:cs="Times New Roman"/>
          <w:i/>
          <w:color w:val="244061" w:themeColor="accent1" w:themeShade="80"/>
          <w:highlight w:val="lightGray"/>
          <w:lang w:val="en-GB"/>
        </w:rPr>
        <w:sectPr w:rsidR="0020208E" w:rsidRPr="00C0295B" w:rsidSect="007A4FB9">
          <w:pgSz w:w="12240" w:h="15840"/>
          <w:pgMar w:top="1440" w:right="1440" w:bottom="1440" w:left="1325" w:header="708" w:footer="708" w:gutter="0"/>
          <w:cols w:space="708"/>
          <w:docGrid w:linePitch="360"/>
        </w:sectPr>
      </w:pPr>
    </w:p>
    <w:p w14:paraId="2370A1B7" w14:textId="77777777" w:rsidR="00D6638C" w:rsidRPr="00C0295B" w:rsidRDefault="00D6638C" w:rsidP="00F05366">
      <w:pPr>
        <w:pStyle w:val="Heading31"/>
        <w:rPr>
          <w:color w:val="244061" w:themeColor="accent1" w:themeShade="80"/>
        </w:rPr>
      </w:pPr>
      <w:bookmarkStart w:id="65" w:name="_TOR_Annex_C:"/>
      <w:bookmarkStart w:id="66" w:name="_Toc321341564"/>
      <w:bookmarkStart w:id="67" w:name="_Toc299122846"/>
      <w:bookmarkStart w:id="68" w:name="_Toc299122868"/>
      <w:bookmarkStart w:id="69" w:name="_Toc299126632"/>
      <w:bookmarkEnd w:id="65"/>
      <w:r w:rsidRPr="00C0295B">
        <w:rPr>
          <w:color w:val="244061" w:themeColor="accent1" w:themeShade="80"/>
        </w:rPr>
        <w:lastRenderedPageBreak/>
        <w:t>Annex C: Evaluation Questions</w:t>
      </w:r>
      <w:bookmarkEnd w:id="66"/>
    </w:p>
    <w:p w14:paraId="32F8B65C" w14:textId="77777777" w:rsidR="00E23201" w:rsidRPr="00C0295B" w:rsidRDefault="00E23201" w:rsidP="00E23201">
      <w:pPr>
        <w:rPr>
          <w:color w:val="244061" w:themeColor="accent1" w:themeShade="80"/>
        </w:rPr>
      </w:pPr>
      <w:r w:rsidRPr="00C0295B">
        <w:rPr>
          <w:i/>
          <w:color w:val="244061" w:themeColor="accent1" w:themeShade="80"/>
          <w:highlight w:val="lightGray"/>
        </w:rPr>
        <w:t>This is a generic list, to b</w:t>
      </w:r>
      <w:r w:rsidR="00224F9C" w:rsidRPr="00C0295B">
        <w:rPr>
          <w:i/>
          <w:color w:val="244061" w:themeColor="accent1" w:themeShade="80"/>
          <w:highlight w:val="lightGray"/>
        </w:rPr>
        <w:t>e</w:t>
      </w:r>
      <w:r w:rsidR="00310398" w:rsidRPr="00C0295B">
        <w:rPr>
          <w:i/>
          <w:color w:val="244061" w:themeColor="accent1" w:themeShade="80"/>
          <w:highlight w:val="lightGray"/>
        </w:rPr>
        <w:t xml:space="preserve"> further detailed</w:t>
      </w:r>
      <w:r w:rsidR="00224F9C" w:rsidRPr="00C0295B">
        <w:rPr>
          <w:i/>
          <w:color w:val="244061" w:themeColor="accent1" w:themeShade="80"/>
          <w:highlight w:val="lightGray"/>
        </w:rPr>
        <w:t xml:space="preserve"> </w:t>
      </w:r>
      <w:r w:rsidR="00310398" w:rsidRPr="00C0295B">
        <w:rPr>
          <w:i/>
          <w:color w:val="244061" w:themeColor="accent1" w:themeShade="80"/>
          <w:highlight w:val="lightGray"/>
        </w:rPr>
        <w:t xml:space="preserve">with more specific questions </w:t>
      </w:r>
      <w:r w:rsidR="00224F9C" w:rsidRPr="00C0295B">
        <w:rPr>
          <w:i/>
          <w:color w:val="244061" w:themeColor="accent1" w:themeShade="80"/>
          <w:highlight w:val="lightGray"/>
        </w:rPr>
        <w:t xml:space="preserve">by </w:t>
      </w:r>
      <w:r w:rsidR="00224F9C" w:rsidRPr="00C0295B">
        <w:rPr>
          <w:rFonts w:ascii="Calibri" w:eastAsia="Times New Roman" w:hAnsi="Calibri" w:cs="Times New Roman"/>
          <w:i/>
          <w:color w:val="244061" w:themeColor="accent1" w:themeShade="80"/>
          <w:sz w:val="20"/>
          <w:szCs w:val="20"/>
          <w:highlight w:val="lightGray"/>
        </w:rPr>
        <w:t xml:space="preserve">CO and UNDP GEF Technical Adviser </w:t>
      </w:r>
      <w:r w:rsidR="00224F9C" w:rsidRPr="00C0295B">
        <w:rPr>
          <w:i/>
          <w:color w:val="244061" w:themeColor="accent1" w:themeShade="80"/>
          <w:highlight w:val="lightGray"/>
        </w:rPr>
        <w:t>based on the particulars of the project</w:t>
      </w:r>
      <w:r w:rsidR="00310398" w:rsidRPr="00C0295B">
        <w:rPr>
          <w:i/>
          <w:color w:val="244061" w:themeColor="accent1" w:themeShade="8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C0295B" w14:paraId="63B9C91A" w14:textId="77777777" w:rsidTr="00F83D4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A78A8D6" w14:textId="77777777" w:rsidR="00310398" w:rsidRPr="00C0295B" w:rsidRDefault="00310398" w:rsidP="00310398">
            <w:pPr>
              <w:spacing w:after="0"/>
              <w:jc w:val="center"/>
              <w:rPr>
                <w:rFonts w:ascii="Calibri" w:eastAsia="Times New Roman" w:hAnsi="Calibri" w:cs="Calibri"/>
                <w:b/>
                <w:color w:val="244061" w:themeColor="accent1" w:themeShade="80"/>
                <w:sz w:val="20"/>
                <w:szCs w:val="20"/>
              </w:rPr>
            </w:pPr>
            <w:r w:rsidRPr="00C0295B">
              <w:rPr>
                <w:rFonts w:ascii="Calibri" w:eastAsia="Times New Roman" w:hAnsi="Calibri" w:cs="Calibri"/>
                <w:b/>
                <w:color w:val="244061" w:themeColor="accent1" w:themeShade="80"/>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51F1E32C" w14:textId="77777777" w:rsidR="00310398" w:rsidRPr="00C0295B" w:rsidRDefault="00310398" w:rsidP="00D6638C">
            <w:pPr>
              <w:spacing w:after="0"/>
              <w:jc w:val="center"/>
              <w:rPr>
                <w:rFonts w:ascii="Calibri" w:eastAsia="Times New Roman" w:hAnsi="Calibri" w:cs="Calibri"/>
                <w:b/>
                <w:color w:val="244061" w:themeColor="accent1" w:themeShade="80"/>
                <w:sz w:val="20"/>
                <w:szCs w:val="20"/>
              </w:rPr>
            </w:pPr>
            <w:r w:rsidRPr="00C0295B">
              <w:rPr>
                <w:rFonts w:ascii="Calibri" w:eastAsia="Times New Roman" w:hAnsi="Calibri" w:cs="Calibri"/>
                <w:b/>
                <w:color w:val="244061" w:themeColor="accent1" w:themeShade="80"/>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47A4E91F" w14:textId="77777777" w:rsidR="00310398" w:rsidRPr="00C0295B" w:rsidRDefault="00310398" w:rsidP="00D6638C">
            <w:pPr>
              <w:spacing w:after="0"/>
              <w:jc w:val="center"/>
              <w:rPr>
                <w:rFonts w:ascii="Calibri" w:eastAsia="Times New Roman" w:hAnsi="Calibri" w:cs="Calibri"/>
                <w:b/>
                <w:color w:val="244061" w:themeColor="accent1" w:themeShade="80"/>
                <w:sz w:val="20"/>
                <w:szCs w:val="20"/>
              </w:rPr>
            </w:pPr>
            <w:r w:rsidRPr="00C0295B">
              <w:rPr>
                <w:rFonts w:ascii="Calibri" w:eastAsia="Times New Roman" w:hAnsi="Calibri" w:cs="Calibri"/>
                <w:b/>
                <w:color w:val="244061" w:themeColor="accent1" w:themeShade="80"/>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1C9037CF" w14:textId="77777777" w:rsidR="00310398" w:rsidRPr="00C0295B" w:rsidRDefault="00310398" w:rsidP="00D6638C">
            <w:pPr>
              <w:spacing w:after="0"/>
              <w:jc w:val="center"/>
              <w:rPr>
                <w:rFonts w:ascii="Calibri" w:eastAsia="Times New Roman" w:hAnsi="Calibri" w:cs="Calibri"/>
                <w:b/>
                <w:color w:val="244061" w:themeColor="accent1" w:themeShade="80"/>
                <w:sz w:val="20"/>
                <w:szCs w:val="20"/>
              </w:rPr>
            </w:pPr>
            <w:r w:rsidRPr="00C0295B">
              <w:rPr>
                <w:rFonts w:ascii="Calibri" w:eastAsia="Times New Roman" w:hAnsi="Calibri" w:cs="Calibri"/>
                <w:b/>
                <w:color w:val="244061" w:themeColor="accent1" w:themeShade="80"/>
                <w:sz w:val="20"/>
                <w:szCs w:val="20"/>
              </w:rPr>
              <w:t>Methodology</w:t>
            </w:r>
          </w:p>
        </w:tc>
      </w:tr>
      <w:tr w:rsidR="00C22FDA" w:rsidRPr="00C22FDA" w14:paraId="5E06A56F"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964E088" w14:textId="77777777" w:rsidR="00D6638C" w:rsidRPr="00C22FDA" w:rsidRDefault="00D6638C" w:rsidP="00D6638C">
            <w:pPr>
              <w:numPr>
                <w:ilvl w:val="12"/>
                <w:numId w:val="0"/>
              </w:numPr>
              <w:spacing w:after="0"/>
              <w:rPr>
                <w:rFonts w:ascii="Calibri" w:eastAsia="Times New Roman" w:hAnsi="Calibri" w:cs="Calibri"/>
                <w:iCs/>
                <w:color w:val="FFFFFF" w:themeColor="background1"/>
                <w:sz w:val="20"/>
                <w:szCs w:val="20"/>
                <w:highlight w:val="yellow"/>
              </w:rPr>
            </w:pPr>
            <w:r w:rsidRPr="00C22FDA">
              <w:rPr>
                <w:rFonts w:ascii="Calibri" w:eastAsia="Times New Roman" w:hAnsi="Calibri" w:cs="Calibri"/>
                <w:iCs/>
                <w:color w:val="FFFFFF" w:themeColor="background1"/>
                <w:sz w:val="20"/>
                <w:szCs w:val="20"/>
              </w:rPr>
              <w:t xml:space="preserve">Relevance: How does the project relate to the main objectives of the GEF focal area, and to the environment and development priorities at the local, regional and national levels? </w:t>
            </w:r>
          </w:p>
        </w:tc>
      </w:tr>
      <w:tr w:rsidR="00D6638C" w:rsidRPr="00C0295B" w14:paraId="775F5646" w14:textId="77777777" w:rsidTr="00310398">
        <w:trPr>
          <w:gridAfter w:val="1"/>
          <w:wAfter w:w="21" w:type="dxa"/>
        </w:trPr>
        <w:tc>
          <w:tcPr>
            <w:tcW w:w="199" w:type="dxa"/>
            <w:tcBorders>
              <w:top w:val="nil"/>
              <w:left w:val="nil"/>
              <w:bottom w:val="nil"/>
              <w:right w:val="nil"/>
            </w:tcBorders>
            <w:shd w:val="pct12" w:color="auto" w:fill="FFFFFF"/>
          </w:tcPr>
          <w:p w14:paraId="40057FF8"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2E0B3578" w14:textId="61040804" w:rsidR="00D6638C" w:rsidRPr="00C0295B" w:rsidRDefault="00351452"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Was/Is the project a good idea given the situation needing improvement?</w:t>
            </w:r>
          </w:p>
        </w:tc>
        <w:tc>
          <w:tcPr>
            <w:tcW w:w="3870" w:type="dxa"/>
          </w:tcPr>
          <w:p w14:paraId="7F0F1767" w14:textId="7F323E6F" w:rsidR="00351452" w:rsidRPr="00351452" w:rsidRDefault="00351452" w:rsidP="00351452">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Strengthened ability of coastal and riverine communities in PNG to make informed decisions about and to undertake concrete actions to adapt to climate change-driven hazards affecting their specific locations</w:t>
            </w:r>
          </w:p>
        </w:tc>
        <w:tc>
          <w:tcPr>
            <w:tcW w:w="2430" w:type="dxa"/>
          </w:tcPr>
          <w:p w14:paraId="5507341C" w14:textId="77777777" w:rsidR="00D6638C"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Project reports (annual and quarterly)</w:t>
            </w:r>
          </w:p>
          <w:p w14:paraId="1AA2E778" w14:textId="77777777" w:rsidR="00A56AE5"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Mid-term review reports</w:t>
            </w:r>
          </w:p>
          <w:p w14:paraId="587B2D78" w14:textId="641EB811" w:rsidR="00A56AE5"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Media articles/reports</w:t>
            </w:r>
          </w:p>
          <w:p w14:paraId="0101D052" w14:textId="64F65080" w:rsidR="00A56AE5" w:rsidRPr="00C0295B" w:rsidRDefault="00A56AE5" w:rsidP="00A56AE5">
            <w:p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23" w:type="dxa"/>
            <w:tcBorders>
              <w:right w:val="single" w:sz="6" w:space="0" w:color="auto"/>
            </w:tcBorders>
          </w:tcPr>
          <w:p w14:paraId="1EBFE6CB" w14:textId="77777777" w:rsidR="00D6638C"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Individual interviews</w:t>
            </w:r>
          </w:p>
          <w:p w14:paraId="54A493F9" w14:textId="77777777" w:rsidR="00A56AE5"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Desk reviews</w:t>
            </w:r>
          </w:p>
          <w:p w14:paraId="3DA17DAE" w14:textId="48373196" w:rsidR="00A56AE5"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Reports</w:t>
            </w:r>
          </w:p>
        </w:tc>
      </w:tr>
      <w:tr w:rsidR="00D6638C" w:rsidRPr="00C0295B" w14:paraId="1E6BEB67" w14:textId="77777777" w:rsidTr="00310398">
        <w:trPr>
          <w:gridAfter w:val="1"/>
          <w:wAfter w:w="21" w:type="dxa"/>
        </w:trPr>
        <w:tc>
          <w:tcPr>
            <w:tcW w:w="199" w:type="dxa"/>
            <w:tcBorders>
              <w:top w:val="nil"/>
              <w:left w:val="nil"/>
              <w:bottom w:val="nil"/>
              <w:right w:val="nil"/>
            </w:tcBorders>
            <w:shd w:val="pct12" w:color="auto" w:fill="FFFFFF"/>
          </w:tcPr>
          <w:p w14:paraId="1F7DAD79"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3374C01E" w14:textId="6338D19B" w:rsidR="00D6638C" w:rsidRPr="00C0295B" w:rsidRDefault="00351452"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Does it deal with target group priorities? Why or why not?</w:t>
            </w:r>
          </w:p>
        </w:tc>
        <w:tc>
          <w:tcPr>
            <w:tcW w:w="3870" w:type="dxa"/>
          </w:tcPr>
          <w:p w14:paraId="20FB0B7A" w14:textId="2CBE9465" w:rsidR="00D6638C" w:rsidRPr="00C0295B" w:rsidRDefault="00351452"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Reduced exposure and increased adaptive capacity of coastal communities to flood-related risks and hazards in 8 communities and three citi</w:t>
            </w:r>
            <w:r w:rsidR="00A56AE5">
              <w:rPr>
                <w:rFonts w:ascii="Calibri" w:eastAsia="Times New Roman" w:hAnsi="Calibri" w:cs="Calibri"/>
                <w:color w:val="244061" w:themeColor="accent1" w:themeShade="80"/>
                <w:sz w:val="20"/>
                <w:szCs w:val="20"/>
              </w:rPr>
              <w:t>e</w:t>
            </w:r>
            <w:r>
              <w:rPr>
                <w:rFonts w:ascii="Calibri" w:eastAsia="Times New Roman" w:hAnsi="Calibri" w:cs="Calibri"/>
                <w:color w:val="244061" w:themeColor="accent1" w:themeShade="80"/>
                <w:sz w:val="20"/>
                <w:szCs w:val="20"/>
              </w:rPr>
              <w:t>s of the 11 provinces of the North Coast and Islands Region</w:t>
            </w:r>
          </w:p>
        </w:tc>
        <w:tc>
          <w:tcPr>
            <w:tcW w:w="2430" w:type="dxa"/>
          </w:tcPr>
          <w:p w14:paraId="236255F9"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Project reports (annual and quarterly)</w:t>
            </w:r>
          </w:p>
          <w:p w14:paraId="0E89077A"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Mid-term review reports</w:t>
            </w:r>
          </w:p>
          <w:p w14:paraId="39F09AE1"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Media articles/reports</w:t>
            </w:r>
          </w:p>
          <w:p w14:paraId="59F41339" w14:textId="77777777" w:rsidR="00D6638C" w:rsidRPr="00C0295B" w:rsidRDefault="00D6638C" w:rsidP="00A56AE5">
            <w:p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23" w:type="dxa"/>
            <w:tcBorders>
              <w:right w:val="single" w:sz="6" w:space="0" w:color="auto"/>
            </w:tcBorders>
          </w:tcPr>
          <w:p w14:paraId="4CB026E3"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Individual interviews</w:t>
            </w:r>
          </w:p>
          <w:p w14:paraId="1CD0AF3B"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Desk reviews</w:t>
            </w:r>
          </w:p>
          <w:p w14:paraId="0CDF18F8"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Reports</w:t>
            </w:r>
          </w:p>
          <w:p w14:paraId="03924BA0" w14:textId="65CD8DDA" w:rsidR="00A56AE5" w:rsidRPr="00C0295B"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FGDs</w:t>
            </w:r>
          </w:p>
        </w:tc>
      </w:tr>
      <w:tr w:rsidR="00D6638C" w:rsidRPr="00C0295B" w14:paraId="475040D0" w14:textId="77777777" w:rsidTr="00310398">
        <w:trPr>
          <w:gridAfter w:val="1"/>
          <w:wAfter w:w="21" w:type="dxa"/>
        </w:trPr>
        <w:tc>
          <w:tcPr>
            <w:tcW w:w="199" w:type="dxa"/>
            <w:tcBorders>
              <w:top w:val="nil"/>
              <w:left w:val="nil"/>
              <w:bottom w:val="nil"/>
              <w:right w:val="nil"/>
            </w:tcBorders>
            <w:shd w:val="pct12" w:color="auto" w:fill="FFFFFF"/>
          </w:tcPr>
          <w:p w14:paraId="2D32A3B0"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0ABE658A"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3870" w:type="dxa"/>
          </w:tcPr>
          <w:p w14:paraId="454A275D"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2430" w:type="dxa"/>
          </w:tcPr>
          <w:p w14:paraId="48D4F885"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23" w:type="dxa"/>
            <w:tcBorders>
              <w:right w:val="single" w:sz="6" w:space="0" w:color="auto"/>
            </w:tcBorders>
          </w:tcPr>
          <w:p w14:paraId="2D4EE913"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r>
      <w:tr w:rsidR="00D6638C" w:rsidRPr="00C0295B" w14:paraId="01482484"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CD34D44" w14:textId="77777777" w:rsidR="00D6638C" w:rsidRPr="00351452" w:rsidRDefault="00D6638C" w:rsidP="00351452">
            <w:pPr>
              <w:numPr>
                <w:ilvl w:val="12"/>
                <w:numId w:val="0"/>
              </w:numPr>
              <w:spacing w:after="0"/>
              <w:rPr>
                <w:rFonts w:ascii="Calibri" w:eastAsia="Times New Roman" w:hAnsi="Calibri" w:cs="Calibri"/>
                <w:iCs/>
                <w:color w:val="FFFFFF" w:themeColor="background1"/>
                <w:sz w:val="20"/>
                <w:szCs w:val="20"/>
              </w:rPr>
            </w:pPr>
            <w:r w:rsidRPr="00351452">
              <w:rPr>
                <w:rFonts w:ascii="Calibri" w:eastAsia="Times New Roman" w:hAnsi="Calibri" w:cs="Calibri"/>
                <w:iCs/>
                <w:color w:val="FFFFFF" w:themeColor="background1"/>
                <w:sz w:val="20"/>
                <w:szCs w:val="20"/>
              </w:rPr>
              <w:t>Effectiveness: To what extent have the expected outcomes and objectives of the project been achieved?</w:t>
            </w:r>
          </w:p>
        </w:tc>
      </w:tr>
      <w:tr w:rsidR="00D6638C" w:rsidRPr="00C0295B" w14:paraId="369FC6B6" w14:textId="77777777" w:rsidTr="00310398">
        <w:tc>
          <w:tcPr>
            <w:tcW w:w="199" w:type="dxa"/>
            <w:tcBorders>
              <w:top w:val="nil"/>
              <w:left w:val="nil"/>
              <w:bottom w:val="nil"/>
              <w:right w:val="nil"/>
            </w:tcBorders>
            <w:shd w:val="pct12" w:color="auto" w:fill="FFFFFF"/>
          </w:tcPr>
          <w:p w14:paraId="47AD8457"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66BAD3C6" w14:textId="62CEA511" w:rsidR="00D6638C" w:rsidRPr="00C0295B" w:rsidRDefault="00351452"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Have the planned purpose and component objectives, outputs and activities been achieved?</w:t>
            </w:r>
          </w:p>
        </w:tc>
        <w:tc>
          <w:tcPr>
            <w:tcW w:w="3870" w:type="dxa"/>
          </w:tcPr>
          <w:p w14:paraId="05E9EA0D" w14:textId="77777777" w:rsidR="00D6638C"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Coastal and riverine communities are protected through adaptation measures against coastal and inland flooding</w:t>
            </w:r>
          </w:p>
          <w:p w14:paraId="285B33E3" w14:textId="6ACAE309" w:rsidR="00A56AE5"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Climate change adaptation is managed, monitored and planed at the provincial level in the targeted provinces and supported by a framework of policies and plans including disaster preparedness and response plans, coastal zone management plans</w:t>
            </w:r>
          </w:p>
        </w:tc>
        <w:tc>
          <w:tcPr>
            <w:tcW w:w="2430" w:type="dxa"/>
          </w:tcPr>
          <w:p w14:paraId="01DB3D0E"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Project reports (annual and quarterly)</w:t>
            </w:r>
          </w:p>
          <w:p w14:paraId="52C1E142"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Mid-term review reports</w:t>
            </w:r>
          </w:p>
          <w:p w14:paraId="72EB8107"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Media articles/reports</w:t>
            </w:r>
          </w:p>
          <w:p w14:paraId="0828B9B8" w14:textId="77777777" w:rsidR="00D6638C"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Provincial policy documents, development plans</w:t>
            </w:r>
          </w:p>
          <w:p w14:paraId="4DE266F4" w14:textId="66B70C3F" w:rsidR="00A56AE5"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Disaster preparedness and response plans</w:t>
            </w:r>
          </w:p>
        </w:tc>
        <w:tc>
          <w:tcPr>
            <w:tcW w:w="1944" w:type="dxa"/>
            <w:gridSpan w:val="2"/>
            <w:tcBorders>
              <w:right w:val="single" w:sz="6" w:space="0" w:color="auto"/>
            </w:tcBorders>
          </w:tcPr>
          <w:p w14:paraId="3F7857E1"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Individual interviews</w:t>
            </w:r>
          </w:p>
          <w:p w14:paraId="06D030B4"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Desk reviews</w:t>
            </w:r>
          </w:p>
          <w:p w14:paraId="7BE91452" w14:textId="77777777" w:rsidR="00A56AE5"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Reports</w:t>
            </w:r>
          </w:p>
          <w:p w14:paraId="0194702B" w14:textId="37BD9110" w:rsidR="00D6638C" w:rsidRPr="00C0295B" w:rsidRDefault="00A56AE5" w:rsidP="00A56AE5">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FGDs</w:t>
            </w:r>
          </w:p>
        </w:tc>
      </w:tr>
      <w:tr w:rsidR="00D6638C" w:rsidRPr="00C0295B" w14:paraId="753D9324"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5C95ADE8" w14:textId="77777777" w:rsidR="00D6638C" w:rsidRPr="00351452" w:rsidRDefault="00D6638C" w:rsidP="00D6638C">
            <w:pPr>
              <w:numPr>
                <w:ilvl w:val="12"/>
                <w:numId w:val="0"/>
              </w:numPr>
              <w:spacing w:after="0"/>
              <w:rPr>
                <w:rFonts w:ascii="Calibri" w:eastAsia="Times New Roman" w:hAnsi="Calibri" w:cs="Calibri"/>
                <w:iCs/>
                <w:color w:val="FFFFFF" w:themeColor="background1"/>
                <w:sz w:val="20"/>
                <w:szCs w:val="20"/>
              </w:rPr>
            </w:pPr>
            <w:r w:rsidRPr="00351452">
              <w:rPr>
                <w:rFonts w:ascii="Calibri" w:eastAsia="Times New Roman" w:hAnsi="Calibri" w:cs="Calibri"/>
                <w:iCs/>
                <w:color w:val="FFFFFF" w:themeColor="background1"/>
                <w:sz w:val="20"/>
                <w:szCs w:val="20"/>
              </w:rPr>
              <w:t>Efficiency: Was the project implemented efficiently, in-line with international and national norms and standards?</w:t>
            </w:r>
          </w:p>
        </w:tc>
      </w:tr>
      <w:tr w:rsidR="00D6638C" w:rsidRPr="00C0295B" w14:paraId="77089409" w14:textId="77777777" w:rsidTr="00310398">
        <w:tc>
          <w:tcPr>
            <w:tcW w:w="199" w:type="dxa"/>
            <w:tcBorders>
              <w:top w:val="nil"/>
              <w:left w:val="nil"/>
              <w:bottom w:val="nil"/>
              <w:right w:val="nil"/>
            </w:tcBorders>
            <w:shd w:val="pct12" w:color="auto" w:fill="FFFFFF"/>
          </w:tcPr>
          <w:p w14:paraId="5642C191"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5A08AA52" w14:textId="1FFCC4D8" w:rsidR="00D6638C"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Were inputs (resources and time) used in the best possible way to achieve the outcomes?</w:t>
            </w:r>
          </w:p>
        </w:tc>
        <w:tc>
          <w:tcPr>
            <w:tcW w:w="3870" w:type="dxa"/>
          </w:tcPr>
          <w:p w14:paraId="6CB4F240" w14:textId="77777777" w:rsidR="00D6638C"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Human and technical capacities of the central and provincial government institutions, NGOs and CBOs is developed</w:t>
            </w:r>
          </w:p>
          <w:p w14:paraId="197AF30B" w14:textId="2292916D" w:rsidR="00A56AE5"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Regional and international expertise bringing in state-of-the-art technologies, good practices are used</w:t>
            </w:r>
          </w:p>
        </w:tc>
        <w:tc>
          <w:tcPr>
            <w:tcW w:w="2430" w:type="dxa"/>
          </w:tcPr>
          <w:p w14:paraId="4920AF82"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Project reports (annual and quarterly)</w:t>
            </w:r>
          </w:p>
          <w:p w14:paraId="05F9DEDA"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Mid-term review reports</w:t>
            </w:r>
          </w:p>
          <w:p w14:paraId="5DE715C1"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Media articles/reports</w:t>
            </w:r>
          </w:p>
          <w:p w14:paraId="053A6EAD"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Training reports</w:t>
            </w:r>
          </w:p>
          <w:p w14:paraId="1CCAAC03" w14:textId="77777777" w:rsidR="00D6638C" w:rsidRPr="00C0295B" w:rsidRDefault="00D6638C" w:rsidP="00A56AE5">
            <w:pPr>
              <w:tabs>
                <w:tab w:val="left" w:pos="227"/>
              </w:tabs>
              <w:autoSpaceDE w:val="0"/>
              <w:autoSpaceDN w:val="0"/>
              <w:adjustRightInd w:val="0"/>
              <w:spacing w:after="0" w:line="240" w:lineRule="auto"/>
              <w:ind w:left="360"/>
              <w:rPr>
                <w:rFonts w:ascii="Calibri" w:eastAsia="Times New Roman" w:hAnsi="Calibri" w:cs="Calibri"/>
                <w:color w:val="244061" w:themeColor="accent1" w:themeShade="80"/>
                <w:sz w:val="20"/>
                <w:szCs w:val="20"/>
              </w:rPr>
            </w:pPr>
          </w:p>
        </w:tc>
        <w:tc>
          <w:tcPr>
            <w:tcW w:w="1944" w:type="dxa"/>
            <w:gridSpan w:val="2"/>
            <w:tcBorders>
              <w:right w:val="single" w:sz="6" w:space="0" w:color="auto"/>
            </w:tcBorders>
          </w:tcPr>
          <w:p w14:paraId="7286DE91"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Individual interviews</w:t>
            </w:r>
          </w:p>
          <w:p w14:paraId="3B155497"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Desk reviews</w:t>
            </w:r>
          </w:p>
          <w:p w14:paraId="3C5AFEB2"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Reports</w:t>
            </w:r>
          </w:p>
          <w:p w14:paraId="2635BFB7" w14:textId="09E9C457" w:rsidR="00D6638C" w:rsidRPr="00C0295B"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FGDs</w:t>
            </w:r>
          </w:p>
        </w:tc>
      </w:tr>
      <w:tr w:rsidR="00D6638C" w:rsidRPr="00C0295B" w14:paraId="2714B421" w14:textId="77777777" w:rsidTr="00310398">
        <w:tc>
          <w:tcPr>
            <w:tcW w:w="199" w:type="dxa"/>
            <w:tcBorders>
              <w:top w:val="nil"/>
              <w:left w:val="nil"/>
              <w:bottom w:val="nil"/>
              <w:right w:val="nil"/>
            </w:tcBorders>
            <w:shd w:val="pct12" w:color="auto" w:fill="FFFFFF"/>
          </w:tcPr>
          <w:p w14:paraId="1F242531"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bottom w:val="nil"/>
            </w:tcBorders>
          </w:tcPr>
          <w:p w14:paraId="48B38F75" w14:textId="7B0F6ED2" w:rsidR="00D6638C"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What could be done differently to improve implementation, thereby maximizing impact, at an acceptable and sustainable cost?</w:t>
            </w:r>
          </w:p>
        </w:tc>
        <w:tc>
          <w:tcPr>
            <w:tcW w:w="3870" w:type="dxa"/>
            <w:tcBorders>
              <w:bottom w:val="nil"/>
            </w:tcBorders>
          </w:tcPr>
          <w:p w14:paraId="2B93605C"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2430" w:type="dxa"/>
            <w:tcBorders>
              <w:bottom w:val="nil"/>
            </w:tcBorders>
          </w:tcPr>
          <w:p w14:paraId="4FE46FA1"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44" w:type="dxa"/>
            <w:gridSpan w:val="2"/>
            <w:tcBorders>
              <w:bottom w:val="nil"/>
              <w:right w:val="single" w:sz="6" w:space="0" w:color="auto"/>
            </w:tcBorders>
          </w:tcPr>
          <w:p w14:paraId="099B54E6"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r>
      <w:tr w:rsidR="00D6638C" w:rsidRPr="00C0295B" w14:paraId="40338294"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CCFEFE9" w14:textId="77777777" w:rsidR="00D6638C" w:rsidRPr="00A56AE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color w:val="FFFFFF" w:themeColor="background1"/>
                <w:sz w:val="20"/>
                <w:szCs w:val="20"/>
                <w:lang w:bidi="ar-SA"/>
              </w:rPr>
            </w:pPr>
            <w:r w:rsidRPr="00A56AE5">
              <w:rPr>
                <w:rFonts w:eastAsia="Times New Roman" w:cstheme="minorHAnsi"/>
                <w:color w:val="FFFFFF" w:themeColor="background1"/>
                <w:sz w:val="20"/>
                <w:szCs w:val="20"/>
                <w:lang w:bidi="ar-SA"/>
              </w:rPr>
              <w:t xml:space="preserve"> Sustainability: To what extent are there financial, institutional, social-economic, and/or environmental risks to sustaining long-term project results?</w:t>
            </w:r>
          </w:p>
        </w:tc>
      </w:tr>
      <w:tr w:rsidR="00D6638C" w:rsidRPr="00C0295B" w14:paraId="3BC02843" w14:textId="77777777" w:rsidTr="00310398">
        <w:tc>
          <w:tcPr>
            <w:tcW w:w="199" w:type="dxa"/>
            <w:tcBorders>
              <w:top w:val="nil"/>
              <w:left w:val="nil"/>
              <w:bottom w:val="nil"/>
              <w:right w:val="nil"/>
            </w:tcBorders>
            <w:shd w:val="pct12" w:color="auto" w:fill="FFFFFF"/>
          </w:tcPr>
          <w:p w14:paraId="132545CE"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17F3A1BE" w14:textId="07DCAA43" w:rsidR="00D6638C" w:rsidRPr="00C0295B" w:rsidRDefault="00A56AE5"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To what extent has the project contributed towards its longer-term goals? What unanticipated positive or negative consequences did the project have? Why did they arise?</w:t>
            </w:r>
          </w:p>
        </w:tc>
        <w:tc>
          <w:tcPr>
            <w:tcW w:w="3870" w:type="dxa"/>
          </w:tcPr>
          <w:p w14:paraId="7890A872" w14:textId="767F92E0" w:rsidR="00D6638C" w:rsidRPr="00C0295B" w:rsidRDefault="00CF2BB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 xml:space="preserve">Improved </w:t>
            </w:r>
            <w:r w:rsidR="00C510B0">
              <w:rPr>
                <w:rFonts w:ascii="Calibri" w:eastAsia="Times New Roman" w:hAnsi="Calibri" w:cs="Calibri"/>
                <w:color w:val="244061" w:themeColor="accent1" w:themeShade="80"/>
                <w:sz w:val="20"/>
                <w:szCs w:val="20"/>
              </w:rPr>
              <w:t xml:space="preserve">longer-term </w:t>
            </w:r>
            <w:r>
              <w:rPr>
                <w:rFonts w:ascii="Calibri" w:eastAsia="Times New Roman" w:hAnsi="Calibri" w:cs="Calibri"/>
                <w:color w:val="244061" w:themeColor="accent1" w:themeShade="80"/>
                <w:sz w:val="20"/>
                <w:szCs w:val="20"/>
              </w:rPr>
              <w:t>resilience</w:t>
            </w:r>
            <w:r w:rsidR="00C510B0">
              <w:rPr>
                <w:rFonts w:ascii="Calibri" w:eastAsia="Times New Roman" w:hAnsi="Calibri" w:cs="Calibri"/>
                <w:color w:val="244061" w:themeColor="accent1" w:themeShade="80"/>
                <w:sz w:val="20"/>
                <w:szCs w:val="20"/>
              </w:rPr>
              <w:t xml:space="preserve"> and adaptive capacity</w:t>
            </w:r>
            <w:r>
              <w:rPr>
                <w:rFonts w:ascii="Calibri" w:eastAsia="Times New Roman" w:hAnsi="Calibri" w:cs="Calibri"/>
                <w:color w:val="244061" w:themeColor="accent1" w:themeShade="80"/>
                <w:sz w:val="20"/>
                <w:szCs w:val="20"/>
              </w:rPr>
              <w:t xml:space="preserve"> of </w:t>
            </w:r>
            <w:r w:rsidR="00C510B0">
              <w:rPr>
                <w:rFonts w:ascii="Calibri" w:eastAsia="Times New Roman" w:hAnsi="Calibri" w:cs="Calibri"/>
                <w:color w:val="244061" w:themeColor="accent1" w:themeShade="80"/>
                <w:sz w:val="20"/>
                <w:szCs w:val="20"/>
              </w:rPr>
              <w:t>coastal and riverine communities to withstand climate change impacts</w:t>
            </w:r>
          </w:p>
        </w:tc>
        <w:tc>
          <w:tcPr>
            <w:tcW w:w="2430" w:type="dxa"/>
          </w:tcPr>
          <w:p w14:paraId="1E737BD4"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Project reports (annual and quarterly)</w:t>
            </w:r>
          </w:p>
          <w:p w14:paraId="4F622C36"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Mid-term review reports</w:t>
            </w:r>
          </w:p>
          <w:p w14:paraId="0446F64D"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Media articles/reports</w:t>
            </w:r>
          </w:p>
          <w:p w14:paraId="609B26FB" w14:textId="77777777" w:rsidR="00D6638C" w:rsidRPr="00C0295B" w:rsidRDefault="00D6638C" w:rsidP="00BD5B3E">
            <w:p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44" w:type="dxa"/>
            <w:gridSpan w:val="2"/>
            <w:tcBorders>
              <w:right w:val="single" w:sz="6" w:space="0" w:color="auto"/>
            </w:tcBorders>
          </w:tcPr>
          <w:p w14:paraId="127A393E"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Individual interviews</w:t>
            </w:r>
          </w:p>
          <w:p w14:paraId="75F2A7AF"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Desk reviews</w:t>
            </w:r>
          </w:p>
          <w:p w14:paraId="7917CC32" w14:textId="77777777" w:rsidR="00BD5B3E"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Reports</w:t>
            </w:r>
          </w:p>
          <w:p w14:paraId="3B3357E8" w14:textId="2101A276" w:rsidR="00D6638C" w:rsidRPr="00C0295B" w:rsidRDefault="00BD5B3E" w:rsidP="00BD5B3E">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FGDs</w:t>
            </w:r>
          </w:p>
        </w:tc>
      </w:tr>
      <w:tr w:rsidR="00D6638C" w:rsidRPr="00C0295B" w14:paraId="52265369" w14:textId="77777777" w:rsidTr="00310398">
        <w:tc>
          <w:tcPr>
            <w:tcW w:w="199" w:type="dxa"/>
            <w:tcBorders>
              <w:top w:val="nil"/>
              <w:left w:val="nil"/>
              <w:bottom w:val="nil"/>
              <w:right w:val="nil"/>
            </w:tcBorders>
            <w:shd w:val="pct12" w:color="auto" w:fill="FFFFFF"/>
          </w:tcPr>
          <w:p w14:paraId="55D56908"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772B37D0" w14:textId="2B265E23" w:rsidR="00D6638C" w:rsidRPr="00C0295B" w:rsidRDefault="00C510B0"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What are the remaining risks to project sustainability?</w:t>
            </w:r>
          </w:p>
        </w:tc>
        <w:tc>
          <w:tcPr>
            <w:tcW w:w="3870" w:type="dxa"/>
          </w:tcPr>
          <w:p w14:paraId="50091395"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2430" w:type="dxa"/>
          </w:tcPr>
          <w:p w14:paraId="07412010"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44" w:type="dxa"/>
            <w:gridSpan w:val="2"/>
            <w:tcBorders>
              <w:right w:val="single" w:sz="6" w:space="0" w:color="auto"/>
            </w:tcBorders>
          </w:tcPr>
          <w:p w14:paraId="6877ACA0"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r>
      <w:tr w:rsidR="00D6638C" w:rsidRPr="00C0295B" w14:paraId="01002A4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5F4F24C" w14:textId="77777777" w:rsidR="00D6638C" w:rsidRPr="00C510B0"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color w:val="FFFFFF" w:themeColor="background1"/>
                <w:sz w:val="20"/>
                <w:szCs w:val="20"/>
                <w:lang w:bidi="ar-SA"/>
              </w:rPr>
            </w:pPr>
            <w:r w:rsidRPr="00C510B0">
              <w:rPr>
                <w:rFonts w:eastAsia="Times New Roman" w:cstheme="minorHAnsi"/>
                <w:b/>
                <w:iCs/>
                <w:color w:val="FFFFFF" w:themeColor="background1"/>
                <w:sz w:val="20"/>
                <w:szCs w:val="20"/>
                <w:lang w:bidi="ar-SA"/>
              </w:rPr>
              <w:t xml:space="preserve">Impact: Are there indications that the project has contributed to, or enabled progress toward, reduced environmental stress and/or improved ecological status?  </w:t>
            </w:r>
          </w:p>
        </w:tc>
      </w:tr>
      <w:tr w:rsidR="00D6638C" w:rsidRPr="00C0295B" w14:paraId="4BEC67D9" w14:textId="77777777" w:rsidTr="00310398">
        <w:tc>
          <w:tcPr>
            <w:tcW w:w="199" w:type="dxa"/>
            <w:tcBorders>
              <w:top w:val="nil"/>
              <w:left w:val="nil"/>
              <w:bottom w:val="nil"/>
              <w:right w:val="nil"/>
            </w:tcBorders>
            <w:shd w:val="pct12" w:color="auto" w:fill="FFFFFF"/>
          </w:tcPr>
          <w:p w14:paraId="7E637388"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tcBorders>
          </w:tcPr>
          <w:p w14:paraId="48542503" w14:textId="1E3BA87E" w:rsidR="00D6638C" w:rsidRPr="00C0295B" w:rsidRDefault="00C510B0"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r>
              <w:rPr>
                <w:rFonts w:ascii="Calibri" w:eastAsia="Times New Roman" w:hAnsi="Calibri" w:cs="Calibri"/>
                <w:color w:val="244061" w:themeColor="accent1" w:themeShade="80"/>
                <w:sz w:val="20"/>
                <w:szCs w:val="20"/>
              </w:rPr>
              <w:t xml:space="preserve">To what extent has better managed, monitored and planned adaptation to climate change impacted environmental stress </w:t>
            </w:r>
            <w:r w:rsidR="00BD5B3E">
              <w:rPr>
                <w:rFonts w:ascii="Calibri" w:eastAsia="Times New Roman" w:hAnsi="Calibri" w:cs="Calibri"/>
                <w:color w:val="244061" w:themeColor="accent1" w:themeShade="80"/>
                <w:sz w:val="20"/>
                <w:szCs w:val="20"/>
              </w:rPr>
              <w:t>and/or ecological stress?</w:t>
            </w:r>
          </w:p>
        </w:tc>
        <w:tc>
          <w:tcPr>
            <w:tcW w:w="3870" w:type="dxa"/>
          </w:tcPr>
          <w:p w14:paraId="5F1CCC2A"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2430" w:type="dxa"/>
          </w:tcPr>
          <w:p w14:paraId="6ED14C8F"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c>
          <w:tcPr>
            <w:tcW w:w="1944" w:type="dxa"/>
            <w:gridSpan w:val="2"/>
            <w:tcBorders>
              <w:right w:val="single" w:sz="6" w:space="0" w:color="auto"/>
            </w:tcBorders>
          </w:tcPr>
          <w:p w14:paraId="6E72F9F7" w14:textId="77777777" w:rsidR="00D6638C" w:rsidRPr="00C0295B"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color w:val="244061" w:themeColor="accent1" w:themeShade="80"/>
                <w:sz w:val="20"/>
                <w:szCs w:val="20"/>
              </w:rPr>
            </w:pPr>
          </w:p>
        </w:tc>
      </w:tr>
      <w:tr w:rsidR="00D6638C" w:rsidRPr="00C0295B" w14:paraId="2A432747" w14:textId="77777777" w:rsidTr="00310398">
        <w:tc>
          <w:tcPr>
            <w:tcW w:w="199" w:type="dxa"/>
            <w:tcBorders>
              <w:top w:val="nil"/>
              <w:left w:val="nil"/>
              <w:bottom w:val="nil"/>
              <w:right w:val="nil"/>
            </w:tcBorders>
            <w:shd w:val="pct12" w:color="auto" w:fill="FFFFFF"/>
          </w:tcPr>
          <w:p w14:paraId="4758D80F" w14:textId="77777777" w:rsidR="00D6638C" w:rsidRPr="00C0295B"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color w:val="244061" w:themeColor="accent1" w:themeShade="80"/>
                <w:sz w:val="20"/>
                <w:szCs w:val="20"/>
                <w:lang w:bidi="ar-SA"/>
              </w:rPr>
            </w:pPr>
          </w:p>
        </w:tc>
        <w:tc>
          <w:tcPr>
            <w:tcW w:w="6158" w:type="dxa"/>
            <w:tcBorders>
              <w:left w:val="nil"/>
              <w:bottom w:val="single" w:sz="6" w:space="0" w:color="auto"/>
            </w:tcBorders>
          </w:tcPr>
          <w:p w14:paraId="36658454" w14:textId="77777777" w:rsidR="00D6638C" w:rsidRPr="00C0295B" w:rsidRDefault="00D6638C" w:rsidP="00BD5B3E">
            <w:pPr>
              <w:tabs>
                <w:tab w:val="left" w:pos="227"/>
              </w:tabs>
              <w:autoSpaceDE w:val="0"/>
              <w:autoSpaceDN w:val="0"/>
              <w:adjustRightInd w:val="0"/>
              <w:spacing w:after="0" w:line="240" w:lineRule="auto"/>
              <w:ind w:left="360"/>
              <w:rPr>
                <w:rFonts w:ascii="Calibri" w:eastAsia="Times New Roman" w:hAnsi="Calibri" w:cs="Calibri"/>
                <w:color w:val="244061" w:themeColor="accent1" w:themeShade="80"/>
                <w:sz w:val="20"/>
                <w:szCs w:val="20"/>
              </w:rPr>
            </w:pPr>
          </w:p>
        </w:tc>
        <w:tc>
          <w:tcPr>
            <w:tcW w:w="3870" w:type="dxa"/>
            <w:tcBorders>
              <w:bottom w:val="single" w:sz="6" w:space="0" w:color="auto"/>
            </w:tcBorders>
          </w:tcPr>
          <w:p w14:paraId="6F924BED" w14:textId="77777777" w:rsidR="00D6638C" w:rsidRPr="00C0295B" w:rsidRDefault="00D6638C" w:rsidP="00BD5B3E">
            <w:pPr>
              <w:tabs>
                <w:tab w:val="left" w:pos="227"/>
              </w:tabs>
              <w:autoSpaceDE w:val="0"/>
              <w:autoSpaceDN w:val="0"/>
              <w:adjustRightInd w:val="0"/>
              <w:spacing w:after="0" w:line="240" w:lineRule="auto"/>
              <w:ind w:left="360"/>
              <w:rPr>
                <w:rFonts w:ascii="Calibri" w:eastAsia="Times New Roman" w:hAnsi="Calibri" w:cs="Calibri"/>
                <w:color w:val="244061" w:themeColor="accent1" w:themeShade="80"/>
                <w:sz w:val="20"/>
                <w:szCs w:val="20"/>
              </w:rPr>
            </w:pPr>
          </w:p>
        </w:tc>
        <w:tc>
          <w:tcPr>
            <w:tcW w:w="2430" w:type="dxa"/>
            <w:tcBorders>
              <w:bottom w:val="single" w:sz="6" w:space="0" w:color="auto"/>
            </w:tcBorders>
          </w:tcPr>
          <w:p w14:paraId="5A77B2E4" w14:textId="77777777" w:rsidR="00D6638C" w:rsidRPr="00C0295B" w:rsidRDefault="00D6638C" w:rsidP="00BD5B3E">
            <w:pPr>
              <w:tabs>
                <w:tab w:val="left" w:pos="227"/>
              </w:tabs>
              <w:autoSpaceDE w:val="0"/>
              <w:autoSpaceDN w:val="0"/>
              <w:adjustRightInd w:val="0"/>
              <w:spacing w:after="0" w:line="240" w:lineRule="auto"/>
              <w:ind w:left="360"/>
              <w:rPr>
                <w:rFonts w:ascii="Calibri" w:eastAsia="Times New Roman" w:hAnsi="Calibri" w:cs="Calibri"/>
                <w:color w:val="244061" w:themeColor="accent1" w:themeShade="80"/>
                <w:sz w:val="20"/>
                <w:szCs w:val="20"/>
              </w:rPr>
            </w:pPr>
          </w:p>
        </w:tc>
        <w:tc>
          <w:tcPr>
            <w:tcW w:w="1944" w:type="dxa"/>
            <w:gridSpan w:val="2"/>
            <w:tcBorders>
              <w:bottom w:val="single" w:sz="6" w:space="0" w:color="auto"/>
              <w:right w:val="single" w:sz="6" w:space="0" w:color="auto"/>
            </w:tcBorders>
          </w:tcPr>
          <w:p w14:paraId="3D16AEF8" w14:textId="77777777" w:rsidR="00D6638C" w:rsidRPr="00C0295B" w:rsidRDefault="00D6638C" w:rsidP="00BD5B3E">
            <w:pPr>
              <w:tabs>
                <w:tab w:val="left" w:pos="227"/>
              </w:tabs>
              <w:autoSpaceDE w:val="0"/>
              <w:autoSpaceDN w:val="0"/>
              <w:adjustRightInd w:val="0"/>
              <w:spacing w:after="0" w:line="240" w:lineRule="auto"/>
              <w:ind w:left="360"/>
              <w:rPr>
                <w:rFonts w:ascii="Calibri" w:eastAsia="Times New Roman" w:hAnsi="Calibri" w:cs="Calibri"/>
                <w:color w:val="244061" w:themeColor="accent1" w:themeShade="80"/>
                <w:sz w:val="20"/>
                <w:szCs w:val="20"/>
              </w:rPr>
            </w:pPr>
          </w:p>
        </w:tc>
      </w:tr>
    </w:tbl>
    <w:p w14:paraId="6D4697B2" w14:textId="77777777" w:rsidR="00D6638C" w:rsidRPr="00C0295B" w:rsidRDefault="00D6638C" w:rsidP="00D6638C">
      <w:pPr>
        <w:spacing w:before="200"/>
        <w:rPr>
          <w:rFonts w:ascii="Calibri" w:eastAsia="Times New Roman" w:hAnsi="Calibri" w:cs="Times New Roman"/>
          <w:color w:val="244061" w:themeColor="accent1" w:themeShade="80"/>
          <w:sz w:val="20"/>
          <w:szCs w:val="20"/>
        </w:rPr>
        <w:sectPr w:rsidR="00D6638C" w:rsidRPr="00C0295B" w:rsidSect="006C1964">
          <w:pgSz w:w="15840" w:h="12240" w:orient="landscape"/>
          <w:pgMar w:top="1440" w:right="900" w:bottom="1440" w:left="1440" w:header="708" w:footer="708" w:gutter="0"/>
          <w:cols w:space="708"/>
          <w:docGrid w:linePitch="360"/>
        </w:sectPr>
      </w:pPr>
    </w:p>
    <w:p w14:paraId="48367DC0" w14:textId="77777777" w:rsidR="00D6638C" w:rsidRPr="00C0295B" w:rsidRDefault="00D6638C" w:rsidP="00F05366">
      <w:pPr>
        <w:pStyle w:val="Heading31"/>
        <w:rPr>
          <w:color w:val="244061" w:themeColor="accent1" w:themeShade="80"/>
        </w:rPr>
      </w:pPr>
      <w:bookmarkStart w:id="70" w:name="_TOR_Annex_D:"/>
      <w:bookmarkStart w:id="71" w:name="_Toc321341565"/>
      <w:bookmarkEnd w:id="70"/>
      <w:r w:rsidRPr="00C0295B">
        <w:rPr>
          <w:color w:val="244061" w:themeColor="accent1" w:themeShade="80"/>
        </w:rPr>
        <w:lastRenderedPageBreak/>
        <w:t>Annex D: Rating</w:t>
      </w:r>
      <w:r w:rsidR="00E77635" w:rsidRPr="00C0295B">
        <w:rPr>
          <w:color w:val="244061" w:themeColor="accent1" w:themeShade="80"/>
        </w:rPr>
        <w:t xml:space="preserve"> Scales</w:t>
      </w:r>
      <w:bookmarkEnd w:id="71"/>
    </w:p>
    <w:p w14:paraId="6D8312C7" w14:textId="77777777" w:rsidR="00E77635" w:rsidRPr="00C0295B" w:rsidRDefault="00E77635" w:rsidP="00E77635">
      <w:pPr>
        <w:pStyle w:val="Normalbullet0"/>
        <w:rPr>
          <w:color w:val="244061" w:themeColor="accent1" w:themeShade="8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C0295B" w14:paraId="248806DE" w14:textId="77777777" w:rsidTr="00E77635">
        <w:trPr>
          <w:trHeight w:val="548"/>
        </w:trPr>
        <w:tc>
          <w:tcPr>
            <w:tcW w:w="2009" w:type="pct"/>
            <w:shd w:val="clear" w:color="auto" w:fill="auto"/>
            <w:hideMark/>
          </w:tcPr>
          <w:p w14:paraId="587448F0" w14:textId="77777777" w:rsidR="00D6638C" w:rsidRPr="00C0295B" w:rsidRDefault="00D6638C" w:rsidP="00D6638C">
            <w:pPr>
              <w:spacing w:after="0" w:line="240" w:lineRule="auto"/>
              <w:rPr>
                <w:rFonts w:ascii="Calibri" w:eastAsia="Calibri" w:hAnsi="Calibri" w:cs="Times New Roman"/>
                <w:b/>
                <w:i/>
                <w:color w:val="244061" w:themeColor="accent1" w:themeShade="80"/>
                <w:sz w:val="20"/>
                <w:szCs w:val="20"/>
              </w:rPr>
            </w:pPr>
            <w:r w:rsidRPr="00C0295B">
              <w:rPr>
                <w:rFonts w:ascii="Calibri" w:eastAsia="Times New Roman" w:hAnsi="Calibri" w:cs="Times New Roman"/>
                <w:b/>
                <w:i/>
                <w:color w:val="244061" w:themeColor="accent1" w:themeShade="80"/>
                <w:sz w:val="20"/>
                <w:szCs w:val="20"/>
              </w:rPr>
              <w:t>Ratings for Outcomes, Effectiveness, Efficiency, M&amp;E, I&amp;E Execution</w:t>
            </w:r>
          </w:p>
        </w:tc>
        <w:tc>
          <w:tcPr>
            <w:tcW w:w="2010" w:type="pct"/>
            <w:shd w:val="clear" w:color="auto" w:fill="auto"/>
          </w:tcPr>
          <w:p w14:paraId="001F07B7" w14:textId="77777777" w:rsidR="00D6638C" w:rsidRPr="00C0295B" w:rsidRDefault="00D6638C" w:rsidP="00D6638C">
            <w:pPr>
              <w:spacing w:after="0" w:line="240" w:lineRule="auto"/>
              <w:rPr>
                <w:rFonts w:ascii="Calibri" w:eastAsia="Calibri" w:hAnsi="Calibri" w:cs="Times New Roman"/>
                <w:b/>
                <w:i/>
                <w:color w:val="244061" w:themeColor="accent1" w:themeShade="80"/>
                <w:sz w:val="20"/>
                <w:szCs w:val="20"/>
              </w:rPr>
            </w:pPr>
            <w:r w:rsidRPr="00C0295B">
              <w:rPr>
                <w:rFonts w:ascii="Calibri" w:eastAsia="Times New Roman" w:hAnsi="Calibri" w:cs="Times New Roman"/>
                <w:b/>
                <w:i/>
                <w:color w:val="244061" w:themeColor="accent1" w:themeShade="80"/>
                <w:sz w:val="20"/>
                <w:szCs w:val="20"/>
              </w:rPr>
              <w:t xml:space="preserve">Sustainability ratings: </w:t>
            </w:r>
          </w:p>
          <w:p w14:paraId="4177B9DE" w14:textId="77777777" w:rsidR="00D6638C" w:rsidRPr="00C0295B" w:rsidRDefault="00D6638C" w:rsidP="00D6638C">
            <w:pPr>
              <w:spacing w:after="0" w:line="240" w:lineRule="auto"/>
              <w:rPr>
                <w:rFonts w:ascii="Calibri" w:eastAsia="Times New Roman" w:hAnsi="Calibri" w:cs="Times New Roman"/>
                <w:b/>
                <w:i/>
                <w:color w:val="244061" w:themeColor="accent1" w:themeShade="80"/>
                <w:sz w:val="20"/>
                <w:szCs w:val="20"/>
              </w:rPr>
            </w:pPr>
          </w:p>
        </w:tc>
        <w:tc>
          <w:tcPr>
            <w:tcW w:w="981" w:type="pct"/>
            <w:shd w:val="clear" w:color="auto" w:fill="auto"/>
          </w:tcPr>
          <w:p w14:paraId="292250F1" w14:textId="77777777" w:rsidR="00D6638C" w:rsidRPr="00C0295B" w:rsidRDefault="00D6638C" w:rsidP="00D6638C">
            <w:pPr>
              <w:spacing w:after="0" w:line="240" w:lineRule="auto"/>
              <w:rPr>
                <w:rFonts w:ascii="Calibri" w:eastAsia="Times New Roman" w:hAnsi="Calibri" w:cs="Times New Roman"/>
                <w:b/>
                <w:i/>
                <w:color w:val="244061" w:themeColor="accent1" w:themeShade="80"/>
                <w:sz w:val="20"/>
                <w:szCs w:val="20"/>
              </w:rPr>
            </w:pPr>
            <w:r w:rsidRPr="00C0295B">
              <w:rPr>
                <w:rFonts w:ascii="Calibri" w:eastAsia="Times New Roman" w:hAnsi="Calibri" w:cs="Times New Roman"/>
                <w:b/>
                <w:i/>
                <w:color w:val="244061" w:themeColor="accent1" w:themeShade="80"/>
                <w:sz w:val="20"/>
                <w:szCs w:val="20"/>
              </w:rPr>
              <w:t>Relevance ratings</w:t>
            </w:r>
          </w:p>
        </w:tc>
      </w:tr>
      <w:tr w:rsidR="00D6638C" w:rsidRPr="00C0295B" w14:paraId="374FF60A" w14:textId="77777777" w:rsidTr="00E77635">
        <w:trPr>
          <w:trHeight w:val="269"/>
        </w:trPr>
        <w:tc>
          <w:tcPr>
            <w:tcW w:w="2009" w:type="pct"/>
            <w:vMerge w:val="restart"/>
            <w:shd w:val="clear" w:color="auto" w:fill="auto"/>
            <w:hideMark/>
          </w:tcPr>
          <w:p w14:paraId="117C39E9"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6: Highly Satisfactory (HS): no shortcomings </w:t>
            </w:r>
          </w:p>
          <w:p w14:paraId="65C64927"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5: Satisfactory (S): minor shortcomings</w:t>
            </w:r>
          </w:p>
          <w:p w14:paraId="02F14F23"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4: Moderately Satisfactory (MS)</w:t>
            </w:r>
          </w:p>
          <w:p w14:paraId="7E75AFC1"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3. Moderately Unsatisfactory (MU): significant  shortcomings</w:t>
            </w:r>
          </w:p>
          <w:p w14:paraId="03E4683E"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 Unsatisfactory (U): major problems</w:t>
            </w:r>
          </w:p>
          <w:p w14:paraId="6C7FD6EE" w14:textId="77777777" w:rsidR="00D6638C" w:rsidRPr="00C0295B" w:rsidRDefault="00D6638C" w:rsidP="00D6638C">
            <w:pPr>
              <w:spacing w:after="0" w:line="240" w:lineRule="auto"/>
              <w:ind w:left="162"/>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 Highly Unsatisfactory (HU): severe problems</w:t>
            </w:r>
          </w:p>
          <w:p w14:paraId="7F656271"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p>
        </w:tc>
        <w:tc>
          <w:tcPr>
            <w:tcW w:w="2010" w:type="pct"/>
            <w:tcBorders>
              <w:bottom w:val="nil"/>
            </w:tcBorders>
            <w:shd w:val="clear" w:color="auto" w:fill="auto"/>
          </w:tcPr>
          <w:p w14:paraId="6F7E7E29"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4. Likely (L): negligible risks to sustainability</w:t>
            </w:r>
          </w:p>
        </w:tc>
        <w:tc>
          <w:tcPr>
            <w:tcW w:w="981" w:type="pct"/>
            <w:tcBorders>
              <w:bottom w:val="nil"/>
            </w:tcBorders>
            <w:shd w:val="clear" w:color="auto" w:fill="auto"/>
          </w:tcPr>
          <w:p w14:paraId="62BAE780"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 Relevant (R)</w:t>
            </w:r>
          </w:p>
        </w:tc>
      </w:tr>
      <w:tr w:rsidR="00D6638C" w:rsidRPr="00C0295B" w14:paraId="20804303" w14:textId="77777777" w:rsidTr="00E77635">
        <w:trPr>
          <w:trHeight w:val="251"/>
        </w:trPr>
        <w:tc>
          <w:tcPr>
            <w:tcW w:w="2009" w:type="pct"/>
            <w:vMerge/>
            <w:shd w:val="clear" w:color="auto" w:fill="auto"/>
            <w:hideMark/>
          </w:tcPr>
          <w:p w14:paraId="119E9DA0"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tc>
        <w:tc>
          <w:tcPr>
            <w:tcW w:w="2010" w:type="pct"/>
            <w:tcBorders>
              <w:top w:val="nil"/>
              <w:bottom w:val="nil"/>
            </w:tcBorders>
            <w:shd w:val="clear" w:color="auto" w:fill="auto"/>
          </w:tcPr>
          <w:p w14:paraId="0D11BB40"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3. Moderately Likely (ML):moderate risks</w:t>
            </w:r>
          </w:p>
        </w:tc>
        <w:tc>
          <w:tcPr>
            <w:tcW w:w="981" w:type="pct"/>
            <w:tcBorders>
              <w:top w:val="nil"/>
              <w:bottom w:val="nil"/>
            </w:tcBorders>
            <w:shd w:val="clear" w:color="auto" w:fill="auto"/>
          </w:tcPr>
          <w:p w14:paraId="7C493B98"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 Not relevant (NR)</w:t>
            </w:r>
          </w:p>
        </w:tc>
      </w:tr>
      <w:tr w:rsidR="00D6638C" w:rsidRPr="00C0295B" w14:paraId="77747D41" w14:textId="77777777" w:rsidTr="00E77635">
        <w:tc>
          <w:tcPr>
            <w:tcW w:w="2009" w:type="pct"/>
            <w:vMerge/>
            <w:tcBorders>
              <w:bottom w:val="single" w:sz="4" w:space="0" w:color="auto"/>
            </w:tcBorders>
            <w:shd w:val="clear" w:color="auto" w:fill="auto"/>
            <w:hideMark/>
          </w:tcPr>
          <w:p w14:paraId="73978940"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tc>
        <w:tc>
          <w:tcPr>
            <w:tcW w:w="2010" w:type="pct"/>
            <w:tcBorders>
              <w:top w:val="nil"/>
              <w:bottom w:val="single" w:sz="4" w:space="0" w:color="auto"/>
            </w:tcBorders>
            <w:shd w:val="clear" w:color="auto" w:fill="auto"/>
          </w:tcPr>
          <w:p w14:paraId="1779612D"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 Moderately Unlikely (MU): significant risks</w:t>
            </w:r>
          </w:p>
          <w:p w14:paraId="2691B7D1"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 Unlikely (U): severe risks</w:t>
            </w:r>
          </w:p>
        </w:tc>
        <w:tc>
          <w:tcPr>
            <w:tcW w:w="981" w:type="pct"/>
            <w:tcBorders>
              <w:top w:val="nil"/>
              <w:bottom w:val="single" w:sz="4" w:space="0" w:color="auto"/>
            </w:tcBorders>
            <w:shd w:val="clear" w:color="auto" w:fill="auto"/>
          </w:tcPr>
          <w:p w14:paraId="3F4596CE"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p>
          <w:p w14:paraId="6BB73A6B" w14:textId="77777777" w:rsidR="00D6638C" w:rsidRPr="00C0295B" w:rsidRDefault="00D6638C" w:rsidP="00D6638C">
            <w:pPr>
              <w:spacing w:after="0" w:line="240" w:lineRule="auto"/>
              <w:rPr>
                <w:rFonts w:ascii="Calibri" w:eastAsia="Times New Roman" w:hAnsi="Calibri" w:cs="Times New Roman"/>
                <w:b/>
                <w:i/>
                <w:color w:val="244061" w:themeColor="accent1" w:themeShade="80"/>
                <w:sz w:val="20"/>
                <w:szCs w:val="20"/>
              </w:rPr>
            </w:pPr>
            <w:r w:rsidRPr="00C0295B">
              <w:rPr>
                <w:rFonts w:ascii="Calibri" w:eastAsia="Times New Roman" w:hAnsi="Calibri" w:cs="Times New Roman"/>
                <w:b/>
                <w:i/>
                <w:color w:val="244061" w:themeColor="accent1" w:themeShade="80"/>
                <w:sz w:val="20"/>
                <w:szCs w:val="20"/>
              </w:rPr>
              <w:t>Impact Ratings:</w:t>
            </w:r>
          </w:p>
          <w:p w14:paraId="6F49160D"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3. Significant (S)</w:t>
            </w:r>
          </w:p>
          <w:p w14:paraId="61DFE23D"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2. Minimal (M)</w:t>
            </w:r>
          </w:p>
          <w:p w14:paraId="64F71F31"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1. Negligible (N)</w:t>
            </w:r>
          </w:p>
        </w:tc>
      </w:tr>
      <w:tr w:rsidR="00D6638C" w:rsidRPr="00C0295B" w14:paraId="305CADEA"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F61A61" w14:textId="77777777" w:rsidR="00D6638C" w:rsidRPr="00C0295B" w:rsidRDefault="00D6638C" w:rsidP="00D6638C">
            <w:pPr>
              <w:spacing w:after="0" w:line="240" w:lineRule="auto"/>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i/>
                <w:color w:val="244061" w:themeColor="accent1" w:themeShade="80"/>
                <w:sz w:val="20"/>
                <w:szCs w:val="20"/>
              </w:rPr>
              <w:t>Additional ratings where relevant:</w:t>
            </w:r>
          </w:p>
          <w:p w14:paraId="5E5EC724" w14:textId="77777777" w:rsidR="00D6638C" w:rsidRPr="00C0295B" w:rsidRDefault="00D6638C" w:rsidP="00D6638C">
            <w:pPr>
              <w:spacing w:after="0" w:line="240" w:lineRule="auto"/>
              <w:rPr>
                <w:rFonts w:ascii="Calibri" w:eastAsia="Times New Roman" w:hAnsi="Calibri" w:cs="Calibri"/>
                <w:color w:val="244061" w:themeColor="accent1" w:themeShade="80"/>
                <w:sz w:val="20"/>
                <w:szCs w:val="20"/>
              </w:rPr>
            </w:pPr>
            <w:r w:rsidRPr="00C0295B">
              <w:rPr>
                <w:rFonts w:ascii="Calibri" w:eastAsia="Times New Roman" w:hAnsi="Calibri" w:cs="Calibri"/>
                <w:color w:val="244061" w:themeColor="accent1" w:themeShade="80"/>
                <w:sz w:val="20"/>
                <w:szCs w:val="20"/>
              </w:rPr>
              <w:t xml:space="preserve">Not Applicable (N/A) </w:t>
            </w:r>
          </w:p>
          <w:p w14:paraId="750A89FD" w14:textId="77777777" w:rsidR="00D6638C" w:rsidRPr="00C0295B" w:rsidRDefault="00D6638C" w:rsidP="00D6638C">
            <w:p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Calibri"/>
                <w:color w:val="244061" w:themeColor="accent1" w:themeShade="80"/>
                <w:sz w:val="20"/>
                <w:szCs w:val="20"/>
              </w:rPr>
              <w:t>Unable to Assess (U/A</w:t>
            </w:r>
          </w:p>
        </w:tc>
      </w:tr>
    </w:tbl>
    <w:p w14:paraId="6E88BF59" w14:textId="77777777" w:rsidR="00D6638C" w:rsidRPr="00C0295B" w:rsidRDefault="00D6638C" w:rsidP="00F05366">
      <w:pPr>
        <w:pStyle w:val="Heading31"/>
        <w:rPr>
          <w:color w:val="244061" w:themeColor="accent1" w:themeShade="80"/>
        </w:rPr>
      </w:pPr>
      <w:r w:rsidRPr="00C0295B">
        <w:rPr>
          <w:color w:val="244061" w:themeColor="accent1" w:themeShade="80"/>
        </w:rPr>
        <w:br w:type="page"/>
      </w:r>
      <w:bookmarkStart w:id="72" w:name="_Toc299133056"/>
      <w:bookmarkStart w:id="73" w:name="_Toc321341566"/>
      <w:r w:rsidRPr="00C0295B">
        <w:rPr>
          <w:color w:val="244061" w:themeColor="accent1" w:themeShade="80"/>
        </w:rPr>
        <w:lastRenderedPageBreak/>
        <w:t xml:space="preserve">Annex E: Evaluation Consultant Code of Conduct </w:t>
      </w:r>
      <w:r w:rsidR="00B913F1" w:rsidRPr="00C0295B">
        <w:rPr>
          <w:color w:val="244061" w:themeColor="accent1" w:themeShade="80"/>
        </w:rPr>
        <w:t xml:space="preserve">and </w:t>
      </w:r>
      <w:r w:rsidRPr="00C0295B">
        <w:rPr>
          <w:color w:val="244061" w:themeColor="accent1" w:themeShade="80"/>
        </w:rPr>
        <w:t>Agreement Form</w:t>
      </w:r>
      <w:bookmarkEnd w:id="67"/>
      <w:bookmarkEnd w:id="68"/>
      <w:bookmarkEnd w:id="69"/>
      <w:bookmarkEnd w:id="72"/>
      <w:bookmarkEnd w:id="73"/>
    </w:p>
    <w:p w14:paraId="0F21B544" w14:textId="77777777" w:rsidR="00B913F1" w:rsidRPr="00C0295B" w:rsidRDefault="00B913F1" w:rsidP="00B913F1">
      <w:pPr>
        <w:autoSpaceDE w:val="0"/>
        <w:autoSpaceDN w:val="0"/>
        <w:adjustRightInd w:val="0"/>
        <w:spacing w:after="0" w:line="240" w:lineRule="auto"/>
        <w:rPr>
          <w:rFonts w:ascii="Myriad-Bold" w:hAnsi="Myriad-Bold" w:cs="Myriad-Bold"/>
          <w:b/>
          <w:bCs/>
          <w:color w:val="244061" w:themeColor="accent1" w:themeShade="80"/>
          <w:lang w:val="en-GB" w:bidi="ar-SA"/>
        </w:rPr>
      </w:pPr>
    </w:p>
    <w:p w14:paraId="1B33B5F7" w14:textId="77777777" w:rsidR="00B913F1" w:rsidRPr="00C0295B" w:rsidRDefault="00B913F1" w:rsidP="00B913F1">
      <w:pPr>
        <w:autoSpaceDE w:val="0"/>
        <w:autoSpaceDN w:val="0"/>
        <w:adjustRightInd w:val="0"/>
        <w:spacing w:after="0" w:line="240" w:lineRule="auto"/>
        <w:rPr>
          <w:rFonts w:cstheme="minorHAnsi"/>
          <w:b/>
          <w:bCs/>
          <w:color w:val="244061" w:themeColor="accent1" w:themeShade="80"/>
          <w:sz w:val="24"/>
          <w:szCs w:val="24"/>
          <w:lang w:val="en-GB" w:bidi="ar-SA"/>
        </w:rPr>
      </w:pPr>
      <w:r w:rsidRPr="00C0295B">
        <w:rPr>
          <w:rFonts w:cstheme="minorHAnsi"/>
          <w:b/>
          <w:bCs/>
          <w:color w:val="244061" w:themeColor="accent1" w:themeShade="80"/>
          <w:sz w:val="24"/>
          <w:szCs w:val="24"/>
          <w:lang w:val="en-GB" w:bidi="ar-SA"/>
        </w:rPr>
        <w:t>Evaluators:</w:t>
      </w:r>
    </w:p>
    <w:p w14:paraId="29D88A6A"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 xml:space="preserve">Must present information that is complete and fair in its assessment of strengths and weaknesses so that decisions or actions taken are well founded.  </w:t>
      </w:r>
    </w:p>
    <w:p w14:paraId="7342DB7F"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 xml:space="preserve">Must disclose the full set of evaluation findings along with information on their limitations and have this accessible to all affected by the evaluation with expressed legal rights to receive results. </w:t>
      </w:r>
    </w:p>
    <w:p w14:paraId="66EB92EB"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6701DE8"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63833A2"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521AC7C" w14:textId="77777777" w:rsidR="00B913F1" w:rsidRPr="00C0295B" w:rsidRDefault="00B913F1" w:rsidP="00B913F1">
      <w:pPr>
        <w:pStyle w:val="ListParagraph"/>
        <w:numPr>
          <w:ilvl w:val="0"/>
          <w:numId w:val="31"/>
        </w:numPr>
        <w:rPr>
          <w:rFonts w:eastAsia="ACaslon-Regular"/>
          <w:color w:val="244061" w:themeColor="accent1" w:themeShade="80"/>
          <w:lang w:val="en-GB" w:bidi="ar-SA"/>
        </w:rPr>
      </w:pPr>
      <w:r w:rsidRPr="00C0295B">
        <w:rPr>
          <w:rFonts w:eastAsia="ACaslon-Regular"/>
          <w:color w:val="244061" w:themeColor="accent1" w:themeShade="80"/>
          <w:lang w:val="en-GB" w:bidi="ar-SA"/>
        </w:rPr>
        <w:t xml:space="preserve">Are responsible for their performance and their product(s). They are responsible for the clear, accurate and fair written and/or oral presentation of study imitations, findings and recommendations. </w:t>
      </w:r>
    </w:p>
    <w:p w14:paraId="27E2FAB3" w14:textId="77777777" w:rsidR="00D6638C" w:rsidRPr="00C0295B" w:rsidRDefault="00B913F1" w:rsidP="00B913F1">
      <w:pPr>
        <w:pStyle w:val="ListParagraph"/>
        <w:numPr>
          <w:ilvl w:val="0"/>
          <w:numId w:val="31"/>
        </w:numPr>
        <w:rPr>
          <w:color w:val="244061" w:themeColor="accent1" w:themeShade="80"/>
        </w:rPr>
      </w:pPr>
      <w:r w:rsidRPr="00C0295B">
        <w:rPr>
          <w:rFonts w:eastAsia="ACaslon-Regular"/>
          <w:color w:val="244061" w:themeColor="accent1" w:themeShade="80"/>
          <w:lang w:val="en-GB" w:bidi="ar-SA"/>
        </w:rPr>
        <w:t>Should reflect sound accounting procedures and be prudent in using the resources of the evaluation.</w:t>
      </w:r>
    </w:p>
    <w:p w14:paraId="49B85D00"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244061" w:themeColor="accent1" w:themeShade="80"/>
        </w:rPr>
      </w:pPr>
      <w:r w:rsidRPr="00C0295B">
        <w:rPr>
          <w:rFonts w:ascii="Calibri" w:eastAsia="Times New Roman" w:hAnsi="Calibri" w:cs="Calibri"/>
          <w:b/>
          <w:bCs/>
          <w:color w:val="244061" w:themeColor="accent1" w:themeShade="80"/>
        </w:rPr>
        <w:t>Evaluation Consultant Agreement Form</w:t>
      </w:r>
      <w:r w:rsidRPr="00C0295B">
        <w:rPr>
          <w:rFonts w:ascii="Calibri" w:eastAsia="Calibri" w:hAnsi="Calibri" w:cs="Calibri"/>
          <w:b/>
          <w:bCs/>
          <w:color w:val="244061" w:themeColor="accent1" w:themeShade="80"/>
          <w:sz w:val="24"/>
          <w:szCs w:val="24"/>
          <w:vertAlign w:val="superscript"/>
        </w:rPr>
        <w:footnoteReference w:id="5"/>
      </w:r>
    </w:p>
    <w:p w14:paraId="40D496C7"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244061" w:themeColor="accent1" w:themeShade="80"/>
        </w:rPr>
      </w:pPr>
      <w:r w:rsidRPr="00C0295B">
        <w:rPr>
          <w:rFonts w:ascii="Calibri" w:eastAsia="Times New Roman" w:hAnsi="Calibri" w:cs="Calibri"/>
          <w:b/>
          <w:bCs/>
          <w:color w:val="244061" w:themeColor="accent1" w:themeShade="80"/>
        </w:rPr>
        <w:t xml:space="preserve">Agreement to abide by the Code of Conduct for Evaluation in the UN System </w:t>
      </w:r>
    </w:p>
    <w:p w14:paraId="36A9189A"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244061" w:themeColor="accent1" w:themeShade="80"/>
        </w:rPr>
      </w:pPr>
      <w:r w:rsidRPr="00C0295B">
        <w:rPr>
          <w:rFonts w:ascii="Calibri" w:eastAsia="Times New Roman" w:hAnsi="Calibri" w:cs="Calibri"/>
          <w:b/>
          <w:bCs/>
          <w:color w:val="244061" w:themeColor="accent1" w:themeShade="80"/>
        </w:rPr>
        <w:t xml:space="preserve">Name of Consultant: </w:t>
      </w:r>
      <w:r w:rsidRPr="00C0295B">
        <w:rPr>
          <w:rFonts w:ascii="Calibri" w:eastAsia="Times New Roman" w:hAnsi="Calibri" w:cs="Calibri"/>
          <w:color w:val="244061" w:themeColor="accent1" w:themeShade="80"/>
        </w:rPr>
        <w:t>__</w:t>
      </w:r>
      <w:r w:rsidRPr="00C0295B">
        <w:rPr>
          <w:rFonts w:ascii="Calibri" w:eastAsia="Times New Roman" w:hAnsi="Calibri" w:cs="Calibri"/>
          <w:color w:val="244061" w:themeColor="accent1" w:themeShade="80"/>
          <w:u w:val="single"/>
        </w:rPr>
        <w:fldChar w:fldCharType="begin">
          <w:ffData>
            <w:name w:val="Text2"/>
            <w:enabled/>
            <w:calcOnExit w:val="0"/>
            <w:textInput/>
          </w:ffData>
        </w:fldChar>
      </w:r>
      <w:r w:rsidRPr="00C0295B">
        <w:rPr>
          <w:rFonts w:ascii="Calibri" w:eastAsia="Times New Roman" w:hAnsi="Calibri" w:cs="Calibri"/>
          <w:color w:val="244061" w:themeColor="accent1" w:themeShade="80"/>
          <w:u w:val="single"/>
        </w:rPr>
        <w:instrText xml:space="preserve"> FORMTEXT </w:instrText>
      </w:r>
      <w:r w:rsidRPr="00C0295B">
        <w:rPr>
          <w:rFonts w:ascii="Calibri" w:eastAsia="Times New Roman" w:hAnsi="Calibri" w:cs="Calibri"/>
          <w:color w:val="244061" w:themeColor="accent1" w:themeShade="80"/>
          <w:u w:val="single"/>
        </w:rPr>
      </w:r>
      <w:r w:rsidRPr="00C0295B">
        <w:rPr>
          <w:rFonts w:ascii="Calibri" w:eastAsia="Times New Roman" w:hAnsi="Calibri" w:cs="Calibri"/>
          <w:color w:val="244061" w:themeColor="accent1" w:themeShade="80"/>
          <w:u w:val="single"/>
        </w:rPr>
        <w:fldChar w:fldCharType="separate"/>
      </w:r>
      <w:r w:rsidRPr="00C0295B">
        <w:rPr>
          <w:rFonts w:ascii="Calibri" w:eastAsia="Times New Roman" w:hAnsi="Calibri" w:cs="Calibri"/>
          <w:noProof/>
          <w:color w:val="244061" w:themeColor="accent1" w:themeShade="80"/>
          <w:u w:val="single"/>
        </w:rPr>
        <w:t> </w:t>
      </w:r>
      <w:r w:rsidRPr="00C0295B">
        <w:rPr>
          <w:rFonts w:ascii="Calibri" w:eastAsia="Times New Roman" w:hAnsi="Calibri" w:cs="Calibri"/>
          <w:noProof/>
          <w:color w:val="244061" w:themeColor="accent1" w:themeShade="80"/>
          <w:u w:val="single"/>
        </w:rPr>
        <w:t> </w:t>
      </w:r>
      <w:r w:rsidRPr="00C0295B">
        <w:rPr>
          <w:rFonts w:ascii="Calibri" w:eastAsia="Times New Roman" w:hAnsi="Calibri" w:cs="Calibri"/>
          <w:noProof/>
          <w:color w:val="244061" w:themeColor="accent1" w:themeShade="80"/>
          <w:u w:val="single"/>
        </w:rPr>
        <w:t> </w:t>
      </w:r>
      <w:r w:rsidRPr="00C0295B">
        <w:rPr>
          <w:rFonts w:ascii="Calibri" w:eastAsia="Times New Roman" w:hAnsi="Calibri" w:cs="Calibri"/>
          <w:noProof/>
          <w:color w:val="244061" w:themeColor="accent1" w:themeShade="80"/>
          <w:u w:val="single"/>
        </w:rPr>
        <w:t> </w:t>
      </w:r>
      <w:r w:rsidRPr="00C0295B">
        <w:rPr>
          <w:rFonts w:ascii="Calibri" w:eastAsia="Times New Roman" w:hAnsi="Calibri" w:cs="Calibri"/>
          <w:noProof/>
          <w:color w:val="244061" w:themeColor="accent1" w:themeShade="80"/>
          <w:u w:val="single"/>
        </w:rPr>
        <w:t> </w:t>
      </w:r>
      <w:r w:rsidRPr="00C0295B">
        <w:rPr>
          <w:rFonts w:ascii="Calibri" w:eastAsia="Times New Roman" w:hAnsi="Calibri" w:cs="Calibri"/>
          <w:color w:val="244061" w:themeColor="accent1" w:themeShade="80"/>
          <w:u w:val="single"/>
        </w:rPr>
        <w:fldChar w:fldCharType="end"/>
      </w:r>
      <w:r w:rsidRPr="00C0295B">
        <w:rPr>
          <w:rFonts w:ascii="Calibri" w:eastAsia="Times New Roman" w:hAnsi="Calibri" w:cs="Calibri"/>
          <w:color w:val="244061" w:themeColor="accent1" w:themeShade="80"/>
        </w:rPr>
        <w:t xml:space="preserve">_________________________________________________ </w:t>
      </w:r>
    </w:p>
    <w:p w14:paraId="10218A4A"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244061" w:themeColor="accent1" w:themeShade="80"/>
        </w:rPr>
      </w:pPr>
      <w:r w:rsidRPr="00C0295B">
        <w:rPr>
          <w:rFonts w:ascii="Calibri" w:eastAsia="Times New Roman" w:hAnsi="Calibri" w:cs="Calibri"/>
          <w:b/>
          <w:bCs/>
          <w:color w:val="244061" w:themeColor="accent1" w:themeShade="80"/>
        </w:rPr>
        <w:t xml:space="preserve">Name of Consultancy Organization </w:t>
      </w:r>
      <w:r w:rsidRPr="00C0295B">
        <w:rPr>
          <w:rFonts w:ascii="Calibri" w:eastAsia="Times New Roman" w:hAnsi="Calibri" w:cs="Calibri"/>
          <w:color w:val="244061" w:themeColor="accent1" w:themeShade="80"/>
        </w:rPr>
        <w:t>(where relevant)</w:t>
      </w:r>
      <w:r w:rsidRPr="00C0295B">
        <w:rPr>
          <w:rFonts w:ascii="Calibri" w:eastAsia="Times New Roman" w:hAnsi="Calibri" w:cs="Calibri"/>
          <w:b/>
          <w:bCs/>
          <w:color w:val="244061" w:themeColor="accent1" w:themeShade="80"/>
        </w:rPr>
        <w:t xml:space="preserve">: </w:t>
      </w:r>
      <w:r w:rsidRPr="00C0295B">
        <w:rPr>
          <w:rFonts w:ascii="Calibri" w:eastAsia="Times New Roman" w:hAnsi="Calibri" w:cs="Calibri"/>
          <w:color w:val="244061" w:themeColor="accent1" w:themeShade="80"/>
        </w:rPr>
        <w:t xml:space="preserve">________________________ </w:t>
      </w:r>
    </w:p>
    <w:p w14:paraId="71C2F127"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244061" w:themeColor="accent1" w:themeShade="80"/>
        </w:rPr>
      </w:pPr>
      <w:r w:rsidRPr="00C0295B">
        <w:rPr>
          <w:rFonts w:ascii="Calibri" w:eastAsia="Times New Roman" w:hAnsi="Calibri" w:cs="Calibri"/>
          <w:b/>
          <w:bCs/>
          <w:color w:val="244061" w:themeColor="accent1" w:themeShade="80"/>
        </w:rPr>
        <w:t xml:space="preserve">I confirm that I have received and understood and will abide by the United Nations Code of Conduct for Evaluation. </w:t>
      </w:r>
    </w:p>
    <w:p w14:paraId="5EAA4ED1"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244061" w:themeColor="accent1" w:themeShade="80"/>
        </w:rPr>
      </w:pPr>
      <w:r w:rsidRPr="00C0295B">
        <w:rPr>
          <w:rFonts w:ascii="Calibri" w:eastAsia="Times New Roman" w:hAnsi="Calibri" w:cs="Calibri"/>
          <w:color w:val="244061" w:themeColor="accent1" w:themeShade="80"/>
        </w:rPr>
        <w:t xml:space="preserve">Signed at </w:t>
      </w:r>
      <w:r w:rsidR="00224F9C" w:rsidRPr="00C0295B">
        <w:rPr>
          <w:rFonts w:ascii="Calibri" w:eastAsia="Times New Roman" w:hAnsi="Calibri" w:cs="Calibri"/>
          <w:i/>
          <w:color w:val="244061" w:themeColor="accent1" w:themeShade="80"/>
          <w:highlight w:val="lightGray"/>
        </w:rPr>
        <w:t>place</w:t>
      </w:r>
      <w:r w:rsidR="00224F9C" w:rsidRPr="00C0295B">
        <w:rPr>
          <w:rFonts w:ascii="Calibri" w:eastAsia="Times New Roman" w:hAnsi="Calibri" w:cs="Calibri"/>
          <w:i/>
          <w:color w:val="244061" w:themeColor="accent1" w:themeShade="80"/>
        </w:rPr>
        <w:t xml:space="preserve"> </w:t>
      </w:r>
      <w:r w:rsidRPr="00C0295B">
        <w:rPr>
          <w:rFonts w:ascii="Calibri" w:eastAsia="Times New Roman" w:hAnsi="Calibri" w:cs="Calibri"/>
          <w:color w:val="244061" w:themeColor="accent1" w:themeShade="80"/>
        </w:rPr>
        <w:t xml:space="preserve">on </w:t>
      </w:r>
      <w:r w:rsidR="00224F9C" w:rsidRPr="00C0295B">
        <w:rPr>
          <w:rFonts w:ascii="Calibri" w:eastAsia="Times New Roman" w:hAnsi="Calibri" w:cs="Calibri"/>
          <w:i/>
          <w:color w:val="244061" w:themeColor="accent1" w:themeShade="80"/>
          <w:highlight w:val="lightGray"/>
        </w:rPr>
        <w:t>date</w:t>
      </w:r>
    </w:p>
    <w:p w14:paraId="469E8643" w14:textId="77777777" w:rsidR="00D6638C" w:rsidRPr="00C0295B"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244061" w:themeColor="accent1" w:themeShade="80"/>
        </w:rPr>
      </w:pPr>
      <w:r w:rsidRPr="00C0295B">
        <w:rPr>
          <w:rFonts w:ascii="Calibri" w:eastAsia="Times New Roman" w:hAnsi="Calibri" w:cs="Calibri"/>
          <w:color w:val="244061" w:themeColor="accent1" w:themeShade="80"/>
        </w:rPr>
        <w:t>Signature</w:t>
      </w:r>
      <w:r w:rsidRPr="00C0295B">
        <w:rPr>
          <w:rFonts w:ascii="HIDDJN+TimesNewRoman,Bold" w:eastAsia="Times New Roman" w:hAnsi="HIDDJN+TimesNewRoman,Bold" w:cs="HIDDJN+TimesNewRoman,Bold"/>
          <w:color w:val="244061" w:themeColor="accent1" w:themeShade="80"/>
        </w:rPr>
        <w:t>: ________________________________________</w:t>
      </w:r>
    </w:p>
    <w:p w14:paraId="4A91861D" w14:textId="77777777" w:rsidR="00D6638C" w:rsidRPr="00C0295B" w:rsidRDefault="00D6638C" w:rsidP="00F05366">
      <w:pPr>
        <w:pStyle w:val="Heading31"/>
        <w:rPr>
          <w:color w:val="244061" w:themeColor="accent1" w:themeShade="80"/>
        </w:rPr>
      </w:pPr>
      <w:r w:rsidRPr="00C0295B">
        <w:rPr>
          <w:color w:val="244061" w:themeColor="accent1" w:themeShade="80"/>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C0295B">
        <w:rPr>
          <w:color w:val="244061" w:themeColor="accent1" w:themeShade="80"/>
        </w:rPr>
        <w:lastRenderedPageBreak/>
        <w:t>Annex F: Evaluation Report Outline</w:t>
      </w:r>
      <w:bookmarkEnd w:id="75"/>
      <w:bookmarkEnd w:id="76"/>
      <w:bookmarkEnd w:id="77"/>
      <w:bookmarkEnd w:id="78"/>
      <w:r w:rsidRPr="00C0295B">
        <w:rPr>
          <w:color w:val="244061" w:themeColor="accent1" w:themeShade="80"/>
          <w:vertAlign w:val="superscript"/>
        </w:rPr>
        <w:footnoteReference w:id="6"/>
      </w:r>
      <w:bookmarkEnd w:id="79"/>
    </w:p>
    <w:tbl>
      <w:tblPr>
        <w:tblW w:w="0" w:type="auto"/>
        <w:tblInd w:w="108" w:type="dxa"/>
        <w:tblLook w:val="04A0" w:firstRow="1" w:lastRow="0" w:firstColumn="1" w:lastColumn="0" w:noHBand="0" w:noVBand="1"/>
      </w:tblPr>
      <w:tblGrid>
        <w:gridCol w:w="968"/>
        <w:gridCol w:w="8284"/>
      </w:tblGrid>
      <w:tr w:rsidR="00D6638C" w:rsidRPr="00C0295B" w14:paraId="56EEC6D7" w14:textId="77777777" w:rsidTr="006C1964">
        <w:tc>
          <w:tcPr>
            <w:tcW w:w="985" w:type="dxa"/>
          </w:tcPr>
          <w:p w14:paraId="4BD2F534"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i.</w:t>
            </w:r>
          </w:p>
        </w:tc>
        <w:tc>
          <w:tcPr>
            <w:tcW w:w="8483" w:type="dxa"/>
          </w:tcPr>
          <w:p w14:paraId="7715B097"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Opening page:</w:t>
            </w:r>
          </w:p>
          <w:p w14:paraId="162495DB"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Title of  UNDP supported GEF financed project </w:t>
            </w:r>
          </w:p>
          <w:p w14:paraId="1495B5EC"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UNDP and GEF project ID#s.  </w:t>
            </w:r>
          </w:p>
          <w:p w14:paraId="4E70DD86"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Evaluation time frame and date of evaluation report</w:t>
            </w:r>
          </w:p>
          <w:p w14:paraId="5AEF3FC2"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Region and countries included in the project</w:t>
            </w:r>
          </w:p>
          <w:p w14:paraId="276DECC4"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GEF Operational Program/Strategic Program</w:t>
            </w:r>
          </w:p>
          <w:p w14:paraId="3F20D546"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Implementing Partner and other project partners</w:t>
            </w:r>
          </w:p>
          <w:p w14:paraId="69A2AF80"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Evaluation team members </w:t>
            </w:r>
          </w:p>
          <w:p w14:paraId="2133AFDF"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Acknowledgements</w:t>
            </w:r>
          </w:p>
        </w:tc>
      </w:tr>
      <w:tr w:rsidR="00D6638C" w:rsidRPr="00C0295B" w14:paraId="7B8A22F2" w14:textId="77777777" w:rsidTr="006C1964">
        <w:tc>
          <w:tcPr>
            <w:tcW w:w="985" w:type="dxa"/>
          </w:tcPr>
          <w:p w14:paraId="214F153A"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ii.</w:t>
            </w:r>
          </w:p>
        </w:tc>
        <w:tc>
          <w:tcPr>
            <w:tcW w:w="8483" w:type="dxa"/>
          </w:tcPr>
          <w:p w14:paraId="71EE13DB"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Executive Summary</w:t>
            </w:r>
          </w:p>
          <w:p w14:paraId="557CA4D4"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Project Summary Table</w:t>
            </w:r>
          </w:p>
          <w:p w14:paraId="29CC44FD"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Project Description (brief)</w:t>
            </w:r>
          </w:p>
          <w:p w14:paraId="1C7F6DF0"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Evaluation Rating Table</w:t>
            </w:r>
          </w:p>
          <w:p w14:paraId="5FA9435D"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Summary of conclusions, recommendations and lessons</w:t>
            </w:r>
          </w:p>
        </w:tc>
      </w:tr>
      <w:tr w:rsidR="00D6638C" w:rsidRPr="00C0295B" w14:paraId="2EFCAF86" w14:textId="77777777" w:rsidTr="006C1964">
        <w:tc>
          <w:tcPr>
            <w:tcW w:w="985" w:type="dxa"/>
          </w:tcPr>
          <w:p w14:paraId="7D6B87C9"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iii.</w:t>
            </w:r>
          </w:p>
        </w:tc>
        <w:tc>
          <w:tcPr>
            <w:tcW w:w="8483" w:type="dxa"/>
          </w:tcPr>
          <w:p w14:paraId="21451D30"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Acronyms and Abbreviations</w:t>
            </w:r>
          </w:p>
          <w:p w14:paraId="737D74F4" w14:textId="77777777" w:rsidR="00D6638C" w:rsidRPr="00C0295B" w:rsidRDefault="00D6638C" w:rsidP="00D6638C">
            <w:pPr>
              <w:spacing w:after="0"/>
              <w:rPr>
                <w:rFonts w:ascii="Calibri" w:eastAsia="Times New Roman" w:hAnsi="Calibri" w:cs="Times New Roman"/>
                <w:bCs/>
                <w:color w:val="244061" w:themeColor="accent1" w:themeShade="80"/>
                <w:sz w:val="20"/>
              </w:rPr>
            </w:pPr>
            <w:r w:rsidRPr="00C0295B">
              <w:rPr>
                <w:rFonts w:ascii="Calibri" w:eastAsia="Times New Roman" w:hAnsi="Calibri" w:cs="Times New Roman"/>
                <w:color w:val="244061" w:themeColor="accent1" w:themeShade="80"/>
                <w:sz w:val="20"/>
                <w:szCs w:val="20"/>
              </w:rPr>
              <w:t>(See: UNDP Editorial Manual</w:t>
            </w:r>
            <w:r w:rsidRPr="00C0295B">
              <w:rPr>
                <w:rFonts w:ascii="Calibri" w:eastAsia="Times New Roman" w:hAnsi="Calibri" w:cs="Calibri"/>
                <w:bCs/>
                <w:color w:val="244061" w:themeColor="accent1" w:themeShade="80"/>
                <w:sz w:val="20"/>
                <w:szCs w:val="20"/>
                <w:vertAlign w:val="superscript"/>
              </w:rPr>
              <w:footnoteReference w:id="7"/>
            </w:r>
            <w:r w:rsidRPr="00C0295B">
              <w:rPr>
                <w:rFonts w:ascii="Calibri" w:eastAsia="Times New Roman" w:hAnsi="Calibri" w:cs="Times New Roman"/>
                <w:color w:val="244061" w:themeColor="accent1" w:themeShade="80"/>
                <w:sz w:val="20"/>
                <w:szCs w:val="20"/>
              </w:rPr>
              <w:t>)</w:t>
            </w:r>
          </w:p>
        </w:tc>
      </w:tr>
      <w:tr w:rsidR="00D6638C" w:rsidRPr="00C0295B" w14:paraId="06E6E660" w14:textId="77777777" w:rsidTr="006C1964">
        <w:tc>
          <w:tcPr>
            <w:tcW w:w="985" w:type="dxa"/>
          </w:tcPr>
          <w:p w14:paraId="2EE67D53"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1.</w:t>
            </w:r>
          </w:p>
        </w:tc>
        <w:tc>
          <w:tcPr>
            <w:tcW w:w="8483" w:type="dxa"/>
          </w:tcPr>
          <w:p w14:paraId="5B62A43B"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Introduction</w:t>
            </w:r>
          </w:p>
          <w:p w14:paraId="7243456B"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Purpose of the evaluation </w:t>
            </w:r>
          </w:p>
          <w:p w14:paraId="19CB1FD8"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Scope &amp; Methodology </w:t>
            </w:r>
          </w:p>
          <w:p w14:paraId="2091729E"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Structure of the evaluation report</w:t>
            </w:r>
          </w:p>
        </w:tc>
      </w:tr>
      <w:tr w:rsidR="00D6638C" w:rsidRPr="00C0295B" w14:paraId="0BFD69D8" w14:textId="77777777" w:rsidTr="006C1964">
        <w:tc>
          <w:tcPr>
            <w:tcW w:w="985" w:type="dxa"/>
          </w:tcPr>
          <w:p w14:paraId="6320B595"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2.</w:t>
            </w:r>
          </w:p>
        </w:tc>
        <w:tc>
          <w:tcPr>
            <w:tcW w:w="8483" w:type="dxa"/>
          </w:tcPr>
          <w:p w14:paraId="78E3049E"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Project description and development context</w:t>
            </w:r>
          </w:p>
          <w:p w14:paraId="38352C64"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Project start and duration</w:t>
            </w:r>
          </w:p>
          <w:p w14:paraId="6AF4D011"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Problems that the project sought  to address</w:t>
            </w:r>
          </w:p>
          <w:p w14:paraId="4CDF10EA"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Immediate and development objectives of the project</w:t>
            </w:r>
          </w:p>
          <w:p w14:paraId="2498BAD9"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Baseline Indicators established</w:t>
            </w:r>
          </w:p>
          <w:p w14:paraId="1244E882"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Main stakeholders</w:t>
            </w:r>
          </w:p>
          <w:p w14:paraId="78987640" w14:textId="77777777" w:rsidR="00D6638C" w:rsidRPr="00C0295B" w:rsidRDefault="00D6638C" w:rsidP="00D6638C">
            <w:pPr>
              <w:numPr>
                <w:ilvl w:val="0"/>
                <w:numId w:val="19"/>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Expected Results</w:t>
            </w:r>
          </w:p>
        </w:tc>
      </w:tr>
      <w:tr w:rsidR="00D6638C" w:rsidRPr="00C0295B" w14:paraId="29A07836" w14:textId="77777777" w:rsidTr="006C1964">
        <w:tc>
          <w:tcPr>
            <w:tcW w:w="985" w:type="dxa"/>
          </w:tcPr>
          <w:p w14:paraId="13D228DC"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3.</w:t>
            </w:r>
          </w:p>
        </w:tc>
        <w:tc>
          <w:tcPr>
            <w:tcW w:w="8483" w:type="dxa"/>
          </w:tcPr>
          <w:p w14:paraId="00764BE7"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Findings </w:t>
            </w:r>
          </w:p>
          <w:p w14:paraId="554A9770" w14:textId="77777777" w:rsidR="00D6638C" w:rsidRPr="00C0295B" w:rsidRDefault="00D6638C" w:rsidP="00D6638C">
            <w:pPr>
              <w:spacing w:after="0"/>
              <w:rPr>
                <w:rFonts w:ascii="Calibri" w:eastAsia="Times New Roman" w:hAnsi="Calibri" w:cs="Times New Roman"/>
                <w:color w:val="244061" w:themeColor="accent1" w:themeShade="80"/>
                <w:sz w:val="20"/>
              </w:rPr>
            </w:pPr>
            <w:r w:rsidRPr="00C0295B">
              <w:rPr>
                <w:rFonts w:ascii="Calibri" w:eastAsia="Times New Roman" w:hAnsi="Calibri" w:cs="Times New Roman"/>
                <w:color w:val="244061" w:themeColor="accent1" w:themeShade="80"/>
                <w:sz w:val="20"/>
                <w:szCs w:val="20"/>
              </w:rPr>
              <w:t>(In addition to a descriptive assessment, all criteria marked with (*) must be rated</w:t>
            </w:r>
            <w:r w:rsidRPr="00C0295B">
              <w:rPr>
                <w:rFonts w:ascii="Calibri" w:eastAsia="Times New Roman" w:hAnsi="Calibri" w:cs="Calibri"/>
                <w:color w:val="244061" w:themeColor="accent1" w:themeShade="80"/>
                <w:sz w:val="20"/>
                <w:szCs w:val="20"/>
                <w:vertAlign w:val="superscript"/>
              </w:rPr>
              <w:footnoteReference w:id="8"/>
            </w:r>
            <w:r w:rsidRPr="00C0295B">
              <w:rPr>
                <w:rFonts w:ascii="Calibri" w:eastAsia="Times New Roman" w:hAnsi="Calibri" w:cs="Times New Roman"/>
                <w:color w:val="244061" w:themeColor="accent1" w:themeShade="80"/>
                <w:sz w:val="20"/>
                <w:szCs w:val="20"/>
              </w:rPr>
              <w:t xml:space="preserve">) </w:t>
            </w:r>
          </w:p>
        </w:tc>
      </w:tr>
      <w:tr w:rsidR="00D6638C" w:rsidRPr="00C0295B" w14:paraId="1186DB2C" w14:textId="77777777" w:rsidTr="006C1964">
        <w:tc>
          <w:tcPr>
            <w:tcW w:w="985" w:type="dxa"/>
          </w:tcPr>
          <w:p w14:paraId="0C306A5D"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3.1</w:t>
            </w:r>
          </w:p>
        </w:tc>
        <w:tc>
          <w:tcPr>
            <w:tcW w:w="8483" w:type="dxa"/>
          </w:tcPr>
          <w:p w14:paraId="386D34D9"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Project Design / Formulation</w:t>
            </w:r>
          </w:p>
          <w:p w14:paraId="5091321C"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Analysis of LFA/Results Framework (Project logic /strategy; Indicators)</w:t>
            </w:r>
          </w:p>
          <w:p w14:paraId="6D3C4EBC"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Assumptions and Risks</w:t>
            </w:r>
          </w:p>
          <w:p w14:paraId="3DA57816"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Lessons from other relevant projects (e.g., same focal area) incorporated into project design </w:t>
            </w:r>
          </w:p>
          <w:p w14:paraId="0FFCAC27"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Planned stakeholder participation </w:t>
            </w:r>
          </w:p>
          <w:p w14:paraId="6B650492"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Replication approach </w:t>
            </w:r>
          </w:p>
          <w:p w14:paraId="1D6D3BEB"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UNDP comparative advantage</w:t>
            </w:r>
          </w:p>
          <w:p w14:paraId="02A068FD"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Linkages between project and other interventions within the sector</w:t>
            </w:r>
          </w:p>
          <w:p w14:paraId="5EE85161"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Management arrangements</w:t>
            </w:r>
          </w:p>
        </w:tc>
      </w:tr>
      <w:tr w:rsidR="00D6638C" w:rsidRPr="00C0295B" w14:paraId="2ED6789C" w14:textId="77777777" w:rsidTr="006C1964">
        <w:tc>
          <w:tcPr>
            <w:tcW w:w="985" w:type="dxa"/>
          </w:tcPr>
          <w:p w14:paraId="7D92E4CC"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3.2</w:t>
            </w:r>
          </w:p>
        </w:tc>
        <w:tc>
          <w:tcPr>
            <w:tcW w:w="8483" w:type="dxa"/>
          </w:tcPr>
          <w:p w14:paraId="076060B2"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Project </w:t>
            </w:r>
            <w:r w:rsidRPr="00C0295B">
              <w:rPr>
                <w:rFonts w:ascii="Calibri" w:eastAsia="Times New Roman" w:hAnsi="Calibri" w:cs="Times New Roman"/>
                <w:color w:val="244061" w:themeColor="accent1" w:themeShade="80"/>
                <w:sz w:val="20"/>
                <w:szCs w:val="20"/>
                <w:lang w:val="en-GB"/>
              </w:rPr>
              <w:t>Implementation</w:t>
            </w:r>
          </w:p>
          <w:p w14:paraId="176A4670"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Adaptive management (changes to the project design and project outputs during implementation)</w:t>
            </w:r>
          </w:p>
          <w:p w14:paraId="631CEBE3"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Partnership arrangements (with relevant stakeholders involved in the country/region)</w:t>
            </w:r>
          </w:p>
          <w:p w14:paraId="67923BF4"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lastRenderedPageBreak/>
              <w:t>Feedback from M&amp;E activities used for adaptive management</w:t>
            </w:r>
          </w:p>
          <w:p w14:paraId="7012ED55"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Project Finance:  </w:t>
            </w:r>
          </w:p>
          <w:p w14:paraId="2127D316"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Monitoring and evaluation: design at entry and implementation (*)</w:t>
            </w:r>
          </w:p>
          <w:p w14:paraId="0FD9BA8D" w14:textId="77777777" w:rsidR="00D6638C" w:rsidRPr="00C0295B" w:rsidRDefault="00D6638C" w:rsidP="00D6638C">
            <w:pPr>
              <w:numPr>
                <w:ilvl w:val="0"/>
                <w:numId w:val="17"/>
              </w:numPr>
              <w:spacing w:after="0" w:line="240" w:lineRule="auto"/>
              <w:rPr>
                <w:rFonts w:ascii="Calibri" w:eastAsia="Times New Roman" w:hAnsi="Calibri" w:cs="Times New Roman"/>
                <w:b/>
                <w:bCs/>
                <w:color w:val="244061" w:themeColor="accent1" w:themeShade="80"/>
                <w:sz w:val="20"/>
                <w:szCs w:val="20"/>
              </w:rPr>
            </w:pPr>
            <w:r w:rsidRPr="00C0295B">
              <w:rPr>
                <w:rFonts w:ascii="Calibri" w:eastAsia="Times New Roman" w:hAnsi="Calibri" w:cs="Times New Roman"/>
                <w:color w:val="244061" w:themeColor="accent1" w:themeShade="80"/>
                <w:sz w:val="20"/>
                <w:szCs w:val="20"/>
              </w:rPr>
              <w:t>UNDP and Implementing Partner implementation / execution (*) coordination, and operational issues</w:t>
            </w:r>
          </w:p>
        </w:tc>
      </w:tr>
      <w:tr w:rsidR="00D6638C" w:rsidRPr="00C0295B" w14:paraId="195F0BD3" w14:textId="77777777" w:rsidTr="006C1964">
        <w:trPr>
          <w:trHeight w:val="74"/>
        </w:trPr>
        <w:tc>
          <w:tcPr>
            <w:tcW w:w="985" w:type="dxa"/>
          </w:tcPr>
          <w:p w14:paraId="74DDB3CA"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lastRenderedPageBreak/>
              <w:t>3.3</w:t>
            </w:r>
          </w:p>
        </w:tc>
        <w:tc>
          <w:tcPr>
            <w:tcW w:w="8483" w:type="dxa"/>
          </w:tcPr>
          <w:p w14:paraId="78473248"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Project </w:t>
            </w:r>
            <w:r w:rsidRPr="00C0295B">
              <w:rPr>
                <w:rFonts w:ascii="Calibri" w:eastAsia="Times New Roman" w:hAnsi="Calibri" w:cs="Times New Roman"/>
                <w:color w:val="244061" w:themeColor="accent1" w:themeShade="80"/>
                <w:sz w:val="20"/>
                <w:szCs w:val="20"/>
                <w:lang w:val="en-GB"/>
              </w:rPr>
              <w:t>Results</w:t>
            </w:r>
          </w:p>
          <w:p w14:paraId="5E60F58E"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Overall results (attainment of objectives) (*)</w:t>
            </w:r>
          </w:p>
          <w:p w14:paraId="48B93D19"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Relevance(*)</w:t>
            </w:r>
          </w:p>
          <w:p w14:paraId="0569D33C"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Effectiveness &amp; Efficiency (*)</w:t>
            </w:r>
          </w:p>
          <w:p w14:paraId="47D94E88"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Country ownership </w:t>
            </w:r>
          </w:p>
          <w:p w14:paraId="76A697E9"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Mainstreaming</w:t>
            </w:r>
          </w:p>
          <w:p w14:paraId="701EC40C" w14:textId="77777777" w:rsidR="00D6638C" w:rsidRPr="00C0295B" w:rsidRDefault="00D6638C" w:rsidP="00D6638C">
            <w:pPr>
              <w:numPr>
                <w:ilvl w:val="0"/>
                <w:numId w:val="17"/>
              </w:numPr>
              <w:spacing w:after="0" w:line="240" w:lineRule="auto"/>
              <w:rPr>
                <w:rFonts w:ascii="Calibri" w:eastAsia="Times New Roman" w:hAnsi="Calibri" w:cs="Times New Roman"/>
                <w:bCs/>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Sustainability (*) </w:t>
            </w:r>
          </w:p>
          <w:p w14:paraId="6753EAAE"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Impact </w:t>
            </w:r>
          </w:p>
        </w:tc>
      </w:tr>
      <w:tr w:rsidR="00D6638C" w:rsidRPr="00C0295B" w14:paraId="7423064F" w14:textId="77777777" w:rsidTr="006C1964">
        <w:tc>
          <w:tcPr>
            <w:tcW w:w="985" w:type="dxa"/>
          </w:tcPr>
          <w:p w14:paraId="6E5565BB"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 xml:space="preserve">4. </w:t>
            </w:r>
          </w:p>
        </w:tc>
        <w:tc>
          <w:tcPr>
            <w:tcW w:w="8483" w:type="dxa"/>
          </w:tcPr>
          <w:p w14:paraId="5D2CAD18"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Conclusions, Recommendations &amp; Lessons</w:t>
            </w:r>
          </w:p>
          <w:p w14:paraId="15F95CCB"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Corrective actions for the design, implementation, monitoring and evaluation of the project</w:t>
            </w:r>
          </w:p>
          <w:p w14:paraId="1A69A0E1"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Actions to follow up or reinforce initial benefits from the project</w:t>
            </w:r>
          </w:p>
          <w:p w14:paraId="614D9601"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Proposals for future directions underlining main objectives</w:t>
            </w:r>
          </w:p>
          <w:p w14:paraId="78807C07"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Best and worst practices in addressing issues relating to relevance, performance and success</w:t>
            </w:r>
          </w:p>
        </w:tc>
      </w:tr>
      <w:tr w:rsidR="00D6638C" w:rsidRPr="00C0295B" w14:paraId="0F0F072A" w14:textId="77777777" w:rsidTr="006C1964">
        <w:tc>
          <w:tcPr>
            <w:tcW w:w="985" w:type="dxa"/>
          </w:tcPr>
          <w:p w14:paraId="7EB608F2" w14:textId="77777777" w:rsidR="00D6638C" w:rsidRPr="00C0295B" w:rsidRDefault="00D6638C" w:rsidP="00D6638C">
            <w:pPr>
              <w:spacing w:after="0"/>
              <w:rPr>
                <w:rFonts w:ascii="Calibri" w:eastAsia="Times New Roman" w:hAnsi="Calibri" w:cs="Times New Roman"/>
                <w:b/>
                <w:bCs/>
                <w:color w:val="244061" w:themeColor="accent1" w:themeShade="80"/>
                <w:sz w:val="20"/>
              </w:rPr>
            </w:pPr>
            <w:r w:rsidRPr="00C0295B">
              <w:rPr>
                <w:rFonts w:ascii="Calibri" w:eastAsia="Times New Roman" w:hAnsi="Calibri" w:cs="Times New Roman"/>
                <w:b/>
                <w:bCs/>
                <w:color w:val="244061" w:themeColor="accent1" w:themeShade="80"/>
                <w:sz w:val="20"/>
              </w:rPr>
              <w:t xml:space="preserve">5. </w:t>
            </w:r>
          </w:p>
        </w:tc>
        <w:tc>
          <w:tcPr>
            <w:tcW w:w="8483" w:type="dxa"/>
          </w:tcPr>
          <w:p w14:paraId="28821CAF"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Annexes</w:t>
            </w:r>
          </w:p>
          <w:p w14:paraId="2293274A"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ToR</w:t>
            </w:r>
          </w:p>
          <w:p w14:paraId="025700D4"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Itinerary</w:t>
            </w:r>
          </w:p>
          <w:p w14:paraId="5EC7684E"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List of persons interviewed</w:t>
            </w:r>
          </w:p>
          <w:p w14:paraId="22F96762"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Summary of field visits</w:t>
            </w:r>
          </w:p>
          <w:p w14:paraId="54FFEC6C"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List of documents reviewed</w:t>
            </w:r>
          </w:p>
          <w:p w14:paraId="791DD28F"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Evaluation Question Matrix</w:t>
            </w:r>
          </w:p>
          <w:p w14:paraId="0823A44D" w14:textId="77777777" w:rsidR="00D6638C" w:rsidRPr="00C0295B" w:rsidRDefault="00D6638C" w:rsidP="00D6638C">
            <w:pPr>
              <w:numPr>
                <w:ilvl w:val="0"/>
                <w:numId w:val="17"/>
              </w:numPr>
              <w:spacing w:after="0" w:line="240" w:lineRule="auto"/>
              <w:rPr>
                <w:rFonts w:ascii="Calibri" w:eastAsia="Times New Roman" w:hAnsi="Calibri" w:cs="Times New Roman"/>
                <w:b/>
                <w:color w:val="244061" w:themeColor="accent1" w:themeShade="80"/>
                <w:sz w:val="20"/>
                <w:szCs w:val="20"/>
              </w:rPr>
            </w:pPr>
            <w:r w:rsidRPr="00C0295B">
              <w:rPr>
                <w:rFonts w:ascii="Calibri" w:eastAsia="Times New Roman" w:hAnsi="Calibri" w:cs="Times New Roman"/>
                <w:color w:val="244061" w:themeColor="accent1" w:themeShade="80"/>
                <w:sz w:val="20"/>
                <w:szCs w:val="20"/>
              </w:rPr>
              <w:t>Questionnaire used and summary of results</w:t>
            </w:r>
          </w:p>
          <w:p w14:paraId="5A62C442" w14:textId="77777777" w:rsidR="00D6638C" w:rsidRPr="00C0295B" w:rsidRDefault="00D6638C" w:rsidP="00D6638C">
            <w:pPr>
              <w:numPr>
                <w:ilvl w:val="0"/>
                <w:numId w:val="17"/>
              </w:numPr>
              <w:spacing w:after="0" w:line="240" w:lineRule="auto"/>
              <w:rPr>
                <w:rFonts w:ascii="Calibri" w:eastAsia="Times New Roman" w:hAnsi="Calibri" w:cs="Times New Roman"/>
                <w:color w:val="244061" w:themeColor="accent1" w:themeShade="80"/>
                <w:sz w:val="20"/>
                <w:szCs w:val="20"/>
              </w:rPr>
            </w:pPr>
            <w:r w:rsidRPr="00C0295B">
              <w:rPr>
                <w:rFonts w:ascii="Calibri" w:eastAsia="Times New Roman" w:hAnsi="Calibri" w:cs="Times New Roman"/>
                <w:color w:val="244061" w:themeColor="accent1" w:themeShade="80"/>
                <w:sz w:val="20"/>
                <w:szCs w:val="20"/>
              </w:rPr>
              <w:t xml:space="preserve">Evaluation Consultant Agreement Form  </w:t>
            </w:r>
          </w:p>
          <w:p w14:paraId="1A101137"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p>
          <w:p w14:paraId="75711A68" w14:textId="77777777" w:rsidR="00D6638C" w:rsidRPr="00C0295B" w:rsidRDefault="00D6638C" w:rsidP="00D6638C">
            <w:pPr>
              <w:spacing w:after="0"/>
              <w:rPr>
                <w:rFonts w:ascii="Calibri" w:eastAsia="Times New Roman" w:hAnsi="Calibri" w:cs="Times New Roman"/>
                <w:color w:val="244061" w:themeColor="accent1" w:themeShade="80"/>
                <w:sz w:val="20"/>
                <w:szCs w:val="20"/>
              </w:rPr>
            </w:pPr>
          </w:p>
        </w:tc>
      </w:tr>
    </w:tbl>
    <w:p w14:paraId="4E9281A4"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bookmarkStart w:id="80" w:name="_TOR_Annex_G:"/>
      <w:bookmarkStart w:id="81" w:name="_Toc299133058"/>
      <w:bookmarkStart w:id="82" w:name="_Toc299122848"/>
      <w:bookmarkStart w:id="83" w:name="_Toc299122870"/>
      <w:bookmarkStart w:id="84" w:name="_Toc299126634"/>
      <w:bookmarkEnd w:id="80"/>
    </w:p>
    <w:p w14:paraId="658450EF" w14:textId="77777777" w:rsidR="00D6638C" w:rsidRPr="00C0295B" w:rsidRDefault="00D6638C" w:rsidP="00D6638C">
      <w:pPr>
        <w:spacing w:before="200"/>
        <w:rPr>
          <w:rFonts w:ascii="Calibri" w:eastAsia="Times New Roman" w:hAnsi="Calibri" w:cs="Times New Roman"/>
          <w:color w:val="244061" w:themeColor="accent1" w:themeShade="80"/>
          <w:spacing w:val="15"/>
        </w:rPr>
      </w:pPr>
      <w:r w:rsidRPr="00C0295B">
        <w:rPr>
          <w:rFonts w:ascii="Calibri" w:eastAsia="Times New Roman" w:hAnsi="Calibri" w:cs="Times New Roman"/>
          <w:color w:val="244061" w:themeColor="accent1" w:themeShade="80"/>
          <w:sz w:val="20"/>
          <w:szCs w:val="20"/>
        </w:rPr>
        <w:br w:type="page"/>
      </w:r>
    </w:p>
    <w:p w14:paraId="2021D14B" w14:textId="77777777" w:rsidR="00D6638C" w:rsidRPr="00C0295B" w:rsidRDefault="00D6638C" w:rsidP="00F05366">
      <w:pPr>
        <w:pStyle w:val="Heading31"/>
        <w:rPr>
          <w:color w:val="244061" w:themeColor="accent1" w:themeShade="80"/>
        </w:rPr>
      </w:pPr>
      <w:bookmarkStart w:id="85" w:name="_TOR_Annex_G:_1"/>
      <w:bookmarkStart w:id="86" w:name="_Toc321341568"/>
      <w:bookmarkEnd w:id="85"/>
      <w:r w:rsidRPr="00C0295B">
        <w:rPr>
          <w:color w:val="244061" w:themeColor="accent1" w:themeShade="80"/>
        </w:rPr>
        <w:lastRenderedPageBreak/>
        <w:t>Annex G: Evaluation Report Clearance Form</w:t>
      </w:r>
      <w:bookmarkEnd w:id="81"/>
      <w:bookmarkEnd w:id="86"/>
    </w:p>
    <w:p w14:paraId="4C66F65F" w14:textId="77777777" w:rsidR="00D6638C" w:rsidRPr="00C0295B" w:rsidRDefault="00D6638C" w:rsidP="00D6638C">
      <w:pPr>
        <w:spacing w:before="200"/>
        <w:rPr>
          <w:rFonts w:ascii="Calibri" w:eastAsia="Times New Roman" w:hAnsi="Calibri" w:cs="Times New Roman"/>
          <w:i/>
          <w:color w:val="244061" w:themeColor="accent1" w:themeShade="80"/>
          <w:sz w:val="20"/>
          <w:szCs w:val="20"/>
        </w:rPr>
      </w:pPr>
      <w:r w:rsidRPr="00C0295B">
        <w:rPr>
          <w:rFonts w:ascii="Calibri" w:eastAsia="Times New Roman" w:hAnsi="Calibri" w:cs="Times New Roman"/>
          <w:noProof/>
          <w:color w:val="244061" w:themeColor="accent1" w:themeShade="80"/>
          <w:sz w:val="20"/>
          <w:szCs w:val="20"/>
          <w:lang w:bidi="ar-SA"/>
        </w:rPr>
        <mc:AlternateContent>
          <mc:Choice Requires="wps">
            <w:drawing>
              <wp:anchor distT="0" distB="0" distL="114300" distR="114300" simplePos="0" relativeHeight="251659264" behindDoc="0" locked="0" layoutInCell="1" allowOverlap="1" wp14:anchorId="706CB77A" wp14:editId="15C7AA20">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09DBFE2A" w14:textId="77777777" w:rsidR="00A956A8" w:rsidRPr="0084083F" w:rsidRDefault="00A956A8" w:rsidP="00D6638C">
                            <w:pPr>
                              <w:rPr>
                                <w:rFonts w:eastAsia="Batang"/>
                              </w:rPr>
                            </w:pPr>
                            <w:r w:rsidRPr="0084083F">
                              <w:rPr>
                                <w:rFonts w:eastAsia="Batang"/>
                              </w:rPr>
                              <w:t>Evaluation Report Reviewed and Cleared by</w:t>
                            </w:r>
                          </w:p>
                          <w:p w14:paraId="57B24CD1" w14:textId="77777777" w:rsidR="00A956A8" w:rsidRPr="0084083F" w:rsidRDefault="00A956A8" w:rsidP="00D6638C">
                            <w:r w:rsidRPr="0084083F">
                              <w:t>UNDP Country Office</w:t>
                            </w:r>
                          </w:p>
                          <w:p w14:paraId="6E39C804" w14:textId="77777777" w:rsidR="00A956A8" w:rsidRPr="0084083F" w:rsidRDefault="00A956A8" w:rsidP="00D6638C">
                            <w:r w:rsidRPr="0084083F">
                              <w:t>Name:  ___________________________________________________</w:t>
                            </w:r>
                          </w:p>
                          <w:p w14:paraId="39BB2F73" w14:textId="77777777" w:rsidR="00A956A8" w:rsidRPr="0084083F" w:rsidRDefault="00A956A8" w:rsidP="00D6638C">
                            <w:r w:rsidRPr="0084083F">
                              <w:t>Signature: ______________________________       Date: _________________________________</w:t>
                            </w:r>
                          </w:p>
                          <w:p w14:paraId="5D181B21" w14:textId="77777777" w:rsidR="00A956A8" w:rsidRPr="0084083F" w:rsidRDefault="00A956A8" w:rsidP="00D6638C">
                            <w:r w:rsidRPr="0084083F">
                              <w:t>UNDP GEF R</w:t>
                            </w:r>
                            <w:r>
                              <w:t>TA</w:t>
                            </w:r>
                          </w:p>
                          <w:p w14:paraId="00D59E5A" w14:textId="77777777" w:rsidR="00A956A8" w:rsidRPr="0084083F" w:rsidRDefault="00A956A8" w:rsidP="00D6638C">
                            <w:r w:rsidRPr="0084083F">
                              <w:t>Name:  ___________________________________________________</w:t>
                            </w:r>
                          </w:p>
                          <w:p w14:paraId="1E28A29D" w14:textId="77777777" w:rsidR="00A956A8" w:rsidRPr="0084083F" w:rsidRDefault="00A956A8"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6CB77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09DBFE2A" w14:textId="77777777" w:rsidR="00A956A8" w:rsidRPr="0084083F" w:rsidRDefault="00A956A8" w:rsidP="00D6638C">
                      <w:pPr>
                        <w:rPr>
                          <w:rFonts w:eastAsia="Batang"/>
                        </w:rPr>
                      </w:pPr>
                      <w:r w:rsidRPr="0084083F">
                        <w:rPr>
                          <w:rFonts w:eastAsia="Batang"/>
                        </w:rPr>
                        <w:t>Evaluation Report Reviewed and Cleared by</w:t>
                      </w:r>
                    </w:p>
                    <w:p w14:paraId="57B24CD1" w14:textId="77777777" w:rsidR="00A956A8" w:rsidRPr="0084083F" w:rsidRDefault="00A956A8" w:rsidP="00D6638C">
                      <w:r w:rsidRPr="0084083F">
                        <w:t>UNDP Country Office</w:t>
                      </w:r>
                    </w:p>
                    <w:p w14:paraId="6E39C804" w14:textId="77777777" w:rsidR="00A956A8" w:rsidRPr="0084083F" w:rsidRDefault="00A956A8" w:rsidP="00D6638C">
                      <w:r w:rsidRPr="0084083F">
                        <w:t>Name:  ___________________________________________________</w:t>
                      </w:r>
                    </w:p>
                    <w:p w14:paraId="39BB2F73" w14:textId="77777777" w:rsidR="00A956A8" w:rsidRPr="0084083F" w:rsidRDefault="00A956A8" w:rsidP="00D6638C">
                      <w:r w:rsidRPr="0084083F">
                        <w:t>Signature: ______________________________       Date: _________________________________</w:t>
                      </w:r>
                    </w:p>
                    <w:p w14:paraId="5D181B21" w14:textId="77777777" w:rsidR="00A956A8" w:rsidRPr="0084083F" w:rsidRDefault="00A956A8" w:rsidP="00D6638C">
                      <w:r w:rsidRPr="0084083F">
                        <w:t>UNDP GEF R</w:t>
                      </w:r>
                      <w:r>
                        <w:t>TA</w:t>
                      </w:r>
                    </w:p>
                    <w:p w14:paraId="00D59E5A" w14:textId="77777777" w:rsidR="00A956A8" w:rsidRPr="0084083F" w:rsidRDefault="00A956A8" w:rsidP="00D6638C">
                      <w:r w:rsidRPr="0084083F">
                        <w:t>Name:  ___________________________________________________</w:t>
                      </w:r>
                    </w:p>
                    <w:p w14:paraId="1E28A29D" w14:textId="77777777" w:rsidR="00A956A8" w:rsidRPr="0084083F" w:rsidRDefault="00A956A8" w:rsidP="00D6638C">
                      <w:r w:rsidRPr="0084083F">
                        <w:t>Signature: ______________________________       Date: _________________________________</w:t>
                      </w:r>
                    </w:p>
                  </w:txbxContent>
                </v:textbox>
              </v:shape>
            </w:pict>
          </mc:Fallback>
        </mc:AlternateContent>
      </w:r>
      <w:r w:rsidRPr="00C0295B">
        <w:rPr>
          <w:rFonts w:ascii="Calibri" w:eastAsia="Times New Roman" w:hAnsi="Calibri" w:cs="Times New Roman"/>
          <w:i/>
          <w:color w:val="244061" w:themeColor="accent1" w:themeShade="80"/>
          <w:sz w:val="20"/>
          <w:szCs w:val="20"/>
          <w:highlight w:val="lightGray"/>
        </w:rPr>
        <w:t>(to be completed by CO and UNDP GEF Technical Adviser based in the region and included in the final document)</w:t>
      </w:r>
      <w:bookmarkEnd w:id="82"/>
      <w:bookmarkEnd w:id="83"/>
      <w:bookmarkEnd w:id="84"/>
    </w:p>
    <w:p w14:paraId="25068955" w14:textId="77777777" w:rsidR="00D6638C" w:rsidRPr="00C0295B" w:rsidRDefault="00D6638C" w:rsidP="00D6638C">
      <w:pPr>
        <w:spacing w:before="200"/>
        <w:rPr>
          <w:rFonts w:ascii="Calibri" w:eastAsia="Times New Roman" w:hAnsi="Calibri" w:cs="Times New Roman"/>
          <w:i/>
          <w:color w:val="244061" w:themeColor="accent1" w:themeShade="80"/>
          <w:sz w:val="20"/>
          <w:szCs w:val="20"/>
        </w:rPr>
      </w:pPr>
    </w:p>
    <w:p w14:paraId="06CF4E29" w14:textId="77777777" w:rsidR="00D6638C" w:rsidRPr="00C0295B" w:rsidRDefault="00D6638C" w:rsidP="00D6638C">
      <w:pPr>
        <w:spacing w:before="200"/>
        <w:rPr>
          <w:rFonts w:ascii="Calibri" w:eastAsia="Times New Roman" w:hAnsi="Calibri" w:cs="Times New Roman"/>
          <w:i/>
          <w:color w:val="244061" w:themeColor="accent1" w:themeShade="80"/>
          <w:sz w:val="20"/>
          <w:szCs w:val="20"/>
        </w:rPr>
      </w:pPr>
    </w:p>
    <w:p w14:paraId="59F62AEC" w14:textId="77777777" w:rsidR="00D6638C" w:rsidRPr="00C0295B" w:rsidRDefault="00D6638C" w:rsidP="00D6638C">
      <w:pPr>
        <w:spacing w:before="200"/>
        <w:rPr>
          <w:rFonts w:ascii="Calibri" w:eastAsia="Times New Roman" w:hAnsi="Calibri" w:cs="Times New Roman"/>
          <w:i/>
          <w:color w:val="244061" w:themeColor="accent1" w:themeShade="80"/>
          <w:sz w:val="20"/>
          <w:szCs w:val="20"/>
        </w:rPr>
      </w:pPr>
    </w:p>
    <w:p w14:paraId="53D98A22"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5B95117E"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00CCF222"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5171B048"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1184A143"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282B43E2"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1ED805F4"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606914BD"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3A4D9238"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4CEF35FA"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0FF6842D" w14:textId="77777777" w:rsidR="00D6638C" w:rsidRPr="00C0295B" w:rsidRDefault="00D6638C" w:rsidP="00D6638C">
      <w:pPr>
        <w:spacing w:before="200"/>
        <w:rPr>
          <w:rFonts w:ascii="Calibri" w:eastAsia="Times New Roman" w:hAnsi="Calibri" w:cs="Times New Roman"/>
          <w:color w:val="244061" w:themeColor="accent1" w:themeShade="80"/>
          <w:sz w:val="20"/>
          <w:szCs w:val="20"/>
        </w:rPr>
      </w:pPr>
    </w:p>
    <w:p w14:paraId="7F396957" w14:textId="77777777" w:rsidR="00303541" w:rsidRPr="00C0295B" w:rsidRDefault="00303541" w:rsidP="00D6638C">
      <w:pPr>
        <w:spacing w:before="200"/>
        <w:rPr>
          <w:color w:val="244061" w:themeColor="accent1" w:themeShade="80"/>
        </w:rPr>
      </w:pPr>
      <w:bookmarkStart w:id="87" w:name="_Annex_3._Sample"/>
      <w:bookmarkEnd w:id="87"/>
    </w:p>
    <w:sectPr w:rsidR="00303541" w:rsidRPr="00C02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9B2E" w14:textId="77777777" w:rsidR="00BB2A05" w:rsidRDefault="00BB2A05" w:rsidP="00D6638C">
      <w:pPr>
        <w:spacing w:after="0" w:line="240" w:lineRule="auto"/>
      </w:pPr>
      <w:r>
        <w:separator/>
      </w:r>
    </w:p>
  </w:endnote>
  <w:endnote w:type="continuationSeparator" w:id="0">
    <w:p w14:paraId="0408F76D" w14:textId="77777777" w:rsidR="00BB2A05" w:rsidRDefault="00BB2A0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FF8256D" w14:textId="4CA1AB46" w:rsidR="00A956A8" w:rsidRDefault="00A956A8">
        <w:pPr>
          <w:pStyle w:val="Footer"/>
          <w:jc w:val="right"/>
        </w:pPr>
        <w:r>
          <w:fldChar w:fldCharType="begin"/>
        </w:r>
        <w:r>
          <w:instrText xml:space="preserve"> PAGE   \* MERGEFORMAT </w:instrText>
        </w:r>
        <w:r>
          <w:fldChar w:fldCharType="separate"/>
        </w:r>
        <w:r w:rsidR="007771EF">
          <w:rPr>
            <w:noProof/>
          </w:rPr>
          <w:t>1</w:t>
        </w:r>
        <w:r>
          <w:rPr>
            <w:noProof/>
          </w:rPr>
          <w:fldChar w:fldCharType="end"/>
        </w:r>
      </w:p>
    </w:sdtContent>
  </w:sdt>
  <w:p w14:paraId="6DC0C4DA" w14:textId="77777777" w:rsidR="00A956A8" w:rsidRDefault="00A9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78C5" w14:textId="77777777" w:rsidR="00BB2A05" w:rsidRDefault="00BB2A05" w:rsidP="00D6638C">
      <w:pPr>
        <w:spacing w:after="0" w:line="240" w:lineRule="auto"/>
      </w:pPr>
      <w:r>
        <w:separator/>
      </w:r>
    </w:p>
  </w:footnote>
  <w:footnote w:type="continuationSeparator" w:id="0">
    <w:p w14:paraId="2BB79BBB" w14:textId="77777777" w:rsidR="00BB2A05" w:rsidRDefault="00BB2A05" w:rsidP="00D6638C">
      <w:pPr>
        <w:spacing w:after="0" w:line="240" w:lineRule="auto"/>
      </w:pPr>
      <w:r>
        <w:continuationSeparator/>
      </w:r>
    </w:p>
  </w:footnote>
  <w:footnote w:id="1">
    <w:p w14:paraId="7C1D1D41" w14:textId="77777777" w:rsidR="00A956A8" w:rsidRDefault="00A956A8"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3F830F1" w14:textId="77777777" w:rsidR="00A956A8" w:rsidRPr="00022F8E" w:rsidRDefault="00A956A8">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332076E9" w14:textId="77777777" w:rsidR="00A956A8" w:rsidRPr="00F17AE8" w:rsidRDefault="00A956A8" w:rsidP="00A86465">
      <w:pPr>
        <w:pStyle w:val="FootnoteText"/>
        <w:rPr>
          <w:rFonts w:ascii="Garamond" w:hAnsi="Garamond"/>
          <w:szCs w:val="18"/>
        </w:rPr>
      </w:pPr>
      <w:r w:rsidRPr="009E42EB">
        <w:rPr>
          <w:rStyle w:val="FootnoteReference"/>
          <w:rFonts w:ascii="Garamond" w:eastAsia="MS Gothic" w:hAnsi="Garamond"/>
          <w:szCs w:val="18"/>
        </w:rPr>
        <w:footnoteRef/>
      </w:r>
      <w:r w:rsidRPr="00F17AE8">
        <w:rPr>
          <w:rFonts w:ascii="Garamond" w:hAnsi="Garamond"/>
          <w:szCs w:val="18"/>
        </w:rPr>
        <w:t xml:space="preserve"> </w:t>
      </w:r>
      <w:hyperlink r:id="rId3" w:history="1">
        <w:r w:rsidRPr="009E42EB">
          <w:rPr>
            <w:rStyle w:val="Hyperlink"/>
            <w:rFonts w:ascii="Garamond" w:eastAsia="MS Mincho"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4">
    <w:p w14:paraId="7F7E8E06" w14:textId="77777777" w:rsidR="00A956A8" w:rsidRPr="00CC5905" w:rsidRDefault="00A956A8" w:rsidP="00A86465">
      <w:pPr>
        <w:pStyle w:val="p28"/>
        <w:tabs>
          <w:tab w:val="clear" w:pos="680"/>
          <w:tab w:val="clear" w:pos="1060"/>
        </w:tabs>
        <w:spacing w:line="240" w:lineRule="auto"/>
        <w:ind w:left="0" w:firstLine="0"/>
        <w:jc w:val="both"/>
        <w:rPr>
          <w:rFonts w:ascii="Garamond" w:hAnsi="Garamond"/>
          <w:sz w:val="18"/>
          <w:szCs w:val="18"/>
        </w:rPr>
      </w:pPr>
      <w:r w:rsidRPr="009E42EB">
        <w:rPr>
          <w:rStyle w:val="FootnoteReference"/>
          <w:rFonts w:eastAsia="MS Gothic"/>
          <w:szCs w:val="18"/>
        </w:rPr>
        <w:footnoteRef/>
      </w:r>
      <w:r>
        <w:t xml:space="preserve"> </w:t>
      </w:r>
      <w:hyperlink r:id="rId4" w:history="1">
        <w:r w:rsidRPr="009E42EB">
          <w:rPr>
            <w:rStyle w:val="Hyperlink"/>
            <w:rFonts w:ascii="Garamond" w:eastAsia="MS Mincho" w:hAnsi="Garamond"/>
            <w:sz w:val="18"/>
            <w:szCs w:val="18"/>
          </w:rPr>
          <w:t>http://www.undp.org/content/dam/undp/library/corporate/Careers/P11_Personal_history_form.doc</w:t>
        </w:r>
      </w:hyperlink>
      <w:r>
        <w:rPr>
          <w:rFonts w:ascii="Garamond" w:hAnsi="Garamond"/>
          <w:sz w:val="18"/>
          <w:szCs w:val="18"/>
        </w:rPr>
        <w:t xml:space="preserve"> </w:t>
      </w:r>
    </w:p>
  </w:footnote>
  <w:footnote w:id="5">
    <w:p w14:paraId="637A376F" w14:textId="77777777" w:rsidR="00A956A8" w:rsidRDefault="00A956A8" w:rsidP="00D6638C">
      <w:pPr>
        <w:pStyle w:val="FootnoteText"/>
      </w:pPr>
      <w:r w:rsidRPr="004B6248">
        <w:rPr>
          <w:rStyle w:val="FootnoteReference"/>
        </w:rPr>
        <w:footnoteRef/>
      </w:r>
      <w:r w:rsidRPr="00FB1376">
        <w:t>www.unevaluation.org/unegcodeofconduct</w:t>
      </w:r>
    </w:p>
    <w:p w14:paraId="62AD8BC4" w14:textId="77777777" w:rsidR="00A956A8" w:rsidRDefault="00A956A8" w:rsidP="00D6638C">
      <w:pPr>
        <w:pStyle w:val="FootnoteText"/>
      </w:pPr>
    </w:p>
  </w:footnote>
  <w:footnote w:id="6">
    <w:p w14:paraId="36D7D45E" w14:textId="77777777" w:rsidR="00A956A8" w:rsidRPr="002B7151" w:rsidRDefault="00A956A8"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10FADEC9" w14:textId="77777777" w:rsidR="00A956A8" w:rsidRPr="002B7151" w:rsidRDefault="00A956A8"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0341872F" w14:textId="77777777" w:rsidR="00A956A8" w:rsidRPr="002B7151" w:rsidRDefault="00A956A8"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B3A"/>
    <w:multiLevelType w:val="hybridMultilevel"/>
    <w:tmpl w:val="ADD07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05560"/>
    <w:multiLevelType w:val="hybridMultilevel"/>
    <w:tmpl w:val="8CF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23384"/>
    <w:multiLevelType w:val="hybridMultilevel"/>
    <w:tmpl w:val="3CEA51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ED95E1F"/>
    <w:multiLevelType w:val="hybridMultilevel"/>
    <w:tmpl w:val="3CEA51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15:restartNumberingAfterBreak="0">
    <w:nsid w:val="58532D5D"/>
    <w:multiLevelType w:val="hybridMultilevel"/>
    <w:tmpl w:val="2C9810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21FB6"/>
    <w:multiLevelType w:val="hybridMultilevel"/>
    <w:tmpl w:val="8D883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132976"/>
    <w:multiLevelType w:val="hybridMultilevel"/>
    <w:tmpl w:val="94A2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201D5"/>
    <w:multiLevelType w:val="hybridMultilevel"/>
    <w:tmpl w:val="04408A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38"/>
  </w:num>
  <w:num w:numId="3">
    <w:abstractNumId w:val="31"/>
  </w:num>
  <w:num w:numId="4">
    <w:abstractNumId w:val="20"/>
  </w:num>
  <w:num w:numId="5">
    <w:abstractNumId w:val="2"/>
  </w:num>
  <w:num w:numId="6">
    <w:abstractNumId w:val="25"/>
  </w:num>
  <w:num w:numId="7">
    <w:abstractNumId w:val="1"/>
  </w:num>
  <w:num w:numId="8">
    <w:abstractNumId w:val="33"/>
  </w:num>
  <w:num w:numId="9">
    <w:abstractNumId w:val="14"/>
  </w:num>
  <w:num w:numId="10">
    <w:abstractNumId w:val="32"/>
  </w:num>
  <w:num w:numId="11">
    <w:abstractNumId w:val="12"/>
  </w:num>
  <w:num w:numId="12">
    <w:abstractNumId w:val="26"/>
  </w:num>
  <w:num w:numId="13">
    <w:abstractNumId w:val="24"/>
  </w:num>
  <w:num w:numId="14">
    <w:abstractNumId w:val="3"/>
  </w:num>
  <w:num w:numId="15">
    <w:abstractNumId w:val="23"/>
  </w:num>
  <w:num w:numId="16">
    <w:abstractNumId w:val="16"/>
  </w:num>
  <w:num w:numId="17">
    <w:abstractNumId w:val="4"/>
  </w:num>
  <w:num w:numId="18">
    <w:abstractNumId w:val="15"/>
  </w:num>
  <w:num w:numId="19">
    <w:abstractNumId w:val="37"/>
  </w:num>
  <w:num w:numId="20">
    <w:abstractNumId w:val="18"/>
  </w:num>
  <w:num w:numId="21">
    <w:abstractNumId w:val="13"/>
  </w:num>
  <w:num w:numId="22">
    <w:abstractNumId w:val="5"/>
  </w:num>
  <w:num w:numId="23">
    <w:abstractNumId w:val="7"/>
  </w:num>
  <w:num w:numId="24">
    <w:abstractNumId w:val="34"/>
  </w:num>
  <w:num w:numId="25">
    <w:abstractNumId w:val="0"/>
  </w:num>
  <w:num w:numId="26">
    <w:abstractNumId w:val="39"/>
  </w:num>
  <w:num w:numId="27">
    <w:abstractNumId w:val="10"/>
  </w:num>
  <w:num w:numId="28">
    <w:abstractNumId w:val="35"/>
  </w:num>
  <w:num w:numId="29">
    <w:abstractNumId w:val="22"/>
  </w:num>
  <w:num w:numId="30">
    <w:abstractNumId w:val="19"/>
  </w:num>
  <w:num w:numId="31">
    <w:abstractNumId w:val="30"/>
  </w:num>
  <w:num w:numId="32">
    <w:abstractNumId w:val="29"/>
  </w:num>
  <w:num w:numId="33">
    <w:abstractNumId w:val="36"/>
  </w:num>
  <w:num w:numId="34">
    <w:abstractNumId w:val="21"/>
  </w:num>
  <w:num w:numId="35">
    <w:abstractNumId w:val="40"/>
  </w:num>
  <w:num w:numId="36">
    <w:abstractNumId w:val="28"/>
  </w:num>
  <w:num w:numId="37">
    <w:abstractNumId w:val="27"/>
  </w:num>
  <w:num w:numId="38">
    <w:abstractNumId w:val="17"/>
  </w:num>
  <w:num w:numId="39">
    <w:abstractNumId w:val="6"/>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A23E5"/>
    <w:rsid w:val="000B08D4"/>
    <w:rsid w:val="000C682D"/>
    <w:rsid w:val="000F629B"/>
    <w:rsid w:val="00195CD9"/>
    <w:rsid w:val="001B593F"/>
    <w:rsid w:val="001C32C0"/>
    <w:rsid w:val="001E488B"/>
    <w:rsid w:val="0020208E"/>
    <w:rsid w:val="002244F9"/>
    <w:rsid w:val="00224F9C"/>
    <w:rsid w:val="00245A58"/>
    <w:rsid w:val="00246B5E"/>
    <w:rsid w:val="002B6D89"/>
    <w:rsid w:val="002F40CE"/>
    <w:rsid w:val="00303541"/>
    <w:rsid w:val="00310398"/>
    <w:rsid w:val="0034454E"/>
    <w:rsid w:val="00351452"/>
    <w:rsid w:val="003A1C86"/>
    <w:rsid w:val="003E7090"/>
    <w:rsid w:val="00410A28"/>
    <w:rsid w:val="0041309A"/>
    <w:rsid w:val="00420742"/>
    <w:rsid w:val="00457A63"/>
    <w:rsid w:val="004A055D"/>
    <w:rsid w:val="004F010F"/>
    <w:rsid w:val="005607C2"/>
    <w:rsid w:val="005D308C"/>
    <w:rsid w:val="00642CCA"/>
    <w:rsid w:val="00643E18"/>
    <w:rsid w:val="006C1964"/>
    <w:rsid w:val="006E1E6F"/>
    <w:rsid w:val="007163C3"/>
    <w:rsid w:val="00721374"/>
    <w:rsid w:val="0073571E"/>
    <w:rsid w:val="007771EF"/>
    <w:rsid w:val="007A4FB9"/>
    <w:rsid w:val="007A6181"/>
    <w:rsid w:val="007B5D76"/>
    <w:rsid w:val="008106F3"/>
    <w:rsid w:val="00834115"/>
    <w:rsid w:val="008861A6"/>
    <w:rsid w:val="008A27D9"/>
    <w:rsid w:val="008D203F"/>
    <w:rsid w:val="0093283A"/>
    <w:rsid w:val="009A67B6"/>
    <w:rsid w:val="00A50B11"/>
    <w:rsid w:val="00A56AE5"/>
    <w:rsid w:val="00A86465"/>
    <w:rsid w:val="00A956A8"/>
    <w:rsid w:val="00B913F1"/>
    <w:rsid w:val="00BB2A05"/>
    <w:rsid w:val="00BD5B3E"/>
    <w:rsid w:val="00C0295B"/>
    <w:rsid w:val="00C16261"/>
    <w:rsid w:val="00C22CB4"/>
    <w:rsid w:val="00C22FDA"/>
    <w:rsid w:val="00C47609"/>
    <w:rsid w:val="00C510B0"/>
    <w:rsid w:val="00C87EB3"/>
    <w:rsid w:val="00C950FC"/>
    <w:rsid w:val="00CF2BBC"/>
    <w:rsid w:val="00D241C2"/>
    <w:rsid w:val="00D33097"/>
    <w:rsid w:val="00D616EC"/>
    <w:rsid w:val="00D65ACE"/>
    <w:rsid w:val="00D6638C"/>
    <w:rsid w:val="00DF7308"/>
    <w:rsid w:val="00E00C46"/>
    <w:rsid w:val="00E212A6"/>
    <w:rsid w:val="00E23201"/>
    <w:rsid w:val="00E77635"/>
    <w:rsid w:val="00EA6682"/>
    <w:rsid w:val="00EF3056"/>
    <w:rsid w:val="00F04033"/>
    <w:rsid w:val="00F05366"/>
    <w:rsid w:val="00F83D45"/>
    <w:rsid w:val="00FC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C20D"/>
  <w15:docId w15:val="{088AFA73-6DFD-47BA-AEC7-CACEE6A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99"/>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C87EB3"/>
    <w:rPr>
      <w:color w:val="808080"/>
      <w:shd w:val="clear" w:color="auto" w:fill="E6E6E6"/>
    </w:rPr>
  </w:style>
  <w:style w:type="character" w:customStyle="1" w:styleId="atendertext1">
    <w:name w:val="a_tender_text1"/>
    <w:rsid w:val="0041309A"/>
    <w:rPr>
      <w:rFonts w:ascii="Arial" w:hAnsi="Arial" w:cs="Arial" w:hint="default"/>
      <w:color w:val="000000"/>
      <w:sz w:val="20"/>
      <w:szCs w:val="20"/>
    </w:rPr>
  </w:style>
  <w:style w:type="paragraph" w:customStyle="1" w:styleId="p28">
    <w:name w:val="p28"/>
    <w:basedOn w:val="Normal"/>
    <w:rsid w:val="00A8646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registry.pg@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47E7-529B-4C79-82BB-84BCEAEC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B45692-0F99-44D9-A340-4B616829C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54641-EAAE-4990-9C4E-9CF514142866}">
  <ds:schemaRefs>
    <ds:schemaRef ds:uri="http://schemas.microsoft.com/sharepoint/v3/contenttype/forms"/>
  </ds:schemaRefs>
</ds:datastoreItem>
</file>

<file path=customXml/itemProps4.xml><?xml version="1.0" encoding="utf-8"?>
<ds:datastoreItem xmlns:ds="http://schemas.openxmlformats.org/officeDocument/2006/customXml" ds:itemID="{4BA8E72D-FA3E-48CD-B376-E6FC038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Gwen Maru</cp:lastModifiedBy>
  <cp:revision>2</cp:revision>
  <cp:lastPrinted>2017-09-29T05:57:00Z</cp:lastPrinted>
  <dcterms:created xsi:type="dcterms:W3CDTF">2019-05-06T05:28:00Z</dcterms:created>
  <dcterms:modified xsi:type="dcterms:W3CDTF">2019-05-06T05:28:00Z</dcterms:modified>
</cp:coreProperties>
</file>