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840E" w14:textId="77777777" w:rsidR="00770DC0" w:rsidRDefault="00770DC0" w:rsidP="00770DC0"/>
    <w:tbl>
      <w:tblPr>
        <w:tblW w:w="972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697"/>
      </w:tblGrid>
      <w:tr w:rsidR="00770DC0" w:rsidRPr="007D7A00" w14:paraId="08A2621C" w14:textId="77777777" w:rsidTr="00562EA6"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4C2CF" w14:textId="77777777" w:rsidR="00770DC0" w:rsidRPr="007D7A00" w:rsidRDefault="00770DC0">
            <w:pPr>
              <w:spacing w:line="252" w:lineRule="auto"/>
              <w:jc w:val="center"/>
              <w:rPr>
                <w:b/>
                <w:bCs/>
              </w:rPr>
            </w:pPr>
            <w:r w:rsidRPr="007D7A00">
              <w:rPr>
                <w:b/>
                <w:bCs/>
              </w:rPr>
              <w:t>PROJECT EXTENSION REQUEST FORM</w:t>
            </w:r>
          </w:p>
        </w:tc>
      </w:tr>
      <w:tr w:rsidR="00770DC0" w:rsidRPr="007D7A00" w14:paraId="36F7D183" w14:textId="77777777" w:rsidTr="00562EA6"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76A8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>Project title, country and PIMS #: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6E47F" w14:textId="77777777" w:rsidR="00770DC0" w:rsidRPr="00DF7584" w:rsidRDefault="00F86F4D">
            <w:pPr>
              <w:spacing w:line="252" w:lineRule="auto"/>
              <w:rPr>
                <w:i/>
                <w:iCs/>
              </w:rPr>
            </w:pPr>
            <w:r w:rsidRPr="00DF7584">
              <w:rPr>
                <w:i/>
                <w:iCs/>
              </w:rPr>
              <w:t>Appropriate Mitigation Actions in the Energy Generation and End-User Sectors in Sri Lanka</w:t>
            </w:r>
          </w:p>
          <w:p w14:paraId="4138B155" w14:textId="77777777" w:rsidR="00F86F4D" w:rsidRPr="007D7A00" w:rsidRDefault="00F86F4D">
            <w:pPr>
              <w:spacing w:line="252" w:lineRule="auto"/>
              <w:rPr>
                <w:i/>
                <w:iCs/>
                <w:color w:val="FF0000"/>
              </w:rPr>
            </w:pPr>
            <w:r w:rsidRPr="00DF7584">
              <w:rPr>
                <w:i/>
                <w:iCs/>
              </w:rPr>
              <w:t>PIMS: 00089391</w:t>
            </w:r>
          </w:p>
        </w:tc>
      </w:tr>
      <w:tr w:rsidR="00770DC0" w:rsidRPr="007D7A00" w14:paraId="77FEAB4E" w14:textId="77777777" w:rsidTr="00562EA6"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5AF1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 xml:space="preserve">The reason(s) for the extension: </w:t>
            </w:r>
          </w:p>
          <w:p w14:paraId="5306ACE9" w14:textId="77777777" w:rsidR="00770DC0" w:rsidRPr="007D7A00" w:rsidRDefault="00770DC0">
            <w:pPr>
              <w:spacing w:line="252" w:lineRule="auto"/>
              <w:rPr>
                <w:i/>
                <w:iCs/>
              </w:rPr>
            </w:pPr>
            <w:r w:rsidRPr="007D7A00">
              <w:rPr>
                <w:i/>
                <w:iCs/>
              </w:rPr>
              <w:t>Include all that apply; delete the options that do not apply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770DC0" w:rsidRPr="007D7A00" w14:paraId="05A7D141" w14:textId="77777777">
              <w:trPr>
                <w:trHeight w:val="288"/>
              </w:trPr>
              <w:tc>
                <w:tcPr>
                  <w:tcW w:w="52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244CEC" w14:textId="0A103F5D" w:rsidR="00770DC0" w:rsidRPr="00D119E9" w:rsidRDefault="00770DC0" w:rsidP="00D119E9">
                  <w:pPr>
                    <w:rPr>
                      <w:strike/>
                      <w:color w:val="000000"/>
                    </w:rPr>
                  </w:pPr>
                </w:p>
              </w:tc>
            </w:tr>
            <w:tr w:rsidR="00770DC0" w:rsidRPr="007D7A00" w14:paraId="0CF35FAF" w14:textId="77777777" w:rsidTr="00D119E9">
              <w:trPr>
                <w:trHeight w:val="333"/>
              </w:trPr>
              <w:tc>
                <w:tcPr>
                  <w:tcW w:w="52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136416" w14:textId="41021B6E" w:rsidR="00770DC0" w:rsidRPr="00D119E9" w:rsidRDefault="00770DC0" w:rsidP="00D119E9">
                  <w:pPr>
                    <w:rPr>
                      <w:strike/>
                      <w:color w:val="000000"/>
                    </w:rPr>
                  </w:pPr>
                </w:p>
              </w:tc>
            </w:tr>
            <w:tr w:rsidR="00770DC0" w:rsidRPr="007D7A00" w14:paraId="7ADE1A44" w14:textId="77777777">
              <w:trPr>
                <w:trHeight w:val="288"/>
              </w:trPr>
              <w:tc>
                <w:tcPr>
                  <w:tcW w:w="52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AA7F2F" w14:textId="63273D48" w:rsidR="00770DC0" w:rsidRPr="00D119E9" w:rsidRDefault="00DE6B05" w:rsidP="00D119E9">
                  <w:pPr>
                    <w:rPr>
                      <w:strike/>
                      <w:color w:val="000000"/>
                    </w:rPr>
                  </w:pPr>
                  <w:r w:rsidRPr="00D119E9">
                    <w:rPr>
                      <w:color w:val="000000"/>
                    </w:rPr>
                    <w:t>Smooth transfer of the project to project implementing partners and additional time required to implement the changes recommended by the MTR</w:t>
                  </w:r>
                </w:p>
              </w:tc>
            </w:tr>
            <w:tr w:rsidR="00770DC0" w:rsidRPr="007D7A00" w14:paraId="3CF9DCE3" w14:textId="77777777">
              <w:trPr>
                <w:trHeight w:val="288"/>
              </w:trPr>
              <w:tc>
                <w:tcPr>
                  <w:tcW w:w="52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A2ADFF" w14:textId="5997C7CB" w:rsidR="00770DC0" w:rsidRPr="00D119E9" w:rsidRDefault="00770DC0" w:rsidP="00D119E9">
                  <w:pPr>
                    <w:rPr>
                      <w:strike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770DC0" w:rsidRPr="007D7A00" w14:paraId="6D3C7207" w14:textId="77777777">
              <w:trPr>
                <w:trHeight w:val="288"/>
              </w:trPr>
              <w:tc>
                <w:tcPr>
                  <w:tcW w:w="52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9BD4B8" w14:textId="2D45E707" w:rsidR="00770DC0" w:rsidRPr="00D119E9" w:rsidRDefault="00770DC0" w:rsidP="00D119E9">
                  <w:pPr>
                    <w:rPr>
                      <w:color w:val="000000"/>
                    </w:rPr>
                  </w:pPr>
                </w:p>
              </w:tc>
            </w:tr>
          </w:tbl>
          <w:p w14:paraId="42EF78EB" w14:textId="77777777" w:rsidR="00770DC0" w:rsidRPr="007D7A00" w:rsidRDefault="00770D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0DC0" w:rsidRPr="007D7A00" w14:paraId="11277F9F" w14:textId="77777777" w:rsidTr="00562EA6">
        <w:trPr>
          <w:trHeight w:val="205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CAAA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>Length of the requested extension in months.</w:t>
            </w:r>
          </w:p>
          <w:p w14:paraId="6CB1DB5C" w14:textId="77777777" w:rsidR="00770DC0" w:rsidRPr="007D7A00" w:rsidRDefault="00770DC0">
            <w:pPr>
              <w:spacing w:line="252" w:lineRule="auto"/>
              <w:rPr>
                <w:sz w:val="18"/>
                <w:szCs w:val="18"/>
              </w:rPr>
            </w:pPr>
            <w:r w:rsidRPr="007D7A00">
              <w:rPr>
                <w:sz w:val="18"/>
                <w:szCs w:val="18"/>
              </w:rPr>
              <w:t>For GEF-3 and GEF-4 projects, extensions may be granted up to 24 months only.  For GEF-5 and GEF-6 projects, extensions may be granted up to 12 to 18 months only, depending on the circumstances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3F25" w14:textId="77777777" w:rsidR="000D031B" w:rsidRPr="007D7A00" w:rsidRDefault="00770DC0" w:rsidP="007D7A00">
            <w:pPr>
              <w:pStyle w:val="ListParagraph"/>
              <w:ind w:left="360"/>
              <w:rPr>
                <w:color w:val="000000"/>
              </w:rPr>
            </w:pPr>
            <w:r w:rsidRPr="007D7A00">
              <w:rPr>
                <w:color w:val="000000"/>
              </w:rPr>
              <w:t>Enter number of months</w:t>
            </w:r>
            <w:r w:rsidR="009B38E1" w:rsidRPr="007D7A00">
              <w:rPr>
                <w:color w:val="000000"/>
              </w:rPr>
              <w:t>: 6</w:t>
            </w:r>
            <w:r w:rsidRPr="007D7A00">
              <w:rPr>
                <w:color w:val="000000"/>
              </w:rPr>
              <w:t xml:space="preserve"> </w:t>
            </w:r>
          </w:p>
          <w:p w14:paraId="75386FD7" w14:textId="77777777" w:rsidR="00770DC0" w:rsidRPr="007D7A00" w:rsidRDefault="00770DC0">
            <w:pPr>
              <w:spacing w:line="252" w:lineRule="auto"/>
              <w:rPr>
                <w:iCs/>
              </w:rPr>
            </w:pPr>
          </w:p>
        </w:tc>
      </w:tr>
      <w:tr w:rsidR="00770DC0" w:rsidRPr="007D7A00" w14:paraId="7D52E5D4" w14:textId="77777777" w:rsidTr="00562EA6"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BB9F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>Original planned closing date</w:t>
            </w:r>
          </w:p>
          <w:p w14:paraId="47C599D4" w14:textId="77777777" w:rsidR="00770DC0" w:rsidRPr="007D7A00" w:rsidRDefault="00770DC0">
            <w:pPr>
              <w:spacing w:line="252" w:lineRule="auto"/>
            </w:pPr>
            <w:r w:rsidRPr="007D7A00">
              <w:rPr>
                <w:sz w:val="18"/>
                <w:szCs w:val="18"/>
              </w:rPr>
              <w:t>Original planned closing date can be calculated by adding the project duration in months noted in the CEO endorsement request to the project document signature date.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3668" w14:textId="77777777" w:rsidR="00770DC0" w:rsidRPr="007D7A00" w:rsidRDefault="009B38E1" w:rsidP="005055EB">
            <w:pPr>
              <w:spacing w:line="252" w:lineRule="auto"/>
            </w:pPr>
            <w:r w:rsidRPr="007D7A00">
              <w:t>10</w:t>
            </w:r>
            <w:r w:rsidRPr="007D7A00">
              <w:rPr>
                <w:vertAlign w:val="superscript"/>
              </w:rPr>
              <w:t>th</w:t>
            </w:r>
            <w:r w:rsidRPr="007D7A00">
              <w:t xml:space="preserve"> June 2019</w:t>
            </w:r>
          </w:p>
        </w:tc>
      </w:tr>
      <w:tr w:rsidR="001C5EFA" w:rsidRPr="007D7A00" w14:paraId="39002606" w14:textId="77777777" w:rsidTr="00562EA6"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031B" w14:textId="77777777" w:rsidR="001C5EFA" w:rsidRPr="007D7A00" w:rsidRDefault="001C5EFA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>Please enter the revised expected date of Final/Terminal Evaluation/End of Project Report, if it had not been conducted yet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14C7" w14:textId="77777777" w:rsidR="009B38E1" w:rsidRPr="007D7A00" w:rsidRDefault="009B38E1">
            <w:pPr>
              <w:spacing w:line="252" w:lineRule="auto"/>
            </w:pPr>
            <w:r w:rsidRPr="007D7A00">
              <w:t xml:space="preserve">Closing </w:t>
            </w:r>
            <w:proofErr w:type="gramStart"/>
            <w:r w:rsidRPr="007D7A00">
              <w:t>date :</w:t>
            </w:r>
            <w:proofErr w:type="gramEnd"/>
            <w:r w:rsidRPr="007D7A00">
              <w:t xml:space="preserve"> 31/12/2019</w:t>
            </w:r>
          </w:p>
          <w:p w14:paraId="05A5D46A" w14:textId="77777777" w:rsidR="009B38E1" w:rsidRPr="007D7A00" w:rsidRDefault="009B38E1">
            <w:pPr>
              <w:spacing w:line="252" w:lineRule="auto"/>
            </w:pPr>
            <w:r w:rsidRPr="007D7A00">
              <w:t>Terminal Evaluation: 30/09/2019</w:t>
            </w:r>
          </w:p>
          <w:p w14:paraId="45D289E0" w14:textId="77777777" w:rsidR="00F00E0C" w:rsidRPr="007D7A00" w:rsidRDefault="00F00E0C" w:rsidP="00622337">
            <w:pPr>
              <w:spacing w:line="252" w:lineRule="auto"/>
              <w:rPr>
                <w:color w:val="FF0000"/>
              </w:rPr>
            </w:pPr>
          </w:p>
        </w:tc>
      </w:tr>
      <w:tr w:rsidR="00770DC0" w:rsidRPr="007D7A00" w14:paraId="6191589C" w14:textId="77777777" w:rsidTr="00562EA6"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913D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 xml:space="preserve">If the extension is granted, what will be the new closing date? </w:t>
            </w:r>
          </w:p>
          <w:p w14:paraId="3133C1EE" w14:textId="77777777" w:rsidR="00770DC0" w:rsidRPr="007D7A00" w:rsidRDefault="00770DC0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7D7A00">
              <w:rPr>
                <w:rFonts w:ascii="Calibri" w:hAnsi="Calibri"/>
                <w:color w:val="000000"/>
                <w:sz w:val="18"/>
                <w:szCs w:val="18"/>
              </w:rPr>
              <w:t xml:space="preserve">Please note that operational closure must be completed by the closing date; the terminal evaluation should be completed </w:t>
            </w:r>
            <w:r w:rsidRPr="007D7A00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before</w:t>
            </w:r>
            <w:r w:rsidRPr="007D7A00">
              <w:rPr>
                <w:rFonts w:ascii="Calibri" w:hAnsi="Calibri"/>
                <w:color w:val="000000"/>
                <w:sz w:val="18"/>
                <w:szCs w:val="18"/>
              </w:rPr>
              <w:t xml:space="preserve"> the project is operationally closed (no further commitments can be raised in Atlas, all POs must be fully received before operational closure; non-PO Vouchers can still be created, but no ASL will be allocated to the project after the project completion deadline). 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891A" w14:textId="77777777" w:rsidR="00770DC0" w:rsidRPr="007D7A00" w:rsidRDefault="00770DC0">
            <w:pPr>
              <w:spacing w:line="252" w:lineRule="auto"/>
              <w:rPr>
                <w:color w:val="FF0000"/>
              </w:rPr>
            </w:pPr>
          </w:p>
          <w:p w14:paraId="01CF626C" w14:textId="77777777" w:rsidR="00AF2A9B" w:rsidRPr="007D7A00" w:rsidRDefault="009B38E1" w:rsidP="00FF1CCF">
            <w:pPr>
              <w:spacing w:line="252" w:lineRule="auto"/>
              <w:rPr>
                <w:b/>
              </w:rPr>
            </w:pPr>
            <w:r w:rsidRPr="007D7A00">
              <w:rPr>
                <w:b/>
              </w:rPr>
              <w:t>31st December 2019</w:t>
            </w:r>
          </w:p>
          <w:p w14:paraId="0BFF70A6" w14:textId="2E90E0DC" w:rsidR="007D7A00" w:rsidRPr="007D7A00" w:rsidRDefault="007D7A00" w:rsidP="00FF1CCF">
            <w:pPr>
              <w:spacing w:line="252" w:lineRule="auto"/>
              <w:rPr>
                <w:b/>
              </w:rPr>
            </w:pPr>
          </w:p>
        </w:tc>
      </w:tr>
      <w:tr w:rsidR="00770DC0" w:rsidRPr="007D7A00" w14:paraId="6E0E86CB" w14:textId="77777777" w:rsidTr="00562EA6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545F" w14:textId="77777777" w:rsidR="00770DC0" w:rsidRPr="007D7A00" w:rsidRDefault="00770DC0">
            <w:pPr>
              <w:spacing w:line="252" w:lineRule="auto"/>
              <w:rPr>
                <w:b/>
                <w:bCs/>
              </w:rPr>
            </w:pPr>
            <w:r w:rsidRPr="007D7A00">
              <w:rPr>
                <w:b/>
                <w:bCs/>
              </w:rPr>
              <w:t>Please complete the following questions:</w:t>
            </w:r>
          </w:p>
        </w:tc>
      </w:tr>
      <w:tr w:rsidR="00770DC0" w14:paraId="7AB793D2" w14:textId="77777777" w:rsidTr="00562EA6">
        <w:trPr>
          <w:trHeight w:val="1529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021F" w14:textId="77777777" w:rsidR="00770DC0" w:rsidRPr="007D7A00" w:rsidRDefault="00770DC0" w:rsidP="00795D3D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 w:rsidRPr="007D7A00">
              <w:t xml:space="preserve">Explain why the project should be extended and how the extension will lead to the successful completion of the project and greater </w:t>
            </w:r>
            <w:proofErr w:type="gramStart"/>
            <w:r w:rsidRPr="007D7A00">
              <w:t>impact  (</w:t>
            </w:r>
            <w:proofErr w:type="gramEnd"/>
            <w:r w:rsidRPr="007D7A00">
              <w:t>no more than 500 words)</w:t>
            </w:r>
          </w:p>
          <w:p w14:paraId="049C3A27" w14:textId="00C08682" w:rsidR="005951F4" w:rsidRDefault="005951F4" w:rsidP="00687421">
            <w:pPr>
              <w:spacing w:line="252" w:lineRule="auto"/>
            </w:pPr>
          </w:p>
          <w:p w14:paraId="74F4DC06" w14:textId="085047C9" w:rsidR="00687421" w:rsidRPr="007D7A00" w:rsidRDefault="00687421" w:rsidP="00DE6B05">
            <w:pPr>
              <w:spacing w:line="252" w:lineRule="auto"/>
            </w:pPr>
            <w:r>
              <w:t xml:space="preserve">The project is mainly seeking a short-term extension of six months given the significance of continuation of the project activities beyond the project end date and an initial delay of about 4 months after its start on 10 June 2019. It is a </w:t>
            </w:r>
            <w:proofErr w:type="gramStart"/>
            <w:r>
              <w:t>4 year</w:t>
            </w:r>
            <w:proofErr w:type="gramEnd"/>
            <w:r>
              <w:t xml:space="preserve"> project scheduled to end on 30 June 2019. </w:t>
            </w:r>
          </w:p>
          <w:p w14:paraId="786FAA4E" w14:textId="384DF941" w:rsidR="005951F4" w:rsidRPr="007D7A00" w:rsidRDefault="005951F4" w:rsidP="005951F4">
            <w:pPr>
              <w:jc w:val="both"/>
            </w:pPr>
            <w:r w:rsidRPr="007D7A00">
              <w:t xml:space="preserve">The Project completed project Mid-term Review (MTR) in Aug 2017 and received ‘moderately satisfactory’ rating with few recommendations and corrective actions </w:t>
            </w:r>
            <w:proofErr w:type="gramStart"/>
            <w:r w:rsidRPr="007D7A00">
              <w:t>in order to</w:t>
            </w:r>
            <w:proofErr w:type="gramEnd"/>
            <w:r w:rsidRPr="007D7A00">
              <w:t xml:space="preserve"> achieve EOP targets. Since then, the Project has actively been implementing these recommendations as well as the initial </w:t>
            </w:r>
            <w:proofErr w:type="spellStart"/>
            <w:r w:rsidRPr="007D7A00">
              <w:t>ProDoc</w:t>
            </w:r>
            <w:proofErr w:type="spellEnd"/>
            <w:r w:rsidRPr="007D7A00">
              <w:t xml:space="preserve"> activities.</w:t>
            </w:r>
          </w:p>
          <w:p w14:paraId="6EE55EC1" w14:textId="418C35D3" w:rsidR="005951F4" w:rsidRDefault="005951F4" w:rsidP="005951F4">
            <w:pPr>
              <w:jc w:val="both"/>
            </w:pPr>
          </w:p>
          <w:p w14:paraId="7B571D9C" w14:textId="77777777" w:rsidR="005E0A77" w:rsidRDefault="00687421" w:rsidP="00B24D9E">
            <w:pPr>
              <w:jc w:val="both"/>
            </w:pPr>
            <w:r>
              <w:t>The extension is sought mainly due to the following reason</w:t>
            </w:r>
            <w:r w:rsidR="005E0A77">
              <w:t>s</w:t>
            </w:r>
            <w:r>
              <w:t>:</w:t>
            </w:r>
            <w:r w:rsidR="00B24D9E">
              <w:t xml:space="preserve"> </w:t>
            </w:r>
          </w:p>
          <w:p w14:paraId="19526E37" w14:textId="77777777" w:rsidR="005E0A77" w:rsidRDefault="005E0A77" w:rsidP="00B24D9E">
            <w:pPr>
              <w:jc w:val="both"/>
            </w:pPr>
          </w:p>
          <w:p w14:paraId="202F2F63" w14:textId="1372AC41" w:rsidR="00687421" w:rsidRPr="007D7A00" w:rsidRDefault="005E0A77" w:rsidP="00A74E0F">
            <w:pPr>
              <w:jc w:val="both"/>
            </w:pPr>
            <w:r>
              <w:t xml:space="preserve">1) </w:t>
            </w:r>
            <w:r w:rsidR="00687421">
              <w:t xml:space="preserve">Completion of capacity strengthening </w:t>
            </w:r>
            <w:r w:rsidR="005D423F">
              <w:t xml:space="preserve">already </w:t>
            </w:r>
            <w:r w:rsidR="00687421">
              <w:t xml:space="preserve">initiated: </w:t>
            </w:r>
          </w:p>
          <w:p w14:paraId="7C10DDB6" w14:textId="77777777" w:rsidR="005E0A77" w:rsidRDefault="005E0A77" w:rsidP="005E0A77">
            <w:pPr>
              <w:jc w:val="both"/>
            </w:pPr>
          </w:p>
          <w:p w14:paraId="50788013" w14:textId="799F84EF" w:rsidR="00B24D9E" w:rsidRDefault="005951F4" w:rsidP="00A74E0F">
            <w:pPr>
              <w:jc w:val="both"/>
            </w:pPr>
            <w:r w:rsidRPr="007D7A00">
              <w:t xml:space="preserve">The Project has introduced </w:t>
            </w:r>
            <w:r w:rsidR="00B24D9E">
              <w:t>a</w:t>
            </w:r>
            <w:r w:rsidR="00687421">
              <w:t xml:space="preserve"> </w:t>
            </w:r>
            <w:r w:rsidRPr="007D7A00">
              <w:t>systematic data management process to the energy sector, making substantial progress into detailed design of the NAMAs</w:t>
            </w:r>
            <w:r w:rsidR="00A74E0F">
              <w:t>. These include on-going efforts on development of several NAMA project proposals through NAMA intuitional</w:t>
            </w:r>
            <w:r w:rsidR="00517B66">
              <w:t xml:space="preserve"> set-up targeting various donors and prospective funding agencies including the EU, NAMA facility and TCAF etc. </w:t>
            </w:r>
            <w:r w:rsidR="00A74E0F">
              <w:t>There is still ongoing</w:t>
            </w:r>
            <w:r w:rsidR="00687421">
              <w:t xml:space="preserve"> </w:t>
            </w:r>
            <w:r w:rsidRPr="007D7A00">
              <w:t xml:space="preserve">engagement </w:t>
            </w:r>
            <w:r w:rsidR="00B24D9E">
              <w:t xml:space="preserve">with </w:t>
            </w:r>
            <w:r w:rsidRPr="007D7A00">
              <w:t xml:space="preserve">key stakeholders to </w:t>
            </w:r>
            <w:r w:rsidR="00B24D9E">
              <w:t xml:space="preserve">complete the identified </w:t>
            </w:r>
            <w:r w:rsidRPr="007D7A00">
              <w:t xml:space="preserve">NAMA </w:t>
            </w:r>
            <w:r w:rsidR="00B24D9E">
              <w:t>pilot</w:t>
            </w:r>
            <w:r w:rsidRPr="007D7A00">
              <w:t xml:space="preserve"> installations</w:t>
            </w:r>
            <w:r w:rsidR="00B24D9E">
              <w:t xml:space="preserve"> to ensure </w:t>
            </w:r>
            <w:r w:rsidRPr="007D7A00">
              <w:t>both data management and</w:t>
            </w:r>
            <w:r w:rsidR="00B24D9E">
              <w:t xml:space="preserve"> compliance to recommended</w:t>
            </w:r>
            <w:r w:rsidRPr="007D7A00">
              <w:t xml:space="preserve"> Monitor, Report and Verify (MRV) framework. </w:t>
            </w:r>
            <w:r w:rsidR="00B24D9E">
              <w:t xml:space="preserve">This is an important component </w:t>
            </w:r>
            <w:r w:rsidRPr="007D7A00">
              <w:t>for</w:t>
            </w:r>
            <w:r w:rsidR="00A74E0F">
              <w:t xml:space="preserve"> sustainability of</w:t>
            </w:r>
            <w:r w:rsidRPr="007D7A00">
              <w:t xml:space="preserve"> ‘operational and established data management and MRV </w:t>
            </w:r>
            <w:proofErr w:type="gramStart"/>
            <w:r w:rsidRPr="007D7A00">
              <w:t>systems’</w:t>
            </w:r>
            <w:proofErr w:type="gramEnd"/>
            <w:r w:rsidR="00B24D9E">
              <w:t xml:space="preserve">. </w:t>
            </w:r>
            <w:r w:rsidRPr="007D7A00">
              <w:t xml:space="preserve"> </w:t>
            </w:r>
          </w:p>
          <w:p w14:paraId="6A204C49" w14:textId="77777777" w:rsidR="00B24D9E" w:rsidRDefault="00B24D9E" w:rsidP="00687421">
            <w:pPr>
              <w:pStyle w:val="ListParagraph"/>
              <w:jc w:val="both"/>
            </w:pPr>
          </w:p>
          <w:p w14:paraId="70710C05" w14:textId="2E47A72B" w:rsidR="005951F4" w:rsidRPr="007D7A00" w:rsidRDefault="00A74E0F" w:rsidP="00A74E0F">
            <w:pPr>
              <w:jc w:val="both"/>
            </w:pPr>
            <w:r>
              <w:t>During the extended period,</w:t>
            </w:r>
            <w:r w:rsidR="005951F4" w:rsidRPr="007D7A00">
              <w:t xml:space="preserve"> </w:t>
            </w:r>
            <w:r w:rsidR="00B24D9E">
              <w:t xml:space="preserve">efforts will made </w:t>
            </w:r>
            <w:r w:rsidR="005951F4" w:rsidRPr="007D7A00">
              <w:t xml:space="preserve">to develop </w:t>
            </w:r>
            <w:r w:rsidR="00B24D9E">
              <w:t xml:space="preserve">inhouse institutional </w:t>
            </w:r>
            <w:r w:rsidR="005951F4" w:rsidRPr="007D7A00">
              <w:t>capacities a</w:t>
            </w:r>
            <w:r w:rsidR="00517B66">
              <w:t>nd sustaining plans beyond EOP,</w:t>
            </w:r>
            <w:r w:rsidR="00B24D9E">
              <w:t xml:space="preserve"> by </w:t>
            </w:r>
            <w:r w:rsidR="005951F4" w:rsidRPr="007D7A00">
              <w:t>linking these actions with national priorities such as NDCs and progress tracking towards NDC targets, and</w:t>
            </w:r>
            <w:r w:rsidR="00B24D9E">
              <w:t xml:space="preserve"> future</w:t>
            </w:r>
            <w:r w:rsidR="005951F4" w:rsidRPr="007D7A00">
              <w:t xml:space="preserve"> policy and regulatory support towards these efforts. The</w:t>
            </w:r>
            <w:r w:rsidR="00B24D9E">
              <w:t xml:space="preserve"> additional efforts are expected to </w:t>
            </w:r>
            <w:proofErr w:type="gramStart"/>
            <w:r w:rsidR="005951F4" w:rsidRPr="007D7A00">
              <w:t>resulting</w:t>
            </w:r>
            <w:proofErr w:type="gramEnd"/>
            <w:r w:rsidR="005951F4" w:rsidRPr="007D7A00">
              <w:t xml:space="preserve"> successful </w:t>
            </w:r>
            <w:r w:rsidR="00A10FDD">
              <w:t>initiatives</w:t>
            </w:r>
            <w:r>
              <w:t xml:space="preserve"> which include</w:t>
            </w:r>
            <w:r w:rsidR="00517B66">
              <w:t xml:space="preserve"> an</w:t>
            </w:r>
            <w:r>
              <w:t xml:space="preserve"> </w:t>
            </w:r>
            <w:r w:rsidR="00A10FDD">
              <w:t>expert c</w:t>
            </w:r>
            <w:r>
              <w:t>omm</w:t>
            </w:r>
            <w:r w:rsidR="00517B66">
              <w:t xml:space="preserve">ittee </w:t>
            </w:r>
            <w:r w:rsidR="00A10FDD">
              <w:t>and working cells undertaking Climate Change Mitigation actions and related initiatives.</w:t>
            </w:r>
            <w:r w:rsidR="005951F4" w:rsidRPr="007D7A00">
              <w:t xml:space="preserve">  </w:t>
            </w:r>
          </w:p>
          <w:p w14:paraId="3BE70A09" w14:textId="77777777" w:rsidR="005951F4" w:rsidRPr="007D7A00" w:rsidRDefault="005951F4" w:rsidP="005951F4">
            <w:pPr>
              <w:jc w:val="both"/>
              <w:rPr>
                <w:i/>
              </w:rPr>
            </w:pPr>
          </w:p>
          <w:p w14:paraId="7F9A8733" w14:textId="00A34083" w:rsidR="005E0A77" w:rsidRDefault="005E0A77" w:rsidP="005951F4">
            <w:pPr>
              <w:jc w:val="both"/>
            </w:pPr>
            <w:r>
              <w:t>2) Quantification of GHG impacts of the ongoing</w:t>
            </w:r>
            <w:r w:rsidRPr="007D7A00">
              <w:t xml:space="preserve"> two pilot </w:t>
            </w:r>
            <w:proofErr w:type="spellStart"/>
            <w:r w:rsidRPr="007D7A00">
              <w:t>programmes</w:t>
            </w:r>
            <w:proofErr w:type="spellEnd"/>
          </w:p>
          <w:p w14:paraId="003ED346" w14:textId="77777777" w:rsidR="005E0A77" w:rsidRDefault="005E0A77" w:rsidP="005951F4">
            <w:pPr>
              <w:jc w:val="both"/>
            </w:pPr>
          </w:p>
          <w:p w14:paraId="2978DC9A" w14:textId="0F33A626" w:rsidR="005951F4" w:rsidRPr="007D7A00" w:rsidRDefault="005E0A77" w:rsidP="005951F4">
            <w:pPr>
              <w:jc w:val="both"/>
            </w:pPr>
            <w:r>
              <w:t xml:space="preserve">Based on the recommended changes in the MTR, installations of </w:t>
            </w:r>
            <w:r w:rsidR="00137700">
              <w:t>Variable Frequency Drives</w:t>
            </w:r>
            <w:r w:rsidRPr="007D7A00">
              <w:t xml:space="preserve"> (VFDs) in tea sector and medium-large biogas </w:t>
            </w:r>
            <w:proofErr w:type="spellStart"/>
            <w:r w:rsidRPr="007D7A00">
              <w:t>programme</w:t>
            </w:r>
            <w:proofErr w:type="spellEnd"/>
            <w:r w:rsidRPr="007D7A00">
              <w:t xml:space="preserve"> are at </w:t>
            </w:r>
            <w:r>
              <w:t xml:space="preserve">advanced stages of implementation and </w:t>
            </w:r>
            <w:r w:rsidR="00137700">
              <w:t xml:space="preserve">will </w:t>
            </w:r>
            <w:r w:rsidR="00137700" w:rsidRPr="007D7A00">
              <w:t>significantly</w:t>
            </w:r>
            <w:r>
              <w:t xml:space="preserve"> contribute to</w:t>
            </w:r>
            <w:r w:rsidR="00137700">
              <w:t xml:space="preserve"> emission reduction</w:t>
            </w:r>
            <w:r>
              <w:t xml:space="preserve"> targets.</w:t>
            </w:r>
            <w:r w:rsidR="00137700">
              <w:t xml:space="preserve"> These include installation of 1000 VFDs in tea sector and 1,000 biogas unit equivalent capacity installations </w:t>
            </w:r>
            <w:r w:rsidR="00A74E0F">
              <w:t>with expected emission reduction of 1</w:t>
            </w:r>
            <w:r w:rsidR="00137700">
              <w:t xml:space="preserve">5,682tCO2e. </w:t>
            </w:r>
            <w:r w:rsidR="005951F4" w:rsidRPr="007D7A00">
              <w:t>The</w:t>
            </w:r>
            <w:r w:rsidR="00B24D9E">
              <w:t xml:space="preserve"> requested extension will enable </w:t>
            </w:r>
            <w:r w:rsidR="005951F4" w:rsidRPr="007D7A00">
              <w:t>the project implementing partner</w:t>
            </w:r>
            <w:r w:rsidR="00F05C2D" w:rsidRPr="007D7A00">
              <w:t>,</w:t>
            </w:r>
            <w:r w:rsidR="00B24D9E">
              <w:t xml:space="preserve"> </w:t>
            </w:r>
            <w:r w:rsidR="005951F4" w:rsidRPr="007D7A00">
              <w:t>Sri Lanka Sustainable Energy Authority</w:t>
            </w:r>
            <w:r w:rsidR="00B24D9E">
              <w:t xml:space="preserve"> with the </w:t>
            </w:r>
            <w:r w:rsidR="00F05C2D" w:rsidRPr="007D7A00">
              <w:t>Project Management Unit (PMU)</w:t>
            </w:r>
            <w:r w:rsidR="005951F4" w:rsidRPr="007D7A00">
              <w:t>, to ensure the sustainability of the Project and</w:t>
            </w:r>
            <w:r w:rsidR="00B24D9E">
              <w:t xml:space="preserve"> </w:t>
            </w:r>
            <w:r>
              <w:t xml:space="preserve">meet the GHG goals. Further, it will </w:t>
            </w:r>
            <w:r w:rsidR="00B24D9E">
              <w:t>carry out the Terminal evaluation and</w:t>
            </w:r>
            <w:r w:rsidR="005951F4" w:rsidRPr="007D7A00">
              <w:t xml:space="preserve"> </w:t>
            </w:r>
            <w:r>
              <w:t>effect its recommendations as per UNDP GEF project cycle</w:t>
            </w:r>
            <w:proofErr w:type="gramStart"/>
            <w:r>
              <w:t xml:space="preserve">. </w:t>
            </w:r>
            <w:r w:rsidR="005951F4" w:rsidRPr="007D7A00">
              <w:t>.</w:t>
            </w:r>
            <w:proofErr w:type="gramEnd"/>
            <w:r w:rsidR="005951F4" w:rsidRPr="007D7A00">
              <w:t xml:space="preserve">   </w:t>
            </w:r>
          </w:p>
          <w:p w14:paraId="1CB3D7EA" w14:textId="77777777" w:rsidR="005951F4" w:rsidRPr="007D7A00" w:rsidRDefault="005951F4" w:rsidP="005951F4">
            <w:pPr>
              <w:jc w:val="both"/>
            </w:pPr>
          </w:p>
          <w:p w14:paraId="3A6EE8ED" w14:textId="77777777" w:rsidR="005951F4" w:rsidRPr="007D7A00" w:rsidRDefault="005951F4" w:rsidP="005951F4">
            <w:pPr>
              <w:jc w:val="both"/>
            </w:pPr>
            <w:r w:rsidRPr="007D7A00">
              <w:t xml:space="preserve">The extension requested </w:t>
            </w:r>
            <w:r w:rsidR="005B77B3" w:rsidRPr="007D7A00">
              <w:t>was discussed</w:t>
            </w:r>
            <w:r w:rsidRPr="007D7A00">
              <w:t xml:space="preserve"> at the last project board meeting, </w:t>
            </w:r>
            <w:proofErr w:type="gramStart"/>
            <w:r w:rsidR="005B77B3" w:rsidRPr="007D7A00">
              <w:t>The</w:t>
            </w:r>
            <w:proofErr w:type="gramEnd"/>
            <w:r w:rsidR="005B77B3" w:rsidRPr="007D7A00">
              <w:t xml:space="preserve"> project board</w:t>
            </w:r>
            <w:r w:rsidRPr="007D7A00">
              <w:t xml:space="preserve"> agreed to </w:t>
            </w:r>
            <w:r w:rsidR="005B77B3" w:rsidRPr="007D7A00">
              <w:t xml:space="preserve">request a </w:t>
            </w:r>
            <w:r w:rsidRPr="007D7A00">
              <w:t>no cost extension from 10</w:t>
            </w:r>
            <w:r w:rsidRPr="007D7A00">
              <w:rPr>
                <w:vertAlign w:val="superscript"/>
              </w:rPr>
              <w:t>th</w:t>
            </w:r>
            <w:r w:rsidRPr="007D7A00">
              <w:t xml:space="preserve"> June 2019 to 31</w:t>
            </w:r>
            <w:r w:rsidRPr="007D7A00">
              <w:rPr>
                <w:vertAlign w:val="superscript"/>
              </w:rPr>
              <w:t>st</w:t>
            </w:r>
            <w:r w:rsidRPr="007D7A00">
              <w:t xml:space="preserve"> December, 2019. </w:t>
            </w:r>
          </w:p>
          <w:p w14:paraId="4BEA996C" w14:textId="77777777" w:rsidR="00CC1F67" w:rsidRPr="007D7A00" w:rsidRDefault="00CC1F67" w:rsidP="00FF141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020CAF76" w14:textId="77777777" w:rsidR="00770DC0" w:rsidRPr="007D7A00" w:rsidRDefault="00770DC0" w:rsidP="00795D3D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 w:rsidRPr="007D7A00">
              <w:t xml:space="preserve">Provide an overview of the remaining GEF grant: </w:t>
            </w:r>
          </w:p>
          <w:p w14:paraId="3BB3F292" w14:textId="77777777" w:rsidR="00770DC0" w:rsidRPr="007D7A00" w:rsidRDefault="00770DC0">
            <w:pPr>
              <w:spacing w:line="252" w:lineRule="auto"/>
            </w:pPr>
          </w:p>
          <w:p w14:paraId="016DA76F" w14:textId="77777777" w:rsidR="00770DC0" w:rsidRPr="007D7A00" w:rsidRDefault="00770DC0">
            <w:pPr>
              <w:pStyle w:val="xmsonormal"/>
              <w:spacing w:before="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D7A00">
              <w:rPr>
                <w:rFonts w:ascii="Calibri" w:hAnsi="Calibri"/>
                <w:b/>
                <w:bCs/>
                <w:sz w:val="22"/>
                <w:szCs w:val="22"/>
              </w:rPr>
              <w:t xml:space="preserve">Remaining Project Funds as of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399"/>
              <w:gridCol w:w="2970"/>
              <w:gridCol w:w="2600"/>
            </w:tblGrid>
            <w:tr w:rsidR="00770DC0" w:rsidRPr="007D7A00" w14:paraId="5AF0768D" w14:textId="77777777" w:rsidTr="00ED40E3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BCF004" w14:textId="77777777" w:rsidR="00770DC0" w:rsidRPr="007D7A00" w:rsidRDefault="00770DC0" w:rsidP="00ED40E3">
                  <w:pPr>
                    <w:pStyle w:val="xmsonormal"/>
                    <w:spacing w:before="120" w:beforeAutospacing="0" w:after="0" w:afterAutospacing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>Origin</w:t>
                  </w:r>
                </w:p>
              </w:tc>
              <w:tc>
                <w:tcPr>
                  <w:tcW w:w="23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50A71D" w14:textId="77777777" w:rsidR="00770DC0" w:rsidRPr="007D7A00" w:rsidRDefault="00A0574F" w:rsidP="00A0574F">
                  <w:pPr>
                    <w:pStyle w:val="xmsonormal"/>
                    <w:spacing w:before="120" w:beforeAutospacing="0" w:after="0" w:afterAutospacing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Approved </w:t>
                  </w:r>
                  <w:proofErr w:type="spellStart"/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 w:rsidR="00770DC0" w:rsidRPr="007D7A00">
                    <w:rPr>
                      <w:rFonts w:ascii="Calibri" w:hAnsi="Calibri"/>
                      <w:sz w:val="22"/>
                      <w:szCs w:val="22"/>
                    </w:rPr>
                    <w:t>ro</w:t>
                  </w: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>D</w:t>
                  </w:r>
                  <w:r w:rsidR="00770DC0" w:rsidRPr="007D7A00">
                    <w:rPr>
                      <w:rFonts w:ascii="Calibri" w:hAnsi="Calibri"/>
                      <w:sz w:val="22"/>
                      <w:szCs w:val="22"/>
                    </w:rPr>
                    <w:t>oc</w:t>
                  </w:r>
                  <w:proofErr w:type="spellEnd"/>
                  <w:r w:rsidR="00770DC0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budget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27EACA" w14:textId="77777777" w:rsidR="00DD0DBA" w:rsidRPr="007D7A00" w:rsidRDefault="00770DC0" w:rsidP="00ED40E3">
                  <w:pPr>
                    <w:pStyle w:val="xmsonormal"/>
                    <w:spacing w:before="120" w:beforeAutospacing="0" w:after="0" w:afterAutospacing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>Total expenditure as of</w:t>
                  </w:r>
                  <w:r w:rsidR="00DE5631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1</w:t>
                  </w:r>
                  <w:r w:rsidR="007D7A00" w:rsidRPr="007D7A00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proofErr w:type="gramStart"/>
                  <w:r w:rsidR="007D7A00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rd </w:t>
                  </w:r>
                  <w:r w:rsidR="00DE5631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March</w:t>
                  </w:r>
                  <w:proofErr w:type="gramEnd"/>
                  <w:r w:rsidR="00DE5631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2019</w:t>
                  </w:r>
                </w:p>
                <w:p w14:paraId="6467068C" w14:textId="77777777" w:rsidR="00770DC0" w:rsidRPr="007D7A00" w:rsidRDefault="00770DC0" w:rsidP="00ED40E3">
                  <w:pPr>
                    <w:pStyle w:val="xmsonormal"/>
                    <w:spacing w:before="120" w:beforeAutospacing="0" w:after="0" w:afterAutospacing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73076B" w14:textId="77777777" w:rsidR="00770DC0" w:rsidRPr="007D7A00" w:rsidRDefault="00770DC0" w:rsidP="007D7A00">
                  <w:pPr>
                    <w:pStyle w:val="xmsonormal"/>
                    <w:spacing w:before="120" w:beforeAutospacing="0" w:after="0" w:afterAutospacing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>Balance</w:t>
                  </w:r>
                  <w:r w:rsidR="005B77B3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as of date</w:t>
                  </w:r>
                  <w:r w:rsidR="007D7A00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13</w:t>
                  </w:r>
                  <w:proofErr w:type="gramStart"/>
                  <w:r w:rsidR="007D7A00" w:rsidRPr="007D7A0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7D7A00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March</w:t>
                  </w:r>
                  <w:proofErr w:type="gramEnd"/>
                  <w:r w:rsidR="007D7A00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 2019</w:t>
                  </w:r>
                </w:p>
              </w:tc>
            </w:tr>
            <w:tr w:rsidR="00ED40E3" w:rsidRPr="007D7A00" w14:paraId="455FC546" w14:textId="77777777" w:rsidTr="00ED40E3">
              <w:trPr>
                <w:trHeight w:val="74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00E187" w14:textId="77777777" w:rsidR="00ED40E3" w:rsidRPr="007D7A00" w:rsidRDefault="00ED40E3">
                  <w:pPr>
                    <w:pStyle w:val="xmsonormal"/>
                    <w:spacing w:before="120" w:beforeAutospacing="0" w:after="0" w:afterAutospacing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GEF </w:t>
                  </w:r>
                  <w:r w:rsidR="00622337" w:rsidRPr="007D7A00">
                    <w:rPr>
                      <w:rFonts w:ascii="Calibri" w:hAnsi="Calibri"/>
                      <w:sz w:val="22"/>
                      <w:szCs w:val="22"/>
                    </w:rPr>
                    <w:t xml:space="preserve">Trustee 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7AD8DDDE" w14:textId="77777777" w:rsidR="00ED40E3" w:rsidRPr="007D7A00" w:rsidRDefault="006B1037" w:rsidP="00562EA6">
                  <w:pPr>
                    <w:pStyle w:val="xxmsonormal"/>
                    <w:spacing w:after="0" w:afterAutospacing="0" w:line="254" w:lineRule="auto"/>
                    <w:jc w:val="center"/>
                  </w:pPr>
                  <w:r>
                    <w:t xml:space="preserve">USD </w:t>
                  </w:r>
                  <w:r w:rsidR="00DE5631" w:rsidRPr="007D7A00">
                    <w:t>1,790,411.00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6CC48814" w14:textId="77777777" w:rsidR="00ED40E3" w:rsidRPr="007D7A00" w:rsidRDefault="006B1037" w:rsidP="00622337">
                  <w:pPr>
                    <w:pStyle w:val="xxmsonormal"/>
                    <w:spacing w:after="0" w:afterAutospacing="0" w:line="254" w:lineRule="auto"/>
                    <w:jc w:val="center"/>
                  </w:pPr>
                  <w:r>
                    <w:t>USD 1,580,308.99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14:paraId="4AA55FFA" w14:textId="77777777" w:rsidR="00622337" w:rsidRPr="007D7A00" w:rsidRDefault="005951F4" w:rsidP="007D7A00">
                  <w:pPr>
                    <w:pStyle w:val="xxmsonormal"/>
                    <w:spacing w:after="0" w:afterAutospacing="0" w:line="254" w:lineRule="auto"/>
                  </w:pPr>
                  <w:r w:rsidRPr="007D7A00">
                    <w:t>USD 2</w:t>
                  </w:r>
                  <w:r w:rsidR="006B1037">
                    <w:t>10,102.01</w:t>
                  </w:r>
                </w:p>
              </w:tc>
            </w:tr>
          </w:tbl>
          <w:p w14:paraId="061FE4E7" w14:textId="77777777" w:rsidR="00770DC0" w:rsidRPr="007D7A00" w:rsidRDefault="00770DC0">
            <w:r w:rsidRPr="007D7A00">
              <w:t> </w:t>
            </w:r>
          </w:p>
          <w:p w14:paraId="109D1690" w14:textId="77777777" w:rsidR="00770DC0" w:rsidRPr="007D7A00" w:rsidRDefault="00770DC0" w:rsidP="00795D3D">
            <w:pPr>
              <w:pStyle w:val="ListParagraph"/>
              <w:numPr>
                <w:ilvl w:val="0"/>
                <w:numId w:val="2"/>
              </w:numPr>
            </w:pPr>
            <w:r w:rsidRPr="007D7A00">
              <w:t>Attach the initial request for project extension received from the government partner or implementing partner, as applicable.</w:t>
            </w:r>
          </w:p>
          <w:p w14:paraId="75773EF8" w14:textId="77777777" w:rsidR="00770DC0" w:rsidRPr="007D7A00" w:rsidRDefault="00770DC0" w:rsidP="00795D3D">
            <w:pPr>
              <w:pStyle w:val="ListParagraph"/>
              <w:numPr>
                <w:ilvl w:val="0"/>
                <w:numId w:val="2"/>
              </w:numPr>
              <w:spacing w:line="252" w:lineRule="auto"/>
            </w:pPr>
            <w:r w:rsidRPr="007D7A00">
              <w:t>Attach the workplan for the remaining project funds for the extension period.</w:t>
            </w:r>
          </w:p>
        </w:tc>
      </w:tr>
      <w:tr w:rsidR="00913225" w14:paraId="2167C60B" w14:textId="77777777" w:rsidTr="005055EB">
        <w:trPr>
          <w:trHeight w:val="50"/>
        </w:trPr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D67F" w14:textId="77777777" w:rsidR="00913225" w:rsidRDefault="00913225" w:rsidP="005055EB">
            <w:pPr>
              <w:spacing w:line="252" w:lineRule="auto"/>
            </w:pPr>
          </w:p>
        </w:tc>
      </w:tr>
    </w:tbl>
    <w:p w14:paraId="252549DF" w14:textId="77777777" w:rsidR="00770DC0" w:rsidRDefault="00770DC0" w:rsidP="00770DC0"/>
    <w:sectPr w:rsidR="00770DC0" w:rsidSect="0065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16B"/>
    <w:multiLevelType w:val="hybridMultilevel"/>
    <w:tmpl w:val="A942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9EA"/>
    <w:multiLevelType w:val="hybridMultilevel"/>
    <w:tmpl w:val="02583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6FF5"/>
    <w:multiLevelType w:val="hybridMultilevel"/>
    <w:tmpl w:val="AA52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72F"/>
    <w:multiLevelType w:val="hybridMultilevel"/>
    <w:tmpl w:val="CCD0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3C14"/>
    <w:multiLevelType w:val="hybridMultilevel"/>
    <w:tmpl w:val="06869A42"/>
    <w:lvl w:ilvl="0" w:tplc="3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B0069"/>
    <w:multiLevelType w:val="hybridMultilevel"/>
    <w:tmpl w:val="DC5EBC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916A9"/>
    <w:multiLevelType w:val="hybridMultilevel"/>
    <w:tmpl w:val="9774BA58"/>
    <w:lvl w:ilvl="0" w:tplc="A2700CD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E252311"/>
    <w:multiLevelType w:val="hybridMultilevel"/>
    <w:tmpl w:val="BC94EE04"/>
    <w:lvl w:ilvl="0" w:tplc="D37E2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B4930"/>
    <w:multiLevelType w:val="hybridMultilevel"/>
    <w:tmpl w:val="31862C26"/>
    <w:lvl w:ilvl="0" w:tplc="C170A010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tDQxNzUyMTe3MDVS0lEKTi0uzszPAykwrAUAceSyniwAAAA="/>
  </w:docVars>
  <w:rsids>
    <w:rsidRoot w:val="00651215"/>
    <w:rsid w:val="00025733"/>
    <w:rsid w:val="0006278C"/>
    <w:rsid w:val="00083D5F"/>
    <w:rsid w:val="000A0C0F"/>
    <w:rsid w:val="000A3BC9"/>
    <w:rsid w:val="000B601B"/>
    <w:rsid w:val="000D031B"/>
    <w:rsid w:val="000E4FA2"/>
    <w:rsid w:val="001121C7"/>
    <w:rsid w:val="00137700"/>
    <w:rsid w:val="00164DEE"/>
    <w:rsid w:val="00167C9F"/>
    <w:rsid w:val="001A720D"/>
    <w:rsid w:val="001C02C5"/>
    <w:rsid w:val="001C2BBC"/>
    <w:rsid w:val="001C5EFA"/>
    <w:rsid w:val="00287B1F"/>
    <w:rsid w:val="0029221D"/>
    <w:rsid w:val="002939E0"/>
    <w:rsid w:val="00331EDF"/>
    <w:rsid w:val="00366192"/>
    <w:rsid w:val="00366F7D"/>
    <w:rsid w:val="00367398"/>
    <w:rsid w:val="0038478F"/>
    <w:rsid w:val="003B6FAA"/>
    <w:rsid w:val="004743C0"/>
    <w:rsid w:val="00496F73"/>
    <w:rsid w:val="004A5E12"/>
    <w:rsid w:val="005055EB"/>
    <w:rsid w:val="00517B66"/>
    <w:rsid w:val="00517BA7"/>
    <w:rsid w:val="00546052"/>
    <w:rsid w:val="00562EA6"/>
    <w:rsid w:val="005951F4"/>
    <w:rsid w:val="005A4989"/>
    <w:rsid w:val="005B1BB2"/>
    <w:rsid w:val="005B77B3"/>
    <w:rsid w:val="005D136E"/>
    <w:rsid w:val="005D423F"/>
    <w:rsid w:val="005E0A77"/>
    <w:rsid w:val="005F7ED3"/>
    <w:rsid w:val="00622337"/>
    <w:rsid w:val="00631C96"/>
    <w:rsid w:val="006415B4"/>
    <w:rsid w:val="00651215"/>
    <w:rsid w:val="00653E65"/>
    <w:rsid w:val="00675923"/>
    <w:rsid w:val="00687421"/>
    <w:rsid w:val="006A313A"/>
    <w:rsid w:val="006B1037"/>
    <w:rsid w:val="006B654A"/>
    <w:rsid w:val="006F4F83"/>
    <w:rsid w:val="007248A2"/>
    <w:rsid w:val="00726B9F"/>
    <w:rsid w:val="0073080D"/>
    <w:rsid w:val="00737344"/>
    <w:rsid w:val="007469DD"/>
    <w:rsid w:val="00746D6D"/>
    <w:rsid w:val="007505B4"/>
    <w:rsid w:val="0076324B"/>
    <w:rsid w:val="00770DC0"/>
    <w:rsid w:val="007A0F47"/>
    <w:rsid w:val="007A2C09"/>
    <w:rsid w:val="007B1515"/>
    <w:rsid w:val="007D7A00"/>
    <w:rsid w:val="007F5851"/>
    <w:rsid w:val="008702CA"/>
    <w:rsid w:val="008757F8"/>
    <w:rsid w:val="008B11CA"/>
    <w:rsid w:val="008B2010"/>
    <w:rsid w:val="008E3C39"/>
    <w:rsid w:val="008F298A"/>
    <w:rsid w:val="00913225"/>
    <w:rsid w:val="00913E2F"/>
    <w:rsid w:val="00957211"/>
    <w:rsid w:val="00980BEF"/>
    <w:rsid w:val="009915F3"/>
    <w:rsid w:val="009B38E1"/>
    <w:rsid w:val="009E2561"/>
    <w:rsid w:val="00A0574F"/>
    <w:rsid w:val="00A10FDD"/>
    <w:rsid w:val="00A22B7A"/>
    <w:rsid w:val="00A25614"/>
    <w:rsid w:val="00A60EE2"/>
    <w:rsid w:val="00A74E0F"/>
    <w:rsid w:val="00A760DC"/>
    <w:rsid w:val="00A8666F"/>
    <w:rsid w:val="00AB2E36"/>
    <w:rsid w:val="00AF2A9B"/>
    <w:rsid w:val="00B24D9E"/>
    <w:rsid w:val="00B31CA6"/>
    <w:rsid w:val="00B6201B"/>
    <w:rsid w:val="00B87452"/>
    <w:rsid w:val="00BC25DF"/>
    <w:rsid w:val="00BE45C3"/>
    <w:rsid w:val="00C036A0"/>
    <w:rsid w:val="00C05402"/>
    <w:rsid w:val="00C613B4"/>
    <w:rsid w:val="00CB3497"/>
    <w:rsid w:val="00CB3CFD"/>
    <w:rsid w:val="00CC1F67"/>
    <w:rsid w:val="00CE36E9"/>
    <w:rsid w:val="00D068E2"/>
    <w:rsid w:val="00D10200"/>
    <w:rsid w:val="00D119E9"/>
    <w:rsid w:val="00D41DC8"/>
    <w:rsid w:val="00DB28D2"/>
    <w:rsid w:val="00DD0DBA"/>
    <w:rsid w:val="00DD74F3"/>
    <w:rsid w:val="00DE5631"/>
    <w:rsid w:val="00DE6B05"/>
    <w:rsid w:val="00DF7584"/>
    <w:rsid w:val="00E25A79"/>
    <w:rsid w:val="00E3538A"/>
    <w:rsid w:val="00E45760"/>
    <w:rsid w:val="00E475E8"/>
    <w:rsid w:val="00E6334B"/>
    <w:rsid w:val="00E81345"/>
    <w:rsid w:val="00E92F04"/>
    <w:rsid w:val="00EC7CC3"/>
    <w:rsid w:val="00ED40E3"/>
    <w:rsid w:val="00F00E0C"/>
    <w:rsid w:val="00F05C2D"/>
    <w:rsid w:val="00F363EC"/>
    <w:rsid w:val="00F86F4D"/>
    <w:rsid w:val="00FD0F86"/>
    <w:rsid w:val="00FF141F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5907"/>
  <w15:docId w15:val="{803B2BD3-3D00-4E1E-B5CE-3EAFDF1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DC0"/>
    <w:pPr>
      <w:spacing w:after="0" w:line="240" w:lineRule="auto"/>
    </w:pPr>
    <w:rPr>
      <w:rFonts w:ascii="Calibri" w:hAnsi="Calibri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DC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0DC0"/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s,List Paragraph1,Sub Paragraph,List Paragraph (numbered (a)),Normal 2,EBPList,References,Bullet1,Bullet-1,List_Paragraph,Multilevel para_II,Citation List,Resume Title,Numbered List Paragraph,123 List Paragraph,Celula,ANNEX,lp1"/>
    <w:basedOn w:val="Normal"/>
    <w:link w:val="ListParagraphChar"/>
    <w:uiPriority w:val="34"/>
    <w:qFormat/>
    <w:rsid w:val="00770DC0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770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Bullets Char,List Paragraph1 Char,Sub Paragraph Char,List Paragraph (numbered (a)) Char,Normal 2 Char,EBPList Char,References Char,Bullet1 Char,Bullet-1 Char,List_Paragraph Char,Multilevel para_II Char,Citation List Char,Celula Char"/>
    <w:basedOn w:val="DefaultParagraphFont"/>
    <w:link w:val="ListParagraph"/>
    <w:uiPriority w:val="34"/>
    <w:locked/>
    <w:rsid w:val="00CC1F67"/>
    <w:rPr>
      <w:rFonts w:ascii="Calibri" w:hAnsi="Calibri" w:cs="Times New Roman"/>
      <w:lang w:bidi="th-TH"/>
    </w:rPr>
  </w:style>
  <w:style w:type="paragraph" w:customStyle="1" w:styleId="xxmsonormal">
    <w:name w:val="x_xmsonormal"/>
    <w:basedOn w:val="Normal"/>
    <w:rsid w:val="00ED40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E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63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631"/>
    <w:rPr>
      <w:rFonts w:ascii="Calibri" w:hAnsi="Calibri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31"/>
    <w:rPr>
      <w:rFonts w:ascii="Calibri" w:hAnsi="Calibri" w:cs="Angsana New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31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31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3FDF-9D6A-47F9-A0F1-4128793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Nittaya Saengow</dc:creator>
  <cp:lastModifiedBy>Roshan Raja</cp:lastModifiedBy>
  <cp:revision>3</cp:revision>
  <dcterms:created xsi:type="dcterms:W3CDTF">2019-04-08T06:26:00Z</dcterms:created>
  <dcterms:modified xsi:type="dcterms:W3CDTF">2019-07-09T08:33:00Z</dcterms:modified>
</cp:coreProperties>
</file>