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7E9F" w14:textId="77777777" w:rsidR="007E3D4C" w:rsidRPr="009B7597" w:rsidRDefault="00E06207" w:rsidP="007E3D4C">
      <w:pPr>
        <w:pStyle w:val="Heading3"/>
        <w:numPr>
          <w:ilvl w:val="0"/>
          <w:numId w:val="0"/>
        </w:numPr>
        <w:tabs>
          <w:tab w:val="left" w:pos="9000"/>
        </w:tabs>
        <w:spacing w:before="0" w:after="0"/>
        <w:ind w:left="720"/>
        <w:jc w:val="center"/>
        <w:rPr>
          <w:rFonts w:asciiTheme="minorHAnsi" w:hAnsiTheme="minorHAnsi"/>
          <w:sz w:val="32"/>
          <w:szCs w:val="32"/>
          <w:lang w:val="en-GB"/>
        </w:rPr>
      </w:pPr>
      <w:bookmarkStart w:id="0" w:name="_Toc213157364"/>
      <w:bookmarkStart w:id="1" w:name="_Toc350151307"/>
      <w:bookmarkStart w:id="2" w:name="_Toc414534216"/>
      <w:bookmarkStart w:id="3" w:name="_Toc414534538"/>
      <w:bookmarkStart w:id="4" w:name="_Toc415726816"/>
      <w:bookmarkStart w:id="5" w:name="_Toc415753525"/>
      <w:r w:rsidRPr="009B7597">
        <w:rPr>
          <w:noProof/>
          <w:lang w:val="en-GB" w:eastAsia="en-GB"/>
        </w:rPr>
        <w:drawing>
          <wp:anchor distT="0" distB="0" distL="114300" distR="114300" simplePos="0" relativeHeight="251658240" behindDoc="0" locked="0" layoutInCell="1" allowOverlap="1" wp14:anchorId="307C2F12" wp14:editId="27269B2F">
            <wp:simplePos x="0" y="0"/>
            <wp:positionH relativeFrom="margin">
              <wp:align>right</wp:align>
            </wp:positionH>
            <wp:positionV relativeFrom="paragraph">
              <wp:posOffset>-417315</wp:posOffset>
            </wp:positionV>
            <wp:extent cx="474281" cy="1070918"/>
            <wp:effectExtent l="0" t="0" r="2540" b="0"/>
            <wp:wrapNone/>
            <wp:docPr id="2" name="Picture 2"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30312" name="Picture 1" descr="http://www.ba.undp.org/content/dam/bosnia_and_herzegovina/docs/UNDP%20logos/UNDP%20logo%20jp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4281" cy="10709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32"/>
          <w:szCs w:val="32"/>
          <w:lang w:val="en-GB"/>
        </w:rPr>
        <w:t>MALAYSIA</w:t>
      </w:r>
    </w:p>
    <w:p w14:paraId="30D27F37" w14:textId="7F15E6B0" w:rsidR="007E3D4C" w:rsidRPr="00E82033" w:rsidRDefault="00E06207" w:rsidP="007E3D4C">
      <w:pPr>
        <w:pStyle w:val="Heading3"/>
        <w:numPr>
          <w:ilvl w:val="0"/>
          <w:numId w:val="0"/>
        </w:numPr>
        <w:tabs>
          <w:tab w:val="left" w:pos="9000"/>
        </w:tabs>
        <w:spacing w:before="0" w:after="0"/>
        <w:jc w:val="center"/>
        <w:rPr>
          <w:rFonts w:asciiTheme="minorHAnsi" w:hAnsiTheme="minorHAnsi"/>
          <w:sz w:val="32"/>
          <w:szCs w:val="32"/>
          <w:lang w:val="en-GB"/>
        </w:rPr>
      </w:pPr>
      <w:r>
        <w:rPr>
          <w:rFonts w:asciiTheme="minorHAnsi" w:hAnsiTheme="minorHAnsi"/>
          <w:sz w:val="32"/>
          <w:szCs w:val="32"/>
          <w:lang w:val="en-GB"/>
        </w:rPr>
        <w:t>Independent Country Programme Evaluation</w:t>
      </w:r>
      <w:r w:rsidRPr="00E82033">
        <w:rPr>
          <w:rFonts w:asciiTheme="minorHAnsi" w:hAnsiTheme="minorHAnsi"/>
          <w:sz w:val="32"/>
          <w:szCs w:val="32"/>
          <w:lang w:val="en-GB"/>
        </w:rPr>
        <w:t xml:space="preserve"> </w:t>
      </w:r>
      <w:bookmarkEnd w:id="0"/>
      <w:bookmarkEnd w:id="1"/>
      <w:bookmarkEnd w:id="2"/>
      <w:bookmarkEnd w:id="3"/>
      <w:bookmarkEnd w:id="4"/>
      <w:bookmarkEnd w:id="5"/>
    </w:p>
    <w:p w14:paraId="16673893" w14:textId="57774624" w:rsidR="007E3D4C" w:rsidRPr="00893E7B" w:rsidRDefault="00E06207" w:rsidP="007E3D4C">
      <w:pPr>
        <w:tabs>
          <w:tab w:val="left" w:pos="9000"/>
        </w:tabs>
        <w:spacing w:after="0" w:line="240" w:lineRule="auto"/>
        <w:jc w:val="center"/>
        <w:rPr>
          <w:b/>
          <w:sz w:val="32"/>
          <w:szCs w:val="32"/>
        </w:rPr>
      </w:pPr>
      <w:r w:rsidRPr="00E82033">
        <w:rPr>
          <w:b/>
          <w:sz w:val="32"/>
          <w:szCs w:val="32"/>
        </w:rPr>
        <w:t>Terms of Reference</w:t>
      </w:r>
      <w:r w:rsidRPr="00E82033">
        <w:rPr>
          <w:b/>
          <w:sz w:val="28"/>
          <w:szCs w:val="28"/>
        </w:rPr>
        <w:t xml:space="preserve"> (</w:t>
      </w:r>
      <w:r w:rsidR="00373377">
        <w:rPr>
          <w:b/>
          <w:sz w:val="28"/>
          <w:szCs w:val="28"/>
        </w:rPr>
        <w:t xml:space="preserve">Final </w:t>
      </w:r>
      <w:r w:rsidRPr="00E82033">
        <w:rPr>
          <w:b/>
          <w:sz w:val="28"/>
          <w:szCs w:val="28"/>
        </w:rPr>
        <w:t>Draft</w:t>
      </w:r>
      <w:r w:rsidR="00373377">
        <w:rPr>
          <w:b/>
          <w:sz w:val="28"/>
          <w:szCs w:val="28"/>
        </w:rPr>
        <w:t>,</w:t>
      </w:r>
      <w:r w:rsidRPr="00E82033">
        <w:rPr>
          <w:b/>
          <w:sz w:val="28"/>
          <w:szCs w:val="28"/>
        </w:rPr>
        <w:t xml:space="preserve"> </w:t>
      </w:r>
      <w:r w:rsidR="00373377">
        <w:rPr>
          <w:b/>
          <w:sz w:val="28"/>
          <w:szCs w:val="28"/>
        </w:rPr>
        <w:t>April</w:t>
      </w:r>
      <w:r w:rsidR="00C03F46">
        <w:rPr>
          <w:b/>
          <w:sz w:val="28"/>
          <w:szCs w:val="28"/>
        </w:rPr>
        <w:t xml:space="preserve"> </w:t>
      </w:r>
      <w:r>
        <w:rPr>
          <w:b/>
          <w:sz w:val="28"/>
          <w:szCs w:val="28"/>
        </w:rPr>
        <w:t>2019)</w:t>
      </w:r>
    </w:p>
    <w:p w14:paraId="10F21FD8" w14:textId="77777777" w:rsidR="007E3D4C" w:rsidRDefault="007E3D4C" w:rsidP="007E3D4C">
      <w:pPr>
        <w:pStyle w:val="ADRTextBulletL2"/>
        <w:tabs>
          <w:tab w:val="left" w:pos="9000"/>
        </w:tabs>
        <w:jc w:val="both"/>
        <w:rPr>
          <w:rFonts w:asciiTheme="minorHAnsi" w:eastAsia="Calibri" w:hAnsiTheme="minorHAnsi"/>
          <w:sz w:val="16"/>
          <w:szCs w:val="16"/>
        </w:rPr>
      </w:pPr>
    </w:p>
    <w:p w14:paraId="33BC5D0A" w14:textId="77777777" w:rsidR="007E3D4C" w:rsidRDefault="007E3D4C" w:rsidP="007E3D4C">
      <w:pPr>
        <w:pStyle w:val="ADRTextBulletL2"/>
        <w:tabs>
          <w:tab w:val="left" w:pos="9000"/>
        </w:tabs>
        <w:jc w:val="both"/>
        <w:rPr>
          <w:rFonts w:asciiTheme="minorHAnsi" w:eastAsia="Calibri" w:hAnsiTheme="minorHAnsi"/>
          <w:sz w:val="16"/>
          <w:szCs w:val="16"/>
        </w:rPr>
      </w:pPr>
    </w:p>
    <w:p w14:paraId="5C4A0B9E" w14:textId="21D6A641" w:rsidR="007E3D4C" w:rsidRPr="007E3D4C" w:rsidRDefault="00972633" w:rsidP="00972633">
      <w:pPr>
        <w:tabs>
          <w:tab w:val="left" w:pos="9000"/>
        </w:tabs>
        <w:rPr>
          <w:b/>
          <w:lang w:val="en-GB"/>
        </w:rPr>
      </w:pPr>
      <w:r>
        <w:rPr>
          <w:b/>
          <w:lang w:val="en-GB"/>
        </w:rPr>
        <w:tab/>
      </w:r>
    </w:p>
    <w:p w14:paraId="1FAC9513" w14:textId="77777777" w:rsidR="007E3D4C" w:rsidRPr="00C45179" w:rsidRDefault="00E06207" w:rsidP="007E3D4C">
      <w:pPr>
        <w:pStyle w:val="ADRTextBulletL2"/>
        <w:numPr>
          <w:ilvl w:val="0"/>
          <w:numId w:val="6"/>
        </w:numPr>
        <w:tabs>
          <w:tab w:val="left" w:pos="9000"/>
        </w:tabs>
        <w:jc w:val="both"/>
        <w:rPr>
          <w:rFonts w:asciiTheme="minorHAnsi" w:eastAsia="Calibri" w:hAnsiTheme="minorHAnsi"/>
          <w:b/>
          <w:szCs w:val="22"/>
        </w:rPr>
      </w:pPr>
      <w:r w:rsidRPr="00C45179">
        <w:rPr>
          <w:rFonts w:asciiTheme="minorHAnsi" w:eastAsia="Calibri" w:hAnsiTheme="minorHAnsi"/>
          <w:b/>
          <w:szCs w:val="22"/>
        </w:rPr>
        <w:t>INTRODUCTION</w:t>
      </w:r>
      <w:r w:rsidRPr="00C45179">
        <w:rPr>
          <w:rFonts w:asciiTheme="minorHAnsi" w:eastAsia="Calibri" w:hAnsiTheme="minorHAnsi"/>
          <w:b/>
          <w:szCs w:val="22"/>
        </w:rPr>
        <w:tab/>
      </w:r>
    </w:p>
    <w:p w14:paraId="0A9A6B58" w14:textId="77777777" w:rsidR="00A7229F" w:rsidRDefault="00A7229F" w:rsidP="007E3D4C">
      <w:pPr>
        <w:tabs>
          <w:tab w:val="left" w:pos="9000"/>
        </w:tabs>
        <w:spacing w:after="0" w:line="240" w:lineRule="auto"/>
        <w:jc w:val="both"/>
      </w:pPr>
    </w:p>
    <w:p w14:paraId="3ADFCA3A" w14:textId="40EACBD4" w:rsidR="007E3D4C" w:rsidRPr="00C45179" w:rsidRDefault="00E06207" w:rsidP="007E3D4C">
      <w:pPr>
        <w:tabs>
          <w:tab w:val="left" w:pos="9000"/>
        </w:tabs>
        <w:spacing w:after="0" w:line="240" w:lineRule="auto"/>
        <w:jc w:val="both"/>
      </w:pPr>
      <w:r w:rsidRPr="00C45179">
        <w:t xml:space="preserve">The Independent Evaluation Office (IEO) of the United Nations Development Program (UNDP) conducts “Independent Country </w:t>
      </w:r>
      <w:proofErr w:type="spellStart"/>
      <w:r w:rsidRPr="00C45179">
        <w:t>Programme</w:t>
      </w:r>
      <w:proofErr w:type="spellEnd"/>
      <w:r w:rsidRPr="00C45179">
        <w:t xml:space="preserve"> Evaluations (ICPEs)”, previously known as “Assessments of Development Results (ADRs),” to capture and demonstrate evaluative evidence of UNDP’s contributions to development results at the country level, as well as the effectiveness of UNDP’s strategy in facilitating and leveraging national effort for achieving development results. The purpose of an ICPE is to:</w:t>
      </w:r>
    </w:p>
    <w:p w14:paraId="365DE21F" w14:textId="77777777" w:rsidR="007E3D4C" w:rsidRPr="00C45179" w:rsidRDefault="007E3D4C" w:rsidP="007E3D4C">
      <w:pPr>
        <w:tabs>
          <w:tab w:val="left" w:pos="9000"/>
        </w:tabs>
        <w:spacing w:after="0" w:line="240" w:lineRule="auto"/>
        <w:jc w:val="both"/>
      </w:pPr>
    </w:p>
    <w:p w14:paraId="4AB88AF0" w14:textId="77777777" w:rsidR="007E3D4C" w:rsidRPr="00C45179" w:rsidRDefault="00E06207" w:rsidP="007E3D4C">
      <w:pPr>
        <w:pStyle w:val="BodyText"/>
        <w:numPr>
          <w:ilvl w:val="0"/>
          <w:numId w:val="5"/>
        </w:numPr>
        <w:tabs>
          <w:tab w:val="left" w:pos="9000"/>
        </w:tabs>
        <w:jc w:val="both"/>
        <w:rPr>
          <w:rFonts w:asciiTheme="minorHAnsi" w:hAnsiTheme="minorHAnsi"/>
          <w:lang w:val="en-GB"/>
        </w:rPr>
      </w:pPr>
      <w:r w:rsidRPr="00C45179">
        <w:rPr>
          <w:rFonts w:asciiTheme="minorHAnsi" w:hAnsiTheme="minorHAnsi"/>
          <w:lang w:val="en-GB"/>
        </w:rPr>
        <w:t>Support the development of the next UNDP Country Programme Document</w:t>
      </w:r>
    </w:p>
    <w:p w14:paraId="24B70490" w14:textId="77777777" w:rsidR="007E3D4C" w:rsidRPr="00C45179" w:rsidRDefault="00E06207" w:rsidP="007E3D4C">
      <w:pPr>
        <w:pStyle w:val="BodyText"/>
        <w:numPr>
          <w:ilvl w:val="0"/>
          <w:numId w:val="5"/>
        </w:numPr>
        <w:tabs>
          <w:tab w:val="left" w:pos="9000"/>
        </w:tabs>
        <w:jc w:val="both"/>
        <w:rPr>
          <w:rFonts w:asciiTheme="minorHAnsi" w:hAnsiTheme="minorHAnsi"/>
          <w:lang w:val="en-GB"/>
        </w:rPr>
      </w:pPr>
      <w:r w:rsidRPr="00C45179">
        <w:rPr>
          <w:rFonts w:asciiTheme="minorHAnsi" w:hAnsiTheme="minorHAnsi"/>
          <w:lang w:val="en-GB"/>
        </w:rPr>
        <w:t>Strengthen accountability of UNDP to national stakeholders</w:t>
      </w:r>
    </w:p>
    <w:p w14:paraId="1C36C6F4" w14:textId="77777777" w:rsidR="007E3D4C" w:rsidRPr="00C45179" w:rsidRDefault="00E06207" w:rsidP="007E3D4C">
      <w:pPr>
        <w:pStyle w:val="BodyText"/>
        <w:numPr>
          <w:ilvl w:val="0"/>
          <w:numId w:val="5"/>
        </w:numPr>
        <w:tabs>
          <w:tab w:val="left" w:pos="9000"/>
        </w:tabs>
        <w:jc w:val="both"/>
        <w:rPr>
          <w:rFonts w:asciiTheme="minorHAnsi" w:hAnsiTheme="minorHAnsi"/>
          <w:lang w:val="en-GB"/>
        </w:rPr>
      </w:pPr>
      <w:r w:rsidRPr="00C45179">
        <w:rPr>
          <w:rFonts w:asciiTheme="minorHAnsi" w:hAnsiTheme="minorHAnsi"/>
          <w:lang w:val="en-GB"/>
        </w:rPr>
        <w:t>Strengthen accountability of UNDP to the Executive Board</w:t>
      </w:r>
    </w:p>
    <w:p w14:paraId="7C7B52C8" w14:textId="77777777" w:rsidR="007E3D4C" w:rsidRPr="00C45179" w:rsidRDefault="007E3D4C" w:rsidP="007E3D4C">
      <w:pPr>
        <w:tabs>
          <w:tab w:val="left" w:pos="9000"/>
        </w:tabs>
        <w:spacing w:after="0" w:line="240" w:lineRule="auto"/>
        <w:jc w:val="both"/>
      </w:pPr>
    </w:p>
    <w:p w14:paraId="2223C230" w14:textId="77777777" w:rsidR="007E3D4C" w:rsidRPr="00C45179" w:rsidRDefault="00E06207" w:rsidP="007E3D4C">
      <w:pPr>
        <w:tabs>
          <w:tab w:val="left" w:pos="9000"/>
        </w:tabs>
        <w:spacing w:after="0" w:line="240" w:lineRule="auto"/>
        <w:jc w:val="both"/>
        <w:rPr>
          <w:lang w:eastAsia="ja-JP"/>
        </w:rPr>
      </w:pPr>
      <w:r w:rsidRPr="00C45179">
        <w:t>ICPEs are independent evaluations carried out within the overall provisions contained in the UNDP Evaluation Policy.</w:t>
      </w:r>
      <w:r w:rsidRPr="00C45179">
        <w:rPr>
          <w:rStyle w:val="FootnoteReference"/>
          <w:rFonts w:eastAsia="Calibri"/>
        </w:rPr>
        <w:footnoteReference w:id="1"/>
      </w:r>
      <w:r w:rsidRPr="00C45179">
        <w:t xml:space="preserve"> </w:t>
      </w:r>
      <w:r w:rsidRPr="00C45179">
        <w:rPr>
          <w:shd w:val="clear" w:color="auto" w:fill="FFFFFF" w:themeFill="background1"/>
        </w:rPr>
        <w:t>The IEO is independent of UNDP management and is headed by a Director who reports to the UNDP Executive Board. The responsibility of the IEO is two-fold: (a) provide the Executive Board with valid and credible information from evaluations for corporate accountability, decision-making and improvement; and (b) enhance the independence, credibility and utility of the evaluation function, and its coherence, harmonization and alignment in support of United Nations reform and national ownership.</w:t>
      </w:r>
      <w:r w:rsidRPr="00C45179">
        <w:rPr>
          <w:lang w:eastAsia="ja-JP"/>
        </w:rPr>
        <w:t xml:space="preserve"> </w:t>
      </w:r>
    </w:p>
    <w:p w14:paraId="50DD64E8" w14:textId="77777777" w:rsidR="007E3D4C" w:rsidRPr="00C45179" w:rsidRDefault="00E06207" w:rsidP="007E3D4C">
      <w:pPr>
        <w:tabs>
          <w:tab w:val="left" w:pos="9000"/>
        </w:tabs>
        <w:spacing w:after="0" w:line="240" w:lineRule="auto"/>
        <w:jc w:val="both"/>
      </w:pPr>
      <w:r w:rsidRPr="00C45179">
        <w:t xml:space="preserve">Based on the principle of national ownership, IEO seeks to conduct ICPEs in collaboration with the national authorities where the country </w:t>
      </w:r>
      <w:proofErr w:type="spellStart"/>
      <w:r w:rsidRPr="00C45179">
        <w:t>programme</w:t>
      </w:r>
      <w:proofErr w:type="spellEnd"/>
      <w:r w:rsidRPr="00C45179">
        <w:t xml:space="preserve"> is implemented. </w:t>
      </w:r>
    </w:p>
    <w:p w14:paraId="5874FE55" w14:textId="77777777" w:rsidR="007E3D4C" w:rsidRPr="00C45179" w:rsidRDefault="007E3D4C" w:rsidP="007E3D4C">
      <w:pPr>
        <w:tabs>
          <w:tab w:val="left" w:pos="9000"/>
        </w:tabs>
        <w:spacing w:after="0" w:line="240" w:lineRule="auto"/>
        <w:jc w:val="both"/>
      </w:pPr>
    </w:p>
    <w:p w14:paraId="1B4DEBDB" w14:textId="11BB54C6" w:rsidR="007E3D4C" w:rsidRPr="00C45179" w:rsidRDefault="00E06207" w:rsidP="007E3D4C">
      <w:pPr>
        <w:pStyle w:val="ADRTextBulletL2"/>
        <w:tabs>
          <w:tab w:val="left" w:pos="9000"/>
        </w:tabs>
        <w:jc w:val="both"/>
        <w:rPr>
          <w:rFonts w:asciiTheme="minorHAnsi" w:hAnsiTheme="minorHAnsi"/>
          <w:szCs w:val="22"/>
        </w:rPr>
      </w:pPr>
      <w:r w:rsidRPr="00C45179">
        <w:rPr>
          <w:rFonts w:asciiTheme="minorHAnsi" w:hAnsiTheme="minorHAnsi"/>
          <w:szCs w:val="22"/>
        </w:rPr>
        <w:t xml:space="preserve">UNDP </w:t>
      </w:r>
      <w:r w:rsidR="00F969CA" w:rsidRPr="00C45179">
        <w:rPr>
          <w:rFonts w:asciiTheme="minorHAnsi" w:hAnsiTheme="minorHAnsi"/>
          <w:szCs w:val="22"/>
        </w:rPr>
        <w:t>Malaysia</w:t>
      </w:r>
      <w:r w:rsidRPr="00C45179">
        <w:rPr>
          <w:rFonts w:asciiTheme="minorHAnsi" w:hAnsiTheme="minorHAnsi"/>
          <w:szCs w:val="22"/>
        </w:rPr>
        <w:t xml:space="preserve"> has been selected for an ICPE in 201</w:t>
      </w:r>
      <w:r w:rsidR="00F969CA" w:rsidRPr="00C45179">
        <w:rPr>
          <w:rFonts w:asciiTheme="minorHAnsi" w:hAnsiTheme="minorHAnsi"/>
          <w:szCs w:val="22"/>
        </w:rPr>
        <w:t>9</w:t>
      </w:r>
      <w:r w:rsidRPr="00C45179">
        <w:rPr>
          <w:rFonts w:asciiTheme="minorHAnsi" w:hAnsiTheme="minorHAnsi"/>
          <w:szCs w:val="22"/>
        </w:rPr>
        <w:t xml:space="preserve"> since its country programme is supposed to end in 20</w:t>
      </w:r>
      <w:r w:rsidR="00F969CA" w:rsidRPr="00C45179">
        <w:rPr>
          <w:rFonts w:asciiTheme="minorHAnsi" w:hAnsiTheme="minorHAnsi"/>
          <w:szCs w:val="22"/>
        </w:rPr>
        <w:t>20</w:t>
      </w:r>
      <w:r w:rsidRPr="00C45179">
        <w:rPr>
          <w:rFonts w:asciiTheme="minorHAnsi" w:hAnsiTheme="minorHAnsi"/>
          <w:szCs w:val="22"/>
        </w:rPr>
        <w:t xml:space="preserve">. This is the second country programme evaluation conducted by IEO, the first being </w:t>
      </w:r>
      <w:r w:rsidR="006D71D5">
        <w:rPr>
          <w:rFonts w:asciiTheme="minorHAnsi" w:hAnsiTheme="minorHAnsi"/>
          <w:szCs w:val="22"/>
        </w:rPr>
        <w:t>the Assessment of Development Results (</w:t>
      </w:r>
      <w:r w:rsidR="000C0ABC" w:rsidRPr="00C45179">
        <w:rPr>
          <w:rFonts w:asciiTheme="minorHAnsi" w:hAnsiTheme="minorHAnsi"/>
          <w:szCs w:val="22"/>
        </w:rPr>
        <w:t>ADR</w:t>
      </w:r>
      <w:r w:rsidR="006D71D5">
        <w:rPr>
          <w:rFonts w:asciiTheme="minorHAnsi" w:hAnsiTheme="minorHAnsi"/>
          <w:szCs w:val="22"/>
        </w:rPr>
        <w:t>)</w:t>
      </w:r>
      <w:r w:rsidR="000C0ABC" w:rsidRPr="00C45179">
        <w:rPr>
          <w:rFonts w:asciiTheme="minorHAnsi" w:hAnsiTheme="minorHAnsi"/>
          <w:szCs w:val="22"/>
        </w:rPr>
        <w:t xml:space="preserve"> </w:t>
      </w:r>
      <w:r w:rsidR="006D71D5">
        <w:rPr>
          <w:rFonts w:asciiTheme="minorHAnsi" w:hAnsiTheme="minorHAnsi"/>
          <w:szCs w:val="22"/>
        </w:rPr>
        <w:t xml:space="preserve">conducted in </w:t>
      </w:r>
      <w:r w:rsidRPr="00C45179">
        <w:rPr>
          <w:rFonts w:asciiTheme="minorHAnsi" w:hAnsiTheme="minorHAnsi"/>
          <w:szCs w:val="22"/>
        </w:rPr>
        <w:t>201</w:t>
      </w:r>
      <w:r w:rsidR="00B44CC5" w:rsidRPr="00C45179">
        <w:rPr>
          <w:rFonts w:asciiTheme="minorHAnsi" w:hAnsiTheme="minorHAnsi"/>
          <w:szCs w:val="22"/>
        </w:rPr>
        <w:t>4</w:t>
      </w:r>
      <w:r w:rsidRPr="00C45179">
        <w:rPr>
          <w:rFonts w:asciiTheme="minorHAnsi" w:hAnsiTheme="minorHAnsi"/>
          <w:szCs w:val="22"/>
        </w:rPr>
        <w:t>. The ICPE will be conducted in close collaboration with the Government o</w:t>
      </w:r>
      <w:r w:rsidR="000C0ABC" w:rsidRPr="00C45179">
        <w:rPr>
          <w:rFonts w:asciiTheme="minorHAnsi" w:hAnsiTheme="minorHAnsi"/>
          <w:szCs w:val="22"/>
        </w:rPr>
        <w:t>f Malaysia</w:t>
      </w:r>
      <w:r w:rsidRPr="00C45179">
        <w:rPr>
          <w:rFonts w:asciiTheme="minorHAnsi" w:hAnsiTheme="minorHAnsi"/>
          <w:szCs w:val="22"/>
        </w:rPr>
        <w:t xml:space="preserve">, UNDP </w:t>
      </w:r>
      <w:r w:rsidR="000C0ABC" w:rsidRPr="00C45179">
        <w:rPr>
          <w:rFonts w:asciiTheme="minorHAnsi" w:hAnsiTheme="minorHAnsi"/>
          <w:szCs w:val="22"/>
        </w:rPr>
        <w:t>Malaysia</w:t>
      </w:r>
      <w:r w:rsidRPr="00C45179">
        <w:rPr>
          <w:rFonts w:asciiTheme="minorHAnsi" w:hAnsiTheme="minorHAnsi"/>
          <w:szCs w:val="22"/>
        </w:rPr>
        <w:t xml:space="preserve"> country office, UNDP Regional Bureau for Asia and the Pacific</w:t>
      </w:r>
      <w:r w:rsidR="00C03F46">
        <w:rPr>
          <w:rFonts w:asciiTheme="minorHAnsi" w:hAnsiTheme="minorHAnsi"/>
          <w:szCs w:val="22"/>
        </w:rPr>
        <w:t xml:space="preserve"> and Bangkok Regional Hub. </w:t>
      </w:r>
    </w:p>
    <w:p w14:paraId="175DF665" w14:textId="77777777" w:rsidR="000C0ABC" w:rsidRPr="00C45179" w:rsidRDefault="000C0ABC" w:rsidP="007E3D4C">
      <w:pPr>
        <w:pStyle w:val="ADRTextBulletL2"/>
        <w:tabs>
          <w:tab w:val="left" w:pos="9000"/>
        </w:tabs>
        <w:jc w:val="both"/>
        <w:rPr>
          <w:rFonts w:asciiTheme="minorHAnsi" w:hAnsiTheme="minorHAnsi"/>
          <w:szCs w:val="22"/>
        </w:rPr>
      </w:pPr>
    </w:p>
    <w:p w14:paraId="0AC23F43" w14:textId="77777777" w:rsidR="000C0ABC" w:rsidRPr="00C45179" w:rsidRDefault="00E06207" w:rsidP="000C0ABC">
      <w:pPr>
        <w:pStyle w:val="ADRTextBulletL2"/>
        <w:numPr>
          <w:ilvl w:val="0"/>
          <w:numId w:val="6"/>
        </w:numPr>
        <w:tabs>
          <w:tab w:val="left" w:pos="9000"/>
        </w:tabs>
        <w:jc w:val="both"/>
        <w:rPr>
          <w:rFonts w:asciiTheme="minorHAnsi" w:eastAsia="Calibri" w:hAnsiTheme="minorHAnsi"/>
          <w:b/>
          <w:szCs w:val="22"/>
        </w:rPr>
      </w:pPr>
      <w:r w:rsidRPr="00C45179">
        <w:rPr>
          <w:rFonts w:asciiTheme="minorHAnsi" w:eastAsia="Calibri" w:hAnsiTheme="minorHAnsi"/>
          <w:b/>
          <w:szCs w:val="22"/>
        </w:rPr>
        <w:t>NATIONAL CONTEXT</w:t>
      </w:r>
    </w:p>
    <w:p w14:paraId="79B21C0B" w14:textId="77777777" w:rsidR="00A7229F" w:rsidRDefault="00A7229F" w:rsidP="00DA3609">
      <w:pPr>
        <w:jc w:val="both"/>
        <w:rPr>
          <w:rFonts w:ascii="Arial" w:eastAsia="Times New Roman" w:hAnsi="Arial" w:cs="Arial"/>
          <w:color w:val="323E4F" w:themeColor="text2" w:themeShade="BF"/>
          <w:sz w:val="19"/>
          <w:szCs w:val="19"/>
          <w:lang w:eastAsia="en-GB"/>
        </w:rPr>
      </w:pPr>
    </w:p>
    <w:p w14:paraId="59019427" w14:textId="714D9023" w:rsidR="007F75FC" w:rsidRPr="00C45179" w:rsidRDefault="00E06207" w:rsidP="00DA3609">
      <w:pPr>
        <w:jc w:val="both"/>
      </w:pPr>
      <w:r w:rsidRPr="005A5639">
        <w:rPr>
          <w:rFonts w:eastAsia="Times New Roman" w:cstheme="minorHAnsi"/>
          <w:lang w:eastAsia="en-GB"/>
        </w:rPr>
        <w:t xml:space="preserve">Malaysia experienced </w:t>
      </w:r>
      <w:r w:rsidR="001E0A80" w:rsidRPr="005A5639">
        <w:rPr>
          <w:rFonts w:eastAsia="Times New Roman" w:cstheme="minorHAnsi"/>
          <w:lang w:eastAsia="en-GB"/>
        </w:rPr>
        <w:t>for the</w:t>
      </w:r>
      <w:r w:rsidR="0071319D" w:rsidRPr="005A5639">
        <w:rPr>
          <w:rFonts w:eastAsia="Times New Roman" w:cstheme="minorHAnsi"/>
          <w:lang w:eastAsia="en-GB"/>
        </w:rPr>
        <w:t xml:space="preserve"> first time since independence </w:t>
      </w:r>
      <w:r w:rsidRPr="005A5639">
        <w:rPr>
          <w:rFonts w:eastAsia="Times New Roman" w:cstheme="minorHAnsi"/>
          <w:lang w:eastAsia="en-GB"/>
        </w:rPr>
        <w:t>a</w:t>
      </w:r>
      <w:r w:rsidR="00004731" w:rsidRPr="005A5639">
        <w:rPr>
          <w:rFonts w:eastAsia="Times New Roman" w:cstheme="minorHAnsi"/>
          <w:lang w:eastAsia="en-GB"/>
        </w:rPr>
        <w:t xml:space="preserve"> landmark and</w:t>
      </w:r>
      <w:r w:rsidRPr="005A5639">
        <w:rPr>
          <w:rFonts w:eastAsia="Times New Roman" w:cstheme="minorHAnsi"/>
          <w:lang w:eastAsia="en-GB"/>
        </w:rPr>
        <w:t xml:space="preserve"> </w:t>
      </w:r>
      <w:r w:rsidRPr="005A5639">
        <w:rPr>
          <w:rFonts w:eastAsia="Times New Roman" w:cstheme="minorHAnsi"/>
          <w:noProof/>
          <w:lang w:eastAsia="en-GB"/>
        </w:rPr>
        <w:t>historical</w:t>
      </w:r>
      <w:r w:rsidR="00004731" w:rsidRPr="005A5639">
        <w:rPr>
          <w:rFonts w:eastAsia="Times New Roman" w:cstheme="minorHAnsi"/>
          <w:noProof/>
          <w:lang w:eastAsia="en-GB"/>
        </w:rPr>
        <w:t xml:space="preserve"> </w:t>
      </w:r>
      <w:r w:rsidR="00A7229F" w:rsidRPr="005A5639">
        <w:rPr>
          <w:rFonts w:eastAsia="Times New Roman" w:cstheme="minorHAnsi"/>
          <w:lang w:eastAsia="en-GB"/>
        </w:rPr>
        <w:t>change of government</w:t>
      </w:r>
      <w:r w:rsidR="00004731" w:rsidRPr="005A5639">
        <w:rPr>
          <w:rFonts w:eastAsia="Times New Roman" w:cstheme="minorHAnsi"/>
          <w:lang w:eastAsia="en-GB"/>
        </w:rPr>
        <w:t xml:space="preserve"> in 2018</w:t>
      </w:r>
      <w:r w:rsidRPr="005A5639">
        <w:rPr>
          <w:rFonts w:eastAsia="Times New Roman" w:cstheme="minorHAnsi"/>
          <w:lang w:eastAsia="en-GB"/>
        </w:rPr>
        <w:t xml:space="preserve">. </w:t>
      </w:r>
      <w:bookmarkStart w:id="6" w:name="_Hlk534315"/>
      <w:r w:rsidR="00FB177E" w:rsidRPr="005A5639">
        <w:rPr>
          <w:rFonts w:eastAsia="Times New Roman" w:cstheme="minorHAnsi"/>
          <w:lang w:eastAsia="en-GB"/>
        </w:rPr>
        <w:t>The 14</w:t>
      </w:r>
      <w:r w:rsidR="00FB177E" w:rsidRPr="005A5639">
        <w:rPr>
          <w:rFonts w:eastAsia="Times New Roman" w:cstheme="minorHAnsi"/>
          <w:vertAlign w:val="superscript"/>
          <w:lang w:eastAsia="en-GB"/>
        </w:rPr>
        <w:t>th</w:t>
      </w:r>
      <w:r w:rsidR="00FB177E" w:rsidRPr="005A5639">
        <w:rPr>
          <w:rFonts w:eastAsia="Times New Roman" w:cstheme="minorHAnsi"/>
          <w:lang w:eastAsia="en-GB"/>
        </w:rPr>
        <w:t xml:space="preserve"> </w:t>
      </w:r>
      <w:r w:rsidR="006D71D5" w:rsidRPr="005A5639">
        <w:rPr>
          <w:rFonts w:eastAsia="Times New Roman" w:cstheme="minorHAnsi"/>
          <w:lang w:eastAsia="en-GB"/>
        </w:rPr>
        <w:t>g</w:t>
      </w:r>
      <w:r w:rsidR="00FB177E" w:rsidRPr="005A5639">
        <w:rPr>
          <w:rFonts w:eastAsia="Times New Roman" w:cstheme="minorHAnsi"/>
          <w:lang w:eastAsia="en-GB"/>
        </w:rPr>
        <w:t xml:space="preserve">eneral </w:t>
      </w:r>
      <w:r w:rsidR="006D71D5" w:rsidRPr="005A5639">
        <w:rPr>
          <w:rFonts w:eastAsia="Times New Roman" w:cstheme="minorHAnsi"/>
          <w:lang w:eastAsia="en-GB"/>
        </w:rPr>
        <w:t>e</w:t>
      </w:r>
      <w:r w:rsidR="00FB177E" w:rsidRPr="005A5639">
        <w:rPr>
          <w:rFonts w:eastAsia="Times New Roman" w:cstheme="minorHAnsi"/>
          <w:lang w:eastAsia="en-GB"/>
        </w:rPr>
        <w:t>lections</w:t>
      </w:r>
      <w:r w:rsidR="0071319D" w:rsidRPr="005A5639">
        <w:rPr>
          <w:rFonts w:eastAsia="Times New Roman" w:cstheme="minorHAnsi"/>
          <w:lang w:eastAsia="en-GB"/>
        </w:rPr>
        <w:t xml:space="preserve"> </w:t>
      </w:r>
      <w:r w:rsidR="006D71D5" w:rsidRPr="005A5639">
        <w:rPr>
          <w:rFonts w:eastAsia="Times New Roman" w:cstheme="minorHAnsi"/>
          <w:lang w:eastAsia="en-GB"/>
        </w:rPr>
        <w:t xml:space="preserve">in May </w:t>
      </w:r>
      <w:r w:rsidR="0071319D" w:rsidRPr="005A5639">
        <w:rPr>
          <w:rFonts w:eastAsia="Times New Roman" w:cstheme="minorHAnsi"/>
          <w:lang w:eastAsia="en-GB"/>
        </w:rPr>
        <w:t>2018,</w:t>
      </w:r>
      <w:r w:rsidR="00FB177E" w:rsidRPr="005A5639">
        <w:rPr>
          <w:rFonts w:eastAsia="Times New Roman" w:cstheme="minorHAnsi"/>
          <w:lang w:eastAsia="en-GB"/>
        </w:rPr>
        <w:t xml:space="preserve"> saw</w:t>
      </w:r>
      <w:r w:rsidR="0071319D" w:rsidRPr="005A5639">
        <w:rPr>
          <w:rFonts w:eastAsia="Times New Roman" w:cstheme="minorHAnsi"/>
          <w:lang w:eastAsia="en-GB"/>
        </w:rPr>
        <w:t xml:space="preserve"> the victory of opposition coalition </w:t>
      </w:r>
      <w:proofErr w:type="spellStart"/>
      <w:r w:rsidR="0071319D" w:rsidRPr="005A5639">
        <w:rPr>
          <w:rFonts w:cstheme="minorHAnsi"/>
        </w:rPr>
        <w:t>Pakatan</w:t>
      </w:r>
      <w:proofErr w:type="spellEnd"/>
      <w:r w:rsidR="0071319D" w:rsidRPr="005A5639">
        <w:rPr>
          <w:rFonts w:cstheme="minorHAnsi"/>
        </w:rPr>
        <w:t xml:space="preserve"> </w:t>
      </w:r>
      <w:proofErr w:type="spellStart"/>
      <w:r w:rsidR="0071319D" w:rsidRPr="005A5639">
        <w:rPr>
          <w:rFonts w:cstheme="minorHAnsi"/>
        </w:rPr>
        <w:t>Harapan</w:t>
      </w:r>
      <w:proofErr w:type="spellEnd"/>
      <w:r w:rsidR="0071319D" w:rsidRPr="005A5639">
        <w:rPr>
          <w:rFonts w:cstheme="minorHAnsi"/>
        </w:rPr>
        <w:t xml:space="preserve"> </w:t>
      </w:r>
      <w:bookmarkEnd w:id="6"/>
      <w:r w:rsidR="00004731" w:rsidRPr="005A5639">
        <w:rPr>
          <w:rFonts w:cstheme="minorHAnsi"/>
        </w:rPr>
        <w:t>over</w:t>
      </w:r>
      <w:r w:rsidR="0071319D" w:rsidRPr="005A5639">
        <w:rPr>
          <w:rFonts w:cstheme="minorHAnsi"/>
        </w:rPr>
        <w:t xml:space="preserve"> the </w:t>
      </w:r>
      <w:proofErr w:type="spellStart"/>
      <w:r w:rsidR="00073F65" w:rsidRPr="005A5639">
        <w:rPr>
          <w:rFonts w:cstheme="minorHAnsi"/>
        </w:rPr>
        <w:t>Barisan</w:t>
      </w:r>
      <w:proofErr w:type="spellEnd"/>
      <w:r w:rsidR="00073F65" w:rsidRPr="005A5639">
        <w:rPr>
          <w:rFonts w:cstheme="minorHAnsi"/>
        </w:rPr>
        <w:t xml:space="preserve"> Nasional </w:t>
      </w:r>
      <w:r w:rsidR="0071319D" w:rsidRPr="005A5639">
        <w:rPr>
          <w:rFonts w:cstheme="minorHAnsi"/>
        </w:rPr>
        <w:t>government</w:t>
      </w:r>
      <w:r w:rsidR="00004731" w:rsidRPr="005A5639">
        <w:rPr>
          <w:rFonts w:cstheme="minorHAnsi"/>
        </w:rPr>
        <w:t xml:space="preserve"> which ruled the country for more than </w:t>
      </w:r>
      <w:r w:rsidR="0071319D" w:rsidRPr="005A5639">
        <w:rPr>
          <w:rFonts w:cstheme="minorHAnsi"/>
        </w:rPr>
        <w:t xml:space="preserve">six </w:t>
      </w:r>
      <w:r w:rsidR="0071319D" w:rsidRPr="005A5639">
        <w:rPr>
          <w:rFonts w:cstheme="minorHAnsi"/>
          <w:noProof/>
        </w:rPr>
        <w:t>decades</w:t>
      </w:r>
      <w:r w:rsidR="00073F65" w:rsidRPr="005A5639">
        <w:rPr>
          <w:rFonts w:cstheme="minorHAnsi"/>
          <w:noProof/>
        </w:rPr>
        <w:t>.</w:t>
      </w:r>
      <w:r w:rsidR="001E0A80" w:rsidRPr="005A5639">
        <w:rPr>
          <w:rFonts w:cstheme="minorHAnsi"/>
        </w:rPr>
        <w:t xml:space="preserve"> </w:t>
      </w:r>
      <w:r w:rsidR="00AD1F7D" w:rsidRPr="005A5639">
        <w:rPr>
          <w:rFonts w:cstheme="minorHAnsi"/>
        </w:rPr>
        <w:t>This</w:t>
      </w:r>
      <w:r w:rsidR="00AD1F7D" w:rsidRPr="005A5639">
        <w:t xml:space="preserve"> victory </w:t>
      </w:r>
      <w:r w:rsidR="00AD1F7D" w:rsidRPr="00C45179">
        <w:t xml:space="preserve">of the opposition </w:t>
      </w:r>
      <w:r w:rsidR="00AD1F7D" w:rsidRPr="00C45179">
        <w:rPr>
          <w:noProof/>
        </w:rPr>
        <w:t>was associated</w:t>
      </w:r>
      <w:r w:rsidR="00AD1F7D" w:rsidRPr="00C45179">
        <w:t xml:space="preserve"> with c</w:t>
      </w:r>
      <w:r w:rsidR="00D60394" w:rsidRPr="00C45179">
        <w:t xml:space="preserve">itizen frustration over socioeconomic concerns such as inequality, </w:t>
      </w:r>
      <w:r w:rsidR="00004731" w:rsidRPr="00C45179">
        <w:t xml:space="preserve">the </w:t>
      </w:r>
      <w:r w:rsidR="00D60394" w:rsidRPr="00C45179">
        <w:rPr>
          <w:noProof/>
        </w:rPr>
        <w:t>rising</w:t>
      </w:r>
      <w:r w:rsidR="00D60394" w:rsidRPr="00C45179">
        <w:t xml:space="preserve"> cost of living, </w:t>
      </w:r>
      <w:r w:rsidR="00A45949" w:rsidRPr="00C45179">
        <w:t xml:space="preserve">corruption </w:t>
      </w:r>
      <w:r w:rsidR="00AD1F7D" w:rsidRPr="00C45179">
        <w:t>as well as the mismanagement of the sovereign wealth fund 1MDB and the introduction of the unpopular Goods &amp; Service Tax.</w:t>
      </w:r>
      <w:r w:rsidRPr="00C45179">
        <w:rPr>
          <w:rStyle w:val="FootnoteReference"/>
        </w:rPr>
        <w:footnoteReference w:id="2"/>
      </w:r>
      <w:r w:rsidR="00AD1F7D" w:rsidRPr="00C45179">
        <w:t xml:space="preserve"> </w:t>
      </w:r>
      <w:r w:rsidR="00004731" w:rsidRPr="00C45179">
        <w:t xml:space="preserve"> </w:t>
      </w:r>
      <w:r w:rsidR="00D17798" w:rsidRPr="00C45179">
        <w:rPr>
          <w:noProof/>
        </w:rPr>
        <w:t xml:space="preserve">In spite of this </w:t>
      </w:r>
      <w:r w:rsidR="00D17798" w:rsidRPr="00C45179">
        <w:rPr>
          <w:noProof/>
        </w:rPr>
        <w:lastRenderedPageBreak/>
        <w:t>positive political</w:t>
      </w:r>
      <w:r w:rsidR="00004731" w:rsidRPr="00C45179">
        <w:rPr>
          <w:noProof/>
        </w:rPr>
        <w:t xml:space="preserve"> outcome,</w:t>
      </w:r>
      <w:r w:rsidR="00DA3609" w:rsidRPr="00C45179">
        <w:rPr>
          <w:noProof/>
        </w:rPr>
        <w:t xml:space="preserve"> Malaysia is still considered</w:t>
      </w:r>
      <w:r w:rsidR="00D17798" w:rsidRPr="00C45179">
        <w:rPr>
          <w:noProof/>
        </w:rPr>
        <w:t xml:space="preserve"> a “flawed democracy</w:t>
      </w:r>
      <w:r w:rsidR="00472AE3" w:rsidRPr="00C45179">
        <w:rPr>
          <w:noProof/>
        </w:rPr>
        <w:t>”</w:t>
      </w:r>
      <w:r w:rsidR="00D17798" w:rsidRPr="00C45179">
        <w:rPr>
          <w:noProof/>
        </w:rPr>
        <w:t>.</w:t>
      </w:r>
      <w:r w:rsidRPr="00C45179">
        <w:rPr>
          <w:rStyle w:val="FootnoteReference"/>
          <w:noProof/>
        </w:rPr>
        <w:footnoteReference w:id="3"/>
      </w:r>
      <w:r w:rsidR="00D17798" w:rsidRPr="00C45179">
        <w:t xml:space="preserve">  </w:t>
      </w:r>
      <w:r w:rsidR="00DA3609" w:rsidRPr="00C45179">
        <w:t>The</w:t>
      </w:r>
      <w:r w:rsidR="00AD1F7D" w:rsidRPr="00C45179">
        <w:t xml:space="preserve"> democracy index increase</w:t>
      </w:r>
      <w:r w:rsidR="00D17798" w:rsidRPr="00C45179">
        <w:t>d only</w:t>
      </w:r>
      <w:r w:rsidR="00AD1F7D" w:rsidRPr="00C45179">
        <w:t xml:space="preserve"> moderately over the past decade by 15 percent moving from 5.98 in 2006 to 6.88 out of 10</w:t>
      </w:r>
      <w:r w:rsidR="000C195F" w:rsidRPr="00C45179">
        <w:t xml:space="preserve"> in 2018, ranking the country</w:t>
      </w:r>
      <w:r w:rsidR="00AD1F7D" w:rsidRPr="00C45179">
        <w:t xml:space="preserve"> 52</w:t>
      </w:r>
      <w:r w:rsidR="00AD1F7D" w:rsidRPr="00C45179">
        <w:rPr>
          <w:vertAlign w:val="superscript"/>
        </w:rPr>
        <w:t>nd</w:t>
      </w:r>
      <w:r w:rsidR="00AD1F7D" w:rsidRPr="00C45179">
        <w:t xml:space="preserve"> </w:t>
      </w:r>
      <w:r w:rsidR="000C195F" w:rsidRPr="00C45179">
        <w:t>over 167 countries</w:t>
      </w:r>
      <w:r w:rsidR="00AD1F7D" w:rsidRPr="00C45179">
        <w:t>.</w:t>
      </w:r>
      <w:r w:rsidRPr="00C45179">
        <w:rPr>
          <w:rStyle w:val="FootnoteReference"/>
        </w:rPr>
        <w:footnoteReference w:id="4"/>
      </w:r>
      <w:r w:rsidR="00C033A4" w:rsidRPr="00C45179">
        <w:t xml:space="preserve"> Political participation, political culture and civil liberties including the freedom </w:t>
      </w:r>
      <w:r w:rsidR="003C7DF8" w:rsidRPr="00C45179">
        <w:t xml:space="preserve">of the media </w:t>
      </w:r>
      <w:r w:rsidR="003C7DF8" w:rsidRPr="00C45179">
        <w:rPr>
          <w:noProof/>
        </w:rPr>
        <w:t>are</w:t>
      </w:r>
      <w:r w:rsidR="00C033A4" w:rsidRPr="00C45179">
        <w:rPr>
          <w:noProof/>
        </w:rPr>
        <w:t xml:space="preserve"> still considered</w:t>
      </w:r>
      <w:r w:rsidR="00C033A4" w:rsidRPr="00C45179">
        <w:t xml:space="preserve"> </w:t>
      </w:r>
      <w:r w:rsidR="00C033A4" w:rsidRPr="00C45179">
        <w:rPr>
          <w:noProof/>
        </w:rPr>
        <w:t>key</w:t>
      </w:r>
      <w:r w:rsidR="00C033A4" w:rsidRPr="00C45179">
        <w:t xml:space="preserve"> challenges in the country</w:t>
      </w:r>
      <w:r w:rsidR="00AD1F7D" w:rsidRPr="00C45179">
        <w:t>.</w:t>
      </w:r>
      <w:r w:rsidRPr="00C45179">
        <w:rPr>
          <w:rStyle w:val="FootnoteReference"/>
        </w:rPr>
        <w:footnoteReference w:id="5"/>
      </w:r>
      <w:r w:rsidR="003C7DF8" w:rsidRPr="00C45179">
        <w:t xml:space="preserve"> The new government </w:t>
      </w:r>
      <w:r w:rsidR="003C7DF8" w:rsidRPr="00C45179">
        <w:rPr>
          <w:noProof/>
        </w:rPr>
        <w:t>bring</w:t>
      </w:r>
      <w:r w:rsidR="00472AE3" w:rsidRPr="00C45179">
        <w:rPr>
          <w:noProof/>
        </w:rPr>
        <w:t>s</w:t>
      </w:r>
      <w:r w:rsidR="003C7DF8" w:rsidRPr="00C45179">
        <w:t xml:space="preserve"> hope to accelerate progress in the area of human rights. </w:t>
      </w:r>
      <w:r w:rsidR="003C7DF8" w:rsidRPr="00C45179">
        <w:rPr>
          <w:noProof/>
        </w:rPr>
        <w:t>It</w:t>
      </w:r>
      <w:r w:rsidR="003C7DF8" w:rsidRPr="00C45179">
        <w:t xml:space="preserve"> </w:t>
      </w:r>
      <w:r w:rsidR="003C7DF8" w:rsidRPr="00C45179">
        <w:rPr>
          <w:noProof/>
        </w:rPr>
        <w:t>pledge</w:t>
      </w:r>
      <w:r w:rsidR="00472AE3" w:rsidRPr="00C45179">
        <w:rPr>
          <w:noProof/>
        </w:rPr>
        <w:t>s</w:t>
      </w:r>
      <w:r w:rsidR="003C7DF8" w:rsidRPr="00C45179">
        <w:t xml:space="preserve"> to ratify the six remaining human rights core conventions</w:t>
      </w:r>
      <w:r w:rsidR="00472AE3" w:rsidRPr="00C45179">
        <w:t xml:space="preserve">, </w:t>
      </w:r>
      <w:r w:rsidR="003C7DF8" w:rsidRPr="00C45179">
        <w:t xml:space="preserve">to abolish the death penalty, </w:t>
      </w:r>
      <w:r w:rsidR="00472AE3" w:rsidRPr="00C45179">
        <w:t xml:space="preserve">to </w:t>
      </w:r>
      <w:r w:rsidR="003C7DF8" w:rsidRPr="00C45179">
        <w:t xml:space="preserve">guarantee students political participation, and </w:t>
      </w:r>
      <w:r w:rsidR="00472AE3" w:rsidRPr="00C45179">
        <w:rPr>
          <w:noProof/>
        </w:rPr>
        <w:t xml:space="preserve">to </w:t>
      </w:r>
      <w:r w:rsidR="003C7DF8" w:rsidRPr="00C45179">
        <w:rPr>
          <w:noProof/>
        </w:rPr>
        <w:t>uphol</w:t>
      </w:r>
      <w:r w:rsidR="00472AE3" w:rsidRPr="00C45179">
        <w:rPr>
          <w:noProof/>
        </w:rPr>
        <w:t>d</w:t>
      </w:r>
      <w:r w:rsidR="003C7DF8" w:rsidRPr="00C45179">
        <w:t xml:space="preserve"> </w:t>
      </w:r>
      <w:r w:rsidR="00DA3609" w:rsidRPr="00C45179">
        <w:t>the freedom of speech and assembly. T</w:t>
      </w:r>
      <w:r w:rsidR="00472AE3" w:rsidRPr="00C45179">
        <w:t>o</w:t>
      </w:r>
      <w:r w:rsidR="00DA3609" w:rsidRPr="00C45179">
        <w:t xml:space="preserve"> achieve th</w:t>
      </w:r>
      <w:r w:rsidR="00472AE3" w:rsidRPr="00C45179">
        <w:t>ese</w:t>
      </w:r>
      <w:r w:rsidR="00DA3609" w:rsidRPr="00C45179">
        <w:t xml:space="preserve"> goal</w:t>
      </w:r>
      <w:r w:rsidR="00472AE3" w:rsidRPr="00C45179">
        <w:t>s</w:t>
      </w:r>
      <w:r w:rsidR="00DA3609" w:rsidRPr="00C45179">
        <w:t xml:space="preserve"> however the new government will have to counter </w:t>
      </w:r>
      <w:r w:rsidR="00DA3609" w:rsidRPr="00C45179">
        <w:rPr>
          <w:noProof/>
        </w:rPr>
        <w:t>polit</w:t>
      </w:r>
      <w:r w:rsidR="00472AE3" w:rsidRPr="00C45179">
        <w:rPr>
          <w:noProof/>
        </w:rPr>
        <w:t>ic</w:t>
      </w:r>
      <w:r w:rsidR="00DA3609" w:rsidRPr="00C45179">
        <w:rPr>
          <w:noProof/>
        </w:rPr>
        <w:t>ization</w:t>
      </w:r>
      <w:r w:rsidR="00DA3609" w:rsidRPr="00C45179">
        <w:t xml:space="preserve"> of human rights instruments in a conservative multi-racial and multi-religious society</w:t>
      </w:r>
      <w:r w:rsidR="001E0A80" w:rsidRPr="00C45179">
        <w:rPr>
          <w:color w:val="323E4F" w:themeColor="text2" w:themeShade="BF"/>
        </w:rPr>
        <w:t>.</w:t>
      </w:r>
      <w:r w:rsidRPr="00C45179">
        <w:rPr>
          <w:rStyle w:val="FootnoteReference"/>
          <w:color w:val="323E4F" w:themeColor="text2" w:themeShade="BF"/>
        </w:rPr>
        <w:footnoteReference w:id="6"/>
      </w:r>
      <w:r w:rsidR="001E0A80" w:rsidRPr="00C45179">
        <w:rPr>
          <w:color w:val="323E4F" w:themeColor="text2" w:themeShade="BF"/>
        </w:rPr>
        <w:t xml:space="preserve"> </w:t>
      </w:r>
    </w:p>
    <w:p w14:paraId="2C9D7975" w14:textId="2548F15B" w:rsidR="00F02FB6" w:rsidRPr="00C45179" w:rsidRDefault="00E06207" w:rsidP="00663BCA">
      <w:pPr>
        <w:jc w:val="both"/>
        <w:rPr>
          <w:noProof/>
        </w:rPr>
      </w:pPr>
      <w:r w:rsidRPr="00C45179">
        <w:t xml:space="preserve">Malaysia </w:t>
      </w:r>
      <w:r w:rsidRPr="00C45179">
        <w:rPr>
          <w:noProof/>
        </w:rPr>
        <w:t>aspire</w:t>
      </w:r>
      <w:r w:rsidR="00472AE3" w:rsidRPr="00C45179">
        <w:rPr>
          <w:noProof/>
        </w:rPr>
        <w:t>s</w:t>
      </w:r>
      <w:r w:rsidRPr="00C45179">
        <w:t xml:space="preserve"> to reach </w:t>
      </w:r>
      <w:r w:rsidRPr="00C45179">
        <w:rPr>
          <w:noProof/>
        </w:rPr>
        <w:t>high</w:t>
      </w:r>
      <w:r w:rsidR="00472AE3" w:rsidRPr="00C45179">
        <w:rPr>
          <w:noProof/>
        </w:rPr>
        <w:t>-</w:t>
      </w:r>
      <w:r w:rsidRPr="00C45179">
        <w:rPr>
          <w:noProof/>
        </w:rPr>
        <w:t>income</w:t>
      </w:r>
      <w:r w:rsidRPr="00C45179">
        <w:t xml:space="preserve"> </w:t>
      </w:r>
      <w:r w:rsidR="00E133F0">
        <w:t>country status</w:t>
      </w:r>
      <w:r w:rsidR="00472AE3" w:rsidRPr="00C45179">
        <w:rPr>
          <w:noProof/>
        </w:rPr>
        <w:t xml:space="preserve"> by</w:t>
      </w:r>
      <w:r w:rsidRPr="00C45179">
        <w:t xml:space="preserve"> 2020. The country </w:t>
      </w:r>
      <w:r w:rsidR="00DA3609" w:rsidRPr="00C45179">
        <w:t xml:space="preserve">graduated to </w:t>
      </w:r>
      <w:r w:rsidR="00DA3609" w:rsidRPr="00C45179">
        <w:rPr>
          <w:noProof/>
        </w:rPr>
        <w:t>upper</w:t>
      </w:r>
      <w:r w:rsidR="00472AE3" w:rsidRPr="00C45179">
        <w:rPr>
          <w:noProof/>
        </w:rPr>
        <w:t>-</w:t>
      </w:r>
      <w:r w:rsidR="00DA3609" w:rsidRPr="00C45179">
        <w:rPr>
          <w:noProof/>
        </w:rPr>
        <w:t>middle</w:t>
      </w:r>
      <w:r w:rsidR="00472AE3" w:rsidRPr="00C45179">
        <w:rPr>
          <w:noProof/>
        </w:rPr>
        <w:t>-</w:t>
      </w:r>
      <w:r w:rsidR="00DA3609" w:rsidRPr="00C45179">
        <w:rPr>
          <w:noProof/>
        </w:rPr>
        <w:t>income</w:t>
      </w:r>
      <w:r w:rsidR="00DA3609" w:rsidRPr="00C45179">
        <w:t xml:space="preserve"> </w:t>
      </w:r>
      <w:r w:rsidR="00472AE3" w:rsidRPr="00C45179">
        <w:t>status</w:t>
      </w:r>
      <w:r w:rsidR="00DA3609" w:rsidRPr="00C45179">
        <w:t xml:space="preserve"> in 1992</w:t>
      </w:r>
      <w:r w:rsidR="00472AE3" w:rsidRPr="00C45179">
        <w:t>,</w:t>
      </w:r>
      <w:r w:rsidR="00DA3609" w:rsidRPr="00C45179">
        <w:t xml:space="preserve"> </w:t>
      </w:r>
      <w:r w:rsidR="00DA3609" w:rsidRPr="00C45179">
        <w:rPr>
          <w:noProof/>
        </w:rPr>
        <w:t>and</w:t>
      </w:r>
      <w:r w:rsidR="00DA3609" w:rsidRPr="00C45179">
        <w:t xml:space="preserve"> since then </w:t>
      </w:r>
      <w:r w:rsidR="00472AE3" w:rsidRPr="00C45179">
        <w:rPr>
          <w:noProof/>
        </w:rPr>
        <w:t>the</w:t>
      </w:r>
      <w:r w:rsidR="00DA3609" w:rsidRPr="00C45179">
        <w:t xml:space="preserve"> per capita Gross National Income (GNI) more than double</w:t>
      </w:r>
      <w:r w:rsidR="00B45AD7">
        <w:t>d</w:t>
      </w:r>
      <w:r w:rsidR="00DA3609" w:rsidRPr="00C45179">
        <w:t xml:space="preserve"> in real term</w:t>
      </w:r>
      <w:r w:rsidR="00B45AD7">
        <w:t>s</w:t>
      </w:r>
      <w:r w:rsidR="00DA3609" w:rsidRPr="00C45179">
        <w:t xml:space="preserve"> increasing from US$ 11,396 in 1992 to US$ 26,119 in 2017.</w:t>
      </w:r>
      <w:r w:rsidRPr="00C45179">
        <w:rPr>
          <w:rStyle w:val="FootnoteReference"/>
        </w:rPr>
        <w:footnoteReference w:id="7"/>
      </w:r>
      <w:r w:rsidR="00DA3609" w:rsidRPr="00C45179">
        <w:t xml:space="preserve"> Average Gross Domestic Product (GDP) growth rate over the same period was about 5.61 percent </w:t>
      </w:r>
      <w:r w:rsidR="005A2D4F" w:rsidRPr="00C45179">
        <w:t xml:space="preserve">with </w:t>
      </w:r>
      <w:r w:rsidR="00663BCA" w:rsidRPr="00C45179">
        <w:rPr>
          <w:lang w:val="en-GB"/>
        </w:rPr>
        <w:t>forecasts revised down to 4.7</w:t>
      </w:r>
      <w:r w:rsidR="00741FDA">
        <w:rPr>
          <w:lang w:val="en-GB"/>
        </w:rPr>
        <w:t xml:space="preserve"> percent</w:t>
      </w:r>
      <w:r w:rsidR="00663BCA" w:rsidRPr="00C45179">
        <w:rPr>
          <w:lang w:val="en-GB"/>
        </w:rPr>
        <w:t xml:space="preserve"> for 2019 due to global turmoil and </w:t>
      </w:r>
      <w:r w:rsidR="00663BCA" w:rsidRPr="00C45179">
        <w:rPr>
          <w:noProof/>
          <w:lang w:val="en-GB"/>
        </w:rPr>
        <w:t>domestic</w:t>
      </w:r>
      <w:r w:rsidR="00663BCA" w:rsidRPr="00C45179">
        <w:rPr>
          <w:lang w:val="en-GB"/>
        </w:rPr>
        <w:t xml:space="preserve"> revelations on the state of national finances. The </w:t>
      </w:r>
      <w:r w:rsidR="00DA3609" w:rsidRPr="00C45179">
        <w:t>service and manufacturing sector</w:t>
      </w:r>
      <w:r w:rsidR="00663BCA" w:rsidRPr="00C45179">
        <w:t>s are</w:t>
      </w:r>
      <w:r w:rsidR="00DA3609" w:rsidRPr="00C45179">
        <w:t xml:space="preserve"> growing the fastest at </w:t>
      </w:r>
      <w:r w:rsidR="00663BCA" w:rsidRPr="00C45179">
        <w:t xml:space="preserve">an average of </w:t>
      </w:r>
      <w:r w:rsidR="00DA3609" w:rsidRPr="00C45179">
        <w:t>7.58 per</w:t>
      </w:r>
      <w:r w:rsidR="00663BCA" w:rsidRPr="00C45179">
        <w:t xml:space="preserve">cent and 6.22 percent respectively </w:t>
      </w:r>
      <w:r w:rsidR="00472AE3" w:rsidRPr="00C45179">
        <w:t>while</w:t>
      </w:r>
      <w:r w:rsidR="00663BCA" w:rsidRPr="00C45179">
        <w:t xml:space="preserve"> t</w:t>
      </w:r>
      <w:r w:rsidR="00DA3609" w:rsidRPr="00C45179">
        <w:t xml:space="preserve">he agricultural </w:t>
      </w:r>
      <w:r w:rsidR="00DA3609" w:rsidRPr="00C45179">
        <w:rPr>
          <w:noProof/>
        </w:rPr>
        <w:t>sector</w:t>
      </w:r>
      <w:r w:rsidR="00DA3609" w:rsidRPr="00C45179">
        <w:t xml:space="preserve"> </w:t>
      </w:r>
      <w:r w:rsidR="00472AE3" w:rsidRPr="00C45179">
        <w:t xml:space="preserve">is </w:t>
      </w:r>
      <w:r w:rsidRPr="00C45179">
        <w:t>growing at a slower</w:t>
      </w:r>
      <w:r w:rsidR="00DA3609" w:rsidRPr="00C45179">
        <w:t xml:space="preserve"> rate of 2.11 percent</w:t>
      </w:r>
      <w:r w:rsidRPr="00C45179">
        <w:t xml:space="preserve"> a year</w:t>
      </w:r>
      <w:r w:rsidR="00DA3609" w:rsidRPr="00C45179">
        <w:t xml:space="preserve"> over the same period.</w:t>
      </w:r>
      <w:r w:rsidRPr="00C45179">
        <w:rPr>
          <w:rStyle w:val="FootnoteReference"/>
        </w:rPr>
        <w:footnoteReference w:id="8"/>
      </w:r>
      <w:r w:rsidR="00DA3609" w:rsidRPr="00C45179">
        <w:rPr>
          <w:color w:val="FF0000"/>
        </w:rPr>
        <w:t xml:space="preserve"> </w:t>
      </w:r>
      <w:r w:rsidR="00DA3609" w:rsidRPr="00C45179">
        <w:t xml:space="preserve">In 2017, the services and manufacturing sectors </w:t>
      </w:r>
      <w:r w:rsidR="00DA3609" w:rsidRPr="00C45179">
        <w:rPr>
          <w:noProof/>
        </w:rPr>
        <w:t>represent</w:t>
      </w:r>
      <w:r w:rsidR="00472AE3" w:rsidRPr="00C45179">
        <w:rPr>
          <w:noProof/>
        </w:rPr>
        <w:t>ed</w:t>
      </w:r>
      <w:r w:rsidR="00DA3609" w:rsidRPr="00C45179">
        <w:t xml:space="preserve"> 52.8 and 26.0 of </w:t>
      </w:r>
      <w:r w:rsidR="00E133F0">
        <w:t>GDP</w:t>
      </w:r>
      <w:r w:rsidR="00DA3609" w:rsidRPr="00C45179">
        <w:t xml:space="preserve"> while the agricultural </w:t>
      </w:r>
      <w:r w:rsidR="00DA3609" w:rsidRPr="00C45179">
        <w:rPr>
          <w:noProof/>
        </w:rPr>
        <w:t>sector</w:t>
      </w:r>
      <w:r w:rsidR="00DA3609" w:rsidRPr="00C45179">
        <w:t xml:space="preserve"> represents only 4.3 percent.</w:t>
      </w:r>
      <w:r w:rsidRPr="00C45179">
        <w:rPr>
          <w:rStyle w:val="FootnoteReference"/>
        </w:rPr>
        <w:footnoteReference w:id="9"/>
      </w:r>
      <w:r w:rsidR="00DA3609" w:rsidRPr="00C45179">
        <w:t xml:space="preserve"> </w:t>
      </w:r>
      <w:r w:rsidR="007855F0">
        <w:t xml:space="preserve">Fifty-six percent of the </w:t>
      </w:r>
      <w:r w:rsidR="00DA3609" w:rsidRPr="00C45179">
        <w:t xml:space="preserve">labor force </w:t>
      </w:r>
      <w:r w:rsidR="007855F0">
        <w:t xml:space="preserve">is employed in the service sector </w:t>
      </w:r>
      <w:r w:rsidR="00DA3609" w:rsidRPr="00C45179">
        <w:t xml:space="preserve">compared to 24 percent </w:t>
      </w:r>
      <w:r w:rsidR="007855F0">
        <w:t xml:space="preserve">and 5 percent in the </w:t>
      </w:r>
      <w:r w:rsidR="00DA3609" w:rsidRPr="00C45179">
        <w:t xml:space="preserve">manufacturing </w:t>
      </w:r>
      <w:r w:rsidR="007855F0">
        <w:t>and ag</w:t>
      </w:r>
      <w:r w:rsidR="00DA3609" w:rsidRPr="00C45179">
        <w:t>ricultural sector</w:t>
      </w:r>
      <w:r w:rsidR="007855F0">
        <w:t>s respectively</w:t>
      </w:r>
      <w:r w:rsidR="00DA3609" w:rsidRPr="00C45179">
        <w:rPr>
          <w:noProof/>
        </w:rPr>
        <w:t>.</w:t>
      </w:r>
    </w:p>
    <w:p w14:paraId="30493673" w14:textId="78C12D23" w:rsidR="00DA3609" w:rsidRPr="00C45179" w:rsidRDefault="00E06207" w:rsidP="00663BCA">
      <w:pPr>
        <w:jc w:val="both"/>
        <w:rPr>
          <w:noProof/>
        </w:rPr>
      </w:pPr>
      <w:r w:rsidRPr="00C45179">
        <w:rPr>
          <w:noProof/>
        </w:rPr>
        <w:t>Additionally</w:t>
      </w:r>
      <w:r w:rsidRPr="00C45179">
        <w:t xml:space="preserve">, average wages are more than three </w:t>
      </w:r>
      <w:r w:rsidRPr="00C45179">
        <w:rPr>
          <w:noProof/>
        </w:rPr>
        <w:t>time</w:t>
      </w:r>
      <w:r w:rsidR="00F02FB6" w:rsidRPr="00C45179">
        <w:rPr>
          <w:noProof/>
        </w:rPr>
        <w:t>s</w:t>
      </w:r>
      <w:r w:rsidRPr="00C45179">
        <w:t xml:space="preserve"> higher in the services and manufacturing sector than in the agricultural sector.</w:t>
      </w:r>
      <w:r w:rsidRPr="00C45179">
        <w:rPr>
          <w:rStyle w:val="FootnoteReference"/>
        </w:rPr>
        <w:footnoteReference w:id="10"/>
      </w:r>
      <w:r w:rsidRPr="00C45179">
        <w:t xml:space="preserve"> This outstanding and resilient economic performance of Malaysia is due to several factors including the </w:t>
      </w:r>
      <w:r w:rsidR="00B37EA3" w:rsidRPr="00C45179">
        <w:t>diversification</w:t>
      </w:r>
      <w:r w:rsidRPr="00C45179">
        <w:t xml:space="preserve"> and openness of the economy, effective macroeconomic policies keeping inflation and unemployme</w:t>
      </w:r>
      <w:r w:rsidR="00B37EA3" w:rsidRPr="00C45179">
        <w:t xml:space="preserve">nt at </w:t>
      </w:r>
      <w:r w:rsidR="00B37EA3" w:rsidRPr="00C45179">
        <w:rPr>
          <w:noProof/>
        </w:rPr>
        <w:t>low</w:t>
      </w:r>
      <w:r w:rsidR="00B37EA3" w:rsidRPr="00C45179">
        <w:t xml:space="preserve"> and stable level and on-track fiscal consolidation</w:t>
      </w:r>
      <w:r w:rsidRPr="00C45179">
        <w:t xml:space="preserve"> as well as </w:t>
      </w:r>
      <w:r w:rsidR="00F02FB6" w:rsidRPr="00C45179">
        <w:rPr>
          <w:noProof/>
        </w:rPr>
        <w:t xml:space="preserve">the </w:t>
      </w:r>
      <w:r w:rsidRPr="00C45179">
        <w:rPr>
          <w:noProof/>
        </w:rPr>
        <w:t>functioning</w:t>
      </w:r>
      <w:r w:rsidRPr="00C45179">
        <w:t xml:space="preserve"> and regulated </w:t>
      </w:r>
      <w:r w:rsidRPr="00C45179">
        <w:rPr>
          <w:noProof/>
        </w:rPr>
        <w:t>financial</w:t>
      </w:r>
      <w:r w:rsidRPr="00C45179">
        <w:t xml:space="preserve"> system.</w:t>
      </w:r>
      <w:r w:rsidRPr="00C45179">
        <w:rPr>
          <w:rStyle w:val="FootnoteReference"/>
        </w:rPr>
        <w:footnoteReference w:id="11"/>
      </w:r>
      <w:r w:rsidRPr="00C45179">
        <w:t xml:space="preserve"> </w:t>
      </w:r>
      <w:r w:rsidR="00F02FB6" w:rsidRPr="00C45179">
        <w:rPr>
          <w:noProof/>
        </w:rPr>
        <w:t>The o</w:t>
      </w:r>
      <w:r w:rsidRPr="00C45179">
        <w:rPr>
          <w:noProof/>
        </w:rPr>
        <w:t>utlook</w:t>
      </w:r>
      <w:r w:rsidR="00F02FB6" w:rsidRPr="00C45179">
        <w:rPr>
          <w:noProof/>
        </w:rPr>
        <w:t>s</w:t>
      </w:r>
      <w:r w:rsidRPr="00C45179">
        <w:t xml:space="preserve"> </w:t>
      </w:r>
      <w:r w:rsidRPr="00C45179">
        <w:rPr>
          <w:noProof/>
        </w:rPr>
        <w:t>suggest</w:t>
      </w:r>
      <w:r w:rsidRPr="00C45179">
        <w:t xml:space="preserve"> that economic growth is likely to continue </w:t>
      </w:r>
      <w:r w:rsidRPr="00C45179">
        <w:rPr>
          <w:noProof/>
        </w:rPr>
        <w:t xml:space="preserve">in the </w:t>
      </w:r>
      <w:r w:rsidR="00F02FB6" w:rsidRPr="00C45179">
        <w:rPr>
          <w:noProof/>
        </w:rPr>
        <w:t>next five years</w:t>
      </w:r>
      <w:r w:rsidRPr="00C45179">
        <w:t xml:space="preserve"> boosted by </w:t>
      </w:r>
      <w:r w:rsidR="007855F0">
        <w:t xml:space="preserve">continued </w:t>
      </w:r>
      <w:r w:rsidRPr="00C45179">
        <w:t>domestic</w:t>
      </w:r>
      <w:r w:rsidR="007855F0">
        <w:t xml:space="preserve"> efforts in</w:t>
      </w:r>
      <w:r w:rsidRPr="00C45179">
        <w:t xml:space="preserve"> “structural reforms</w:t>
      </w:r>
      <w:r w:rsidR="00B37EA3" w:rsidRPr="00C45179">
        <w:t xml:space="preserve"> to improve th</w:t>
      </w:r>
      <w:r w:rsidRPr="00C45179">
        <w:t>e</w:t>
      </w:r>
      <w:r w:rsidR="00B37EA3" w:rsidRPr="00C45179">
        <w:t xml:space="preserve"> efficiency</w:t>
      </w:r>
      <w:r w:rsidRPr="00C45179">
        <w:t xml:space="preserve"> of public sector spending t</w:t>
      </w:r>
      <w:r w:rsidR="00B37EA3" w:rsidRPr="00C45179">
        <w:t xml:space="preserve">o sustain economic growth in a </w:t>
      </w:r>
      <w:r w:rsidRPr="00C45179">
        <w:t>challenging external environment</w:t>
      </w:r>
      <w:r w:rsidR="00B37EA3" w:rsidRPr="00C45179">
        <w:t xml:space="preserve"> and rising protectionism</w:t>
      </w:r>
      <w:r w:rsidRPr="00C45179">
        <w:t xml:space="preserve">. </w:t>
      </w:r>
      <w:r w:rsidR="00B37EA3" w:rsidRPr="00C45179">
        <w:t xml:space="preserve">The country will potentially reach its </w:t>
      </w:r>
      <w:r w:rsidR="00B37EA3" w:rsidRPr="00C45179">
        <w:rPr>
          <w:noProof/>
        </w:rPr>
        <w:t>high</w:t>
      </w:r>
      <w:r w:rsidR="00F02FB6" w:rsidRPr="00C45179">
        <w:rPr>
          <w:noProof/>
        </w:rPr>
        <w:t>-</w:t>
      </w:r>
      <w:r w:rsidR="00B37EA3" w:rsidRPr="00C45179">
        <w:rPr>
          <w:noProof/>
        </w:rPr>
        <w:t>income</w:t>
      </w:r>
      <w:r w:rsidR="00B37EA3" w:rsidRPr="00C45179">
        <w:t xml:space="preserve"> status in 2024 and could improve economic growth </w:t>
      </w:r>
      <w:r w:rsidR="00611448" w:rsidRPr="00C45179">
        <w:t>by</w:t>
      </w:r>
      <w:r w:rsidR="00B37EA3" w:rsidRPr="00C45179">
        <w:t xml:space="preserve"> uplift</w:t>
      </w:r>
      <w:r w:rsidR="00611448" w:rsidRPr="00C45179">
        <w:t>ing</w:t>
      </w:r>
      <w:r w:rsidR="00B37EA3" w:rsidRPr="00C45179">
        <w:t xml:space="preserve"> its manufacturing sector to high </w:t>
      </w:r>
      <w:r w:rsidR="00B37EA3" w:rsidRPr="00C45179">
        <w:rPr>
          <w:noProof/>
        </w:rPr>
        <w:t>value</w:t>
      </w:r>
      <w:r w:rsidR="00611448" w:rsidRPr="00C45179">
        <w:rPr>
          <w:noProof/>
        </w:rPr>
        <w:t>-</w:t>
      </w:r>
      <w:r w:rsidR="00B37EA3" w:rsidRPr="00C45179">
        <w:rPr>
          <w:noProof/>
        </w:rPr>
        <w:t>added</w:t>
      </w:r>
      <w:r w:rsidR="00B37EA3" w:rsidRPr="00C45179">
        <w:t xml:space="preserve"> supply chain</w:t>
      </w:r>
      <w:r w:rsidR="00611448" w:rsidRPr="00C45179">
        <w:t xml:space="preserve">s and </w:t>
      </w:r>
      <w:r w:rsidR="00611448" w:rsidRPr="00C45179">
        <w:rPr>
          <w:noProof/>
        </w:rPr>
        <w:t>improving</w:t>
      </w:r>
      <w:r w:rsidR="00611448" w:rsidRPr="00C45179">
        <w:t xml:space="preserve"> human capital</w:t>
      </w:r>
      <w:r w:rsidR="00B37EA3" w:rsidRPr="00C45179">
        <w:t xml:space="preserve">. Realizing </w:t>
      </w:r>
      <w:r w:rsidR="00E133F0">
        <w:t>high-</w:t>
      </w:r>
      <w:r w:rsidR="00E133F0" w:rsidRPr="00E133F0">
        <w:t>income</w:t>
      </w:r>
      <w:r w:rsidR="00B37EA3" w:rsidRPr="00E133F0">
        <w:t xml:space="preserve"> economy</w:t>
      </w:r>
      <w:r w:rsidR="00B37EA3" w:rsidRPr="00C45179">
        <w:t xml:space="preserve"> will however require </w:t>
      </w:r>
      <w:r w:rsidR="00611448" w:rsidRPr="00C45179">
        <w:t>deliberate</w:t>
      </w:r>
      <w:r w:rsidR="00B37EA3" w:rsidRPr="00C45179">
        <w:t xml:space="preserve"> effort</w:t>
      </w:r>
      <w:r w:rsidR="00611448" w:rsidRPr="00C45179">
        <w:t>s</w:t>
      </w:r>
      <w:r w:rsidR="00B37EA3" w:rsidRPr="00C45179">
        <w:t xml:space="preserve"> to tackle income inequality in the country and improv</w:t>
      </w:r>
      <w:r w:rsidR="007855F0">
        <w:t xml:space="preserve">ing </w:t>
      </w:r>
      <w:r w:rsidR="00B37EA3" w:rsidRPr="00C45179">
        <w:t xml:space="preserve">the wellbeing and human </w:t>
      </w:r>
      <w:r w:rsidR="00B37EA3" w:rsidRPr="00C45179">
        <w:rPr>
          <w:noProof/>
        </w:rPr>
        <w:t>capital</w:t>
      </w:r>
      <w:r w:rsidR="00B37EA3" w:rsidRPr="00C45179">
        <w:t xml:space="preserve"> of the Malays</w:t>
      </w:r>
      <w:r w:rsidR="007855F0">
        <w:t>ian population</w:t>
      </w:r>
      <w:r w:rsidR="00B37EA3" w:rsidRPr="00C45179">
        <w:t>.</w:t>
      </w:r>
    </w:p>
    <w:p w14:paraId="03BAB56B" w14:textId="47B06685" w:rsidR="00D35E33" w:rsidRPr="00C45179" w:rsidRDefault="00E06207" w:rsidP="00C571E8">
      <w:pPr>
        <w:jc w:val="both"/>
      </w:pPr>
      <w:r w:rsidRPr="00C45179">
        <w:rPr>
          <w:color w:val="000000" w:themeColor="text1"/>
        </w:rPr>
        <w:lastRenderedPageBreak/>
        <w:t xml:space="preserve">The past five </w:t>
      </w:r>
      <w:r w:rsidR="002A3A4F" w:rsidRPr="00C45179">
        <w:rPr>
          <w:color w:val="000000" w:themeColor="text1"/>
        </w:rPr>
        <w:t xml:space="preserve">decades have </w:t>
      </w:r>
      <w:r w:rsidR="002A3A4F" w:rsidRPr="00C45179">
        <w:rPr>
          <w:noProof/>
          <w:color w:val="000000" w:themeColor="text1"/>
        </w:rPr>
        <w:t>witness</w:t>
      </w:r>
      <w:r w:rsidR="00611448" w:rsidRPr="00C45179">
        <w:rPr>
          <w:noProof/>
          <w:color w:val="000000" w:themeColor="text1"/>
        </w:rPr>
        <w:t>ed</w:t>
      </w:r>
      <w:r w:rsidR="002A3A4F" w:rsidRPr="00C45179">
        <w:rPr>
          <w:color w:val="000000" w:themeColor="text1"/>
        </w:rPr>
        <w:t xml:space="preserve"> the eradication of poverty in Malaysia</w:t>
      </w:r>
      <w:r w:rsidR="00F372E4" w:rsidRPr="00C45179">
        <w:rPr>
          <w:color w:val="000000" w:themeColor="text1"/>
        </w:rPr>
        <w:t xml:space="preserve">. </w:t>
      </w:r>
      <w:r w:rsidR="002A3A4F" w:rsidRPr="00C45179">
        <w:rPr>
          <w:color w:val="000000" w:themeColor="text1"/>
        </w:rPr>
        <w:t>From 1970 whe</w:t>
      </w:r>
      <w:r w:rsidR="002D480F" w:rsidRPr="00C45179">
        <w:rPr>
          <w:color w:val="000000" w:themeColor="text1"/>
        </w:rPr>
        <w:t>n</w:t>
      </w:r>
      <w:r w:rsidR="002A3A4F" w:rsidRPr="00C45179">
        <w:rPr>
          <w:color w:val="000000" w:themeColor="text1"/>
        </w:rPr>
        <w:t xml:space="preserve"> nearly half the population was considered </w:t>
      </w:r>
      <w:r w:rsidR="002A3A4F" w:rsidRPr="00C45179">
        <w:rPr>
          <w:noProof/>
          <w:color w:val="000000" w:themeColor="text1"/>
        </w:rPr>
        <w:t>poor</w:t>
      </w:r>
      <w:r w:rsidR="002D480F" w:rsidRPr="00C45179">
        <w:rPr>
          <w:noProof/>
          <w:color w:val="000000" w:themeColor="text1"/>
        </w:rPr>
        <w:t>,</w:t>
      </w:r>
      <w:r w:rsidR="002A3A4F" w:rsidRPr="00C45179">
        <w:rPr>
          <w:color w:val="000000" w:themeColor="text1"/>
        </w:rPr>
        <w:t xml:space="preserve"> t</w:t>
      </w:r>
      <w:r w:rsidR="00DF29ED" w:rsidRPr="00C45179">
        <w:rPr>
          <w:color w:val="000000" w:themeColor="text1"/>
        </w:rPr>
        <w:t xml:space="preserve">he incidence of poverty </w:t>
      </w:r>
      <w:r w:rsidR="00B37EA3" w:rsidRPr="00C45179">
        <w:rPr>
          <w:color w:val="000000" w:themeColor="text1"/>
        </w:rPr>
        <w:t>declined to</w:t>
      </w:r>
      <w:r w:rsidR="00444655" w:rsidRPr="00C45179">
        <w:rPr>
          <w:color w:val="000000" w:themeColor="text1"/>
        </w:rPr>
        <w:t xml:space="preserve"> 12.4 percent in 1992 and </w:t>
      </w:r>
      <w:r w:rsidR="00DF29ED" w:rsidRPr="00C45179">
        <w:rPr>
          <w:color w:val="000000" w:themeColor="text1"/>
        </w:rPr>
        <w:t>0.</w:t>
      </w:r>
      <w:r w:rsidR="002A3A4F" w:rsidRPr="00C45179">
        <w:rPr>
          <w:color w:val="000000" w:themeColor="text1"/>
        </w:rPr>
        <w:t>4</w:t>
      </w:r>
      <w:r w:rsidR="00DF29ED" w:rsidRPr="00C45179">
        <w:rPr>
          <w:color w:val="000000" w:themeColor="text1"/>
        </w:rPr>
        <w:t xml:space="preserve"> percent in 201</w:t>
      </w:r>
      <w:r w:rsidR="002A3A4F" w:rsidRPr="00C45179">
        <w:rPr>
          <w:color w:val="000000" w:themeColor="text1"/>
        </w:rPr>
        <w:t>6</w:t>
      </w:r>
      <w:r w:rsidR="00DF29ED" w:rsidRPr="00C45179">
        <w:rPr>
          <w:color w:val="000000" w:themeColor="text1"/>
        </w:rPr>
        <w:t>.</w:t>
      </w:r>
      <w:r w:rsidRPr="00C45179">
        <w:rPr>
          <w:rStyle w:val="FootnoteReference"/>
          <w:color w:val="000000" w:themeColor="text1"/>
        </w:rPr>
        <w:footnoteReference w:id="12"/>
      </w:r>
      <w:r w:rsidR="00166143" w:rsidRPr="00C45179">
        <w:rPr>
          <w:color w:val="000000" w:themeColor="text1"/>
        </w:rPr>
        <w:t xml:space="preserve"> </w:t>
      </w:r>
      <w:r w:rsidR="00B37EA3" w:rsidRPr="00C45179">
        <w:rPr>
          <w:noProof/>
          <w:color w:val="000000" w:themeColor="text1"/>
        </w:rPr>
        <w:t>P</w:t>
      </w:r>
      <w:r w:rsidR="00166143" w:rsidRPr="00C45179">
        <w:rPr>
          <w:noProof/>
          <w:color w:val="000000" w:themeColor="text1"/>
        </w:rPr>
        <w:t>overty</w:t>
      </w:r>
      <w:r w:rsidR="00166143" w:rsidRPr="00C45179">
        <w:rPr>
          <w:color w:val="000000" w:themeColor="text1"/>
        </w:rPr>
        <w:t xml:space="preserve"> </w:t>
      </w:r>
      <w:r w:rsidR="00B37EA3" w:rsidRPr="00C45179">
        <w:rPr>
          <w:color w:val="000000" w:themeColor="text1"/>
        </w:rPr>
        <w:t xml:space="preserve">in </w:t>
      </w:r>
      <w:r w:rsidR="002D480F" w:rsidRPr="00C45179">
        <w:rPr>
          <w:color w:val="000000" w:themeColor="text1"/>
        </w:rPr>
        <w:t xml:space="preserve">the </w:t>
      </w:r>
      <w:r w:rsidR="00B37EA3" w:rsidRPr="00C45179">
        <w:rPr>
          <w:noProof/>
          <w:color w:val="000000" w:themeColor="text1"/>
        </w:rPr>
        <w:t>rural</w:t>
      </w:r>
      <w:r w:rsidR="00B37EA3" w:rsidRPr="00C45179">
        <w:rPr>
          <w:color w:val="000000" w:themeColor="text1"/>
        </w:rPr>
        <w:t xml:space="preserve"> area </w:t>
      </w:r>
      <w:r w:rsidR="00B37EA3" w:rsidRPr="00C45179">
        <w:rPr>
          <w:noProof/>
          <w:color w:val="000000" w:themeColor="text1"/>
        </w:rPr>
        <w:t>remain</w:t>
      </w:r>
      <w:r w:rsidR="002D480F" w:rsidRPr="00C45179">
        <w:rPr>
          <w:noProof/>
          <w:color w:val="000000" w:themeColor="text1"/>
        </w:rPr>
        <w:t>s</w:t>
      </w:r>
      <w:r w:rsidR="00B37EA3" w:rsidRPr="00C45179">
        <w:rPr>
          <w:color w:val="000000" w:themeColor="text1"/>
        </w:rPr>
        <w:t xml:space="preserve"> on average</w:t>
      </w:r>
      <w:r w:rsidR="002A3A4F" w:rsidRPr="00C45179">
        <w:rPr>
          <w:color w:val="000000" w:themeColor="text1"/>
        </w:rPr>
        <w:t xml:space="preserve"> four </w:t>
      </w:r>
      <w:r w:rsidR="002A3A4F" w:rsidRPr="00C45179">
        <w:rPr>
          <w:noProof/>
          <w:color w:val="000000" w:themeColor="text1"/>
        </w:rPr>
        <w:t>time</w:t>
      </w:r>
      <w:r w:rsidR="002D480F" w:rsidRPr="00C45179">
        <w:rPr>
          <w:noProof/>
          <w:color w:val="000000" w:themeColor="text1"/>
        </w:rPr>
        <w:t>s</w:t>
      </w:r>
      <w:r w:rsidR="002A3A4F" w:rsidRPr="00C45179">
        <w:rPr>
          <w:color w:val="000000" w:themeColor="text1"/>
        </w:rPr>
        <w:t xml:space="preserve"> </w:t>
      </w:r>
      <w:r w:rsidR="00B37EA3" w:rsidRPr="00C45179">
        <w:rPr>
          <w:color w:val="000000" w:themeColor="text1"/>
        </w:rPr>
        <w:t xml:space="preserve">higher than </w:t>
      </w:r>
      <w:r w:rsidR="002A3A4F" w:rsidRPr="00C45179">
        <w:rPr>
          <w:color w:val="000000" w:themeColor="text1"/>
        </w:rPr>
        <w:t xml:space="preserve">in urban area over the same </w:t>
      </w:r>
      <w:r w:rsidR="002A3A4F" w:rsidRPr="00C45179">
        <w:rPr>
          <w:noProof/>
          <w:color w:val="000000" w:themeColor="text1"/>
        </w:rPr>
        <w:t>period</w:t>
      </w:r>
      <w:r w:rsidR="002A3A4F" w:rsidRPr="00C45179">
        <w:rPr>
          <w:color w:val="000000" w:themeColor="text1"/>
        </w:rPr>
        <w:t xml:space="preserve">. </w:t>
      </w:r>
      <w:r w:rsidR="005337B3" w:rsidRPr="00C45179">
        <w:rPr>
          <w:color w:val="000000" w:themeColor="text1"/>
        </w:rPr>
        <w:t xml:space="preserve">This outstanding performance </w:t>
      </w:r>
      <w:r w:rsidR="002D480F" w:rsidRPr="00C45179">
        <w:rPr>
          <w:noProof/>
          <w:color w:val="000000" w:themeColor="text1"/>
        </w:rPr>
        <w:t>is</w:t>
      </w:r>
      <w:r w:rsidR="005337B3" w:rsidRPr="00C45179">
        <w:rPr>
          <w:noProof/>
          <w:color w:val="000000" w:themeColor="text1"/>
        </w:rPr>
        <w:t xml:space="preserve"> related</w:t>
      </w:r>
      <w:r w:rsidR="005337B3" w:rsidRPr="00C45179">
        <w:rPr>
          <w:color w:val="000000" w:themeColor="text1"/>
        </w:rPr>
        <w:t xml:space="preserve"> to the </w:t>
      </w:r>
      <w:r w:rsidR="005337B3" w:rsidRPr="00C45179">
        <w:rPr>
          <w:noProof/>
          <w:color w:val="000000" w:themeColor="text1"/>
        </w:rPr>
        <w:t>sustain</w:t>
      </w:r>
      <w:r w:rsidR="002D480F" w:rsidRPr="00C45179">
        <w:rPr>
          <w:noProof/>
          <w:color w:val="000000" w:themeColor="text1"/>
        </w:rPr>
        <w:t>ed</w:t>
      </w:r>
      <w:r w:rsidR="005337B3" w:rsidRPr="00C45179">
        <w:rPr>
          <w:color w:val="000000" w:themeColor="text1"/>
        </w:rPr>
        <w:t xml:space="preserve"> economic growth in the </w:t>
      </w:r>
      <w:r w:rsidR="005337B3" w:rsidRPr="00C45179">
        <w:rPr>
          <w:noProof/>
          <w:color w:val="000000" w:themeColor="text1"/>
        </w:rPr>
        <w:t>labor</w:t>
      </w:r>
      <w:r w:rsidR="002D480F" w:rsidRPr="00C45179">
        <w:rPr>
          <w:noProof/>
          <w:color w:val="000000" w:themeColor="text1"/>
        </w:rPr>
        <w:t>-</w:t>
      </w:r>
      <w:r w:rsidR="005337B3" w:rsidRPr="00C45179">
        <w:rPr>
          <w:noProof/>
          <w:color w:val="000000" w:themeColor="text1"/>
        </w:rPr>
        <w:t>intensive</w:t>
      </w:r>
      <w:r w:rsidR="005337B3" w:rsidRPr="00C45179">
        <w:rPr>
          <w:color w:val="000000" w:themeColor="text1"/>
        </w:rPr>
        <w:t xml:space="preserve"> </w:t>
      </w:r>
      <w:r w:rsidR="005337B3" w:rsidRPr="00C45179">
        <w:rPr>
          <w:noProof/>
          <w:color w:val="000000" w:themeColor="text1"/>
        </w:rPr>
        <w:t>manufacturing and</w:t>
      </w:r>
      <w:r w:rsidR="005337B3" w:rsidRPr="00C45179">
        <w:rPr>
          <w:color w:val="000000" w:themeColor="text1"/>
        </w:rPr>
        <w:t xml:space="preserve"> service sector</w:t>
      </w:r>
      <w:r w:rsidR="009E5688" w:rsidRPr="00C45179">
        <w:rPr>
          <w:color w:val="000000" w:themeColor="text1"/>
        </w:rPr>
        <w:t>s</w:t>
      </w:r>
      <w:r w:rsidR="002D480F" w:rsidRPr="00C45179">
        <w:rPr>
          <w:color w:val="000000" w:themeColor="text1"/>
        </w:rPr>
        <w:t xml:space="preserve"> and</w:t>
      </w:r>
      <w:r w:rsidR="009E5688" w:rsidRPr="00C45179">
        <w:rPr>
          <w:color w:val="000000" w:themeColor="text1"/>
        </w:rPr>
        <w:t xml:space="preserve"> the </w:t>
      </w:r>
      <w:r w:rsidR="005337B3" w:rsidRPr="00C45179">
        <w:rPr>
          <w:noProof/>
          <w:color w:val="000000" w:themeColor="text1"/>
        </w:rPr>
        <w:t>st</w:t>
      </w:r>
      <w:r w:rsidR="002D480F" w:rsidRPr="00C45179">
        <w:rPr>
          <w:noProof/>
          <w:color w:val="000000" w:themeColor="text1"/>
        </w:rPr>
        <w:t>able</w:t>
      </w:r>
      <w:r w:rsidR="005337B3" w:rsidRPr="00C45179">
        <w:rPr>
          <w:color w:val="000000" w:themeColor="text1"/>
        </w:rPr>
        <w:t xml:space="preserve"> institutional framework. </w:t>
      </w:r>
      <w:r w:rsidR="002D480F" w:rsidRPr="00C45179">
        <w:t>Malaysia’s HDI value also increases by about 25 percent over the past two decades.</w:t>
      </w:r>
      <w:r w:rsidRPr="00C45179">
        <w:rPr>
          <w:rStyle w:val="FootnoteReference"/>
        </w:rPr>
        <w:footnoteReference w:id="13"/>
      </w:r>
      <w:r w:rsidR="002D480F" w:rsidRPr="00C45179">
        <w:t xml:space="preserve"> </w:t>
      </w:r>
      <w:r w:rsidR="009E5688" w:rsidRPr="00C45179">
        <w:t>The HDI value increase from 0.643 in 1990 to 0.802 in 2017</w:t>
      </w:r>
      <w:r w:rsidR="002D480F" w:rsidRPr="00C45179">
        <w:t xml:space="preserve"> mostly due to </w:t>
      </w:r>
      <w:r w:rsidR="002D480F" w:rsidRPr="00C45179">
        <w:rPr>
          <w:noProof/>
        </w:rPr>
        <w:t>an improvement of</w:t>
      </w:r>
      <w:r w:rsidR="002D480F" w:rsidRPr="00C45179">
        <w:t xml:space="preserve"> in the </w:t>
      </w:r>
      <w:r w:rsidR="009E5688" w:rsidRPr="00C45179">
        <w:t>standard of living</w:t>
      </w:r>
      <w:r w:rsidRPr="00C45179">
        <w:t>. T</w:t>
      </w:r>
      <w:r w:rsidR="009E5688" w:rsidRPr="00C45179">
        <w:t>he GNI per capita</w:t>
      </w:r>
      <w:r w:rsidRPr="00C45179">
        <w:t xml:space="preserve"> increased </w:t>
      </w:r>
      <w:r w:rsidR="009E5688" w:rsidRPr="00C45179">
        <w:t>by 157 percent in the past 17 years.</w:t>
      </w:r>
      <w:r w:rsidR="00E24C89" w:rsidRPr="00C45179">
        <w:t xml:space="preserve"> </w:t>
      </w:r>
      <w:r w:rsidR="0043537C" w:rsidRPr="00C45179">
        <w:t xml:space="preserve">Despite this progress, considerable challenges remain to be overcome to sustain the wellbeing of Malays. These include the </w:t>
      </w:r>
      <w:r w:rsidRPr="00C45179">
        <w:t xml:space="preserve">high level of income inequality, </w:t>
      </w:r>
      <w:r w:rsidR="0043537C" w:rsidRPr="00C45179">
        <w:t>rising hous</w:t>
      </w:r>
      <w:r w:rsidR="00723691">
        <w:t>ing</w:t>
      </w:r>
      <w:r w:rsidR="0043537C" w:rsidRPr="00C45179">
        <w:t xml:space="preserve"> prices, the growing burden of diseases, the increasing number of new drug addicts and </w:t>
      </w:r>
      <w:r w:rsidRPr="00C45179">
        <w:t xml:space="preserve">the </w:t>
      </w:r>
      <w:r w:rsidR="0043537C" w:rsidRPr="00C45179">
        <w:rPr>
          <w:noProof/>
        </w:rPr>
        <w:t>threat</w:t>
      </w:r>
      <w:r w:rsidR="0043537C" w:rsidRPr="00C45179">
        <w:t xml:space="preserve"> of cybercrime.</w:t>
      </w:r>
      <w:r w:rsidRPr="009B24D2">
        <w:rPr>
          <w:rStyle w:val="FootnoteReference"/>
          <w:highlight w:val="yellow"/>
        </w:rPr>
        <w:footnoteReference w:id="14"/>
      </w:r>
      <w:r w:rsidR="00C571E8" w:rsidRPr="00C45179">
        <w:t xml:space="preserve"> </w:t>
      </w:r>
      <w:r w:rsidRPr="00C45179">
        <w:t xml:space="preserve"> </w:t>
      </w:r>
      <w:r w:rsidR="00C571E8" w:rsidRPr="00C45179">
        <w:t xml:space="preserve">On communicable </w:t>
      </w:r>
      <w:r w:rsidR="00C571E8" w:rsidRPr="00C45179">
        <w:rPr>
          <w:noProof/>
        </w:rPr>
        <w:t>d</w:t>
      </w:r>
      <w:r w:rsidRPr="00C45179">
        <w:rPr>
          <w:noProof/>
        </w:rPr>
        <w:t>i</w:t>
      </w:r>
      <w:r w:rsidR="00C571E8" w:rsidRPr="00C45179">
        <w:rPr>
          <w:noProof/>
        </w:rPr>
        <w:t>s</w:t>
      </w:r>
      <w:r w:rsidRPr="00C45179">
        <w:rPr>
          <w:noProof/>
        </w:rPr>
        <w:t>ea</w:t>
      </w:r>
      <w:r w:rsidR="00C571E8" w:rsidRPr="00C45179">
        <w:rPr>
          <w:noProof/>
        </w:rPr>
        <w:t>ses</w:t>
      </w:r>
      <w:r w:rsidRPr="00C45179">
        <w:t xml:space="preserve">, </w:t>
      </w:r>
      <w:r w:rsidR="00C571E8" w:rsidRPr="00C45179">
        <w:rPr>
          <w:noProof/>
        </w:rPr>
        <w:t>for instance</w:t>
      </w:r>
      <w:r w:rsidRPr="00C45179">
        <w:t xml:space="preserve">, </w:t>
      </w:r>
      <w:r w:rsidR="00723691">
        <w:t xml:space="preserve">although </w:t>
      </w:r>
      <w:r w:rsidR="00C571E8" w:rsidRPr="00C45179">
        <w:t>t</w:t>
      </w:r>
      <w:r w:rsidR="00E24C89" w:rsidRPr="00C45179">
        <w:t xml:space="preserve">here was a decrease </w:t>
      </w:r>
      <w:r w:rsidR="00E24C89" w:rsidRPr="00C45179">
        <w:rPr>
          <w:noProof/>
        </w:rPr>
        <w:t>of the</w:t>
      </w:r>
      <w:r w:rsidR="00E24C89" w:rsidRPr="00C45179">
        <w:t xml:space="preserve"> incidence rate of malaria </w:t>
      </w:r>
      <w:r w:rsidR="00723691">
        <w:t xml:space="preserve">from </w:t>
      </w:r>
      <w:r w:rsidR="00E24C89" w:rsidRPr="00C45179">
        <w:t xml:space="preserve">37 </w:t>
      </w:r>
      <w:r w:rsidR="00E24C89" w:rsidRPr="00C45179">
        <w:rPr>
          <w:noProof/>
        </w:rPr>
        <w:t>to</w:t>
      </w:r>
      <w:r w:rsidR="00E15B55" w:rsidRPr="00C45179">
        <w:t xml:space="preserve"> 7.1 </w:t>
      </w:r>
      <w:r w:rsidR="00723691" w:rsidRPr="00C45179">
        <w:t xml:space="preserve">per 100,000 population </w:t>
      </w:r>
      <w:r w:rsidR="00723691">
        <w:t xml:space="preserve">between 2001 and </w:t>
      </w:r>
      <w:r w:rsidR="00E15B55" w:rsidRPr="00C45179">
        <w:t>2012</w:t>
      </w:r>
      <w:r w:rsidR="00723691">
        <w:t xml:space="preserve">, there is </w:t>
      </w:r>
      <w:r w:rsidR="00E15B55" w:rsidRPr="00C45179">
        <w:t xml:space="preserve">a marginal increase to 7.27 </w:t>
      </w:r>
      <w:r w:rsidR="00723691">
        <w:t xml:space="preserve">per 100,000 population </w:t>
      </w:r>
      <w:r w:rsidR="00E15B55" w:rsidRPr="00C45179">
        <w:t>in 2016</w:t>
      </w:r>
      <w:r w:rsidRPr="00C45179">
        <w:rPr>
          <w:noProof/>
        </w:rPr>
        <w:t xml:space="preserve">, </w:t>
      </w:r>
      <w:r w:rsidR="00291EC8" w:rsidRPr="00C45179">
        <w:rPr>
          <w:noProof/>
        </w:rPr>
        <w:t xml:space="preserve">mostly </w:t>
      </w:r>
      <w:r w:rsidRPr="00C45179">
        <w:rPr>
          <w:noProof/>
        </w:rPr>
        <w:t>related to</w:t>
      </w:r>
      <w:r w:rsidR="00291EC8" w:rsidRPr="00C45179">
        <w:t xml:space="preserve"> immigration </w:t>
      </w:r>
      <w:r w:rsidRPr="00C45179">
        <w:t>of for</w:t>
      </w:r>
      <w:r w:rsidR="00291EC8" w:rsidRPr="00C45179">
        <w:t>eign wo</w:t>
      </w:r>
      <w:r w:rsidR="00492355" w:rsidRPr="00C45179">
        <w:t>rkers from neighboring nations</w:t>
      </w:r>
      <w:r w:rsidR="00291EC8" w:rsidRPr="00C45179">
        <w:t xml:space="preserve"> and </w:t>
      </w:r>
      <w:r w:rsidR="00492355" w:rsidRPr="00C45179">
        <w:t>the non-use of antimalarial prophylaxis by travelers</w:t>
      </w:r>
      <w:r w:rsidR="00291EC8" w:rsidRPr="00C45179">
        <w:t>.</w:t>
      </w:r>
      <w:r w:rsidRPr="00C45179">
        <w:rPr>
          <w:rStyle w:val="FootnoteReference"/>
        </w:rPr>
        <w:footnoteReference w:id="15"/>
      </w:r>
      <w:r w:rsidR="00CB681A" w:rsidRPr="00C45179">
        <w:t xml:space="preserve"> Illegal </w:t>
      </w:r>
      <w:r w:rsidR="00CB681A" w:rsidRPr="00C45179">
        <w:rPr>
          <w:noProof/>
        </w:rPr>
        <w:t>i</w:t>
      </w:r>
      <w:r w:rsidRPr="00C45179">
        <w:rPr>
          <w:noProof/>
        </w:rPr>
        <w:t>m</w:t>
      </w:r>
      <w:r w:rsidR="00CB681A" w:rsidRPr="00C45179">
        <w:rPr>
          <w:noProof/>
        </w:rPr>
        <w:t>migration</w:t>
      </w:r>
      <w:r w:rsidR="00CB681A" w:rsidRPr="00C45179">
        <w:t xml:space="preserve"> </w:t>
      </w:r>
      <w:r w:rsidR="00CB681A" w:rsidRPr="00C45179">
        <w:rPr>
          <w:noProof/>
        </w:rPr>
        <w:t>are also considered</w:t>
      </w:r>
      <w:r w:rsidR="00CB681A" w:rsidRPr="00C45179">
        <w:t xml:space="preserve"> as the cause of the increase in the incidence of tuberculosis from 75 </w:t>
      </w:r>
      <w:r w:rsidR="00723691">
        <w:t>t</w:t>
      </w:r>
      <w:r w:rsidR="00CB681A" w:rsidRPr="00C45179">
        <w:t xml:space="preserve">o 93 </w:t>
      </w:r>
      <w:r w:rsidR="00723691" w:rsidRPr="00C45179">
        <w:t>per 100, 000 population</w:t>
      </w:r>
      <w:r w:rsidR="00723691">
        <w:t xml:space="preserve"> between 2000 and </w:t>
      </w:r>
      <w:r w:rsidR="00CB681A" w:rsidRPr="00C45179">
        <w:t>2017.</w:t>
      </w:r>
      <w:r w:rsidRPr="00C45179">
        <w:rPr>
          <w:rStyle w:val="FootnoteReference"/>
        </w:rPr>
        <w:footnoteReference w:id="16"/>
      </w:r>
      <w:r w:rsidR="00DE3B79" w:rsidRPr="00C45179">
        <w:t xml:space="preserve"> Th</w:t>
      </w:r>
      <w:r w:rsidR="0043537C" w:rsidRPr="00C45179">
        <w:t xml:space="preserve">e number </w:t>
      </w:r>
      <w:r w:rsidR="00DE3B79" w:rsidRPr="00C45179">
        <w:t>of adult</w:t>
      </w:r>
      <w:r w:rsidR="00723691">
        <w:t>s</w:t>
      </w:r>
      <w:r w:rsidR="00DE3B79" w:rsidRPr="00C45179">
        <w:t xml:space="preserve"> aged 15</w:t>
      </w:r>
      <w:r w:rsidR="00723691">
        <w:t xml:space="preserve"> and older </w:t>
      </w:r>
      <w:r w:rsidR="00DE3B79" w:rsidRPr="00C45179">
        <w:t xml:space="preserve">newly infected </w:t>
      </w:r>
      <w:r w:rsidR="0043537C" w:rsidRPr="00C45179">
        <w:t xml:space="preserve">by HIV </w:t>
      </w:r>
      <w:r w:rsidR="00DE3B79" w:rsidRPr="00C45179">
        <w:t xml:space="preserve">is also on the rise </w:t>
      </w:r>
      <w:r w:rsidR="0043537C" w:rsidRPr="00C45179">
        <w:t xml:space="preserve">increasing from 6,800 to 7,800 </w:t>
      </w:r>
      <w:r w:rsidR="00723691">
        <w:t xml:space="preserve">between 2013 and </w:t>
      </w:r>
      <w:r w:rsidR="0043537C" w:rsidRPr="00C45179">
        <w:t>2017.</w:t>
      </w:r>
      <w:r w:rsidRPr="00C45179">
        <w:rPr>
          <w:rStyle w:val="FootnoteReference"/>
        </w:rPr>
        <w:footnoteReference w:id="17"/>
      </w:r>
      <w:r w:rsidR="00C571E8" w:rsidRPr="00C45179">
        <w:t xml:space="preserve"> </w:t>
      </w:r>
    </w:p>
    <w:p w14:paraId="2CCE82F8" w14:textId="49DEA180" w:rsidR="0043537C" w:rsidRPr="00C45179" w:rsidRDefault="00E06207" w:rsidP="00C571E8">
      <w:pPr>
        <w:jc w:val="both"/>
        <w:rPr>
          <w:noProof/>
        </w:rPr>
      </w:pPr>
      <w:r w:rsidRPr="00C45179">
        <w:rPr>
          <w:noProof/>
          <w:color w:val="000000" w:themeColor="text1"/>
        </w:rPr>
        <w:t>Income inequality declined at a slower pace compared to the incidence of poverty. The Gini coefficient decrease</w:t>
      </w:r>
      <w:r w:rsidR="00723691">
        <w:rPr>
          <w:noProof/>
          <w:color w:val="000000" w:themeColor="text1"/>
        </w:rPr>
        <w:t>d</w:t>
      </w:r>
      <w:r w:rsidRPr="00C45179">
        <w:rPr>
          <w:noProof/>
          <w:color w:val="000000" w:themeColor="text1"/>
        </w:rPr>
        <w:t xml:space="preserve"> by 22 percent over the past five decades from 0.513 to 0.</w:t>
      </w:r>
      <w:r w:rsidR="00723691">
        <w:rPr>
          <w:noProof/>
          <w:color w:val="000000" w:themeColor="text1"/>
        </w:rPr>
        <w:t xml:space="preserve">399 between 1970 and </w:t>
      </w:r>
      <w:r w:rsidRPr="00C45179">
        <w:rPr>
          <w:noProof/>
          <w:color w:val="000000" w:themeColor="text1"/>
        </w:rPr>
        <w:t>2016.</w:t>
      </w:r>
      <w:r w:rsidRPr="00C45179">
        <w:rPr>
          <w:rStyle w:val="FootnoteReference"/>
          <w:noProof/>
          <w:color w:val="000000" w:themeColor="text1"/>
        </w:rPr>
        <w:footnoteReference w:id="18"/>
      </w:r>
      <w:r w:rsidRPr="00C45179">
        <w:rPr>
          <w:noProof/>
          <w:color w:val="FF0000"/>
        </w:rPr>
        <w:t xml:space="preserve">  </w:t>
      </w:r>
      <w:r w:rsidR="00C571E8" w:rsidRPr="00C45179">
        <w:rPr>
          <w:noProof/>
        </w:rPr>
        <w:t>To addre</w:t>
      </w:r>
      <w:r w:rsidRPr="00C45179">
        <w:rPr>
          <w:noProof/>
        </w:rPr>
        <w:t>s</w:t>
      </w:r>
      <w:r w:rsidR="00C571E8" w:rsidRPr="00C45179">
        <w:rPr>
          <w:noProof/>
        </w:rPr>
        <w:t>s</w:t>
      </w:r>
      <w:r w:rsidRPr="00C45179">
        <w:rPr>
          <w:noProof/>
        </w:rPr>
        <w:t xml:space="preserve"> inequality</w:t>
      </w:r>
      <w:r w:rsidR="00C571E8" w:rsidRPr="00C45179">
        <w:rPr>
          <w:noProof/>
        </w:rPr>
        <w:t xml:space="preserve"> and improve wellbeing</w:t>
      </w:r>
      <w:r w:rsidRPr="00C45179">
        <w:rPr>
          <w:noProof/>
        </w:rPr>
        <w:t xml:space="preserve"> the gov</w:t>
      </w:r>
      <w:r w:rsidR="00C571E8" w:rsidRPr="00C45179">
        <w:rPr>
          <w:noProof/>
        </w:rPr>
        <w:t>ernment targeted specifically</w:t>
      </w:r>
      <w:r w:rsidRPr="00C45179">
        <w:rPr>
          <w:noProof/>
        </w:rPr>
        <w:t xml:space="preserve"> households in the bottom 40 percent of household income groups (B40) and ethnic </w:t>
      </w:r>
      <w:r w:rsidR="00C571E8" w:rsidRPr="00C45179">
        <w:rPr>
          <w:noProof/>
        </w:rPr>
        <w:t>minorities</w:t>
      </w:r>
      <w:r w:rsidRPr="00C45179">
        <w:rPr>
          <w:noProof/>
        </w:rPr>
        <w:t>. It did so by empowering communities, transforming rural areas, through the provision of basic infrastructure and services as well as by accelerating regional growth</w:t>
      </w:r>
      <w:r w:rsidR="00346416" w:rsidRPr="00C45179">
        <w:rPr>
          <w:noProof/>
        </w:rPr>
        <w:t>.</w:t>
      </w:r>
      <w:r w:rsidRPr="00C45179">
        <w:rPr>
          <w:noProof/>
        </w:rPr>
        <w:t xml:space="preserve"> </w:t>
      </w:r>
      <w:r w:rsidR="00346416" w:rsidRPr="00C45179">
        <w:rPr>
          <w:noProof/>
        </w:rPr>
        <w:t>Effort has also been put in place to</w:t>
      </w:r>
      <w:r w:rsidRPr="00C45179">
        <w:rPr>
          <w:noProof/>
        </w:rPr>
        <w:t xml:space="preserve"> improv</w:t>
      </w:r>
      <w:r w:rsidR="00346416" w:rsidRPr="00C45179">
        <w:rPr>
          <w:noProof/>
        </w:rPr>
        <w:t>e</w:t>
      </w:r>
      <w:r w:rsidRPr="00C45179">
        <w:rPr>
          <w:noProof/>
        </w:rPr>
        <w:t xml:space="preserve"> access to healthcare, provide affordable housing, implement various crime prevention and road safety programmes as well as promote soc</w:t>
      </w:r>
      <w:r w:rsidR="00346416" w:rsidRPr="00C45179">
        <w:rPr>
          <w:noProof/>
        </w:rPr>
        <w:t>i</w:t>
      </w:r>
      <w:r w:rsidRPr="00C45179">
        <w:rPr>
          <w:noProof/>
        </w:rPr>
        <w:t>al cohesion, national unity and active lifestyle.</w:t>
      </w:r>
      <w:r w:rsidRPr="00C45179">
        <w:rPr>
          <w:rStyle w:val="FootnoteReference"/>
        </w:rPr>
        <w:footnoteReference w:id="19"/>
      </w:r>
      <w:r w:rsidRPr="00C45179">
        <w:t xml:space="preserve"> </w:t>
      </w:r>
    </w:p>
    <w:p w14:paraId="0787B28E" w14:textId="60EB477F" w:rsidR="00C571E8" w:rsidRPr="00625FEF" w:rsidRDefault="00E06207" w:rsidP="00A93FA4">
      <w:pPr>
        <w:jc w:val="both"/>
        <w:rPr>
          <w:color w:val="323E4F" w:themeColor="text2" w:themeShade="BF"/>
        </w:rPr>
      </w:pPr>
      <w:r w:rsidRPr="00C45179">
        <w:rPr>
          <w:noProof/>
        </w:rPr>
        <w:t>Gender</w:t>
      </w:r>
      <w:r w:rsidR="00346416" w:rsidRPr="00C45179">
        <w:rPr>
          <w:noProof/>
        </w:rPr>
        <w:t>-</w:t>
      </w:r>
      <w:r w:rsidRPr="00C45179">
        <w:rPr>
          <w:noProof/>
        </w:rPr>
        <w:t>based</w:t>
      </w:r>
      <w:r w:rsidRPr="00C45179">
        <w:t xml:space="preserve"> inequalit</w:t>
      </w:r>
      <w:r w:rsidR="00346416" w:rsidRPr="00C45179">
        <w:t>ies</w:t>
      </w:r>
      <w:r w:rsidRPr="00C45179">
        <w:t xml:space="preserve"> remain p</w:t>
      </w:r>
      <w:r w:rsidR="00346416" w:rsidRPr="00C45179">
        <w:t>rominent</w:t>
      </w:r>
      <w:r w:rsidRPr="00C45179">
        <w:t xml:space="preserve"> in the society despite modest improvement</w:t>
      </w:r>
      <w:r w:rsidRPr="00C45179">
        <w:rPr>
          <w:noProof/>
        </w:rPr>
        <w:t>.</w:t>
      </w:r>
      <w:r w:rsidR="00346416" w:rsidRPr="00C45179">
        <w:t xml:space="preserve"> T</w:t>
      </w:r>
      <w:r w:rsidR="005403CE" w:rsidRPr="00C45179">
        <w:t xml:space="preserve">he Gender Development Index </w:t>
      </w:r>
      <w:r w:rsidR="006A64EE">
        <w:t xml:space="preserve">(GDI) </w:t>
      </w:r>
      <w:r w:rsidR="0035382C" w:rsidRPr="00C45179">
        <w:rPr>
          <w:noProof/>
        </w:rPr>
        <w:t>increase</w:t>
      </w:r>
      <w:r w:rsidR="00346416" w:rsidRPr="00C45179">
        <w:rPr>
          <w:noProof/>
        </w:rPr>
        <w:t>d</w:t>
      </w:r>
      <w:r w:rsidR="0035382C" w:rsidRPr="00C45179">
        <w:t xml:space="preserve"> </w:t>
      </w:r>
      <w:r w:rsidRPr="00C45179">
        <w:t>margin</w:t>
      </w:r>
      <w:r>
        <w:t>ally</w:t>
      </w:r>
      <w:r w:rsidR="0035382C">
        <w:t xml:space="preserve"> from 0.926 in 200</w:t>
      </w:r>
      <w:r w:rsidR="009F44B1">
        <w:t>0</w:t>
      </w:r>
      <w:r w:rsidR="0035382C">
        <w:t xml:space="preserve"> to</w:t>
      </w:r>
      <w:r w:rsidR="00A55C54">
        <w:t xml:space="preserve"> </w:t>
      </w:r>
      <w:r w:rsidR="005403CE">
        <w:t>0.976</w:t>
      </w:r>
      <w:r w:rsidR="0035382C">
        <w:t xml:space="preserve"> in 201</w:t>
      </w:r>
      <w:r w:rsidR="00346416">
        <w:t>7</w:t>
      </w:r>
      <w:r w:rsidR="005403CE">
        <w:t xml:space="preserve"> with female</w:t>
      </w:r>
      <w:r w:rsidR="00A1686C">
        <w:t>s</w:t>
      </w:r>
      <w:r w:rsidR="005403CE">
        <w:t xml:space="preserve"> </w:t>
      </w:r>
      <w:r w:rsidR="009C5B87">
        <w:t>outperforming male</w:t>
      </w:r>
      <w:r w:rsidR="00A1686C">
        <w:t>s</w:t>
      </w:r>
      <w:r w:rsidR="009C5B87">
        <w:t xml:space="preserve"> on the</w:t>
      </w:r>
      <w:r>
        <w:t xml:space="preserve"> health and education components</w:t>
      </w:r>
      <w:r w:rsidR="009C5B87">
        <w:t xml:space="preserve"> of the GDI. </w:t>
      </w:r>
      <w:r w:rsidRPr="00346416">
        <w:rPr>
          <w:noProof/>
        </w:rPr>
        <w:t>On the contrary</w:t>
      </w:r>
      <w:r w:rsidR="00346416" w:rsidRPr="00346416">
        <w:rPr>
          <w:noProof/>
        </w:rPr>
        <w:t>, women</w:t>
      </w:r>
      <w:r w:rsidR="009C5B87" w:rsidRPr="00346416">
        <w:rPr>
          <w:noProof/>
        </w:rPr>
        <w:t xml:space="preserve"> command over economic </w:t>
      </w:r>
      <w:r w:rsidRPr="00346416">
        <w:rPr>
          <w:noProof/>
        </w:rPr>
        <w:t>resource</w:t>
      </w:r>
      <w:r w:rsidR="00346416" w:rsidRPr="00346416">
        <w:rPr>
          <w:noProof/>
        </w:rPr>
        <w:t>s</w:t>
      </w:r>
      <w:r w:rsidRPr="00346416">
        <w:rPr>
          <w:noProof/>
        </w:rPr>
        <w:t xml:space="preserve"> is highly unequal as the</w:t>
      </w:r>
      <w:r w:rsidR="009C5B87" w:rsidRPr="00346416">
        <w:rPr>
          <w:noProof/>
        </w:rPr>
        <w:t xml:space="preserve"> GNI per capita </w:t>
      </w:r>
      <w:r w:rsidR="006A64EE">
        <w:rPr>
          <w:noProof/>
        </w:rPr>
        <w:t>of</w:t>
      </w:r>
      <w:r w:rsidR="009C5B87" w:rsidRPr="00346416">
        <w:rPr>
          <w:noProof/>
        </w:rPr>
        <w:t xml:space="preserve"> m</w:t>
      </w:r>
      <w:r w:rsidR="00346416" w:rsidRPr="00346416">
        <w:rPr>
          <w:noProof/>
        </w:rPr>
        <w:t>e</w:t>
      </w:r>
      <w:r w:rsidR="006A64EE">
        <w:rPr>
          <w:noProof/>
        </w:rPr>
        <w:t>n</w:t>
      </w:r>
      <w:r w:rsidR="009C5B87" w:rsidRPr="00346416">
        <w:rPr>
          <w:noProof/>
        </w:rPr>
        <w:t xml:space="preserve"> </w:t>
      </w:r>
      <w:r w:rsidRPr="00346416">
        <w:rPr>
          <w:noProof/>
        </w:rPr>
        <w:t>is nearly 60 percent higher</w:t>
      </w:r>
      <w:r w:rsidR="00B84B6E" w:rsidRPr="00346416">
        <w:rPr>
          <w:noProof/>
        </w:rPr>
        <w:t xml:space="preserve"> than </w:t>
      </w:r>
      <w:r w:rsidRPr="00346416">
        <w:rPr>
          <w:noProof/>
        </w:rPr>
        <w:t xml:space="preserve">the one of </w:t>
      </w:r>
      <w:r w:rsidR="00346416" w:rsidRPr="00346416">
        <w:rPr>
          <w:noProof/>
        </w:rPr>
        <w:t>women</w:t>
      </w:r>
      <w:r w:rsidRPr="00346416">
        <w:rPr>
          <w:noProof/>
        </w:rPr>
        <w:t xml:space="preserve"> in 2017</w:t>
      </w:r>
      <w:r w:rsidR="00B84B6E" w:rsidRPr="00346416">
        <w:rPr>
          <w:noProof/>
        </w:rPr>
        <w:t>.</w:t>
      </w:r>
      <w:r w:rsidR="00B84B6E">
        <w:t xml:space="preserve"> </w:t>
      </w:r>
      <w:r w:rsidR="00346416" w:rsidRPr="00346416">
        <w:rPr>
          <w:noProof/>
        </w:rPr>
        <w:t>Addit</w:t>
      </w:r>
      <w:r w:rsidR="00346416">
        <w:rPr>
          <w:noProof/>
        </w:rPr>
        <w:t>i</w:t>
      </w:r>
      <w:r w:rsidR="00346416" w:rsidRPr="00346416">
        <w:rPr>
          <w:noProof/>
        </w:rPr>
        <w:t>onally</w:t>
      </w:r>
      <w:r w:rsidR="00346416">
        <w:t>, t</w:t>
      </w:r>
      <w:r w:rsidR="00625FEF">
        <w:t>he Gender Inequality Index</w:t>
      </w:r>
      <w:r w:rsidR="00D42EA0">
        <w:t xml:space="preserve"> decreases from 0.390 </w:t>
      </w:r>
      <w:r w:rsidR="006A64EE">
        <w:t>to</w:t>
      </w:r>
      <w:r w:rsidR="001844C3">
        <w:t xml:space="preserve"> 0.287 </w:t>
      </w:r>
      <w:r w:rsidR="006A64EE">
        <w:t xml:space="preserve">between 1995 and 2017, </w:t>
      </w:r>
      <w:r w:rsidR="001844C3" w:rsidRPr="00346416">
        <w:rPr>
          <w:noProof/>
        </w:rPr>
        <w:t>putting the</w:t>
      </w:r>
      <w:r w:rsidR="001844C3">
        <w:t xml:space="preserve"> country 62</w:t>
      </w:r>
      <w:r w:rsidR="001844C3" w:rsidRPr="001844C3">
        <w:rPr>
          <w:vertAlign w:val="superscript"/>
        </w:rPr>
        <w:t>nd</w:t>
      </w:r>
      <w:r w:rsidR="001844C3">
        <w:t xml:space="preserve"> out of 160 </w:t>
      </w:r>
      <w:r w:rsidR="00625FEF">
        <w:t>countries</w:t>
      </w:r>
      <w:r w:rsidR="006A64EE">
        <w:t xml:space="preserve">. </w:t>
      </w:r>
      <w:r w:rsidR="001844C3">
        <w:t xml:space="preserve">Maternal mortality </w:t>
      </w:r>
      <w:r w:rsidR="00625FEF">
        <w:t xml:space="preserve">rate stood at 40 deaths per </w:t>
      </w:r>
      <w:r w:rsidR="001844C3">
        <w:t xml:space="preserve">100,000 </w:t>
      </w:r>
      <w:r w:rsidR="001844C3" w:rsidRPr="00EE5581">
        <w:rPr>
          <w:noProof/>
        </w:rPr>
        <w:t>lives</w:t>
      </w:r>
      <w:r w:rsidR="001844C3">
        <w:t xml:space="preserve"> births and </w:t>
      </w:r>
      <w:r w:rsidR="00346416">
        <w:t xml:space="preserve">the </w:t>
      </w:r>
      <w:r w:rsidR="001844C3" w:rsidRPr="00346416">
        <w:rPr>
          <w:noProof/>
        </w:rPr>
        <w:t>adolescent</w:t>
      </w:r>
      <w:r w:rsidR="006A64EE">
        <w:rPr>
          <w:noProof/>
        </w:rPr>
        <w:t xml:space="preserve"> (ages 15-19)</w:t>
      </w:r>
      <w:r w:rsidR="001844C3">
        <w:t xml:space="preserve"> birth rate at 13.4 births per 1,000 women </w:t>
      </w:r>
      <w:r w:rsidR="00346416">
        <w:t>in 2017</w:t>
      </w:r>
      <w:r w:rsidR="001844C3">
        <w:t xml:space="preserve">. </w:t>
      </w:r>
      <w:r w:rsidR="00346416">
        <w:rPr>
          <w:noProof/>
        </w:rPr>
        <w:t>Women hold only 13.1 percent of the seats in parliament</w:t>
      </w:r>
      <w:r w:rsidR="00625FEF">
        <w:t xml:space="preserve"> </w:t>
      </w:r>
      <w:r w:rsidR="00625FEF" w:rsidRPr="00346416">
        <w:rPr>
          <w:noProof/>
        </w:rPr>
        <w:t>and</w:t>
      </w:r>
      <w:r w:rsidR="00625FEF">
        <w:t xml:space="preserve"> the labor</w:t>
      </w:r>
      <w:r w:rsidR="001844C3">
        <w:t xml:space="preserve"> force participation rate </w:t>
      </w:r>
      <w:r w:rsidR="001844C3" w:rsidRPr="00346416">
        <w:rPr>
          <w:noProof/>
        </w:rPr>
        <w:t>f</w:t>
      </w:r>
      <w:r w:rsidR="00346416" w:rsidRPr="00346416">
        <w:rPr>
          <w:noProof/>
        </w:rPr>
        <w:t>or</w:t>
      </w:r>
      <w:r w:rsidR="00346416">
        <w:t xml:space="preserve"> men is 52 percent higher than the one of women</w:t>
      </w:r>
      <w:r w:rsidR="001844C3">
        <w:t>.</w:t>
      </w:r>
      <w:r>
        <w:rPr>
          <w:rStyle w:val="FootnoteReference"/>
        </w:rPr>
        <w:footnoteReference w:id="20"/>
      </w:r>
      <w:r w:rsidR="00625FEF">
        <w:t xml:space="preserve"> </w:t>
      </w:r>
    </w:p>
    <w:p w14:paraId="7BD9B58B" w14:textId="4E967B54" w:rsidR="00A863F0" w:rsidRDefault="00E06207" w:rsidP="00346416">
      <w:pPr>
        <w:jc w:val="both"/>
      </w:pPr>
      <w:r>
        <w:lastRenderedPageBreak/>
        <w:t xml:space="preserve">The resilience and sustainability of </w:t>
      </w:r>
      <w:r w:rsidR="006A64EE">
        <w:t xml:space="preserve">the country’s </w:t>
      </w:r>
      <w:r>
        <w:t>economic transformation depend</w:t>
      </w:r>
      <w:r w:rsidR="006A64EE">
        <w:t>s</w:t>
      </w:r>
      <w:r>
        <w:t xml:space="preserve"> on the capacity to</w:t>
      </w:r>
      <w:r w:rsidR="0062726F">
        <w:t xml:space="preserve"> manage natural resources </w:t>
      </w:r>
      <w:r>
        <w:t>and the environment a</w:t>
      </w:r>
      <w:r w:rsidR="009B24D2">
        <w:t xml:space="preserve">s well as </w:t>
      </w:r>
      <w:r w:rsidR="00DF6C8B" w:rsidRPr="00C467E3">
        <w:rPr>
          <w:noProof/>
        </w:rPr>
        <w:t>adapt</w:t>
      </w:r>
      <w:r w:rsidR="00DF6C8B">
        <w:rPr>
          <w:noProof/>
        </w:rPr>
        <w:t>ion</w:t>
      </w:r>
      <w:r w:rsidR="00DF6C8B" w:rsidRPr="00346416">
        <w:rPr>
          <w:noProof/>
        </w:rPr>
        <w:t xml:space="preserve"> </w:t>
      </w:r>
      <w:r w:rsidR="00DF6C8B">
        <w:rPr>
          <w:noProof/>
        </w:rPr>
        <w:t xml:space="preserve">and mitigation </w:t>
      </w:r>
      <w:r w:rsidR="009B24D2">
        <w:rPr>
          <w:noProof/>
        </w:rPr>
        <w:t xml:space="preserve">capacity to </w:t>
      </w:r>
      <w:r w:rsidR="00DF6C8B">
        <w:t xml:space="preserve">climate </w:t>
      </w:r>
      <w:r w:rsidR="00DF6C8B" w:rsidRPr="00C467E3">
        <w:rPr>
          <w:noProof/>
        </w:rPr>
        <w:t>change</w:t>
      </w:r>
      <w:r w:rsidR="00DF6C8B">
        <w:rPr>
          <w:noProof/>
        </w:rPr>
        <w:t xml:space="preserve"> </w:t>
      </w:r>
      <w:r w:rsidR="00DF6C8B" w:rsidRPr="00C467E3">
        <w:rPr>
          <w:noProof/>
        </w:rPr>
        <w:t>and</w:t>
      </w:r>
      <w:r w:rsidR="00DF6C8B">
        <w:t xml:space="preserve"> disaster risk</w:t>
      </w:r>
      <w:r w:rsidR="00DF6C8B" w:rsidRPr="00C467E3">
        <w:rPr>
          <w:noProof/>
        </w:rPr>
        <w:t>s.</w:t>
      </w:r>
      <w:r w:rsidR="00DF6C8B">
        <w:rPr>
          <w:noProof/>
        </w:rPr>
        <w:t xml:space="preserve"> </w:t>
      </w:r>
      <w:r w:rsidR="00653D9A" w:rsidRPr="00C467E3">
        <w:rPr>
          <w:noProof/>
        </w:rPr>
        <w:t>Between</w:t>
      </w:r>
      <w:r w:rsidR="00653D9A">
        <w:t xml:space="preserve"> 1990 and 2014, Malaysia has been affected by flood</w:t>
      </w:r>
      <w:r w:rsidR="006A64EE">
        <w:t>s</w:t>
      </w:r>
      <w:r w:rsidR="00653D9A">
        <w:t xml:space="preserve">, (62.5 percent of </w:t>
      </w:r>
      <w:r w:rsidR="00C467E3" w:rsidRPr="00C467E3">
        <w:rPr>
          <w:noProof/>
        </w:rPr>
        <w:t xml:space="preserve">occurred </w:t>
      </w:r>
      <w:r w:rsidR="00653D9A" w:rsidRPr="00C467E3">
        <w:rPr>
          <w:noProof/>
        </w:rPr>
        <w:t>event</w:t>
      </w:r>
      <w:r w:rsidR="00C467E3" w:rsidRPr="00C467E3">
        <w:rPr>
          <w:noProof/>
        </w:rPr>
        <w:t>s</w:t>
      </w:r>
      <w:r w:rsidR="00653D9A">
        <w:t>) storm</w:t>
      </w:r>
      <w:r w:rsidR="006A64EE">
        <w:t>s</w:t>
      </w:r>
      <w:r w:rsidR="00653D9A">
        <w:t xml:space="preserve"> (12.5 percent)</w:t>
      </w:r>
      <w:r w:rsidR="006A64EE">
        <w:t>,</w:t>
      </w:r>
      <w:r w:rsidR="00653D9A">
        <w:t xml:space="preserve"> landslide</w:t>
      </w:r>
      <w:r w:rsidR="006A64EE">
        <w:t>s</w:t>
      </w:r>
      <w:r w:rsidR="00653D9A">
        <w:t xml:space="preserve"> (8.3 percent) wildfire</w:t>
      </w:r>
      <w:r w:rsidR="006A64EE">
        <w:t>s</w:t>
      </w:r>
      <w:r w:rsidR="00653D9A">
        <w:t xml:space="preserve"> (8.3 percent) and drought</w:t>
      </w:r>
      <w:r w:rsidR="006A64EE">
        <w:t>s</w:t>
      </w:r>
      <w:r w:rsidR="00653D9A">
        <w:t xml:space="preserve"> (4.2 percent).</w:t>
      </w:r>
      <w:r>
        <w:rPr>
          <w:rStyle w:val="FootnoteReference"/>
        </w:rPr>
        <w:footnoteReference w:id="21"/>
      </w:r>
      <w:r w:rsidR="00653D9A">
        <w:t xml:space="preserve"> Storm</w:t>
      </w:r>
      <w:r w:rsidR="00C467E3">
        <w:t>s</w:t>
      </w:r>
      <w:r w:rsidR="00653D9A">
        <w:t xml:space="preserve"> and </w:t>
      </w:r>
      <w:r w:rsidR="00653D9A" w:rsidRPr="00C467E3">
        <w:rPr>
          <w:noProof/>
        </w:rPr>
        <w:t>fl</w:t>
      </w:r>
      <w:r w:rsidR="00C467E3">
        <w:rPr>
          <w:noProof/>
        </w:rPr>
        <w:t>o</w:t>
      </w:r>
      <w:r w:rsidR="00653D9A" w:rsidRPr="00C467E3">
        <w:rPr>
          <w:noProof/>
        </w:rPr>
        <w:t>ods</w:t>
      </w:r>
      <w:r w:rsidR="00653D9A">
        <w:t xml:space="preserve"> account for 64 percent of </w:t>
      </w:r>
      <w:r w:rsidR="00653D9A" w:rsidRPr="00C467E3">
        <w:rPr>
          <w:noProof/>
        </w:rPr>
        <w:t>disaster</w:t>
      </w:r>
      <w:r w:rsidR="00C467E3">
        <w:rPr>
          <w:noProof/>
        </w:rPr>
        <w:t>-</w:t>
      </w:r>
      <w:r w:rsidR="00653D9A" w:rsidRPr="00C467E3">
        <w:rPr>
          <w:noProof/>
        </w:rPr>
        <w:t>related</w:t>
      </w:r>
      <w:r w:rsidR="00653D9A">
        <w:t xml:space="preserve"> death over the same period </w:t>
      </w:r>
      <w:r w:rsidR="00696CAC">
        <w:t>while flood</w:t>
      </w:r>
      <w:r w:rsidR="00C467E3">
        <w:t>s</w:t>
      </w:r>
      <w:r w:rsidR="00696CAC">
        <w:t xml:space="preserve"> alone </w:t>
      </w:r>
      <w:r w:rsidR="00696CAC" w:rsidRPr="00C467E3">
        <w:rPr>
          <w:noProof/>
        </w:rPr>
        <w:t>account</w:t>
      </w:r>
      <w:r w:rsidR="00696CAC">
        <w:t xml:space="preserve"> for 60 percent </w:t>
      </w:r>
      <w:r w:rsidR="00696CAC" w:rsidRPr="00C467E3">
        <w:rPr>
          <w:noProof/>
        </w:rPr>
        <w:t>disaster</w:t>
      </w:r>
      <w:r w:rsidR="00C467E3">
        <w:rPr>
          <w:noProof/>
        </w:rPr>
        <w:t>-</w:t>
      </w:r>
      <w:r w:rsidR="00696CAC" w:rsidRPr="00C467E3">
        <w:rPr>
          <w:noProof/>
        </w:rPr>
        <w:t>related</w:t>
      </w:r>
      <w:r w:rsidR="00696CAC">
        <w:t xml:space="preserve"> economic losses.</w:t>
      </w:r>
      <w:r w:rsidRPr="009036B3">
        <w:rPr>
          <w:rStyle w:val="FootnoteReference"/>
          <w:highlight w:val="yellow"/>
        </w:rPr>
        <w:footnoteReference w:id="22"/>
      </w:r>
      <w:r w:rsidR="00696CAC">
        <w:t xml:space="preserve"> </w:t>
      </w:r>
      <w:r w:rsidR="00261E50">
        <w:t xml:space="preserve">Economic growth and the </w:t>
      </w:r>
      <w:r w:rsidR="00C467E3">
        <w:t xml:space="preserve">industrialization of the economy </w:t>
      </w:r>
      <w:r w:rsidR="00261E50">
        <w:t xml:space="preserve">increased </w:t>
      </w:r>
      <w:r w:rsidR="00C467E3">
        <w:t xml:space="preserve">the country’s </w:t>
      </w:r>
      <w:r w:rsidR="00261E50">
        <w:t>greenhouse gas emission. In 2012 the t</w:t>
      </w:r>
      <w:r w:rsidR="00261E50" w:rsidRPr="00261E50">
        <w:t xml:space="preserve">otal greenhouse gas emissions </w:t>
      </w:r>
      <w:r w:rsidR="00261E50" w:rsidRPr="00C467E3">
        <w:rPr>
          <w:noProof/>
        </w:rPr>
        <w:t>w</w:t>
      </w:r>
      <w:r w:rsidR="00C467E3">
        <w:rPr>
          <w:noProof/>
        </w:rPr>
        <w:t>ere</w:t>
      </w:r>
      <w:r w:rsidR="00261E50">
        <w:t xml:space="preserve"> 40.54 percent higher than </w:t>
      </w:r>
      <w:r w:rsidR="00C467E3">
        <w:t>their</w:t>
      </w:r>
      <w:r w:rsidR="00261E50">
        <w:t xml:space="preserve"> </w:t>
      </w:r>
      <w:r w:rsidR="00261E50" w:rsidRPr="00C467E3">
        <w:rPr>
          <w:noProof/>
        </w:rPr>
        <w:t>level</w:t>
      </w:r>
      <w:r w:rsidR="00C467E3">
        <w:rPr>
          <w:noProof/>
        </w:rPr>
        <w:t>s</w:t>
      </w:r>
      <w:r w:rsidR="00261E50">
        <w:t xml:space="preserve"> in 1990.</w:t>
      </w:r>
      <w:r>
        <w:rPr>
          <w:rStyle w:val="FootnoteReference"/>
        </w:rPr>
        <w:footnoteReference w:id="23"/>
      </w:r>
      <w:r w:rsidR="00696CAC">
        <w:t xml:space="preserve"> </w:t>
      </w:r>
      <w:r w:rsidR="00261E50">
        <w:t xml:space="preserve">The government of Malaysia has </w:t>
      </w:r>
      <w:r w:rsidR="0060244C">
        <w:t xml:space="preserve">consistently </w:t>
      </w:r>
      <w:r w:rsidR="0060244C" w:rsidRPr="00C467E3">
        <w:rPr>
          <w:noProof/>
        </w:rPr>
        <w:t>focus</w:t>
      </w:r>
      <w:r w:rsidR="00C467E3">
        <w:rPr>
          <w:noProof/>
        </w:rPr>
        <w:t>ed</w:t>
      </w:r>
      <w:r w:rsidR="0060244C">
        <w:t xml:space="preserve"> on the </w:t>
      </w:r>
      <w:r w:rsidR="0060244C" w:rsidRPr="00C467E3">
        <w:rPr>
          <w:noProof/>
        </w:rPr>
        <w:t>environment</w:t>
      </w:r>
      <w:r w:rsidR="0060244C">
        <w:t>, climate change</w:t>
      </w:r>
      <w:r w:rsidR="00C467E3">
        <w:t>,</w:t>
      </w:r>
      <w:r w:rsidR="0060244C">
        <w:t xml:space="preserve"> </w:t>
      </w:r>
      <w:r w:rsidR="0060244C" w:rsidRPr="00C467E3">
        <w:rPr>
          <w:noProof/>
        </w:rPr>
        <w:t>and</w:t>
      </w:r>
      <w:r w:rsidR="0060244C">
        <w:t xml:space="preserve"> disaster risk reduction issues through its development policies.</w:t>
      </w:r>
      <w:r w:rsidR="00261E50">
        <w:t xml:space="preserve">  </w:t>
      </w:r>
      <w:r w:rsidR="0060244C">
        <w:t xml:space="preserve"> </w:t>
      </w:r>
      <w:r w:rsidR="00C467E3">
        <w:rPr>
          <w:noProof/>
        </w:rPr>
        <w:t>Malaysia'</w:t>
      </w:r>
      <w:r w:rsidR="0060244C" w:rsidRPr="00C467E3">
        <w:rPr>
          <w:noProof/>
        </w:rPr>
        <w:t>s</w:t>
      </w:r>
      <w:r w:rsidR="0060244C" w:rsidRPr="0060244C">
        <w:t xml:space="preserve"> 11th </w:t>
      </w:r>
      <w:r w:rsidR="007D5F69">
        <w:t>f</w:t>
      </w:r>
      <w:r w:rsidR="0060244C" w:rsidRPr="0060244C">
        <w:t>ive</w:t>
      </w:r>
      <w:r w:rsidR="007D5F69">
        <w:t>-year plan</w:t>
      </w:r>
      <w:r w:rsidR="0060244C" w:rsidRPr="0060244C">
        <w:t xml:space="preserve"> (2016-2020)</w:t>
      </w:r>
      <w:r w:rsidR="0060244C">
        <w:t xml:space="preserve"> </w:t>
      </w:r>
      <w:r w:rsidR="0060244C" w:rsidRPr="00C467E3">
        <w:t>reinforces the institutional framework</w:t>
      </w:r>
      <w:r w:rsidR="00C467E3" w:rsidRPr="00C467E3">
        <w:t>,</w:t>
      </w:r>
      <w:r w:rsidR="0060244C" w:rsidRPr="00C467E3">
        <w:t xml:space="preserve"> financing mechanism</w:t>
      </w:r>
      <w:r w:rsidR="00C467E3" w:rsidRPr="00C467E3">
        <w:t>s</w:t>
      </w:r>
      <w:r w:rsidR="0060244C" w:rsidRPr="00C467E3">
        <w:t xml:space="preserve"> to support the uptake of green initiatives</w:t>
      </w:r>
      <w:r w:rsidR="00C467E3" w:rsidRPr="00C467E3">
        <w:t xml:space="preserve"> and the formulation of a national policy on biological diversity 2016-2025 for the preservation and sustainable use of natural </w:t>
      </w:r>
      <w:r w:rsidR="00C467E3" w:rsidRPr="00C467E3">
        <w:rPr>
          <w:noProof/>
        </w:rPr>
        <w:t xml:space="preserve">resources. </w:t>
      </w:r>
      <w:r w:rsidR="0060244C">
        <w:t xml:space="preserve">The government also initiated a green procurement initiative to </w:t>
      </w:r>
      <w:r w:rsidR="0060244C" w:rsidRPr="00C467E3">
        <w:rPr>
          <w:noProof/>
        </w:rPr>
        <w:t>cataly</w:t>
      </w:r>
      <w:r w:rsidR="00C467E3">
        <w:rPr>
          <w:noProof/>
        </w:rPr>
        <w:t>z</w:t>
      </w:r>
      <w:r w:rsidR="0060244C" w:rsidRPr="00C467E3">
        <w:rPr>
          <w:noProof/>
        </w:rPr>
        <w:t>e</w:t>
      </w:r>
      <w:r w:rsidR="0060244C">
        <w:t xml:space="preserve"> </w:t>
      </w:r>
      <w:r w:rsidR="0060244C" w:rsidRPr="00C467E3">
        <w:rPr>
          <w:noProof/>
        </w:rPr>
        <w:t>the</w:t>
      </w:r>
      <w:r w:rsidR="00C467E3">
        <w:rPr>
          <w:noProof/>
        </w:rPr>
        <w:t xml:space="preserve"> </w:t>
      </w:r>
      <w:r w:rsidR="0060244C" w:rsidRPr="00C467E3">
        <w:rPr>
          <w:noProof/>
        </w:rPr>
        <w:t>growth</w:t>
      </w:r>
      <w:r w:rsidR="0060244C">
        <w:t xml:space="preserve"> of </w:t>
      </w:r>
      <w:r w:rsidR="00C467E3">
        <w:t xml:space="preserve">the </w:t>
      </w:r>
      <w:r w:rsidR="0060244C" w:rsidRPr="00C467E3">
        <w:rPr>
          <w:noProof/>
        </w:rPr>
        <w:t>green</w:t>
      </w:r>
      <w:r w:rsidR="0060244C">
        <w:t xml:space="preserve"> market. </w:t>
      </w:r>
      <w:r w:rsidR="00D30163">
        <w:t xml:space="preserve">Other </w:t>
      </w:r>
      <w:r w:rsidR="00C467E3">
        <w:rPr>
          <w:noProof/>
        </w:rPr>
        <w:t>effort</w:t>
      </w:r>
      <w:r w:rsidR="00D30163" w:rsidRPr="00C467E3">
        <w:rPr>
          <w:noProof/>
        </w:rPr>
        <w:t>s</w:t>
      </w:r>
      <w:r w:rsidR="00D30163">
        <w:t xml:space="preserve"> have </w:t>
      </w:r>
      <w:r w:rsidR="00C467E3">
        <w:rPr>
          <w:noProof/>
        </w:rPr>
        <w:t xml:space="preserve">also </w:t>
      </w:r>
      <w:r w:rsidR="00C467E3" w:rsidRPr="00040E23">
        <w:rPr>
          <w:noProof/>
        </w:rPr>
        <w:t>been promoted</w:t>
      </w:r>
      <w:r w:rsidR="00D30163">
        <w:t xml:space="preserve"> in </w:t>
      </w:r>
      <w:r w:rsidR="00D30163" w:rsidRPr="00040E23">
        <w:rPr>
          <w:noProof/>
        </w:rPr>
        <w:t>the climate</w:t>
      </w:r>
      <w:r w:rsidR="00D30163">
        <w:t xml:space="preserve"> change and disaster risk reduction field. Notably the increase in the capacity of renewable </w:t>
      </w:r>
      <w:r w:rsidR="00D30163" w:rsidRPr="00C467E3">
        <w:rPr>
          <w:noProof/>
        </w:rPr>
        <w:t>energy</w:t>
      </w:r>
      <w:r w:rsidR="00C467E3">
        <w:rPr>
          <w:noProof/>
        </w:rPr>
        <w:t xml:space="preserve"> </w:t>
      </w:r>
      <w:r w:rsidR="00D30163">
        <w:t xml:space="preserve">and the establishment of </w:t>
      </w:r>
      <w:r w:rsidR="00C467E3">
        <w:t xml:space="preserve">the </w:t>
      </w:r>
      <w:r w:rsidR="00D30163" w:rsidRPr="00C467E3">
        <w:rPr>
          <w:noProof/>
        </w:rPr>
        <w:t>National</w:t>
      </w:r>
      <w:r w:rsidR="00D30163">
        <w:t xml:space="preserve"> Disaster Management Agency. Despite </w:t>
      </w:r>
      <w:r w:rsidR="00A30A99" w:rsidRPr="00040E23">
        <w:rPr>
          <w:noProof/>
        </w:rPr>
        <w:t>these laudable initiatives</w:t>
      </w:r>
      <w:r w:rsidR="00D30163">
        <w:t xml:space="preserve"> several challenges remain to </w:t>
      </w:r>
      <w:r w:rsidR="00D30163" w:rsidRPr="00C467E3">
        <w:rPr>
          <w:noProof/>
        </w:rPr>
        <w:t>be address</w:t>
      </w:r>
      <w:r w:rsidR="00C467E3">
        <w:rPr>
          <w:noProof/>
        </w:rPr>
        <w:t>ed</w:t>
      </w:r>
      <w:r w:rsidR="00EE5581">
        <w:rPr>
          <w:noProof/>
        </w:rPr>
        <w:t xml:space="preserve">. These are </w:t>
      </w:r>
      <w:r w:rsidR="00D30163" w:rsidRPr="00C467E3">
        <w:rPr>
          <w:noProof/>
        </w:rPr>
        <w:t>the</w:t>
      </w:r>
      <w:r w:rsidR="00D30163">
        <w:t xml:space="preserve"> limited availability of green technologies and products, the </w:t>
      </w:r>
      <w:r w:rsidR="00EE5581">
        <w:t xml:space="preserve">continuing </w:t>
      </w:r>
      <w:r w:rsidR="00D30163">
        <w:t>degradation of natural resources</w:t>
      </w:r>
      <w:r w:rsidR="00A30A99">
        <w:t>,</w:t>
      </w:r>
      <w:r w:rsidR="00D30163">
        <w:t xml:space="preserve"> </w:t>
      </w:r>
      <w:r w:rsidR="00D30163" w:rsidRPr="0042018E">
        <w:rPr>
          <w:noProof/>
        </w:rPr>
        <w:t>environmental</w:t>
      </w:r>
      <w:r w:rsidR="00D30163">
        <w:t xml:space="preserve"> pollution and the </w:t>
      </w:r>
      <w:r w:rsidR="00D30163" w:rsidRPr="00EE5581">
        <w:rPr>
          <w:noProof/>
        </w:rPr>
        <w:t>increas</w:t>
      </w:r>
      <w:r w:rsidR="00EE5581">
        <w:rPr>
          <w:noProof/>
        </w:rPr>
        <w:t>ingly</w:t>
      </w:r>
      <w:r w:rsidR="00D30163">
        <w:t xml:space="preserve"> negative </w:t>
      </w:r>
      <w:r w:rsidR="00D30163" w:rsidRPr="00EE5581">
        <w:rPr>
          <w:noProof/>
        </w:rPr>
        <w:t>im</w:t>
      </w:r>
      <w:r w:rsidR="00EE5581">
        <w:rPr>
          <w:noProof/>
        </w:rPr>
        <w:t>p</w:t>
      </w:r>
      <w:r w:rsidR="00D30163" w:rsidRPr="00EE5581">
        <w:rPr>
          <w:noProof/>
        </w:rPr>
        <w:t>act</w:t>
      </w:r>
      <w:r w:rsidR="00D30163">
        <w:t xml:space="preserve"> of climate change and disaster risks.</w:t>
      </w:r>
      <w:r>
        <w:rPr>
          <w:rStyle w:val="FootnoteReference"/>
        </w:rPr>
        <w:footnoteReference w:id="24"/>
      </w:r>
    </w:p>
    <w:p w14:paraId="1601EA3A" w14:textId="43A09BC1" w:rsidR="000D448C" w:rsidRDefault="00440A44" w:rsidP="000D448C">
      <w:pPr>
        <w:pStyle w:val="ADRTextBulletL2"/>
        <w:tabs>
          <w:tab w:val="left" w:pos="9000"/>
        </w:tabs>
        <w:jc w:val="both"/>
      </w:pPr>
      <w:r>
        <w:t xml:space="preserve">Regarding </w:t>
      </w:r>
      <w:r w:rsidR="00A55C54">
        <w:t xml:space="preserve">SDGs </w:t>
      </w:r>
      <w:r w:rsidR="00E659F7">
        <w:t>progress</w:t>
      </w:r>
      <w:r w:rsidR="00A55C54">
        <w:t>,</w:t>
      </w:r>
      <w:r>
        <w:t xml:space="preserve"> overall </w:t>
      </w:r>
      <w:r w:rsidR="00A55C54">
        <w:t>Malaysia</w:t>
      </w:r>
      <w:r>
        <w:t xml:space="preserve"> is</w:t>
      </w:r>
      <w:r w:rsidR="00A55C54">
        <w:t xml:space="preserve"> well</w:t>
      </w:r>
      <w:r>
        <w:t xml:space="preserve"> positioned </w:t>
      </w:r>
      <w:r w:rsidRPr="00E659F7">
        <w:t>(</w:t>
      </w:r>
      <w:r w:rsidR="00E659F7">
        <w:t>with a score of 7</w:t>
      </w:r>
      <w:r>
        <w:t>0</w:t>
      </w:r>
      <w:r w:rsidR="00E659F7">
        <w:t xml:space="preserve">), ranking </w:t>
      </w:r>
      <w:r w:rsidR="00A55C54">
        <w:t>55 out</w:t>
      </w:r>
      <w:r w:rsidR="00E659F7">
        <w:t xml:space="preserve"> </w:t>
      </w:r>
      <w:r w:rsidR="00A55C54">
        <w:t>of 156 countries</w:t>
      </w:r>
      <w:r w:rsidR="00FB6BDC">
        <w:t>.</w:t>
      </w:r>
      <w:r w:rsidR="00E659F7">
        <w:rPr>
          <w:rStyle w:val="FootnoteReference"/>
        </w:rPr>
        <w:footnoteReference w:id="25"/>
      </w:r>
      <w:r w:rsidR="00A55C54">
        <w:t xml:space="preserve"> While it has fully achieved SDG1, it </w:t>
      </w:r>
      <w:proofErr w:type="gramStart"/>
      <w:r w:rsidR="00E659F7">
        <w:t>lags</w:t>
      </w:r>
      <w:r w:rsidR="00A55C54">
        <w:t xml:space="preserve"> </w:t>
      </w:r>
      <w:r w:rsidR="00E659F7">
        <w:t>behind</w:t>
      </w:r>
      <w:proofErr w:type="gramEnd"/>
      <w:r w:rsidR="00E659F7">
        <w:t xml:space="preserve"> </w:t>
      </w:r>
      <w:r w:rsidR="00A55C54">
        <w:t>on SDG</w:t>
      </w:r>
      <w:r w:rsidR="00E659F7">
        <w:t>s</w:t>
      </w:r>
      <w:r w:rsidR="00A55C54">
        <w:t xml:space="preserve"> 2, 3, 10 and 15. </w:t>
      </w:r>
    </w:p>
    <w:p w14:paraId="03841C00" w14:textId="77777777" w:rsidR="000D448C" w:rsidRPr="000D448C" w:rsidRDefault="000D448C" w:rsidP="000D448C">
      <w:pPr>
        <w:pStyle w:val="ADRTextBulletL2"/>
        <w:tabs>
          <w:tab w:val="left" w:pos="9000"/>
        </w:tabs>
        <w:jc w:val="both"/>
        <w:rPr>
          <w:rFonts w:asciiTheme="minorHAnsi" w:hAnsiTheme="minorHAnsi"/>
          <w:b/>
          <w:szCs w:val="22"/>
        </w:rPr>
      </w:pPr>
    </w:p>
    <w:p w14:paraId="6A168C08" w14:textId="16EDECB8" w:rsidR="000C0ABC" w:rsidRPr="000D448C" w:rsidRDefault="00E06207" w:rsidP="000D448C">
      <w:pPr>
        <w:pStyle w:val="ADRTextBulletL2"/>
        <w:numPr>
          <w:ilvl w:val="0"/>
          <w:numId w:val="6"/>
        </w:numPr>
        <w:tabs>
          <w:tab w:val="left" w:pos="9000"/>
        </w:tabs>
        <w:jc w:val="both"/>
        <w:rPr>
          <w:rFonts w:asciiTheme="minorHAnsi" w:hAnsiTheme="minorHAnsi"/>
          <w:b/>
          <w:szCs w:val="22"/>
        </w:rPr>
      </w:pPr>
      <w:r w:rsidRPr="000D448C">
        <w:rPr>
          <w:rFonts w:asciiTheme="minorHAnsi" w:hAnsiTheme="minorHAnsi"/>
          <w:b/>
          <w:szCs w:val="22"/>
        </w:rPr>
        <w:t xml:space="preserve">UNDP PROGRAMME STRATEGY IN </w:t>
      </w:r>
      <w:r w:rsidR="005A1A1F" w:rsidRPr="000D448C">
        <w:rPr>
          <w:rFonts w:asciiTheme="minorHAnsi" w:hAnsiTheme="minorHAnsi"/>
          <w:b/>
          <w:szCs w:val="22"/>
        </w:rPr>
        <w:t xml:space="preserve">MALAYSIA </w:t>
      </w:r>
    </w:p>
    <w:p w14:paraId="7A3BF931" w14:textId="77777777" w:rsidR="00A7229F" w:rsidRDefault="00A7229F" w:rsidP="000C0ABC">
      <w:pPr>
        <w:pStyle w:val="ADRTextBulletL2"/>
        <w:tabs>
          <w:tab w:val="left" w:pos="9000"/>
        </w:tabs>
        <w:jc w:val="both"/>
        <w:rPr>
          <w:rFonts w:asciiTheme="minorHAnsi" w:hAnsiTheme="minorHAnsi"/>
          <w:szCs w:val="22"/>
        </w:rPr>
      </w:pPr>
    </w:p>
    <w:p w14:paraId="0898008A" w14:textId="4112E386" w:rsidR="00D65A08" w:rsidRDefault="009036B3" w:rsidP="000C0ABC">
      <w:pPr>
        <w:pStyle w:val="ADRTextBulletL2"/>
        <w:tabs>
          <w:tab w:val="left" w:pos="9000"/>
        </w:tabs>
        <w:jc w:val="both"/>
        <w:rPr>
          <w:rFonts w:asciiTheme="minorHAnsi" w:hAnsiTheme="minorHAnsi"/>
          <w:szCs w:val="22"/>
        </w:rPr>
      </w:pPr>
      <w:r>
        <w:rPr>
          <w:rFonts w:asciiTheme="minorHAnsi" w:hAnsiTheme="minorHAnsi"/>
          <w:szCs w:val="22"/>
        </w:rPr>
        <w:t>T</w:t>
      </w:r>
      <w:r w:rsidR="00B17D17">
        <w:rPr>
          <w:rFonts w:asciiTheme="minorHAnsi" w:hAnsiTheme="minorHAnsi"/>
          <w:szCs w:val="22"/>
        </w:rPr>
        <w:t xml:space="preserve">he </w:t>
      </w:r>
      <w:r w:rsidR="00593CD2">
        <w:rPr>
          <w:rFonts w:asciiTheme="minorHAnsi" w:hAnsiTheme="minorHAnsi"/>
          <w:szCs w:val="22"/>
        </w:rPr>
        <w:t xml:space="preserve">UNDP </w:t>
      </w:r>
      <w:r>
        <w:rPr>
          <w:rFonts w:asciiTheme="minorHAnsi" w:hAnsiTheme="minorHAnsi"/>
          <w:szCs w:val="22"/>
        </w:rPr>
        <w:t>country programme</w:t>
      </w:r>
      <w:r w:rsidR="005A2FA7">
        <w:rPr>
          <w:rFonts w:asciiTheme="minorHAnsi" w:hAnsiTheme="minorHAnsi"/>
          <w:szCs w:val="22"/>
        </w:rPr>
        <w:t xml:space="preserve"> </w:t>
      </w:r>
      <w:r w:rsidR="00FB6BDC">
        <w:rPr>
          <w:rFonts w:asciiTheme="minorHAnsi" w:hAnsiTheme="minorHAnsi"/>
          <w:szCs w:val="22"/>
        </w:rPr>
        <w:t xml:space="preserve">(CP) </w:t>
      </w:r>
      <w:r w:rsidR="00B17D17">
        <w:rPr>
          <w:rFonts w:asciiTheme="minorHAnsi" w:hAnsiTheme="minorHAnsi"/>
          <w:szCs w:val="22"/>
        </w:rPr>
        <w:t>2016-2020 establish</w:t>
      </w:r>
      <w:r w:rsidR="005A2FA7">
        <w:rPr>
          <w:rFonts w:asciiTheme="minorHAnsi" w:hAnsiTheme="minorHAnsi"/>
          <w:szCs w:val="22"/>
        </w:rPr>
        <w:t>es</w:t>
      </w:r>
      <w:r w:rsidR="00B17D17">
        <w:rPr>
          <w:rFonts w:asciiTheme="minorHAnsi" w:hAnsiTheme="minorHAnsi"/>
          <w:szCs w:val="22"/>
        </w:rPr>
        <w:t xml:space="preserve"> a strategic framework for supporting national priorities under the </w:t>
      </w:r>
      <w:r w:rsidR="00D438B6">
        <w:rPr>
          <w:rFonts w:asciiTheme="minorHAnsi" w:hAnsiTheme="minorHAnsi"/>
          <w:szCs w:val="22"/>
        </w:rPr>
        <w:t xml:space="preserve">country’s strategic development plan, the </w:t>
      </w:r>
      <w:r w:rsidR="007C719F">
        <w:rPr>
          <w:rFonts w:asciiTheme="minorHAnsi" w:hAnsiTheme="minorHAnsi"/>
          <w:szCs w:val="22"/>
        </w:rPr>
        <w:t>11</w:t>
      </w:r>
      <w:r w:rsidR="007C719F" w:rsidRPr="007C719F">
        <w:rPr>
          <w:rFonts w:asciiTheme="minorHAnsi" w:hAnsiTheme="minorHAnsi"/>
          <w:szCs w:val="22"/>
          <w:vertAlign w:val="superscript"/>
        </w:rPr>
        <w:t>th</w:t>
      </w:r>
      <w:r w:rsidR="007C719F">
        <w:rPr>
          <w:rFonts w:asciiTheme="minorHAnsi" w:hAnsiTheme="minorHAnsi"/>
          <w:szCs w:val="22"/>
        </w:rPr>
        <w:t xml:space="preserve"> </w:t>
      </w:r>
      <w:r w:rsidR="00D438B6" w:rsidRPr="005403C5">
        <w:rPr>
          <w:rFonts w:asciiTheme="minorHAnsi" w:hAnsiTheme="minorHAnsi"/>
          <w:szCs w:val="22"/>
        </w:rPr>
        <w:t>Malaysia Plan</w:t>
      </w:r>
      <w:r w:rsidR="007C719F">
        <w:rPr>
          <w:rFonts w:asciiTheme="minorHAnsi" w:hAnsiTheme="minorHAnsi"/>
          <w:szCs w:val="22"/>
        </w:rPr>
        <w:t xml:space="preserve"> which </w:t>
      </w:r>
      <w:r w:rsidR="00D65A08">
        <w:rPr>
          <w:rFonts w:asciiTheme="minorHAnsi" w:hAnsiTheme="minorHAnsi"/>
          <w:szCs w:val="22"/>
        </w:rPr>
        <w:t xml:space="preserve">aims to transition the </w:t>
      </w:r>
      <w:r w:rsidR="00041C13">
        <w:rPr>
          <w:rFonts w:asciiTheme="minorHAnsi" w:hAnsiTheme="minorHAnsi"/>
          <w:szCs w:val="22"/>
        </w:rPr>
        <w:t>country</w:t>
      </w:r>
      <w:r w:rsidR="00D65A08">
        <w:rPr>
          <w:rFonts w:asciiTheme="minorHAnsi" w:hAnsiTheme="minorHAnsi"/>
          <w:szCs w:val="22"/>
        </w:rPr>
        <w:t xml:space="preserve"> </w:t>
      </w:r>
      <w:r w:rsidR="00041C13">
        <w:rPr>
          <w:rFonts w:asciiTheme="minorHAnsi" w:hAnsiTheme="minorHAnsi"/>
          <w:szCs w:val="22"/>
        </w:rPr>
        <w:t xml:space="preserve">to high-income status by 2020. </w:t>
      </w:r>
      <w:r w:rsidR="002B0B34">
        <w:rPr>
          <w:rFonts w:asciiTheme="minorHAnsi" w:hAnsiTheme="minorHAnsi"/>
          <w:szCs w:val="22"/>
        </w:rPr>
        <w:t xml:space="preserve">Covering the same period as the UNDP CP, the </w:t>
      </w:r>
      <w:r w:rsidR="00041C13">
        <w:rPr>
          <w:rFonts w:asciiTheme="minorHAnsi" w:hAnsiTheme="minorHAnsi"/>
          <w:szCs w:val="22"/>
        </w:rPr>
        <w:t>11</w:t>
      </w:r>
      <w:r w:rsidR="00041C13" w:rsidRPr="00041C13">
        <w:rPr>
          <w:rFonts w:asciiTheme="minorHAnsi" w:hAnsiTheme="minorHAnsi"/>
          <w:szCs w:val="22"/>
          <w:vertAlign w:val="superscript"/>
        </w:rPr>
        <w:t>th</w:t>
      </w:r>
      <w:r w:rsidR="00041C13">
        <w:rPr>
          <w:rFonts w:asciiTheme="minorHAnsi" w:hAnsiTheme="minorHAnsi"/>
          <w:szCs w:val="22"/>
        </w:rPr>
        <w:t xml:space="preserve"> P</w:t>
      </w:r>
      <w:r w:rsidR="002B0B34">
        <w:rPr>
          <w:rFonts w:asciiTheme="minorHAnsi" w:hAnsiTheme="minorHAnsi"/>
          <w:szCs w:val="22"/>
        </w:rPr>
        <w:t xml:space="preserve">lan </w:t>
      </w:r>
      <w:r w:rsidR="00041C13">
        <w:rPr>
          <w:rFonts w:asciiTheme="minorHAnsi" w:hAnsiTheme="minorHAnsi"/>
          <w:szCs w:val="22"/>
        </w:rPr>
        <w:t>priorities include enhanc</w:t>
      </w:r>
      <w:r w:rsidR="00D65A08">
        <w:rPr>
          <w:rFonts w:asciiTheme="minorHAnsi" w:hAnsiTheme="minorHAnsi"/>
          <w:szCs w:val="22"/>
        </w:rPr>
        <w:t xml:space="preserve">ed </w:t>
      </w:r>
      <w:r w:rsidR="0038693B" w:rsidRPr="005403C5">
        <w:rPr>
          <w:rFonts w:asciiTheme="minorHAnsi" w:hAnsiTheme="minorHAnsi"/>
          <w:szCs w:val="22"/>
        </w:rPr>
        <w:t>inclusive</w:t>
      </w:r>
      <w:r w:rsidR="00041C13">
        <w:rPr>
          <w:rFonts w:asciiTheme="minorHAnsi" w:hAnsiTheme="minorHAnsi"/>
          <w:szCs w:val="22"/>
        </w:rPr>
        <w:t>ness</w:t>
      </w:r>
      <w:r w:rsidR="0038693B" w:rsidRPr="005403C5">
        <w:rPr>
          <w:rFonts w:asciiTheme="minorHAnsi" w:hAnsiTheme="minorHAnsi"/>
          <w:szCs w:val="22"/>
        </w:rPr>
        <w:t xml:space="preserve"> and equitable society, improv</w:t>
      </w:r>
      <w:r w:rsidR="00D65A08">
        <w:rPr>
          <w:rFonts w:asciiTheme="minorHAnsi" w:hAnsiTheme="minorHAnsi"/>
          <w:szCs w:val="22"/>
        </w:rPr>
        <w:t>ed</w:t>
      </w:r>
      <w:r w:rsidR="0038693B" w:rsidRPr="005403C5">
        <w:rPr>
          <w:rFonts w:asciiTheme="minorHAnsi" w:hAnsiTheme="minorHAnsi"/>
          <w:szCs w:val="22"/>
        </w:rPr>
        <w:t xml:space="preserve"> well-being</w:t>
      </w:r>
      <w:r w:rsidR="00041C13">
        <w:rPr>
          <w:rFonts w:asciiTheme="minorHAnsi" w:hAnsiTheme="minorHAnsi"/>
          <w:szCs w:val="22"/>
        </w:rPr>
        <w:t xml:space="preserve"> for all, accelerated human capital development</w:t>
      </w:r>
      <w:r w:rsidR="00D65A08">
        <w:rPr>
          <w:rFonts w:asciiTheme="minorHAnsi" w:hAnsiTheme="minorHAnsi"/>
          <w:szCs w:val="22"/>
        </w:rPr>
        <w:t xml:space="preserve"> and </w:t>
      </w:r>
      <w:r w:rsidR="0038693B" w:rsidRPr="005403C5">
        <w:rPr>
          <w:rFonts w:asciiTheme="minorHAnsi" w:hAnsiTheme="minorHAnsi"/>
          <w:szCs w:val="22"/>
        </w:rPr>
        <w:t>sustainable, green and resilient economic growth.</w:t>
      </w:r>
      <w:r w:rsidR="0038693B">
        <w:rPr>
          <w:rFonts w:asciiTheme="minorHAnsi" w:hAnsiTheme="minorHAnsi"/>
          <w:szCs w:val="22"/>
        </w:rPr>
        <w:t xml:space="preserve"> </w:t>
      </w:r>
      <w:r w:rsidR="00C03F46" w:rsidRPr="00C03F46">
        <w:rPr>
          <w:rFonts w:asciiTheme="minorHAnsi" w:hAnsiTheme="minorHAnsi"/>
          <w:szCs w:val="22"/>
        </w:rPr>
        <w:t>Currently</w:t>
      </w:r>
      <w:r w:rsidR="00C03F46">
        <w:rPr>
          <w:rFonts w:asciiTheme="minorHAnsi" w:hAnsiTheme="minorHAnsi"/>
          <w:szCs w:val="22"/>
        </w:rPr>
        <w:t xml:space="preserve">, there is </w:t>
      </w:r>
      <w:r w:rsidR="00C03F46" w:rsidRPr="00C03F46">
        <w:rPr>
          <w:rFonts w:asciiTheme="minorHAnsi" w:hAnsiTheme="minorHAnsi"/>
          <w:szCs w:val="22"/>
        </w:rPr>
        <w:t xml:space="preserve">no approved </w:t>
      </w:r>
      <w:r w:rsidR="00373377">
        <w:rPr>
          <w:rFonts w:asciiTheme="minorHAnsi" w:hAnsiTheme="minorHAnsi"/>
          <w:szCs w:val="22"/>
        </w:rPr>
        <w:t xml:space="preserve">United Nations </w:t>
      </w:r>
      <w:r w:rsidR="00C03F46" w:rsidRPr="00C03F46">
        <w:rPr>
          <w:rFonts w:asciiTheme="minorHAnsi" w:hAnsiTheme="minorHAnsi"/>
          <w:szCs w:val="22"/>
        </w:rPr>
        <w:t xml:space="preserve">joint agency framework </w:t>
      </w:r>
      <w:r w:rsidR="00C03F46">
        <w:rPr>
          <w:rFonts w:asciiTheme="minorHAnsi" w:hAnsiTheme="minorHAnsi"/>
          <w:szCs w:val="22"/>
        </w:rPr>
        <w:t xml:space="preserve">between UN Agencies. </w:t>
      </w:r>
      <w:r w:rsidR="00157A79">
        <w:rPr>
          <w:rFonts w:asciiTheme="minorHAnsi" w:hAnsiTheme="minorHAnsi"/>
          <w:szCs w:val="22"/>
        </w:rPr>
        <w:t>The latest</w:t>
      </w:r>
      <w:r w:rsidR="00C03F46" w:rsidRPr="00C03F46">
        <w:rPr>
          <w:rFonts w:asciiTheme="minorHAnsi" w:hAnsiTheme="minorHAnsi"/>
          <w:szCs w:val="22"/>
        </w:rPr>
        <w:t xml:space="preserve"> U</w:t>
      </w:r>
      <w:r>
        <w:rPr>
          <w:rFonts w:asciiTheme="minorHAnsi" w:hAnsiTheme="minorHAnsi"/>
          <w:szCs w:val="22"/>
        </w:rPr>
        <w:t xml:space="preserve">nited </w:t>
      </w:r>
      <w:r w:rsidR="00C03F46" w:rsidRPr="00C03F46">
        <w:rPr>
          <w:rFonts w:asciiTheme="minorHAnsi" w:hAnsiTheme="minorHAnsi"/>
          <w:szCs w:val="22"/>
        </w:rPr>
        <w:t>N</w:t>
      </w:r>
      <w:r>
        <w:rPr>
          <w:rFonts w:asciiTheme="minorHAnsi" w:hAnsiTheme="minorHAnsi"/>
          <w:szCs w:val="22"/>
        </w:rPr>
        <w:t xml:space="preserve">ations </w:t>
      </w:r>
      <w:r w:rsidR="00C03F46" w:rsidRPr="00C03F46">
        <w:rPr>
          <w:rFonts w:asciiTheme="minorHAnsi" w:hAnsiTheme="minorHAnsi"/>
          <w:szCs w:val="22"/>
        </w:rPr>
        <w:t>S</w:t>
      </w:r>
      <w:r>
        <w:rPr>
          <w:rFonts w:asciiTheme="minorHAnsi" w:hAnsiTheme="minorHAnsi"/>
          <w:szCs w:val="22"/>
        </w:rPr>
        <w:t xml:space="preserve">ustainable </w:t>
      </w:r>
      <w:r w:rsidR="00C03F46" w:rsidRPr="00C03F46">
        <w:rPr>
          <w:rFonts w:asciiTheme="minorHAnsi" w:hAnsiTheme="minorHAnsi"/>
          <w:szCs w:val="22"/>
        </w:rPr>
        <w:t>D</w:t>
      </w:r>
      <w:r>
        <w:rPr>
          <w:rFonts w:asciiTheme="minorHAnsi" w:hAnsiTheme="minorHAnsi"/>
          <w:szCs w:val="22"/>
        </w:rPr>
        <w:t xml:space="preserve">evelopment </w:t>
      </w:r>
      <w:r w:rsidR="00C03F46" w:rsidRPr="00C03F46">
        <w:rPr>
          <w:rFonts w:asciiTheme="minorHAnsi" w:hAnsiTheme="minorHAnsi"/>
          <w:szCs w:val="22"/>
        </w:rPr>
        <w:t>G</w:t>
      </w:r>
      <w:r>
        <w:rPr>
          <w:rFonts w:asciiTheme="minorHAnsi" w:hAnsiTheme="minorHAnsi"/>
          <w:szCs w:val="22"/>
        </w:rPr>
        <w:t xml:space="preserve">oals </w:t>
      </w:r>
      <w:r w:rsidR="00C03F46" w:rsidRPr="00C03F46">
        <w:rPr>
          <w:rFonts w:asciiTheme="minorHAnsi" w:hAnsiTheme="minorHAnsi"/>
          <w:szCs w:val="22"/>
        </w:rPr>
        <w:t>F</w:t>
      </w:r>
      <w:r>
        <w:rPr>
          <w:rFonts w:asciiTheme="minorHAnsi" w:hAnsiTheme="minorHAnsi"/>
          <w:szCs w:val="22"/>
        </w:rPr>
        <w:t>ramework</w:t>
      </w:r>
      <w:r w:rsidR="00157A79">
        <w:rPr>
          <w:rFonts w:asciiTheme="minorHAnsi" w:hAnsiTheme="minorHAnsi"/>
          <w:szCs w:val="22"/>
        </w:rPr>
        <w:t xml:space="preserve"> (2018-2020) is still a draft and under negotiations. </w:t>
      </w:r>
      <w:r w:rsidR="00C03F46" w:rsidRPr="00C03F46">
        <w:rPr>
          <w:rFonts w:asciiTheme="minorHAnsi" w:hAnsiTheme="minorHAnsi"/>
          <w:szCs w:val="22"/>
        </w:rPr>
        <w:t xml:space="preserve"> </w:t>
      </w:r>
    </w:p>
    <w:p w14:paraId="61AC3339" w14:textId="77777777" w:rsidR="00D65A08" w:rsidRDefault="00D65A08" w:rsidP="000C0ABC">
      <w:pPr>
        <w:pStyle w:val="ADRTextBulletL2"/>
        <w:tabs>
          <w:tab w:val="left" w:pos="9000"/>
        </w:tabs>
        <w:jc w:val="both"/>
        <w:rPr>
          <w:rFonts w:asciiTheme="minorHAnsi" w:hAnsiTheme="minorHAnsi"/>
          <w:szCs w:val="22"/>
        </w:rPr>
      </w:pPr>
    </w:p>
    <w:p w14:paraId="5A716474" w14:textId="11CC9CB2" w:rsidR="005A1A1F" w:rsidRPr="0072467D" w:rsidRDefault="0038693B" w:rsidP="000C0ABC">
      <w:pPr>
        <w:pStyle w:val="ADRTextBulletL2"/>
        <w:tabs>
          <w:tab w:val="left" w:pos="9000"/>
        </w:tabs>
        <w:jc w:val="both"/>
        <w:rPr>
          <w:rFonts w:asciiTheme="minorHAnsi" w:hAnsiTheme="minorHAnsi"/>
          <w:szCs w:val="22"/>
        </w:rPr>
      </w:pPr>
      <w:r>
        <w:rPr>
          <w:rFonts w:asciiTheme="minorHAnsi" w:hAnsiTheme="minorHAnsi"/>
          <w:szCs w:val="22"/>
        </w:rPr>
        <w:t xml:space="preserve">The </w:t>
      </w:r>
      <w:r w:rsidR="00D65A08">
        <w:rPr>
          <w:rFonts w:asciiTheme="minorHAnsi" w:hAnsiTheme="minorHAnsi"/>
          <w:szCs w:val="22"/>
        </w:rPr>
        <w:t xml:space="preserve">UNDP </w:t>
      </w:r>
      <w:r w:rsidR="005A2FA7">
        <w:rPr>
          <w:rFonts w:asciiTheme="minorHAnsi" w:hAnsiTheme="minorHAnsi"/>
          <w:szCs w:val="22"/>
        </w:rPr>
        <w:t>CP al</w:t>
      </w:r>
      <w:r>
        <w:rPr>
          <w:rFonts w:asciiTheme="minorHAnsi" w:hAnsiTheme="minorHAnsi"/>
          <w:szCs w:val="22"/>
        </w:rPr>
        <w:t xml:space="preserve">so aligns with </w:t>
      </w:r>
      <w:r w:rsidR="00AC070B">
        <w:rPr>
          <w:rFonts w:asciiTheme="minorHAnsi" w:hAnsiTheme="minorHAnsi"/>
          <w:szCs w:val="22"/>
        </w:rPr>
        <w:t xml:space="preserve">UNDP’s Strategic plan </w:t>
      </w:r>
      <w:r w:rsidR="002323FC">
        <w:rPr>
          <w:rFonts w:asciiTheme="minorHAnsi" w:hAnsiTheme="minorHAnsi"/>
          <w:szCs w:val="22"/>
        </w:rPr>
        <w:t>for 2014</w:t>
      </w:r>
      <w:r w:rsidR="00AC070B">
        <w:rPr>
          <w:rFonts w:asciiTheme="minorHAnsi" w:hAnsiTheme="minorHAnsi"/>
          <w:szCs w:val="22"/>
        </w:rPr>
        <w:t>-2017.</w:t>
      </w:r>
      <w:r w:rsidR="005A2FA7">
        <w:rPr>
          <w:rFonts w:asciiTheme="minorHAnsi" w:hAnsiTheme="minorHAnsi"/>
          <w:szCs w:val="22"/>
        </w:rPr>
        <w:t xml:space="preserve"> It has maintained the same focus as the previous CP in</w:t>
      </w:r>
      <w:r w:rsidR="002323FC">
        <w:rPr>
          <w:rFonts w:asciiTheme="minorHAnsi" w:hAnsiTheme="minorHAnsi"/>
          <w:szCs w:val="22"/>
        </w:rPr>
        <w:t xml:space="preserve"> two </w:t>
      </w:r>
      <w:r w:rsidR="00041C13">
        <w:rPr>
          <w:rFonts w:asciiTheme="minorHAnsi" w:hAnsiTheme="minorHAnsi"/>
          <w:szCs w:val="22"/>
        </w:rPr>
        <w:t xml:space="preserve">thematic </w:t>
      </w:r>
      <w:r w:rsidR="002323FC">
        <w:rPr>
          <w:rFonts w:asciiTheme="minorHAnsi" w:hAnsiTheme="minorHAnsi"/>
          <w:szCs w:val="22"/>
        </w:rPr>
        <w:t>areas of intervention: inclusive development and growth</w:t>
      </w:r>
      <w:r w:rsidR="007C719F">
        <w:rPr>
          <w:rFonts w:asciiTheme="minorHAnsi" w:hAnsiTheme="minorHAnsi"/>
          <w:szCs w:val="22"/>
        </w:rPr>
        <w:t>,</w:t>
      </w:r>
      <w:r w:rsidR="002323FC">
        <w:rPr>
          <w:rFonts w:asciiTheme="minorHAnsi" w:hAnsiTheme="minorHAnsi"/>
          <w:szCs w:val="22"/>
        </w:rPr>
        <w:t xml:space="preserve"> and sustainable and resilient development.</w:t>
      </w:r>
      <w:r w:rsidR="00237251">
        <w:rPr>
          <w:rFonts w:asciiTheme="minorHAnsi" w:hAnsiTheme="minorHAnsi"/>
          <w:szCs w:val="22"/>
        </w:rPr>
        <w:t xml:space="preserve"> </w:t>
      </w:r>
      <w:r w:rsidR="0072467D" w:rsidRPr="0072467D">
        <w:rPr>
          <w:rFonts w:asciiTheme="minorHAnsi" w:hAnsiTheme="minorHAnsi"/>
          <w:szCs w:val="22"/>
        </w:rPr>
        <w:t>The thematic areas of the CP also align with the Strategic Plan 2018-</w:t>
      </w:r>
      <w:proofErr w:type="gramStart"/>
      <w:r w:rsidR="0072467D" w:rsidRPr="0072467D">
        <w:rPr>
          <w:rFonts w:asciiTheme="minorHAnsi" w:hAnsiTheme="minorHAnsi"/>
          <w:szCs w:val="22"/>
        </w:rPr>
        <w:t>2021,  in</w:t>
      </w:r>
      <w:proofErr w:type="gramEnd"/>
      <w:r w:rsidR="0072467D" w:rsidRPr="0072467D">
        <w:rPr>
          <w:rFonts w:asciiTheme="minorHAnsi" w:hAnsiTheme="minorHAnsi"/>
          <w:szCs w:val="22"/>
        </w:rPr>
        <w:t xml:space="preserve"> particular developing and supporting country-led measures to integrate the 2030 Agenda and other international agreements that are gender-responsive as well as data-driven &amp; risk-informed.</w:t>
      </w:r>
    </w:p>
    <w:p w14:paraId="4B27AB2E" w14:textId="77777777" w:rsidR="005A1A1F" w:rsidRPr="0072467D" w:rsidRDefault="005A1A1F" w:rsidP="000C0ABC">
      <w:pPr>
        <w:pStyle w:val="ADRTextBulletL2"/>
        <w:tabs>
          <w:tab w:val="left" w:pos="9000"/>
        </w:tabs>
        <w:jc w:val="both"/>
        <w:rPr>
          <w:rFonts w:asciiTheme="minorHAnsi" w:hAnsiTheme="minorHAnsi"/>
          <w:szCs w:val="22"/>
          <w:highlight w:val="lightGray"/>
        </w:rPr>
      </w:pPr>
    </w:p>
    <w:p w14:paraId="4BDED2E9" w14:textId="545EAE15" w:rsidR="00703044" w:rsidRDefault="00E06207" w:rsidP="00AC76B4">
      <w:pPr>
        <w:pStyle w:val="ADRTextBulletL2"/>
        <w:tabs>
          <w:tab w:val="left" w:pos="9000"/>
        </w:tabs>
        <w:jc w:val="both"/>
        <w:rPr>
          <w:rFonts w:asciiTheme="minorHAnsi" w:hAnsiTheme="minorHAnsi"/>
          <w:szCs w:val="22"/>
        </w:rPr>
      </w:pPr>
      <w:r w:rsidRPr="001C2670">
        <w:rPr>
          <w:rFonts w:asciiTheme="minorHAnsi" w:hAnsiTheme="minorHAnsi"/>
          <w:szCs w:val="22"/>
        </w:rPr>
        <w:lastRenderedPageBreak/>
        <w:t>The de</w:t>
      </w:r>
      <w:r>
        <w:rPr>
          <w:rFonts w:asciiTheme="minorHAnsi" w:hAnsiTheme="minorHAnsi"/>
          <w:szCs w:val="22"/>
        </w:rPr>
        <w:t xml:space="preserve">sign of the country programme benefited </w:t>
      </w:r>
      <w:r w:rsidR="00342807">
        <w:rPr>
          <w:rFonts w:asciiTheme="minorHAnsi" w:hAnsiTheme="minorHAnsi"/>
          <w:szCs w:val="22"/>
        </w:rPr>
        <w:t>from the</w:t>
      </w:r>
      <w:r w:rsidR="00363750">
        <w:rPr>
          <w:rFonts w:asciiTheme="minorHAnsi" w:hAnsiTheme="minorHAnsi"/>
          <w:szCs w:val="22"/>
        </w:rPr>
        <w:t xml:space="preserve"> extensive research and analysis done on </w:t>
      </w:r>
      <w:r w:rsidR="00A60AA2">
        <w:rPr>
          <w:rFonts w:asciiTheme="minorHAnsi" w:hAnsiTheme="minorHAnsi"/>
          <w:szCs w:val="22"/>
        </w:rPr>
        <w:t>the transformative</w:t>
      </w:r>
      <w:r w:rsidR="00363750">
        <w:rPr>
          <w:rFonts w:asciiTheme="minorHAnsi" w:hAnsiTheme="minorHAnsi"/>
          <w:szCs w:val="22"/>
        </w:rPr>
        <w:t xml:space="preserve"> agenda </w:t>
      </w:r>
      <w:r w:rsidR="00A60AA2">
        <w:rPr>
          <w:rFonts w:asciiTheme="minorHAnsi" w:hAnsiTheme="minorHAnsi"/>
          <w:szCs w:val="22"/>
        </w:rPr>
        <w:t xml:space="preserve">in preparation for the </w:t>
      </w:r>
      <w:r w:rsidR="00D65A08">
        <w:rPr>
          <w:rFonts w:asciiTheme="minorHAnsi" w:hAnsiTheme="minorHAnsi"/>
          <w:szCs w:val="22"/>
        </w:rPr>
        <w:t>11</w:t>
      </w:r>
      <w:r w:rsidR="00D65A08" w:rsidRPr="00D65A08">
        <w:rPr>
          <w:rFonts w:asciiTheme="minorHAnsi" w:hAnsiTheme="minorHAnsi"/>
          <w:szCs w:val="22"/>
          <w:vertAlign w:val="superscript"/>
        </w:rPr>
        <w:t>th</w:t>
      </w:r>
      <w:r w:rsidR="00D65A08">
        <w:rPr>
          <w:rFonts w:asciiTheme="minorHAnsi" w:hAnsiTheme="minorHAnsi"/>
          <w:szCs w:val="22"/>
        </w:rPr>
        <w:t xml:space="preserve"> </w:t>
      </w:r>
      <w:r w:rsidR="00A60AA2">
        <w:rPr>
          <w:rFonts w:asciiTheme="minorHAnsi" w:hAnsiTheme="minorHAnsi"/>
          <w:szCs w:val="22"/>
        </w:rPr>
        <w:t xml:space="preserve">Malaysia </w:t>
      </w:r>
      <w:r w:rsidR="00D65A08">
        <w:rPr>
          <w:rFonts w:asciiTheme="minorHAnsi" w:hAnsiTheme="minorHAnsi"/>
          <w:szCs w:val="22"/>
        </w:rPr>
        <w:t>P</w:t>
      </w:r>
      <w:r w:rsidR="00A60AA2">
        <w:rPr>
          <w:rFonts w:asciiTheme="minorHAnsi" w:hAnsiTheme="minorHAnsi"/>
          <w:szCs w:val="22"/>
        </w:rPr>
        <w:t>lan.</w:t>
      </w:r>
      <w:r w:rsidR="00A7229F">
        <w:rPr>
          <w:rStyle w:val="FootnoteReference"/>
          <w:rFonts w:asciiTheme="minorHAnsi" w:hAnsiTheme="minorHAnsi"/>
          <w:szCs w:val="22"/>
        </w:rPr>
        <w:footnoteReference w:id="26"/>
      </w:r>
      <w:r w:rsidR="0091588E">
        <w:rPr>
          <w:rFonts w:asciiTheme="minorHAnsi" w:hAnsiTheme="minorHAnsi"/>
          <w:szCs w:val="22"/>
        </w:rPr>
        <w:t xml:space="preserve"> </w:t>
      </w:r>
      <w:r w:rsidR="00A60AA2">
        <w:rPr>
          <w:rFonts w:asciiTheme="minorHAnsi" w:hAnsiTheme="minorHAnsi"/>
          <w:szCs w:val="22"/>
        </w:rPr>
        <w:t xml:space="preserve">Moreover, the country programme </w:t>
      </w:r>
      <w:proofErr w:type="gramStart"/>
      <w:r w:rsidR="00A60AA2">
        <w:rPr>
          <w:rFonts w:asciiTheme="minorHAnsi" w:hAnsiTheme="minorHAnsi"/>
          <w:szCs w:val="22"/>
        </w:rPr>
        <w:t>took into account</w:t>
      </w:r>
      <w:proofErr w:type="gramEnd"/>
      <w:r w:rsidR="00A60AA2">
        <w:rPr>
          <w:rFonts w:asciiTheme="minorHAnsi" w:hAnsiTheme="minorHAnsi"/>
          <w:szCs w:val="22"/>
        </w:rPr>
        <w:t xml:space="preserve"> several of </w:t>
      </w:r>
      <w:r w:rsidR="00A60AA2" w:rsidRPr="00C45179">
        <w:rPr>
          <w:rFonts w:asciiTheme="minorHAnsi" w:hAnsiTheme="minorHAnsi"/>
          <w:szCs w:val="22"/>
        </w:rPr>
        <w:t xml:space="preserve">the recommendations of the previous independent </w:t>
      </w:r>
      <w:r w:rsidR="00B544DC" w:rsidRPr="00C45179">
        <w:rPr>
          <w:rFonts w:asciiTheme="minorHAnsi" w:hAnsiTheme="minorHAnsi"/>
          <w:szCs w:val="22"/>
        </w:rPr>
        <w:t>country programme evaluat</w:t>
      </w:r>
      <w:r w:rsidR="00D65A08">
        <w:rPr>
          <w:rFonts w:asciiTheme="minorHAnsi" w:hAnsiTheme="minorHAnsi"/>
          <w:szCs w:val="22"/>
        </w:rPr>
        <w:t>ion</w:t>
      </w:r>
      <w:r w:rsidR="00B544DC" w:rsidRPr="00C45179">
        <w:rPr>
          <w:rFonts w:asciiTheme="minorHAnsi" w:hAnsiTheme="minorHAnsi"/>
          <w:szCs w:val="22"/>
        </w:rPr>
        <w:t xml:space="preserve"> (</w:t>
      </w:r>
      <w:r w:rsidR="00625328">
        <w:rPr>
          <w:rFonts w:asciiTheme="minorHAnsi" w:hAnsiTheme="minorHAnsi"/>
          <w:szCs w:val="22"/>
        </w:rPr>
        <w:t>A</w:t>
      </w:r>
      <w:r w:rsidR="00B544DC" w:rsidRPr="00C45179">
        <w:rPr>
          <w:rFonts w:asciiTheme="minorHAnsi" w:hAnsiTheme="minorHAnsi"/>
          <w:szCs w:val="22"/>
        </w:rPr>
        <w:t xml:space="preserve">ssessment </w:t>
      </w:r>
      <w:r w:rsidR="00625328">
        <w:rPr>
          <w:rFonts w:asciiTheme="minorHAnsi" w:hAnsiTheme="minorHAnsi"/>
          <w:szCs w:val="22"/>
        </w:rPr>
        <w:t xml:space="preserve">of </w:t>
      </w:r>
      <w:r w:rsidR="00B544DC" w:rsidRPr="00C45179">
        <w:rPr>
          <w:rFonts w:asciiTheme="minorHAnsi" w:hAnsiTheme="minorHAnsi"/>
          <w:szCs w:val="22"/>
        </w:rPr>
        <w:t xml:space="preserve">Development </w:t>
      </w:r>
      <w:r w:rsidR="00625328">
        <w:rPr>
          <w:rFonts w:asciiTheme="minorHAnsi" w:hAnsiTheme="minorHAnsi"/>
          <w:szCs w:val="22"/>
        </w:rPr>
        <w:t>R</w:t>
      </w:r>
      <w:r w:rsidR="00B544DC" w:rsidRPr="00C45179">
        <w:rPr>
          <w:rFonts w:asciiTheme="minorHAnsi" w:hAnsiTheme="minorHAnsi"/>
          <w:szCs w:val="22"/>
        </w:rPr>
        <w:t>esults.</w:t>
      </w:r>
      <w:r w:rsidR="00625328">
        <w:rPr>
          <w:rFonts w:asciiTheme="minorHAnsi" w:hAnsiTheme="minorHAnsi"/>
          <w:szCs w:val="22"/>
        </w:rPr>
        <w:t xml:space="preserve"> </w:t>
      </w:r>
      <w:r w:rsidR="00B544DC" w:rsidRPr="00C45179">
        <w:rPr>
          <w:rFonts w:asciiTheme="minorHAnsi" w:hAnsiTheme="minorHAnsi"/>
          <w:szCs w:val="22"/>
        </w:rPr>
        <w:t xml:space="preserve">2015) covering the </w:t>
      </w:r>
      <w:r w:rsidR="00D65A08">
        <w:rPr>
          <w:rFonts w:asciiTheme="minorHAnsi" w:hAnsiTheme="minorHAnsi"/>
          <w:szCs w:val="22"/>
        </w:rPr>
        <w:t xml:space="preserve">period </w:t>
      </w:r>
      <w:r w:rsidR="00B544DC" w:rsidRPr="00C45179">
        <w:rPr>
          <w:rFonts w:asciiTheme="minorHAnsi" w:hAnsiTheme="minorHAnsi"/>
          <w:szCs w:val="22"/>
        </w:rPr>
        <w:t>2008-201</w:t>
      </w:r>
      <w:r w:rsidR="00D65A08">
        <w:rPr>
          <w:rFonts w:asciiTheme="minorHAnsi" w:hAnsiTheme="minorHAnsi"/>
          <w:szCs w:val="22"/>
        </w:rPr>
        <w:t>5</w:t>
      </w:r>
      <w:r w:rsidR="00B544DC" w:rsidRPr="00C45179">
        <w:rPr>
          <w:rFonts w:asciiTheme="minorHAnsi" w:hAnsiTheme="minorHAnsi"/>
          <w:szCs w:val="22"/>
        </w:rPr>
        <w:t xml:space="preserve">. The evaluation recommended </w:t>
      </w:r>
      <w:r w:rsidR="00DF262A" w:rsidRPr="00C45179">
        <w:rPr>
          <w:rFonts w:asciiTheme="minorHAnsi" w:hAnsiTheme="minorHAnsi"/>
          <w:szCs w:val="22"/>
        </w:rPr>
        <w:t xml:space="preserve">prioritizing areas </w:t>
      </w:r>
      <w:r w:rsidR="00580A9C">
        <w:rPr>
          <w:rFonts w:asciiTheme="minorHAnsi" w:hAnsiTheme="minorHAnsi"/>
          <w:szCs w:val="22"/>
        </w:rPr>
        <w:t xml:space="preserve">in which </w:t>
      </w:r>
      <w:r w:rsidR="00DF262A" w:rsidRPr="00C45179">
        <w:rPr>
          <w:rFonts w:asciiTheme="minorHAnsi" w:hAnsiTheme="minorHAnsi"/>
          <w:szCs w:val="22"/>
        </w:rPr>
        <w:t>UNDP Malaysia has strategic expertise</w:t>
      </w:r>
      <w:r w:rsidR="00580A9C">
        <w:rPr>
          <w:rFonts w:asciiTheme="minorHAnsi" w:hAnsiTheme="minorHAnsi"/>
          <w:szCs w:val="22"/>
        </w:rPr>
        <w:t xml:space="preserve"> and </w:t>
      </w:r>
      <w:r w:rsidR="00D65A08">
        <w:rPr>
          <w:rFonts w:asciiTheme="minorHAnsi" w:hAnsiTheme="minorHAnsi"/>
          <w:szCs w:val="22"/>
        </w:rPr>
        <w:t xml:space="preserve">overlap </w:t>
      </w:r>
      <w:r w:rsidR="00580A9C">
        <w:rPr>
          <w:rFonts w:asciiTheme="minorHAnsi" w:hAnsiTheme="minorHAnsi"/>
          <w:szCs w:val="22"/>
        </w:rPr>
        <w:t xml:space="preserve">with </w:t>
      </w:r>
      <w:r w:rsidR="00580A9C" w:rsidRPr="00C45179">
        <w:rPr>
          <w:rFonts w:asciiTheme="minorHAnsi" w:hAnsiTheme="minorHAnsi"/>
          <w:szCs w:val="22"/>
        </w:rPr>
        <w:t>UNDP’s</w:t>
      </w:r>
      <w:r w:rsidR="00DF262A" w:rsidRPr="00C45179">
        <w:rPr>
          <w:rFonts w:asciiTheme="minorHAnsi" w:hAnsiTheme="minorHAnsi"/>
          <w:szCs w:val="22"/>
        </w:rPr>
        <w:t xml:space="preserve"> </w:t>
      </w:r>
      <w:r w:rsidR="00625328">
        <w:rPr>
          <w:rFonts w:asciiTheme="minorHAnsi" w:hAnsiTheme="minorHAnsi"/>
          <w:szCs w:val="22"/>
        </w:rPr>
        <w:t>S</w:t>
      </w:r>
      <w:r w:rsidR="00DF262A" w:rsidRPr="00C45179">
        <w:rPr>
          <w:rFonts w:asciiTheme="minorHAnsi" w:hAnsiTheme="minorHAnsi"/>
          <w:szCs w:val="22"/>
        </w:rPr>
        <w:t xml:space="preserve">trategic </w:t>
      </w:r>
      <w:r w:rsidR="00625328">
        <w:rPr>
          <w:rFonts w:asciiTheme="minorHAnsi" w:hAnsiTheme="minorHAnsi"/>
          <w:szCs w:val="22"/>
        </w:rPr>
        <w:t>P</w:t>
      </w:r>
      <w:r w:rsidR="00DF262A" w:rsidRPr="00C45179">
        <w:rPr>
          <w:rFonts w:asciiTheme="minorHAnsi" w:hAnsiTheme="minorHAnsi"/>
          <w:szCs w:val="22"/>
        </w:rPr>
        <w:t xml:space="preserve">lan and the </w:t>
      </w:r>
      <w:r w:rsidR="00625328">
        <w:rPr>
          <w:rFonts w:asciiTheme="minorHAnsi" w:hAnsiTheme="minorHAnsi"/>
          <w:szCs w:val="22"/>
        </w:rPr>
        <w:t>G</w:t>
      </w:r>
      <w:r w:rsidR="00DF262A" w:rsidRPr="00C45179">
        <w:rPr>
          <w:rFonts w:asciiTheme="minorHAnsi" w:hAnsiTheme="minorHAnsi"/>
          <w:szCs w:val="22"/>
        </w:rPr>
        <w:t>overnment of Malaysia’s priorities</w:t>
      </w:r>
      <w:r w:rsidR="00C410FE" w:rsidRPr="00C45179">
        <w:rPr>
          <w:rFonts w:asciiTheme="minorHAnsi" w:hAnsiTheme="minorHAnsi"/>
          <w:szCs w:val="22"/>
        </w:rPr>
        <w:t xml:space="preserve">. Consequently, the country office </w:t>
      </w:r>
      <w:r w:rsidR="00625328">
        <w:rPr>
          <w:rFonts w:asciiTheme="minorHAnsi" w:hAnsiTheme="minorHAnsi"/>
          <w:szCs w:val="22"/>
        </w:rPr>
        <w:t xml:space="preserve">was to </w:t>
      </w:r>
      <w:r w:rsidR="00C410FE" w:rsidRPr="00C45179">
        <w:rPr>
          <w:rFonts w:asciiTheme="minorHAnsi" w:hAnsiTheme="minorHAnsi"/>
          <w:szCs w:val="22"/>
        </w:rPr>
        <w:t>prioritize su</w:t>
      </w:r>
      <w:r w:rsidR="00C410FE">
        <w:rPr>
          <w:rFonts w:asciiTheme="minorHAnsi" w:hAnsiTheme="minorHAnsi"/>
          <w:szCs w:val="22"/>
        </w:rPr>
        <w:t>pport to government policy and programming in selected areas. These are inequalities and sustainable human development; spatial inequalities with a focus on states with the highest rates of multidimensional poverty and/or the highest inequalities; mainstreaming gender equality and women</w:t>
      </w:r>
      <w:r w:rsidR="00625328">
        <w:rPr>
          <w:rFonts w:asciiTheme="minorHAnsi" w:hAnsiTheme="minorHAnsi"/>
          <w:szCs w:val="22"/>
        </w:rPr>
        <w:t>’s</w:t>
      </w:r>
      <w:r w:rsidR="00C410FE">
        <w:rPr>
          <w:rFonts w:asciiTheme="minorHAnsi" w:hAnsiTheme="minorHAnsi"/>
          <w:szCs w:val="22"/>
        </w:rPr>
        <w:t xml:space="preserve"> socioeconomic and political empowerment across the programme portfolio; establishing </w:t>
      </w:r>
      <w:r w:rsidR="00625328">
        <w:rPr>
          <w:rFonts w:asciiTheme="minorHAnsi" w:hAnsiTheme="minorHAnsi"/>
          <w:szCs w:val="22"/>
        </w:rPr>
        <w:t xml:space="preserve">a country-office </w:t>
      </w:r>
      <w:r w:rsidR="00C410FE">
        <w:rPr>
          <w:rFonts w:asciiTheme="minorHAnsi" w:hAnsiTheme="minorHAnsi"/>
          <w:szCs w:val="22"/>
        </w:rPr>
        <w:t>gender strategy,</w:t>
      </w:r>
      <w:r w:rsidR="00580A9C">
        <w:rPr>
          <w:rFonts w:asciiTheme="minorHAnsi" w:hAnsiTheme="minorHAnsi"/>
          <w:szCs w:val="22"/>
        </w:rPr>
        <w:t xml:space="preserve"> and collection of</w:t>
      </w:r>
      <w:r w:rsidR="00C410FE">
        <w:rPr>
          <w:rFonts w:asciiTheme="minorHAnsi" w:hAnsiTheme="minorHAnsi"/>
          <w:szCs w:val="22"/>
        </w:rPr>
        <w:t xml:space="preserve"> gender-disaggregated dat</w:t>
      </w:r>
      <w:r w:rsidR="00580A9C">
        <w:rPr>
          <w:rFonts w:asciiTheme="minorHAnsi" w:hAnsiTheme="minorHAnsi"/>
          <w:szCs w:val="22"/>
        </w:rPr>
        <w:t>a.</w:t>
      </w:r>
      <w:r w:rsidR="00C410FE">
        <w:rPr>
          <w:rFonts w:asciiTheme="minorHAnsi" w:hAnsiTheme="minorHAnsi"/>
          <w:szCs w:val="22"/>
        </w:rPr>
        <w:t xml:space="preserve"> The evaluation</w:t>
      </w:r>
      <w:r w:rsidR="006309DE">
        <w:rPr>
          <w:rFonts w:asciiTheme="minorHAnsi" w:hAnsiTheme="minorHAnsi"/>
          <w:szCs w:val="22"/>
        </w:rPr>
        <w:t xml:space="preserve"> </w:t>
      </w:r>
      <w:r w:rsidR="00C410FE">
        <w:rPr>
          <w:rFonts w:asciiTheme="minorHAnsi" w:hAnsiTheme="minorHAnsi"/>
          <w:szCs w:val="22"/>
        </w:rPr>
        <w:t xml:space="preserve">further recommended a strengthening of </w:t>
      </w:r>
      <w:r w:rsidR="00DF262A">
        <w:rPr>
          <w:rFonts w:asciiTheme="minorHAnsi" w:hAnsiTheme="minorHAnsi"/>
          <w:szCs w:val="22"/>
        </w:rPr>
        <w:t>the monitoring and evaluation system</w:t>
      </w:r>
      <w:r w:rsidR="00580A9C">
        <w:rPr>
          <w:rFonts w:asciiTheme="minorHAnsi" w:hAnsiTheme="minorHAnsi"/>
          <w:szCs w:val="22"/>
        </w:rPr>
        <w:t xml:space="preserve"> of the CP</w:t>
      </w:r>
      <w:r w:rsidR="00DF262A">
        <w:rPr>
          <w:rFonts w:asciiTheme="minorHAnsi" w:hAnsiTheme="minorHAnsi"/>
          <w:szCs w:val="22"/>
        </w:rPr>
        <w:t>, as well as the reporting and communication on results and contributions to outcome-level change</w:t>
      </w:r>
      <w:r w:rsidR="00625328">
        <w:rPr>
          <w:rFonts w:asciiTheme="minorHAnsi" w:hAnsiTheme="minorHAnsi"/>
          <w:szCs w:val="22"/>
        </w:rPr>
        <w:t>s</w:t>
      </w:r>
      <w:r w:rsidR="00DF262A">
        <w:rPr>
          <w:rFonts w:asciiTheme="minorHAnsi" w:hAnsiTheme="minorHAnsi"/>
          <w:szCs w:val="22"/>
        </w:rPr>
        <w:t>.</w:t>
      </w:r>
      <w:r w:rsidR="006309DE">
        <w:rPr>
          <w:rFonts w:asciiTheme="minorHAnsi" w:hAnsiTheme="minorHAnsi"/>
          <w:szCs w:val="22"/>
        </w:rPr>
        <w:t xml:space="preserve"> These recommendations were addressed by </w:t>
      </w:r>
      <w:r w:rsidR="00A43666">
        <w:rPr>
          <w:rFonts w:asciiTheme="minorHAnsi" w:hAnsiTheme="minorHAnsi"/>
          <w:szCs w:val="22"/>
        </w:rPr>
        <w:t>t</w:t>
      </w:r>
      <w:r w:rsidR="00AC76B4">
        <w:rPr>
          <w:rFonts w:asciiTheme="minorHAnsi" w:hAnsiTheme="minorHAnsi"/>
          <w:szCs w:val="22"/>
        </w:rPr>
        <w:t xml:space="preserve">he </w:t>
      </w:r>
      <w:r w:rsidR="00625328">
        <w:rPr>
          <w:rFonts w:asciiTheme="minorHAnsi" w:hAnsiTheme="minorHAnsi"/>
          <w:szCs w:val="22"/>
        </w:rPr>
        <w:t xml:space="preserve">ongoing </w:t>
      </w:r>
      <w:r w:rsidR="00580A9C">
        <w:rPr>
          <w:rFonts w:asciiTheme="minorHAnsi" w:hAnsiTheme="minorHAnsi"/>
          <w:szCs w:val="22"/>
        </w:rPr>
        <w:t xml:space="preserve">CP </w:t>
      </w:r>
      <w:r w:rsidR="00AC76B4">
        <w:rPr>
          <w:rFonts w:asciiTheme="minorHAnsi" w:hAnsiTheme="minorHAnsi"/>
          <w:szCs w:val="22"/>
        </w:rPr>
        <w:t>which</w:t>
      </w:r>
      <w:r w:rsidR="009B56A4">
        <w:rPr>
          <w:rFonts w:asciiTheme="minorHAnsi" w:hAnsiTheme="minorHAnsi"/>
          <w:szCs w:val="22"/>
        </w:rPr>
        <w:t xml:space="preserve"> adopted a </w:t>
      </w:r>
      <w:r w:rsidR="00AC76B4">
        <w:rPr>
          <w:rFonts w:asciiTheme="minorHAnsi" w:hAnsiTheme="minorHAnsi"/>
          <w:szCs w:val="22"/>
        </w:rPr>
        <w:t>government-wide approach</w:t>
      </w:r>
      <w:r w:rsidR="009B56A4">
        <w:rPr>
          <w:rFonts w:asciiTheme="minorHAnsi" w:hAnsiTheme="minorHAnsi"/>
          <w:szCs w:val="22"/>
        </w:rPr>
        <w:t xml:space="preserve"> and </w:t>
      </w:r>
      <w:r w:rsidR="00AC76B4">
        <w:rPr>
          <w:rFonts w:asciiTheme="minorHAnsi" w:hAnsiTheme="minorHAnsi"/>
          <w:szCs w:val="22"/>
        </w:rPr>
        <w:t xml:space="preserve">supports inter-institutional coordination and policy coherence and the </w:t>
      </w:r>
      <w:r w:rsidR="00625328">
        <w:rPr>
          <w:rFonts w:asciiTheme="minorHAnsi" w:hAnsiTheme="minorHAnsi"/>
          <w:szCs w:val="22"/>
        </w:rPr>
        <w:t xml:space="preserve">strengthening </w:t>
      </w:r>
      <w:r w:rsidR="00AC76B4">
        <w:rPr>
          <w:rFonts w:asciiTheme="minorHAnsi" w:hAnsiTheme="minorHAnsi"/>
          <w:szCs w:val="22"/>
        </w:rPr>
        <w:t xml:space="preserve">of technical and institutional capacities at state and subnational levels in the areas of inclusiveness, resilience, and sustainability. </w:t>
      </w:r>
      <w:r w:rsidR="009B56A4">
        <w:rPr>
          <w:rFonts w:asciiTheme="minorHAnsi" w:hAnsiTheme="minorHAnsi"/>
          <w:szCs w:val="22"/>
        </w:rPr>
        <w:t xml:space="preserve">The </w:t>
      </w:r>
      <w:r w:rsidR="00580A9C">
        <w:rPr>
          <w:rFonts w:asciiTheme="minorHAnsi" w:hAnsiTheme="minorHAnsi"/>
          <w:szCs w:val="22"/>
        </w:rPr>
        <w:t xml:space="preserve">CP </w:t>
      </w:r>
      <w:r w:rsidR="009B56A4">
        <w:rPr>
          <w:rFonts w:asciiTheme="minorHAnsi" w:hAnsiTheme="minorHAnsi"/>
          <w:szCs w:val="22"/>
        </w:rPr>
        <w:t>also proposed to integrate gender considerations across all the programme by reinforcing targeting of women and vulnerable group</w:t>
      </w:r>
      <w:r w:rsidR="00EF3BC9">
        <w:rPr>
          <w:rFonts w:asciiTheme="minorHAnsi" w:hAnsiTheme="minorHAnsi"/>
          <w:szCs w:val="22"/>
        </w:rPr>
        <w:t>s in national socio-economic plans</w:t>
      </w:r>
      <w:r w:rsidR="00C3764C">
        <w:rPr>
          <w:rFonts w:asciiTheme="minorHAnsi" w:hAnsiTheme="minorHAnsi"/>
          <w:szCs w:val="22"/>
        </w:rPr>
        <w:t xml:space="preserve">. The </w:t>
      </w:r>
      <w:r w:rsidR="00580A9C">
        <w:rPr>
          <w:rFonts w:asciiTheme="minorHAnsi" w:hAnsiTheme="minorHAnsi"/>
          <w:szCs w:val="22"/>
        </w:rPr>
        <w:t>CP a</w:t>
      </w:r>
      <w:r w:rsidR="00C3764C">
        <w:rPr>
          <w:rFonts w:asciiTheme="minorHAnsi" w:hAnsiTheme="minorHAnsi"/>
          <w:szCs w:val="22"/>
        </w:rPr>
        <w:t xml:space="preserve">lso </w:t>
      </w:r>
      <w:r w:rsidR="00580A9C">
        <w:rPr>
          <w:rFonts w:asciiTheme="minorHAnsi" w:hAnsiTheme="minorHAnsi"/>
          <w:szCs w:val="22"/>
        </w:rPr>
        <w:t>aimed</w:t>
      </w:r>
      <w:r w:rsidR="00C3764C">
        <w:rPr>
          <w:rFonts w:asciiTheme="minorHAnsi" w:hAnsiTheme="minorHAnsi"/>
          <w:szCs w:val="22"/>
        </w:rPr>
        <w:t xml:space="preserve"> to strengthen its analytical capacity to support evidence-based policy planning in the medium and long term and the use of inter</w:t>
      </w:r>
      <w:r w:rsidR="00580A9C">
        <w:rPr>
          <w:rFonts w:asciiTheme="minorHAnsi" w:hAnsiTheme="minorHAnsi"/>
          <w:szCs w:val="22"/>
        </w:rPr>
        <w:t>-</w:t>
      </w:r>
      <w:r w:rsidR="00C3764C">
        <w:rPr>
          <w:rFonts w:asciiTheme="minorHAnsi" w:hAnsiTheme="minorHAnsi"/>
          <w:szCs w:val="22"/>
        </w:rPr>
        <w:t xml:space="preserve"> and intra</w:t>
      </w:r>
      <w:r w:rsidR="00580A9C">
        <w:rPr>
          <w:rFonts w:asciiTheme="minorHAnsi" w:hAnsiTheme="minorHAnsi"/>
          <w:szCs w:val="22"/>
        </w:rPr>
        <w:t>-</w:t>
      </w:r>
      <w:r w:rsidR="00C3764C">
        <w:rPr>
          <w:rFonts w:asciiTheme="minorHAnsi" w:hAnsiTheme="minorHAnsi"/>
          <w:szCs w:val="22"/>
        </w:rPr>
        <w:t xml:space="preserve">regional analysis to benchmark spatially disaggregated socioeconomic development progress; to strengthen the </w:t>
      </w:r>
      <w:r>
        <w:rPr>
          <w:rFonts w:asciiTheme="minorHAnsi" w:hAnsiTheme="minorHAnsi"/>
          <w:szCs w:val="22"/>
        </w:rPr>
        <w:t xml:space="preserve">national and subnational </w:t>
      </w:r>
      <w:r w:rsidR="00C3764C">
        <w:rPr>
          <w:rFonts w:asciiTheme="minorHAnsi" w:hAnsiTheme="minorHAnsi"/>
          <w:szCs w:val="22"/>
        </w:rPr>
        <w:t xml:space="preserve">monitoring and evaluation of the </w:t>
      </w:r>
      <w:r w:rsidR="00580A9C">
        <w:rPr>
          <w:rFonts w:asciiTheme="minorHAnsi" w:hAnsiTheme="minorHAnsi"/>
          <w:szCs w:val="22"/>
        </w:rPr>
        <w:t xml:space="preserve">CP </w:t>
      </w:r>
      <w:r w:rsidR="00C3764C">
        <w:rPr>
          <w:rFonts w:asciiTheme="minorHAnsi" w:hAnsiTheme="minorHAnsi"/>
          <w:szCs w:val="22"/>
        </w:rPr>
        <w:t xml:space="preserve">in close collaboration with federal and subnational </w:t>
      </w:r>
      <w:r>
        <w:rPr>
          <w:rFonts w:asciiTheme="minorHAnsi" w:hAnsiTheme="minorHAnsi"/>
          <w:szCs w:val="22"/>
        </w:rPr>
        <w:t xml:space="preserve">counterparts and </w:t>
      </w:r>
      <w:r w:rsidR="00C3764C">
        <w:rPr>
          <w:rFonts w:asciiTheme="minorHAnsi" w:hAnsiTheme="minorHAnsi"/>
          <w:szCs w:val="22"/>
        </w:rPr>
        <w:t xml:space="preserve">stakeholders. </w:t>
      </w:r>
    </w:p>
    <w:p w14:paraId="3E4E0E42" w14:textId="77777777" w:rsidR="00703044" w:rsidRDefault="00703044" w:rsidP="00AC76B4">
      <w:pPr>
        <w:pStyle w:val="ADRTextBulletL2"/>
        <w:tabs>
          <w:tab w:val="left" w:pos="9000"/>
        </w:tabs>
        <w:jc w:val="both"/>
        <w:rPr>
          <w:rFonts w:asciiTheme="minorHAnsi" w:hAnsiTheme="minorHAnsi"/>
          <w:szCs w:val="22"/>
        </w:rPr>
      </w:pPr>
    </w:p>
    <w:p w14:paraId="5385DD1B" w14:textId="4D3FDDDB" w:rsidR="00703044" w:rsidRDefault="00E06207" w:rsidP="00AC76B4">
      <w:pPr>
        <w:pStyle w:val="ADRTextBulletL2"/>
        <w:tabs>
          <w:tab w:val="left" w:pos="9000"/>
        </w:tabs>
        <w:jc w:val="both"/>
        <w:rPr>
          <w:rFonts w:asciiTheme="minorHAnsi" w:hAnsiTheme="minorHAnsi"/>
          <w:szCs w:val="22"/>
        </w:rPr>
      </w:pPr>
      <w:r>
        <w:rPr>
          <w:rFonts w:asciiTheme="minorHAnsi" w:hAnsiTheme="minorHAnsi"/>
          <w:szCs w:val="22"/>
        </w:rPr>
        <w:t xml:space="preserve">The </w:t>
      </w:r>
      <w:r w:rsidR="00580A9C">
        <w:rPr>
          <w:rFonts w:asciiTheme="minorHAnsi" w:hAnsiTheme="minorHAnsi"/>
          <w:szCs w:val="22"/>
        </w:rPr>
        <w:t>CP 2016-2020</w:t>
      </w:r>
      <w:r>
        <w:rPr>
          <w:rFonts w:asciiTheme="minorHAnsi" w:hAnsiTheme="minorHAnsi"/>
          <w:szCs w:val="22"/>
        </w:rPr>
        <w:t xml:space="preserve"> aims to contribute to two outcome results per </w:t>
      </w:r>
      <w:r w:rsidR="00625328">
        <w:rPr>
          <w:rFonts w:asciiTheme="minorHAnsi" w:hAnsiTheme="minorHAnsi"/>
          <w:szCs w:val="22"/>
        </w:rPr>
        <w:t>T</w:t>
      </w:r>
      <w:r>
        <w:rPr>
          <w:rFonts w:asciiTheme="minorHAnsi" w:hAnsiTheme="minorHAnsi"/>
          <w:szCs w:val="22"/>
        </w:rPr>
        <w:t>able 1</w:t>
      </w:r>
      <w:r w:rsidR="00625328">
        <w:rPr>
          <w:rFonts w:asciiTheme="minorHAnsi" w:hAnsiTheme="minorHAnsi"/>
          <w:szCs w:val="22"/>
        </w:rPr>
        <w:t xml:space="preserve"> below</w:t>
      </w:r>
      <w:r>
        <w:rPr>
          <w:rFonts w:asciiTheme="minorHAnsi" w:hAnsiTheme="minorHAnsi"/>
          <w:szCs w:val="22"/>
        </w:rPr>
        <w:t>. Under the first outcome result area (inclusive development and growth)</w:t>
      </w:r>
      <w:r w:rsidR="00F06F14">
        <w:rPr>
          <w:rFonts w:asciiTheme="minorHAnsi" w:hAnsiTheme="minorHAnsi"/>
          <w:szCs w:val="22"/>
        </w:rPr>
        <w:t xml:space="preserve"> the </w:t>
      </w:r>
      <w:r w:rsidR="00580A9C">
        <w:rPr>
          <w:rFonts w:asciiTheme="minorHAnsi" w:hAnsiTheme="minorHAnsi"/>
          <w:szCs w:val="22"/>
        </w:rPr>
        <w:t xml:space="preserve">CP </w:t>
      </w:r>
      <w:r w:rsidR="00F06F14">
        <w:rPr>
          <w:rFonts w:asciiTheme="minorHAnsi" w:hAnsiTheme="minorHAnsi"/>
          <w:szCs w:val="22"/>
        </w:rPr>
        <w:t xml:space="preserve">planned to offer policy advice and </w:t>
      </w:r>
      <w:r w:rsidR="00020B12">
        <w:rPr>
          <w:rFonts w:asciiTheme="minorHAnsi" w:hAnsiTheme="minorHAnsi"/>
          <w:szCs w:val="22"/>
        </w:rPr>
        <w:t xml:space="preserve">enhance the capacity of federal and state level institutions and ministries responsible for socioeconomic development in prioritizing and mainstreaming inclusion for pockets of the poor, the bottom 40 percent of income household and vulnerable communities. Under this first outcome result area, the </w:t>
      </w:r>
      <w:r w:rsidR="00580A9C">
        <w:rPr>
          <w:rFonts w:asciiTheme="minorHAnsi" w:hAnsiTheme="minorHAnsi"/>
          <w:szCs w:val="22"/>
        </w:rPr>
        <w:t xml:space="preserve">CP </w:t>
      </w:r>
      <w:r w:rsidR="00020B12">
        <w:rPr>
          <w:rFonts w:asciiTheme="minorHAnsi" w:hAnsiTheme="minorHAnsi"/>
          <w:szCs w:val="22"/>
        </w:rPr>
        <w:t xml:space="preserve">targeted to improve the capacity of federal and state institutions responsible for economic and urban development in the design, implementation, and monitoring of programmes aiming at reducing spatial inequalities and inclusive and sustainable urbanization and rural development.  </w:t>
      </w:r>
    </w:p>
    <w:p w14:paraId="76C78573" w14:textId="77777777" w:rsidR="00625328" w:rsidRDefault="00625328" w:rsidP="001C2670">
      <w:pPr>
        <w:pStyle w:val="ADRTextBulletL2"/>
        <w:tabs>
          <w:tab w:val="left" w:pos="9000"/>
        </w:tabs>
        <w:jc w:val="both"/>
        <w:rPr>
          <w:rFonts w:asciiTheme="minorHAnsi" w:hAnsiTheme="minorHAnsi"/>
          <w:szCs w:val="22"/>
        </w:rPr>
      </w:pPr>
    </w:p>
    <w:p w14:paraId="51803A8F" w14:textId="38725739" w:rsidR="00E6329D" w:rsidRDefault="00E06207" w:rsidP="001C2670">
      <w:pPr>
        <w:pStyle w:val="ADRTextBulletL2"/>
        <w:tabs>
          <w:tab w:val="left" w:pos="9000"/>
        </w:tabs>
        <w:jc w:val="both"/>
        <w:rPr>
          <w:rFonts w:asciiTheme="minorHAnsi" w:hAnsiTheme="minorHAnsi"/>
          <w:szCs w:val="22"/>
        </w:rPr>
      </w:pPr>
      <w:r>
        <w:rPr>
          <w:rFonts w:asciiTheme="minorHAnsi" w:hAnsiTheme="minorHAnsi"/>
          <w:szCs w:val="22"/>
        </w:rPr>
        <w:t xml:space="preserve">The second outcome result area (sustainable and resilient development) </w:t>
      </w:r>
      <w:r w:rsidR="00625328">
        <w:rPr>
          <w:rFonts w:asciiTheme="minorHAnsi" w:hAnsiTheme="minorHAnsi"/>
          <w:szCs w:val="22"/>
        </w:rPr>
        <w:t>aims</w:t>
      </w:r>
      <w:r>
        <w:rPr>
          <w:rFonts w:asciiTheme="minorHAnsi" w:hAnsiTheme="minorHAnsi"/>
          <w:szCs w:val="22"/>
        </w:rPr>
        <w:t xml:space="preserve"> to enhance the country</w:t>
      </w:r>
      <w:r w:rsidR="00625328">
        <w:rPr>
          <w:rFonts w:asciiTheme="minorHAnsi" w:hAnsiTheme="minorHAnsi"/>
          <w:szCs w:val="22"/>
        </w:rPr>
        <w:t>’s</w:t>
      </w:r>
      <w:r>
        <w:rPr>
          <w:rFonts w:asciiTheme="minorHAnsi" w:hAnsiTheme="minorHAnsi"/>
          <w:szCs w:val="22"/>
        </w:rPr>
        <w:t xml:space="preserve"> resilienc</w:t>
      </w:r>
      <w:r w:rsidR="00625328">
        <w:rPr>
          <w:rFonts w:asciiTheme="minorHAnsi" w:hAnsiTheme="minorHAnsi"/>
          <w:szCs w:val="22"/>
        </w:rPr>
        <w:t>e</w:t>
      </w:r>
      <w:r>
        <w:rPr>
          <w:rFonts w:asciiTheme="minorHAnsi" w:hAnsiTheme="minorHAnsi"/>
          <w:szCs w:val="22"/>
        </w:rPr>
        <w:t xml:space="preserve"> to climate variability and change by promoting innovative mitigation actions such as the use of clean and renewable energy and universal modern energy access for the underserved population</w:t>
      </w:r>
      <w:r w:rsidR="00625328">
        <w:rPr>
          <w:rFonts w:asciiTheme="minorHAnsi" w:hAnsiTheme="minorHAnsi"/>
          <w:szCs w:val="22"/>
        </w:rPr>
        <w:t>. Th</w:t>
      </w:r>
      <w:r w:rsidR="00751C1B">
        <w:rPr>
          <w:rFonts w:asciiTheme="minorHAnsi" w:hAnsiTheme="minorHAnsi"/>
          <w:szCs w:val="22"/>
        </w:rPr>
        <w:t xml:space="preserve">e </w:t>
      </w:r>
      <w:r w:rsidR="00580A9C">
        <w:rPr>
          <w:rFonts w:asciiTheme="minorHAnsi" w:hAnsiTheme="minorHAnsi"/>
          <w:szCs w:val="22"/>
        </w:rPr>
        <w:t>CP</w:t>
      </w:r>
      <w:r w:rsidR="00751C1B">
        <w:rPr>
          <w:rFonts w:asciiTheme="minorHAnsi" w:hAnsiTheme="minorHAnsi"/>
          <w:szCs w:val="22"/>
        </w:rPr>
        <w:t xml:space="preserve"> planned to support </w:t>
      </w:r>
      <w:r w:rsidR="005855DF">
        <w:rPr>
          <w:rFonts w:asciiTheme="minorHAnsi" w:hAnsiTheme="minorHAnsi"/>
          <w:szCs w:val="22"/>
        </w:rPr>
        <w:t>strategies on climate change adapt</w:t>
      </w:r>
      <w:r w:rsidR="00D31F30">
        <w:rPr>
          <w:rFonts w:asciiTheme="minorHAnsi" w:hAnsiTheme="minorHAnsi"/>
          <w:szCs w:val="22"/>
        </w:rPr>
        <w:t>at</w:t>
      </w:r>
      <w:r w:rsidR="005855DF">
        <w:rPr>
          <w:rFonts w:asciiTheme="minorHAnsi" w:hAnsiTheme="minorHAnsi"/>
          <w:szCs w:val="22"/>
        </w:rPr>
        <w:t>ion</w:t>
      </w:r>
      <w:r w:rsidR="007D7156">
        <w:rPr>
          <w:rFonts w:asciiTheme="minorHAnsi" w:hAnsiTheme="minorHAnsi"/>
          <w:szCs w:val="22"/>
        </w:rPr>
        <w:t>, disaster</w:t>
      </w:r>
      <w:r w:rsidR="005855DF">
        <w:rPr>
          <w:rFonts w:asciiTheme="minorHAnsi" w:hAnsiTheme="minorHAnsi"/>
          <w:szCs w:val="22"/>
        </w:rPr>
        <w:t xml:space="preserve"> risk reduction</w:t>
      </w:r>
      <w:r w:rsidR="007D7156">
        <w:rPr>
          <w:rFonts w:asciiTheme="minorHAnsi" w:hAnsiTheme="minorHAnsi"/>
          <w:szCs w:val="22"/>
        </w:rPr>
        <w:t xml:space="preserve">, </w:t>
      </w:r>
      <w:r w:rsidR="005855DF">
        <w:rPr>
          <w:rFonts w:asciiTheme="minorHAnsi" w:hAnsiTheme="minorHAnsi"/>
          <w:szCs w:val="22"/>
        </w:rPr>
        <w:t>natural capital valuation, reduc</w:t>
      </w:r>
      <w:r w:rsidR="007D7156">
        <w:rPr>
          <w:rFonts w:asciiTheme="minorHAnsi" w:hAnsiTheme="minorHAnsi"/>
          <w:szCs w:val="22"/>
        </w:rPr>
        <w:t xml:space="preserve">tion of </w:t>
      </w:r>
      <w:r w:rsidR="005855DF">
        <w:rPr>
          <w:rFonts w:asciiTheme="minorHAnsi" w:hAnsiTheme="minorHAnsi"/>
          <w:szCs w:val="22"/>
        </w:rPr>
        <w:t>environmental impacts and enhance</w:t>
      </w:r>
      <w:r w:rsidR="007D7156">
        <w:rPr>
          <w:rFonts w:asciiTheme="minorHAnsi" w:hAnsiTheme="minorHAnsi"/>
          <w:szCs w:val="22"/>
        </w:rPr>
        <w:t>d</w:t>
      </w:r>
      <w:r w:rsidR="005855DF">
        <w:rPr>
          <w:rFonts w:asciiTheme="minorHAnsi" w:hAnsiTheme="minorHAnsi"/>
          <w:szCs w:val="22"/>
        </w:rPr>
        <w:t xml:space="preserve"> access to quality ecosystem services </w:t>
      </w:r>
      <w:r w:rsidR="007D7156">
        <w:rPr>
          <w:rFonts w:asciiTheme="minorHAnsi" w:hAnsiTheme="minorHAnsi"/>
          <w:szCs w:val="22"/>
        </w:rPr>
        <w:t xml:space="preserve">for </w:t>
      </w:r>
      <w:r w:rsidR="005855DF">
        <w:rPr>
          <w:rFonts w:asciiTheme="minorHAnsi" w:hAnsiTheme="minorHAnsi"/>
          <w:szCs w:val="22"/>
        </w:rPr>
        <w:t>effective mainstreaming of biodiversity into development an</w:t>
      </w:r>
      <w:r w:rsidR="007D7156">
        <w:rPr>
          <w:rFonts w:asciiTheme="minorHAnsi" w:hAnsiTheme="minorHAnsi"/>
          <w:szCs w:val="22"/>
        </w:rPr>
        <w:t>d</w:t>
      </w:r>
      <w:r w:rsidR="005855DF">
        <w:rPr>
          <w:rFonts w:asciiTheme="minorHAnsi" w:hAnsiTheme="minorHAnsi"/>
          <w:szCs w:val="22"/>
        </w:rPr>
        <w:t xml:space="preserve"> growth policies. Finally, this second outcome s</w:t>
      </w:r>
      <w:r w:rsidR="00751C1B">
        <w:rPr>
          <w:rFonts w:asciiTheme="minorHAnsi" w:hAnsiTheme="minorHAnsi"/>
          <w:szCs w:val="22"/>
        </w:rPr>
        <w:t xml:space="preserve">ought </w:t>
      </w:r>
      <w:r w:rsidR="005855DF">
        <w:rPr>
          <w:rFonts w:asciiTheme="minorHAnsi" w:hAnsiTheme="minorHAnsi"/>
          <w:szCs w:val="22"/>
        </w:rPr>
        <w:t xml:space="preserve">to </w:t>
      </w:r>
      <w:r w:rsidR="00751C1B">
        <w:rPr>
          <w:rFonts w:asciiTheme="minorHAnsi" w:hAnsiTheme="minorHAnsi"/>
          <w:szCs w:val="22"/>
        </w:rPr>
        <w:t xml:space="preserve">strengthen </w:t>
      </w:r>
      <w:r w:rsidR="005855DF">
        <w:rPr>
          <w:rFonts w:asciiTheme="minorHAnsi" w:hAnsiTheme="minorHAnsi"/>
          <w:szCs w:val="22"/>
        </w:rPr>
        <w:t>in</w:t>
      </w:r>
      <w:r w:rsidR="00751C1B">
        <w:rPr>
          <w:rFonts w:asciiTheme="minorHAnsi" w:hAnsiTheme="minorHAnsi"/>
          <w:szCs w:val="22"/>
        </w:rPr>
        <w:t>s</w:t>
      </w:r>
      <w:r w:rsidR="005855DF">
        <w:rPr>
          <w:rFonts w:asciiTheme="minorHAnsi" w:hAnsiTheme="minorHAnsi"/>
          <w:szCs w:val="22"/>
        </w:rPr>
        <w:t>t</w:t>
      </w:r>
      <w:r w:rsidR="00751C1B">
        <w:rPr>
          <w:rFonts w:asciiTheme="minorHAnsi" w:hAnsiTheme="minorHAnsi"/>
          <w:szCs w:val="22"/>
        </w:rPr>
        <w:t>it</w:t>
      </w:r>
      <w:r w:rsidR="005855DF">
        <w:rPr>
          <w:rFonts w:asciiTheme="minorHAnsi" w:hAnsiTheme="minorHAnsi"/>
          <w:szCs w:val="22"/>
        </w:rPr>
        <w:t xml:space="preserve">utional capacity for improved natural resource management benefiting communities and low-income households. </w:t>
      </w:r>
    </w:p>
    <w:p w14:paraId="1588ED91" w14:textId="410E8E92" w:rsidR="00580A9C" w:rsidRDefault="00580A9C" w:rsidP="001C2670">
      <w:pPr>
        <w:pStyle w:val="ADRTextBulletL2"/>
        <w:tabs>
          <w:tab w:val="left" w:pos="9000"/>
        </w:tabs>
        <w:jc w:val="both"/>
        <w:rPr>
          <w:rFonts w:asciiTheme="minorHAnsi" w:hAnsiTheme="minorHAnsi"/>
          <w:szCs w:val="22"/>
        </w:rPr>
      </w:pPr>
    </w:p>
    <w:p w14:paraId="5A0067B4" w14:textId="45942C3F" w:rsidR="00930D78" w:rsidRDefault="00157A79" w:rsidP="00930D78">
      <w:pPr>
        <w:pStyle w:val="ADRTextBulletL2"/>
        <w:tabs>
          <w:tab w:val="left" w:pos="9000"/>
        </w:tabs>
        <w:jc w:val="both"/>
        <w:rPr>
          <w:rFonts w:asciiTheme="minorHAnsi" w:hAnsiTheme="minorHAnsi"/>
          <w:szCs w:val="22"/>
        </w:rPr>
      </w:pPr>
      <w:r w:rsidRPr="00FB6BDC">
        <w:t xml:space="preserve">UNDP Malaysia works closely with the Government through the </w:t>
      </w:r>
      <w:r w:rsidR="00930D78" w:rsidRPr="00440A44">
        <w:rPr>
          <w:rFonts w:asciiTheme="minorHAnsi" w:hAnsiTheme="minorHAnsi"/>
          <w:szCs w:val="22"/>
        </w:rPr>
        <w:t xml:space="preserve">Ministry of Economic Affairs (previously </w:t>
      </w:r>
      <w:r w:rsidR="00580A9C" w:rsidRPr="00237251">
        <w:t>Economic Planning Unit</w:t>
      </w:r>
      <w:r w:rsidR="0051740D" w:rsidRPr="00237251">
        <w:rPr>
          <w:rFonts w:asciiTheme="minorHAnsi" w:hAnsiTheme="minorHAnsi"/>
          <w:szCs w:val="22"/>
        </w:rPr>
        <w:t xml:space="preserve"> (EPU</w:t>
      </w:r>
      <w:r w:rsidR="00BE6235" w:rsidRPr="00237251">
        <w:rPr>
          <w:rFonts w:asciiTheme="minorHAnsi" w:hAnsiTheme="minorHAnsi"/>
          <w:szCs w:val="22"/>
        </w:rPr>
        <w:t>)</w:t>
      </w:r>
      <w:r w:rsidR="0051740D" w:rsidRPr="00237251">
        <w:rPr>
          <w:rFonts w:asciiTheme="minorHAnsi" w:hAnsiTheme="minorHAnsi"/>
          <w:szCs w:val="22"/>
        </w:rPr>
        <w:t xml:space="preserve">. </w:t>
      </w:r>
      <w:r w:rsidRPr="00237251">
        <w:t xml:space="preserve">Other key </w:t>
      </w:r>
      <w:r w:rsidRPr="00237251">
        <w:rPr>
          <w:rFonts w:asciiTheme="minorHAnsi" w:hAnsiTheme="minorHAnsi"/>
          <w:szCs w:val="22"/>
        </w:rPr>
        <w:t>counterpart</w:t>
      </w:r>
      <w:r w:rsidRPr="00237251">
        <w:t xml:space="preserve"> ministries are</w:t>
      </w:r>
      <w:r w:rsidRPr="00237251">
        <w:rPr>
          <w:rFonts w:asciiTheme="minorHAnsi" w:hAnsiTheme="minorHAnsi"/>
          <w:szCs w:val="22"/>
        </w:rPr>
        <w:t>;</w:t>
      </w:r>
      <w:r w:rsidRPr="00237251">
        <w:t xml:space="preserve"> </w:t>
      </w:r>
      <w:r w:rsidRPr="00237251">
        <w:rPr>
          <w:rFonts w:asciiTheme="minorHAnsi" w:hAnsiTheme="minorHAnsi"/>
          <w:szCs w:val="22"/>
        </w:rPr>
        <w:t>M</w:t>
      </w:r>
      <w:r w:rsidR="00930D78" w:rsidRPr="00237251">
        <w:rPr>
          <w:rFonts w:asciiTheme="minorHAnsi" w:hAnsiTheme="minorHAnsi"/>
          <w:szCs w:val="22"/>
        </w:rPr>
        <w:t>inistry of Women,</w:t>
      </w:r>
      <w:r w:rsidR="00930D78" w:rsidRPr="00440A44">
        <w:rPr>
          <w:rFonts w:asciiTheme="minorHAnsi" w:hAnsiTheme="minorHAnsi"/>
          <w:szCs w:val="22"/>
        </w:rPr>
        <w:t xml:space="preserve"> Family </w:t>
      </w:r>
      <w:r w:rsidR="000D448C">
        <w:rPr>
          <w:rFonts w:asciiTheme="minorHAnsi" w:hAnsiTheme="minorHAnsi"/>
          <w:szCs w:val="22"/>
        </w:rPr>
        <w:t>and</w:t>
      </w:r>
      <w:r w:rsidR="00930D78" w:rsidRPr="00440A44">
        <w:rPr>
          <w:rFonts w:asciiTheme="minorHAnsi" w:hAnsiTheme="minorHAnsi"/>
          <w:szCs w:val="22"/>
        </w:rPr>
        <w:t xml:space="preserve"> Community Development, Ministry of Economic Affairs, Ministry of Natural Resources </w:t>
      </w:r>
      <w:r w:rsidR="000D448C">
        <w:rPr>
          <w:rFonts w:asciiTheme="minorHAnsi" w:hAnsiTheme="minorHAnsi"/>
          <w:szCs w:val="22"/>
        </w:rPr>
        <w:t>and</w:t>
      </w:r>
      <w:r w:rsidR="00930D78" w:rsidRPr="00440A44">
        <w:rPr>
          <w:rFonts w:asciiTheme="minorHAnsi" w:hAnsiTheme="minorHAnsi"/>
          <w:szCs w:val="22"/>
        </w:rPr>
        <w:t xml:space="preserve"> Environment and</w:t>
      </w:r>
      <w:r w:rsidR="00930D78" w:rsidRPr="007C4155">
        <w:rPr>
          <w:rFonts w:asciiTheme="minorHAnsi" w:hAnsiTheme="minorHAnsi"/>
          <w:szCs w:val="22"/>
        </w:rPr>
        <w:t xml:space="preserve"> </w:t>
      </w:r>
      <w:r w:rsidR="00930D78" w:rsidRPr="00FC18AF">
        <w:rPr>
          <w:rFonts w:asciiTheme="minorHAnsi" w:hAnsiTheme="minorHAnsi"/>
          <w:szCs w:val="22"/>
        </w:rPr>
        <w:t xml:space="preserve">Ministry of Science, Technology, Energy &amp; Climate Change. </w:t>
      </w:r>
      <w:r w:rsidR="000D448C">
        <w:rPr>
          <w:rFonts w:asciiTheme="minorHAnsi" w:hAnsiTheme="minorHAnsi"/>
          <w:szCs w:val="22"/>
        </w:rPr>
        <w:t>At</w:t>
      </w:r>
      <w:r w:rsidR="0051740D" w:rsidRPr="00FB6BDC">
        <w:rPr>
          <w:rFonts w:asciiTheme="minorHAnsi" w:hAnsiTheme="minorHAnsi"/>
          <w:szCs w:val="22"/>
        </w:rPr>
        <w:t xml:space="preserve"> local level, </w:t>
      </w:r>
      <w:r w:rsidR="0051740D" w:rsidRPr="00440A44">
        <w:rPr>
          <w:rFonts w:asciiTheme="minorHAnsi" w:hAnsiTheme="minorHAnsi"/>
          <w:szCs w:val="22"/>
        </w:rPr>
        <w:t>UNDP collaborate</w:t>
      </w:r>
      <w:r w:rsidR="00067DD0">
        <w:rPr>
          <w:rFonts w:asciiTheme="minorHAnsi" w:hAnsiTheme="minorHAnsi"/>
          <w:szCs w:val="22"/>
        </w:rPr>
        <w:t>s</w:t>
      </w:r>
      <w:r w:rsidR="0051740D" w:rsidRPr="00440A44">
        <w:rPr>
          <w:rFonts w:asciiTheme="minorHAnsi" w:hAnsiTheme="minorHAnsi"/>
          <w:szCs w:val="22"/>
        </w:rPr>
        <w:t xml:space="preserve"> with </w:t>
      </w:r>
      <w:r w:rsidR="0051740D" w:rsidRPr="00FB6BDC">
        <w:rPr>
          <w:rFonts w:asciiTheme="minorHAnsi" w:hAnsiTheme="minorHAnsi"/>
          <w:szCs w:val="22"/>
        </w:rPr>
        <w:t xml:space="preserve">local governments through </w:t>
      </w:r>
      <w:r w:rsidR="00930D78" w:rsidRPr="00FB6BDC">
        <w:rPr>
          <w:rFonts w:asciiTheme="minorHAnsi" w:hAnsiTheme="minorHAnsi"/>
          <w:i/>
          <w:szCs w:val="22"/>
        </w:rPr>
        <w:t xml:space="preserve">Johor </w:t>
      </w:r>
      <w:r w:rsidR="00930D78" w:rsidRPr="00FB6BDC">
        <w:rPr>
          <w:rFonts w:asciiTheme="minorHAnsi" w:hAnsiTheme="minorHAnsi"/>
          <w:szCs w:val="22"/>
        </w:rPr>
        <w:t xml:space="preserve">local councils, </w:t>
      </w:r>
      <w:r w:rsidR="0051740D" w:rsidRPr="00FB6BDC">
        <w:rPr>
          <w:rFonts w:asciiTheme="minorHAnsi" w:hAnsiTheme="minorHAnsi"/>
          <w:szCs w:val="22"/>
        </w:rPr>
        <w:t>State</w:t>
      </w:r>
      <w:r w:rsidR="0051740D" w:rsidRPr="00440A44">
        <w:rPr>
          <w:rFonts w:asciiTheme="minorHAnsi" w:hAnsiTheme="minorHAnsi"/>
          <w:i/>
          <w:szCs w:val="22"/>
        </w:rPr>
        <w:t xml:space="preserve"> </w:t>
      </w:r>
      <w:r w:rsidR="00930D78" w:rsidRPr="00FB6BDC">
        <w:rPr>
          <w:rFonts w:asciiTheme="minorHAnsi" w:hAnsiTheme="minorHAnsi"/>
          <w:szCs w:val="22"/>
        </w:rPr>
        <w:t>Corporation</w:t>
      </w:r>
      <w:r w:rsidR="0051740D" w:rsidRPr="00440A44">
        <w:rPr>
          <w:rFonts w:asciiTheme="minorHAnsi" w:hAnsiTheme="minorHAnsi"/>
          <w:szCs w:val="22"/>
        </w:rPr>
        <w:t xml:space="preserve">s, </w:t>
      </w:r>
      <w:r w:rsidR="00930D78" w:rsidRPr="00FB6BDC">
        <w:rPr>
          <w:rFonts w:asciiTheme="minorHAnsi" w:hAnsiTheme="minorHAnsi"/>
          <w:szCs w:val="22"/>
        </w:rPr>
        <w:t xml:space="preserve">National Ozone Unit, </w:t>
      </w:r>
      <w:r w:rsidR="00067DD0">
        <w:rPr>
          <w:rFonts w:asciiTheme="minorHAnsi" w:hAnsiTheme="minorHAnsi"/>
          <w:szCs w:val="22"/>
        </w:rPr>
        <w:t xml:space="preserve">and </w:t>
      </w:r>
      <w:r w:rsidR="00930D78" w:rsidRPr="001526EE">
        <w:rPr>
          <w:rFonts w:asciiTheme="minorHAnsi" w:hAnsiTheme="minorHAnsi"/>
          <w:szCs w:val="22"/>
        </w:rPr>
        <w:t xml:space="preserve">Sustainable </w:t>
      </w:r>
      <w:r w:rsidR="00930D78" w:rsidRPr="001526EE">
        <w:rPr>
          <w:rFonts w:asciiTheme="minorHAnsi" w:hAnsiTheme="minorHAnsi"/>
          <w:szCs w:val="22"/>
        </w:rPr>
        <w:lastRenderedPageBreak/>
        <w:t>Energy Development Authority (SEDA)</w:t>
      </w:r>
      <w:r w:rsidR="0051740D" w:rsidRPr="001526EE">
        <w:rPr>
          <w:rFonts w:asciiTheme="minorHAnsi" w:hAnsiTheme="minorHAnsi"/>
          <w:szCs w:val="22"/>
        </w:rPr>
        <w:t xml:space="preserve">. </w:t>
      </w:r>
      <w:r w:rsidR="0051740D" w:rsidRPr="00440A44">
        <w:rPr>
          <w:rFonts w:asciiTheme="minorHAnsi" w:hAnsiTheme="minorHAnsi"/>
          <w:szCs w:val="22"/>
        </w:rPr>
        <w:t>Other key non-state national stakeholders</w:t>
      </w:r>
      <w:r w:rsidR="00930D78" w:rsidRPr="00CC4D73">
        <w:rPr>
          <w:rFonts w:asciiTheme="minorHAnsi" w:hAnsiTheme="minorHAnsi"/>
          <w:szCs w:val="22"/>
        </w:rPr>
        <w:t xml:space="preserve"> include civil society organisation (</w:t>
      </w:r>
      <w:r w:rsidR="0051740D" w:rsidRPr="00CC4D73">
        <w:rPr>
          <w:rFonts w:asciiTheme="minorHAnsi" w:hAnsiTheme="minorHAnsi"/>
          <w:szCs w:val="22"/>
        </w:rPr>
        <w:t xml:space="preserve">e.g. </w:t>
      </w:r>
      <w:r w:rsidR="000D448C">
        <w:rPr>
          <w:rFonts w:asciiTheme="minorHAnsi" w:hAnsiTheme="minorHAnsi"/>
          <w:szCs w:val="22"/>
        </w:rPr>
        <w:t>w</w:t>
      </w:r>
      <w:r w:rsidR="00930D78" w:rsidRPr="00CC4D73">
        <w:rPr>
          <w:rFonts w:asciiTheme="minorHAnsi" w:hAnsiTheme="minorHAnsi"/>
          <w:szCs w:val="22"/>
        </w:rPr>
        <w:t xml:space="preserve">omen </w:t>
      </w:r>
      <w:r w:rsidR="000D448C">
        <w:rPr>
          <w:rFonts w:asciiTheme="minorHAnsi" w:hAnsiTheme="minorHAnsi"/>
          <w:szCs w:val="22"/>
        </w:rPr>
        <w:t>r</w:t>
      </w:r>
      <w:r w:rsidR="00930D78" w:rsidRPr="00CC4D73">
        <w:rPr>
          <w:rFonts w:asciiTheme="minorHAnsi" w:hAnsiTheme="minorHAnsi"/>
          <w:szCs w:val="22"/>
        </w:rPr>
        <w:t xml:space="preserve">ights NGOs), specialized training institutes and </w:t>
      </w:r>
      <w:r w:rsidR="00930D78" w:rsidRPr="002A43DF">
        <w:rPr>
          <w:rFonts w:asciiTheme="minorHAnsi" w:hAnsiTheme="minorHAnsi"/>
          <w:szCs w:val="22"/>
        </w:rPr>
        <w:t>private sector companies.</w:t>
      </w:r>
      <w:r w:rsidR="00930D78">
        <w:rPr>
          <w:rFonts w:asciiTheme="minorHAnsi" w:hAnsiTheme="minorHAnsi"/>
          <w:szCs w:val="22"/>
        </w:rPr>
        <w:t xml:space="preserve"> </w:t>
      </w:r>
    </w:p>
    <w:p w14:paraId="0810B820" w14:textId="4AFF5984" w:rsidR="00067DD0" w:rsidRDefault="00067DD0" w:rsidP="00BE6235">
      <w:pPr>
        <w:pStyle w:val="ADRTextBulletL2"/>
        <w:tabs>
          <w:tab w:val="left" w:pos="9000"/>
        </w:tabs>
        <w:jc w:val="both"/>
        <w:rPr>
          <w:rFonts w:asciiTheme="minorHAnsi" w:hAnsiTheme="minorHAnsi"/>
          <w:szCs w:val="22"/>
        </w:rPr>
      </w:pPr>
    </w:p>
    <w:p w14:paraId="365E36A5" w14:textId="7DCEB5B7" w:rsidR="00E8681B" w:rsidRDefault="00440A44" w:rsidP="00440A44">
      <w:pPr>
        <w:pStyle w:val="ADRTextBulletL2"/>
        <w:tabs>
          <w:tab w:val="left" w:pos="9000"/>
        </w:tabs>
        <w:jc w:val="both"/>
      </w:pPr>
      <w:r w:rsidRPr="004F0869">
        <w:rPr>
          <w:rFonts w:asciiTheme="minorHAnsi" w:hAnsiTheme="minorHAnsi"/>
          <w:szCs w:val="22"/>
        </w:rPr>
        <w:t xml:space="preserve">If Malaysia will reach the </w:t>
      </w:r>
      <w:r w:rsidRPr="004F0869">
        <w:rPr>
          <w:snapToGrid w:val="0"/>
          <w:szCs w:val="22"/>
        </w:rPr>
        <w:t xml:space="preserve">threshold </w:t>
      </w:r>
      <w:r w:rsidR="00CC4D73" w:rsidRPr="004F0869">
        <w:rPr>
          <w:snapToGrid w:val="0"/>
          <w:szCs w:val="22"/>
        </w:rPr>
        <w:t xml:space="preserve">of </w:t>
      </w:r>
      <w:r w:rsidR="002A43DF" w:rsidRPr="004F0869">
        <w:rPr>
          <w:snapToGrid w:val="0"/>
          <w:szCs w:val="22"/>
        </w:rPr>
        <w:t xml:space="preserve">per capita </w:t>
      </w:r>
      <w:r w:rsidR="00237251">
        <w:rPr>
          <w:snapToGrid w:val="0"/>
          <w:szCs w:val="22"/>
        </w:rPr>
        <w:t xml:space="preserve">GNI </w:t>
      </w:r>
      <w:r w:rsidR="002A43DF" w:rsidRPr="004F0869">
        <w:rPr>
          <w:snapToGrid w:val="0"/>
          <w:szCs w:val="22"/>
        </w:rPr>
        <w:t>of more than $12,</w:t>
      </w:r>
      <w:r w:rsidR="00237251">
        <w:rPr>
          <w:snapToGrid w:val="0"/>
          <w:szCs w:val="22"/>
        </w:rPr>
        <w:t>475</w:t>
      </w:r>
      <w:r w:rsidR="002A43DF" w:rsidRPr="004F0869">
        <w:rPr>
          <w:rStyle w:val="FootnoteReference"/>
          <w:snapToGrid w:val="0"/>
          <w:szCs w:val="22"/>
        </w:rPr>
        <w:footnoteReference w:id="27"/>
      </w:r>
      <w:r w:rsidR="002A43DF" w:rsidRPr="004F0869">
        <w:rPr>
          <w:snapToGrid w:val="0"/>
          <w:szCs w:val="22"/>
        </w:rPr>
        <w:t xml:space="preserve"> </w:t>
      </w:r>
      <w:r w:rsidRPr="004F0869">
        <w:rPr>
          <w:snapToGrid w:val="0"/>
          <w:szCs w:val="22"/>
        </w:rPr>
        <w:t xml:space="preserve">in the next years, it </w:t>
      </w:r>
      <w:r w:rsidRPr="004F0869">
        <w:rPr>
          <w:bCs/>
          <w:szCs w:val="22"/>
        </w:rPr>
        <w:t xml:space="preserve">will </w:t>
      </w:r>
      <w:r w:rsidR="002A43DF" w:rsidRPr="004F0869">
        <w:rPr>
          <w:bCs/>
          <w:szCs w:val="22"/>
        </w:rPr>
        <w:t>graduate to</w:t>
      </w:r>
      <w:r w:rsidRPr="004F0869">
        <w:rPr>
          <w:bCs/>
          <w:szCs w:val="22"/>
        </w:rPr>
        <w:t xml:space="preserve"> a</w:t>
      </w:r>
      <w:r w:rsidR="002A43DF" w:rsidRPr="004F0869">
        <w:rPr>
          <w:bCs/>
          <w:szCs w:val="22"/>
        </w:rPr>
        <w:t xml:space="preserve"> high</w:t>
      </w:r>
      <w:r w:rsidR="001526EE" w:rsidRPr="004F0869">
        <w:rPr>
          <w:bCs/>
          <w:szCs w:val="22"/>
        </w:rPr>
        <w:t>-</w:t>
      </w:r>
      <w:r w:rsidR="002A43DF" w:rsidRPr="004F0869">
        <w:rPr>
          <w:bCs/>
          <w:szCs w:val="22"/>
        </w:rPr>
        <w:t xml:space="preserve">income country, </w:t>
      </w:r>
      <w:r w:rsidRPr="004F0869">
        <w:rPr>
          <w:bCs/>
          <w:szCs w:val="22"/>
        </w:rPr>
        <w:t xml:space="preserve">as such, it will no longer receive UNDP </w:t>
      </w:r>
      <w:r w:rsidR="001526EE" w:rsidRPr="004F0869">
        <w:rPr>
          <w:bCs/>
          <w:szCs w:val="22"/>
        </w:rPr>
        <w:t xml:space="preserve">regular </w:t>
      </w:r>
      <w:r w:rsidRPr="004F0869">
        <w:rPr>
          <w:bCs/>
          <w:szCs w:val="22"/>
        </w:rPr>
        <w:t>resources</w:t>
      </w:r>
      <w:r w:rsidR="00FC18AF" w:rsidRPr="004F0869">
        <w:rPr>
          <w:bCs/>
          <w:szCs w:val="22"/>
        </w:rPr>
        <w:t xml:space="preserve"> and </w:t>
      </w:r>
      <w:r w:rsidR="004F0869" w:rsidRPr="004F0869">
        <w:rPr>
          <w:bCs/>
          <w:szCs w:val="22"/>
        </w:rPr>
        <w:t>will be classified as a net contributor country.</w:t>
      </w:r>
      <w:r w:rsidR="00CC4D73" w:rsidRPr="004F0869">
        <w:rPr>
          <w:bCs/>
          <w:szCs w:val="22"/>
        </w:rPr>
        <w:t xml:space="preserve"> T</w:t>
      </w:r>
      <w:r w:rsidRPr="004F0869">
        <w:rPr>
          <w:bCs/>
          <w:szCs w:val="22"/>
        </w:rPr>
        <w:t xml:space="preserve">his will </w:t>
      </w:r>
      <w:r w:rsidR="00CC4D73" w:rsidRPr="004F0869">
        <w:rPr>
          <w:bCs/>
          <w:szCs w:val="22"/>
        </w:rPr>
        <w:t xml:space="preserve">have </w:t>
      </w:r>
      <w:r w:rsidR="00CC4D73" w:rsidRPr="004F0869">
        <w:t>implication for</w:t>
      </w:r>
      <w:r w:rsidR="00743D42">
        <w:t xml:space="preserve"> the CP in terms of the nature and type of UNDP support. </w:t>
      </w:r>
    </w:p>
    <w:p w14:paraId="54525769" w14:textId="77777777" w:rsidR="00B908E8" w:rsidRDefault="00B908E8" w:rsidP="00B908E8">
      <w:pPr>
        <w:pStyle w:val="ADRTextBulletL2"/>
        <w:tabs>
          <w:tab w:val="left" w:pos="9000"/>
        </w:tabs>
        <w:jc w:val="both"/>
        <w:rPr>
          <w:rFonts w:cs="Calibri"/>
          <w:color w:val="444444"/>
        </w:rPr>
      </w:pPr>
    </w:p>
    <w:p w14:paraId="2B81D232" w14:textId="2602CBD4" w:rsidR="00B908E8" w:rsidRDefault="000031B5" w:rsidP="00B908E8">
      <w:pPr>
        <w:pStyle w:val="ADRTextBulletL2"/>
        <w:tabs>
          <w:tab w:val="left" w:pos="9000"/>
        </w:tabs>
        <w:jc w:val="both"/>
        <w:rPr>
          <w:rFonts w:cs="Calibri"/>
          <w:color w:val="444444"/>
        </w:rPr>
      </w:pPr>
      <w:r w:rsidRPr="002B0B34">
        <w:rPr>
          <w:rFonts w:cs="Calibri"/>
          <w:color w:val="444444"/>
        </w:rPr>
        <w:t xml:space="preserve">Once the new UNSDGF will be approved, UNDP will contribute to this collective UN framework, brought to bear in the country to facilitate better coordination, communication, governance and partnership management. </w:t>
      </w:r>
      <w:r w:rsidR="00B908E8" w:rsidRPr="002B0B34">
        <w:rPr>
          <w:rFonts w:cs="Calibri"/>
          <w:color w:val="444444"/>
        </w:rPr>
        <w:t>Given the country’s upper middle-income status the presence of international development partners is minimal, except for a small number of countries that have long-standing bilateral technical partnerships with the Government.</w:t>
      </w:r>
      <w:r w:rsidR="00B908E8">
        <w:rPr>
          <w:rFonts w:cs="Calibri"/>
          <w:color w:val="444444"/>
        </w:rPr>
        <w:t xml:space="preserve"> </w:t>
      </w:r>
    </w:p>
    <w:p w14:paraId="2E69A59A" w14:textId="77777777" w:rsidR="00B908E8" w:rsidRDefault="00B908E8" w:rsidP="00B908E8">
      <w:pPr>
        <w:pStyle w:val="ADRTextBulletL2"/>
        <w:tabs>
          <w:tab w:val="left" w:pos="9000"/>
        </w:tabs>
        <w:jc w:val="both"/>
        <w:rPr>
          <w:rFonts w:cs="Calibri"/>
          <w:color w:val="444444"/>
        </w:rPr>
      </w:pPr>
    </w:p>
    <w:p w14:paraId="70063817" w14:textId="77777777" w:rsidR="004F0869" w:rsidRPr="004F0869" w:rsidRDefault="004F0869" w:rsidP="004F0869">
      <w:pPr>
        <w:pStyle w:val="ADRTextBulletL2"/>
        <w:tabs>
          <w:tab w:val="left" w:pos="9000"/>
        </w:tabs>
        <w:ind w:left="360"/>
        <w:jc w:val="both"/>
        <w:rPr>
          <w:rFonts w:asciiTheme="minorHAnsi" w:eastAsia="Calibri" w:hAnsiTheme="minorHAnsi"/>
          <w:b/>
          <w:szCs w:val="22"/>
        </w:rPr>
      </w:pPr>
    </w:p>
    <w:p w14:paraId="0264BA03" w14:textId="5C02BC7F" w:rsidR="00751C1B" w:rsidRPr="00C45179" w:rsidRDefault="00751C1B" w:rsidP="00751C1B">
      <w:pPr>
        <w:pStyle w:val="ADRTextBulletL2"/>
        <w:numPr>
          <w:ilvl w:val="0"/>
          <w:numId w:val="6"/>
        </w:numPr>
        <w:tabs>
          <w:tab w:val="left" w:pos="9000"/>
        </w:tabs>
        <w:jc w:val="both"/>
        <w:rPr>
          <w:rFonts w:asciiTheme="minorHAnsi" w:eastAsia="Calibri" w:hAnsiTheme="minorHAnsi"/>
          <w:b/>
          <w:szCs w:val="22"/>
        </w:rPr>
      </w:pPr>
      <w:r w:rsidRPr="00C45179">
        <w:rPr>
          <w:rFonts w:asciiTheme="minorHAnsi" w:eastAsia="Calibri" w:hAnsiTheme="minorHAnsi"/>
          <w:b/>
          <w:szCs w:val="22"/>
        </w:rPr>
        <w:t>SCOPE OF THE EVALUATION</w:t>
      </w:r>
    </w:p>
    <w:p w14:paraId="6D40A861" w14:textId="77777777" w:rsidR="00751C1B" w:rsidRDefault="00751C1B" w:rsidP="00751C1B">
      <w:pPr>
        <w:pStyle w:val="ADRTextBulletL2"/>
        <w:tabs>
          <w:tab w:val="left" w:pos="9000"/>
        </w:tabs>
        <w:jc w:val="both"/>
        <w:rPr>
          <w:rFonts w:asciiTheme="minorHAnsi" w:hAnsiTheme="minorHAnsi"/>
        </w:rPr>
      </w:pPr>
    </w:p>
    <w:p w14:paraId="3F9E9555" w14:textId="43618072" w:rsidR="00751C1B" w:rsidRDefault="00751C1B" w:rsidP="000C0ABC">
      <w:pPr>
        <w:pStyle w:val="ADRTextBulletL2"/>
        <w:tabs>
          <w:tab w:val="left" w:pos="9000"/>
        </w:tabs>
        <w:jc w:val="both"/>
        <w:rPr>
          <w:rFonts w:asciiTheme="minorHAnsi" w:hAnsiTheme="minorHAnsi"/>
          <w:szCs w:val="22"/>
        </w:rPr>
      </w:pPr>
      <w:r w:rsidRPr="00C0272F">
        <w:rPr>
          <w:rFonts w:asciiTheme="minorHAnsi" w:hAnsiTheme="minorHAnsi" w:cstheme="minorHAnsi"/>
          <w:szCs w:val="22"/>
        </w:rPr>
        <w:t xml:space="preserve">The </w:t>
      </w:r>
      <w:r>
        <w:rPr>
          <w:rFonts w:asciiTheme="minorHAnsi" w:hAnsiTheme="minorHAnsi" w:cstheme="minorHAnsi"/>
          <w:szCs w:val="22"/>
        </w:rPr>
        <w:t>evaluation</w:t>
      </w:r>
      <w:r w:rsidRPr="00C0272F">
        <w:rPr>
          <w:rFonts w:asciiTheme="minorHAnsi" w:hAnsiTheme="minorHAnsi" w:cstheme="minorHAnsi"/>
          <w:szCs w:val="22"/>
        </w:rPr>
        <w:t xml:space="preserve"> will cover the current </w:t>
      </w:r>
      <w:r w:rsidR="00580A9C">
        <w:rPr>
          <w:rFonts w:asciiTheme="minorHAnsi" w:hAnsiTheme="minorHAnsi" w:cstheme="minorHAnsi"/>
          <w:szCs w:val="22"/>
        </w:rPr>
        <w:t xml:space="preserve">CP </w:t>
      </w:r>
      <w:r w:rsidRPr="00C0272F">
        <w:rPr>
          <w:rFonts w:asciiTheme="minorHAnsi" w:hAnsiTheme="minorHAnsi" w:cstheme="minorHAnsi"/>
          <w:szCs w:val="22"/>
        </w:rPr>
        <w:t>201</w:t>
      </w:r>
      <w:r>
        <w:rPr>
          <w:rFonts w:asciiTheme="minorHAnsi" w:hAnsiTheme="minorHAnsi" w:cstheme="minorHAnsi"/>
          <w:szCs w:val="22"/>
        </w:rPr>
        <w:t>6</w:t>
      </w:r>
      <w:r w:rsidRPr="00C0272F">
        <w:rPr>
          <w:rFonts w:asciiTheme="minorHAnsi" w:hAnsiTheme="minorHAnsi" w:cstheme="minorHAnsi"/>
          <w:szCs w:val="22"/>
        </w:rPr>
        <w:t xml:space="preserve"> – 20</w:t>
      </w:r>
      <w:r>
        <w:rPr>
          <w:rFonts w:asciiTheme="minorHAnsi" w:hAnsiTheme="minorHAnsi" w:cstheme="minorHAnsi"/>
          <w:szCs w:val="22"/>
        </w:rPr>
        <w:t xml:space="preserve">20 and will assess </w:t>
      </w:r>
      <w:r w:rsidRPr="00C0272F">
        <w:rPr>
          <w:rFonts w:asciiTheme="minorHAnsi" w:hAnsiTheme="minorHAnsi" w:cstheme="minorHAnsi"/>
          <w:szCs w:val="22"/>
        </w:rPr>
        <w:t xml:space="preserve">UNDP’s contributions </w:t>
      </w:r>
      <w:r w:rsidRPr="00C0272F">
        <w:rPr>
          <w:rFonts w:asciiTheme="minorHAnsi" w:hAnsiTheme="minorHAnsi" w:cstheme="minorHAnsi"/>
        </w:rPr>
        <w:t xml:space="preserve">to </w:t>
      </w:r>
      <w:r>
        <w:rPr>
          <w:rFonts w:asciiTheme="minorHAnsi" w:hAnsiTheme="minorHAnsi" w:cstheme="minorHAnsi"/>
        </w:rPr>
        <w:t xml:space="preserve">national development, </w:t>
      </w:r>
      <w:r w:rsidRPr="00C0272F">
        <w:rPr>
          <w:rFonts w:asciiTheme="minorHAnsi" w:hAnsiTheme="minorHAnsi" w:cstheme="minorHAnsi"/>
        </w:rPr>
        <w:t>as defined at the outcome level in the country programme document (CPD)</w:t>
      </w:r>
      <w:r w:rsidR="00580A9C">
        <w:rPr>
          <w:rFonts w:asciiTheme="minorHAnsi" w:hAnsiTheme="minorHAnsi" w:cstheme="minorHAnsi"/>
        </w:rPr>
        <w:t xml:space="preserve"> and country programme action plan (CPAP)</w:t>
      </w:r>
      <w:r w:rsidRPr="00C0272F">
        <w:rPr>
          <w:rFonts w:asciiTheme="minorHAnsi" w:hAnsiTheme="minorHAnsi" w:cstheme="minorHAnsi"/>
        </w:rPr>
        <w:t>, as well as in any underlying strategies that may have been developed/adapted during the period under review and were not necessarily captured in the CPD</w:t>
      </w:r>
      <w:r w:rsidR="00580A9C">
        <w:rPr>
          <w:rFonts w:asciiTheme="minorHAnsi" w:hAnsiTheme="minorHAnsi" w:cstheme="minorHAnsi"/>
        </w:rPr>
        <w:t xml:space="preserve"> and CPAP</w:t>
      </w:r>
      <w:r w:rsidRPr="00C0272F">
        <w:rPr>
          <w:rFonts w:asciiTheme="minorHAnsi" w:hAnsiTheme="minorHAnsi" w:cstheme="minorHAnsi"/>
        </w:rPr>
        <w:t>.</w:t>
      </w:r>
      <w:r w:rsidRPr="00C0272F">
        <w:rPr>
          <w:rFonts w:asciiTheme="minorHAnsi" w:hAnsiTheme="minorHAnsi" w:cstheme="minorHAnsi"/>
          <w:szCs w:val="22"/>
        </w:rPr>
        <w:t xml:space="preserve"> </w:t>
      </w:r>
      <w:r>
        <w:rPr>
          <w:rFonts w:asciiTheme="minorHAnsi" w:hAnsiTheme="minorHAnsi" w:cstheme="minorHAnsi"/>
          <w:szCs w:val="22"/>
        </w:rPr>
        <w:t xml:space="preserve">It </w:t>
      </w:r>
      <w:r w:rsidRPr="00C0272F">
        <w:rPr>
          <w:rFonts w:asciiTheme="minorHAnsi" w:hAnsiTheme="minorHAnsi" w:cstheme="minorHAnsi"/>
          <w:szCs w:val="22"/>
        </w:rPr>
        <w:t xml:space="preserve">will also examine the </w:t>
      </w:r>
      <w:r>
        <w:rPr>
          <w:rFonts w:asciiTheme="minorHAnsi" w:hAnsiTheme="minorHAnsi" w:cstheme="minorHAnsi"/>
          <w:szCs w:val="22"/>
        </w:rPr>
        <w:t>implementation a</w:t>
      </w:r>
      <w:r w:rsidRPr="00C0272F">
        <w:rPr>
          <w:rFonts w:asciiTheme="minorHAnsi" w:hAnsiTheme="minorHAnsi" w:cstheme="minorHAnsi"/>
          <w:szCs w:val="22"/>
        </w:rPr>
        <w:t>nd follow up of the recommendations of the previous independent country programme evaluation carried out by IEO in 201</w:t>
      </w:r>
      <w:r>
        <w:rPr>
          <w:rFonts w:asciiTheme="minorHAnsi" w:hAnsiTheme="minorHAnsi" w:cstheme="minorHAnsi"/>
          <w:szCs w:val="22"/>
        </w:rPr>
        <w:t>5</w:t>
      </w:r>
      <w:r w:rsidRPr="00C0272F">
        <w:rPr>
          <w:rFonts w:asciiTheme="minorHAnsi" w:hAnsiTheme="minorHAnsi" w:cstheme="minorHAnsi"/>
          <w:szCs w:val="22"/>
        </w:rPr>
        <w:t xml:space="preserve">. By doing so, the </w:t>
      </w:r>
      <w:r>
        <w:rPr>
          <w:rFonts w:asciiTheme="minorHAnsi" w:hAnsiTheme="minorHAnsi" w:cstheme="minorHAnsi"/>
          <w:szCs w:val="22"/>
        </w:rPr>
        <w:t>evaluation</w:t>
      </w:r>
      <w:r w:rsidRPr="00C0272F">
        <w:rPr>
          <w:rFonts w:asciiTheme="minorHAnsi" w:hAnsiTheme="minorHAnsi" w:cstheme="minorHAnsi"/>
          <w:szCs w:val="22"/>
        </w:rPr>
        <w:t xml:space="preserve"> will seek to draw lessons from the past and present programmes to assess performance and to provide forward-looking recommendations as input to the formulation of the next </w:t>
      </w:r>
      <w:r w:rsidR="00580A9C">
        <w:rPr>
          <w:rFonts w:asciiTheme="minorHAnsi" w:hAnsiTheme="minorHAnsi" w:cstheme="minorHAnsi"/>
          <w:szCs w:val="22"/>
        </w:rPr>
        <w:t>CP</w:t>
      </w:r>
      <w:r w:rsidRPr="00C0272F">
        <w:rPr>
          <w:rFonts w:asciiTheme="minorHAnsi" w:hAnsiTheme="minorHAnsi" w:cstheme="minorHAnsi"/>
          <w:szCs w:val="22"/>
        </w:rPr>
        <w:t>.</w:t>
      </w:r>
      <w:r w:rsidRPr="00C0272F">
        <w:rPr>
          <w:rFonts w:asciiTheme="minorHAnsi" w:hAnsiTheme="minorHAnsi" w:cstheme="minorHAnsi"/>
          <w:szCs w:val="22"/>
          <w:lang w:val="en-US"/>
        </w:rPr>
        <w:t xml:space="preserve"> </w:t>
      </w:r>
      <w:r w:rsidRPr="00C0272F">
        <w:rPr>
          <w:rFonts w:asciiTheme="minorHAnsi" w:hAnsiTheme="minorHAnsi" w:cstheme="minorHAnsi"/>
        </w:rPr>
        <w:t xml:space="preserve">The ICPE will cover the entirety of UNDP’s activities in the country and includes all interventions and activities implemented by the </w:t>
      </w:r>
      <w:r w:rsidR="00580A9C">
        <w:rPr>
          <w:rFonts w:asciiTheme="minorHAnsi" w:hAnsiTheme="minorHAnsi" w:cstheme="minorHAnsi"/>
        </w:rPr>
        <w:t>c</w:t>
      </w:r>
      <w:r w:rsidRPr="00C0272F">
        <w:rPr>
          <w:rFonts w:asciiTheme="minorHAnsi" w:hAnsiTheme="minorHAnsi" w:cstheme="minorHAnsi"/>
        </w:rPr>
        <w:t xml:space="preserve">ountry </w:t>
      </w:r>
      <w:r w:rsidR="00580A9C">
        <w:rPr>
          <w:rFonts w:asciiTheme="minorHAnsi" w:hAnsiTheme="minorHAnsi" w:cstheme="minorHAnsi"/>
        </w:rPr>
        <w:t>o</w:t>
      </w:r>
      <w:r w:rsidRPr="00C0272F">
        <w:rPr>
          <w:rFonts w:asciiTheme="minorHAnsi" w:hAnsiTheme="minorHAnsi" w:cstheme="minorHAnsi"/>
        </w:rPr>
        <w:t xml:space="preserve">ffice during the evaluation period, funded by core UNDP resources, donor funds, and government funds. </w:t>
      </w:r>
    </w:p>
    <w:p w14:paraId="66DDC25A" w14:textId="77777777" w:rsidR="00751C1B" w:rsidRDefault="00751C1B" w:rsidP="000C0ABC">
      <w:pPr>
        <w:pStyle w:val="ADRTextBulletL2"/>
        <w:tabs>
          <w:tab w:val="left" w:pos="9000"/>
        </w:tabs>
        <w:jc w:val="both"/>
        <w:rPr>
          <w:rFonts w:asciiTheme="minorHAnsi" w:hAnsiTheme="minorHAnsi"/>
          <w:szCs w:val="22"/>
        </w:rPr>
      </w:pPr>
    </w:p>
    <w:tbl>
      <w:tblPr>
        <w:tblStyle w:val="TableGrid"/>
        <w:tblW w:w="9998" w:type="dxa"/>
        <w:tblInd w:w="-185" w:type="dxa"/>
        <w:tblLook w:val="04A0" w:firstRow="1" w:lastRow="0" w:firstColumn="1" w:lastColumn="0" w:noHBand="0" w:noVBand="1"/>
      </w:tblPr>
      <w:tblGrid>
        <w:gridCol w:w="1530"/>
        <w:gridCol w:w="3420"/>
        <w:gridCol w:w="1620"/>
        <w:gridCol w:w="1710"/>
        <w:gridCol w:w="1710"/>
        <w:gridCol w:w="8"/>
      </w:tblGrid>
      <w:tr w:rsidR="00BE6001" w14:paraId="2BA638E8" w14:textId="77777777" w:rsidTr="00FB6BDC">
        <w:trPr>
          <w:trHeight w:val="444"/>
        </w:trPr>
        <w:tc>
          <w:tcPr>
            <w:tcW w:w="1530" w:type="dxa"/>
            <w:shd w:val="clear" w:color="auto" w:fill="000000" w:themeFill="text1"/>
          </w:tcPr>
          <w:p w14:paraId="1264F1F8" w14:textId="77777777" w:rsidR="000C0ABC" w:rsidRPr="00E27264" w:rsidRDefault="000C0ABC" w:rsidP="00051042">
            <w:pPr>
              <w:tabs>
                <w:tab w:val="left" w:pos="9000"/>
              </w:tabs>
              <w:jc w:val="both"/>
              <w:rPr>
                <w:b/>
                <w:color w:val="FFFFFF" w:themeColor="background1"/>
              </w:rPr>
            </w:pPr>
          </w:p>
        </w:tc>
        <w:tc>
          <w:tcPr>
            <w:tcW w:w="8468" w:type="dxa"/>
            <w:gridSpan w:val="5"/>
            <w:shd w:val="clear" w:color="auto" w:fill="000000" w:themeFill="text1"/>
            <w:vAlign w:val="center"/>
          </w:tcPr>
          <w:p w14:paraId="45A37AAE" w14:textId="77777777" w:rsidR="000C0ABC" w:rsidRPr="00E27264" w:rsidRDefault="00E06207" w:rsidP="00051042">
            <w:pPr>
              <w:tabs>
                <w:tab w:val="left" w:pos="9000"/>
              </w:tabs>
              <w:jc w:val="both"/>
              <w:rPr>
                <w:b/>
                <w:color w:val="F2F2F2" w:themeColor="background1" w:themeShade="F2"/>
              </w:rPr>
            </w:pPr>
            <w:r w:rsidRPr="00E27264">
              <w:rPr>
                <w:b/>
                <w:color w:val="FFFFFF" w:themeColor="background1"/>
              </w:rPr>
              <w:t xml:space="preserve">Table 1: Country Programme outcomes </w:t>
            </w:r>
            <w:r>
              <w:rPr>
                <w:b/>
                <w:color w:val="FFFFFF" w:themeColor="background1"/>
              </w:rPr>
              <w:t>budget</w:t>
            </w:r>
          </w:p>
        </w:tc>
      </w:tr>
      <w:tr w:rsidR="00BE6001" w14:paraId="336533DA" w14:textId="77777777" w:rsidTr="00FB6BDC">
        <w:trPr>
          <w:gridAfter w:val="1"/>
          <w:wAfter w:w="8" w:type="dxa"/>
          <w:trHeight w:val="444"/>
        </w:trPr>
        <w:tc>
          <w:tcPr>
            <w:tcW w:w="4950" w:type="dxa"/>
            <w:gridSpan w:val="2"/>
            <w:shd w:val="clear" w:color="auto" w:fill="A6A6A6" w:themeFill="background1" w:themeFillShade="A6"/>
            <w:vAlign w:val="center"/>
          </w:tcPr>
          <w:p w14:paraId="22E1F200" w14:textId="77777777" w:rsidR="000C0ABC" w:rsidRPr="00E27264" w:rsidRDefault="00E06207" w:rsidP="003C3427">
            <w:pPr>
              <w:tabs>
                <w:tab w:val="left" w:pos="9000"/>
              </w:tabs>
              <w:rPr>
                <w:b/>
              </w:rPr>
            </w:pPr>
            <w:r w:rsidRPr="00E27264">
              <w:rPr>
                <w:b/>
              </w:rPr>
              <w:t>Country Programme Outcome</w:t>
            </w:r>
          </w:p>
        </w:tc>
        <w:tc>
          <w:tcPr>
            <w:tcW w:w="1620" w:type="dxa"/>
            <w:shd w:val="clear" w:color="auto" w:fill="A6A6A6" w:themeFill="background1" w:themeFillShade="A6"/>
            <w:vAlign w:val="center"/>
          </w:tcPr>
          <w:p w14:paraId="510DBC0C" w14:textId="77777777" w:rsidR="000C0ABC" w:rsidRPr="00E27264" w:rsidRDefault="00E06207" w:rsidP="003C3427">
            <w:pPr>
              <w:tabs>
                <w:tab w:val="left" w:pos="9000"/>
              </w:tabs>
              <w:rPr>
                <w:b/>
              </w:rPr>
            </w:pPr>
            <w:r w:rsidRPr="00E27264">
              <w:rPr>
                <w:b/>
              </w:rPr>
              <w:t>Indicative resources</w:t>
            </w:r>
          </w:p>
          <w:p w14:paraId="16F3EE3B" w14:textId="77777777" w:rsidR="000C0ABC" w:rsidRPr="00E27264" w:rsidRDefault="00E06207" w:rsidP="003C3427">
            <w:pPr>
              <w:tabs>
                <w:tab w:val="left" w:pos="9000"/>
              </w:tabs>
              <w:rPr>
                <w:b/>
              </w:rPr>
            </w:pPr>
            <w:r w:rsidRPr="00E27264">
              <w:rPr>
                <w:b/>
              </w:rPr>
              <w:t>(US$ million</w:t>
            </w:r>
            <w:r>
              <w:rPr>
                <w:b/>
              </w:rPr>
              <w:t>, 201</w:t>
            </w:r>
            <w:r w:rsidR="003C3427">
              <w:rPr>
                <w:b/>
              </w:rPr>
              <w:t>6</w:t>
            </w:r>
            <w:r>
              <w:rPr>
                <w:b/>
              </w:rPr>
              <w:t>-20</w:t>
            </w:r>
            <w:r w:rsidR="003C3427">
              <w:rPr>
                <w:b/>
              </w:rPr>
              <w:t>20</w:t>
            </w:r>
            <w:r w:rsidRPr="00E27264">
              <w:rPr>
                <w:b/>
              </w:rPr>
              <w:t>)</w:t>
            </w:r>
          </w:p>
        </w:tc>
        <w:tc>
          <w:tcPr>
            <w:tcW w:w="1710" w:type="dxa"/>
            <w:shd w:val="clear" w:color="auto" w:fill="A6A6A6" w:themeFill="background1" w:themeFillShade="A6"/>
          </w:tcPr>
          <w:p w14:paraId="2707070E" w14:textId="77777777" w:rsidR="000C0ABC" w:rsidRDefault="00E06207" w:rsidP="003C3427">
            <w:pPr>
              <w:tabs>
                <w:tab w:val="left" w:pos="9000"/>
              </w:tabs>
              <w:rPr>
                <w:b/>
              </w:rPr>
            </w:pPr>
            <w:r>
              <w:rPr>
                <w:b/>
              </w:rPr>
              <w:t>Actual budget (US$ million, 201</w:t>
            </w:r>
            <w:r w:rsidR="00A05A6B">
              <w:rPr>
                <w:b/>
              </w:rPr>
              <w:t>6</w:t>
            </w:r>
            <w:r>
              <w:rPr>
                <w:b/>
              </w:rPr>
              <w:t xml:space="preserve">- </w:t>
            </w:r>
            <w:r w:rsidR="00823CE9">
              <w:rPr>
                <w:b/>
              </w:rPr>
              <w:t>January</w:t>
            </w:r>
            <w:r>
              <w:rPr>
                <w:b/>
              </w:rPr>
              <w:t xml:space="preserve"> </w:t>
            </w:r>
            <w:proofErr w:type="gramStart"/>
            <w:r>
              <w:rPr>
                <w:b/>
              </w:rPr>
              <w:t>201</w:t>
            </w:r>
            <w:r w:rsidR="00823CE9">
              <w:rPr>
                <w:b/>
              </w:rPr>
              <w:t>9</w:t>
            </w:r>
            <w:r>
              <w:rPr>
                <w:b/>
              </w:rPr>
              <w:t>)</w:t>
            </w:r>
            <w:r w:rsidR="00EF2A68">
              <w:rPr>
                <w:b/>
              </w:rPr>
              <w:t>*</w:t>
            </w:r>
            <w:proofErr w:type="gramEnd"/>
          </w:p>
        </w:tc>
        <w:tc>
          <w:tcPr>
            <w:tcW w:w="1710" w:type="dxa"/>
            <w:shd w:val="clear" w:color="auto" w:fill="A6A6A6" w:themeFill="background1" w:themeFillShade="A6"/>
          </w:tcPr>
          <w:p w14:paraId="53A671B6" w14:textId="77777777" w:rsidR="000C0ABC" w:rsidRPr="00E27264" w:rsidRDefault="00E06207" w:rsidP="00051042">
            <w:pPr>
              <w:tabs>
                <w:tab w:val="left" w:pos="9000"/>
              </w:tabs>
              <w:rPr>
                <w:b/>
              </w:rPr>
            </w:pPr>
            <w:r>
              <w:rPr>
                <w:b/>
              </w:rPr>
              <w:t xml:space="preserve">Expenditures to date </w:t>
            </w:r>
            <w:r w:rsidRPr="00E27264">
              <w:rPr>
                <w:b/>
              </w:rPr>
              <w:t>(US$ million</w:t>
            </w:r>
            <w:r>
              <w:rPr>
                <w:b/>
              </w:rPr>
              <w:t xml:space="preserve">, </w:t>
            </w:r>
            <w:r w:rsidR="00823CE9">
              <w:rPr>
                <w:b/>
              </w:rPr>
              <w:t xml:space="preserve">2016- January </w:t>
            </w:r>
            <w:proofErr w:type="gramStart"/>
            <w:r w:rsidR="00823CE9">
              <w:rPr>
                <w:b/>
              </w:rPr>
              <w:t>2019)</w:t>
            </w:r>
            <w:r w:rsidR="00EF2A68">
              <w:rPr>
                <w:b/>
              </w:rPr>
              <w:t>*</w:t>
            </w:r>
            <w:proofErr w:type="gramEnd"/>
            <w:r w:rsidR="00EF2A68">
              <w:rPr>
                <w:b/>
              </w:rPr>
              <w:t>*</w:t>
            </w:r>
          </w:p>
        </w:tc>
      </w:tr>
      <w:tr w:rsidR="00BE6001" w14:paraId="7B3E9D6D" w14:textId="77777777" w:rsidTr="00FB6BDC">
        <w:trPr>
          <w:gridAfter w:val="1"/>
          <w:wAfter w:w="8" w:type="dxa"/>
          <w:trHeight w:val="246"/>
        </w:trPr>
        <w:tc>
          <w:tcPr>
            <w:tcW w:w="4950" w:type="dxa"/>
            <w:gridSpan w:val="2"/>
            <w:shd w:val="clear" w:color="auto" w:fill="F2F2F2" w:themeFill="background1" w:themeFillShade="F2"/>
            <w:vAlign w:val="center"/>
          </w:tcPr>
          <w:p w14:paraId="4C82F8C7" w14:textId="77777777" w:rsidR="003C3427" w:rsidRDefault="00E06207" w:rsidP="003C3427">
            <w:pPr>
              <w:rPr>
                <w:rFonts w:eastAsia="Times New Roman" w:cs="Times New Roman"/>
                <w:color w:val="000000"/>
                <w:sz w:val="20"/>
                <w:szCs w:val="20"/>
              </w:rPr>
            </w:pPr>
            <w:r w:rsidRPr="002714E9">
              <w:rPr>
                <w:rFonts w:eastAsia="Times New Roman" w:cs="Times New Roman"/>
                <w:color w:val="000000"/>
                <w:sz w:val="20"/>
                <w:szCs w:val="20"/>
              </w:rPr>
              <w:t xml:space="preserve">OUTCOME 20: </w:t>
            </w:r>
          </w:p>
          <w:p w14:paraId="578EC82D" w14:textId="77777777" w:rsidR="003C3427" w:rsidRPr="002714E9" w:rsidRDefault="00E06207" w:rsidP="003C3427">
            <w:pPr>
              <w:rPr>
                <w:rFonts w:eastAsia="Times New Roman" w:cs="Times New Roman"/>
                <w:color w:val="000000"/>
                <w:sz w:val="20"/>
                <w:szCs w:val="20"/>
              </w:rPr>
            </w:pPr>
            <w:r w:rsidRPr="002714E9">
              <w:rPr>
                <w:rFonts w:eastAsia="Times New Roman" w:cs="Times New Roman"/>
                <w:b/>
                <w:color w:val="000000"/>
                <w:sz w:val="20"/>
                <w:szCs w:val="20"/>
              </w:rPr>
              <w:t>1.1.</w:t>
            </w:r>
            <w:r w:rsidRPr="002714E9">
              <w:rPr>
                <w:rFonts w:eastAsia="Times New Roman" w:cs="Times New Roman"/>
                <w:color w:val="000000"/>
                <w:sz w:val="20"/>
                <w:szCs w:val="20"/>
              </w:rPr>
              <w:t xml:space="preserve"> Effective policies and initiatives that promote socioeconomic inclusion, equity and resilience, especially for the bottom 40 percent, are in place and implementation monitored;  </w:t>
            </w:r>
          </w:p>
          <w:p w14:paraId="1BA2570B" w14:textId="77777777" w:rsidR="003C3427" w:rsidRPr="00E27264" w:rsidRDefault="00E06207" w:rsidP="003C3427">
            <w:pPr>
              <w:tabs>
                <w:tab w:val="left" w:pos="9000"/>
              </w:tabs>
            </w:pPr>
            <w:r w:rsidRPr="002714E9">
              <w:rPr>
                <w:rFonts w:eastAsia="Times New Roman" w:cs="Times New Roman"/>
                <w:b/>
                <w:color w:val="000000"/>
                <w:sz w:val="20"/>
                <w:szCs w:val="20"/>
              </w:rPr>
              <w:t>1.2.</w:t>
            </w:r>
            <w:r w:rsidRPr="002714E9">
              <w:rPr>
                <w:rFonts w:eastAsia="Times New Roman" w:cs="Times New Roman"/>
                <w:color w:val="000000"/>
                <w:sz w:val="20"/>
                <w:szCs w:val="20"/>
              </w:rPr>
              <w:t xml:space="preserve"> National policies and programmes ensure universal access to quality education; universal health coverage; and decent work for all people in Malaysia with special attention to vulnerable groups and communities; and improved delivery of basic services to the people.</w:t>
            </w:r>
          </w:p>
        </w:tc>
        <w:tc>
          <w:tcPr>
            <w:tcW w:w="1620" w:type="dxa"/>
            <w:shd w:val="clear" w:color="auto" w:fill="F2F2F2" w:themeFill="background1" w:themeFillShade="F2"/>
            <w:vAlign w:val="center"/>
          </w:tcPr>
          <w:p w14:paraId="3DF1FBAA" w14:textId="77777777" w:rsidR="003C3427" w:rsidRPr="00E27264" w:rsidRDefault="00E06207" w:rsidP="007D5F69">
            <w:pPr>
              <w:tabs>
                <w:tab w:val="left" w:pos="9000"/>
              </w:tabs>
              <w:jc w:val="center"/>
            </w:pPr>
            <w:r>
              <w:t>19,856,000</w:t>
            </w:r>
          </w:p>
        </w:tc>
        <w:tc>
          <w:tcPr>
            <w:tcW w:w="1710" w:type="dxa"/>
            <w:shd w:val="clear" w:color="auto" w:fill="F2F2F2" w:themeFill="background1" w:themeFillShade="F2"/>
            <w:vAlign w:val="center"/>
          </w:tcPr>
          <w:p w14:paraId="07508B38" w14:textId="77777777" w:rsidR="003C3427" w:rsidRDefault="00E06207" w:rsidP="003C3427">
            <w:pPr>
              <w:tabs>
                <w:tab w:val="left" w:pos="9000"/>
              </w:tabs>
              <w:jc w:val="center"/>
            </w:pPr>
            <w:r>
              <w:t>2,162,02</w:t>
            </w:r>
            <w:r w:rsidR="00EF2A68">
              <w:t>3</w:t>
            </w:r>
          </w:p>
        </w:tc>
        <w:tc>
          <w:tcPr>
            <w:tcW w:w="1710" w:type="dxa"/>
            <w:shd w:val="clear" w:color="auto" w:fill="F2F2F2" w:themeFill="background1" w:themeFillShade="F2"/>
            <w:vAlign w:val="center"/>
          </w:tcPr>
          <w:p w14:paraId="37F98A62" w14:textId="77777777" w:rsidR="003C3427" w:rsidRPr="00E27264" w:rsidRDefault="00E06207" w:rsidP="003C3427">
            <w:pPr>
              <w:tabs>
                <w:tab w:val="left" w:pos="9000"/>
              </w:tabs>
              <w:jc w:val="center"/>
            </w:pPr>
            <w:r>
              <w:t>1,205</w:t>
            </w:r>
            <w:r w:rsidR="00EF2A68">
              <w:t>,023</w:t>
            </w:r>
          </w:p>
        </w:tc>
      </w:tr>
      <w:tr w:rsidR="00BE6001" w:rsidRPr="00C45179" w14:paraId="54B4D90F" w14:textId="77777777" w:rsidTr="00FB6BDC">
        <w:trPr>
          <w:gridAfter w:val="1"/>
          <w:wAfter w:w="8" w:type="dxa"/>
          <w:trHeight w:val="246"/>
        </w:trPr>
        <w:tc>
          <w:tcPr>
            <w:tcW w:w="4950" w:type="dxa"/>
            <w:gridSpan w:val="2"/>
            <w:shd w:val="clear" w:color="auto" w:fill="F2F2F2" w:themeFill="background1" w:themeFillShade="F2"/>
          </w:tcPr>
          <w:p w14:paraId="2C2A57E8" w14:textId="77777777" w:rsidR="003C3427" w:rsidRPr="00C45179" w:rsidRDefault="00E06207" w:rsidP="0079293E">
            <w:pPr>
              <w:tabs>
                <w:tab w:val="left" w:pos="9000"/>
              </w:tabs>
            </w:pPr>
            <w:r w:rsidRPr="00C45179">
              <w:rPr>
                <w:rFonts w:eastAsia="Times New Roman" w:cs="Times New Roman"/>
                <w:color w:val="000000"/>
                <w:sz w:val="20"/>
                <w:szCs w:val="20"/>
              </w:rPr>
              <w:lastRenderedPageBreak/>
              <w:t>OUTCOME 21:  Implementation of a national development agenda that enables green growth through climate-resilient measures, sustainable management of energy and natural resources, and improved risk governance.</w:t>
            </w:r>
          </w:p>
        </w:tc>
        <w:tc>
          <w:tcPr>
            <w:tcW w:w="1620" w:type="dxa"/>
            <w:shd w:val="clear" w:color="auto" w:fill="F2F2F2" w:themeFill="background1" w:themeFillShade="F2"/>
            <w:vAlign w:val="center"/>
          </w:tcPr>
          <w:p w14:paraId="6F7B3C1D" w14:textId="77777777" w:rsidR="003C3427" w:rsidRPr="00C45179" w:rsidRDefault="00E06207" w:rsidP="0079293E">
            <w:pPr>
              <w:tabs>
                <w:tab w:val="left" w:pos="9000"/>
              </w:tabs>
              <w:jc w:val="center"/>
            </w:pPr>
            <w:r w:rsidRPr="00C45179">
              <w:t>32,100,000</w:t>
            </w:r>
          </w:p>
        </w:tc>
        <w:tc>
          <w:tcPr>
            <w:tcW w:w="1710" w:type="dxa"/>
            <w:shd w:val="clear" w:color="auto" w:fill="F2F2F2" w:themeFill="background1" w:themeFillShade="F2"/>
            <w:vAlign w:val="center"/>
          </w:tcPr>
          <w:p w14:paraId="65BE26C2" w14:textId="77777777" w:rsidR="003C3427" w:rsidRPr="00C45179" w:rsidRDefault="00E06207" w:rsidP="0079293E">
            <w:pPr>
              <w:tabs>
                <w:tab w:val="left" w:pos="9000"/>
              </w:tabs>
              <w:jc w:val="center"/>
            </w:pPr>
            <w:r w:rsidRPr="00C45179">
              <w:t>22,936,840</w:t>
            </w:r>
          </w:p>
        </w:tc>
        <w:tc>
          <w:tcPr>
            <w:tcW w:w="1710" w:type="dxa"/>
            <w:shd w:val="clear" w:color="auto" w:fill="F2F2F2" w:themeFill="background1" w:themeFillShade="F2"/>
            <w:vAlign w:val="center"/>
          </w:tcPr>
          <w:p w14:paraId="4AE1D4FD" w14:textId="77777777" w:rsidR="003C3427" w:rsidRPr="00C45179" w:rsidRDefault="00E06207" w:rsidP="0079293E">
            <w:pPr>
              <w:tabs>
                <w:tab w:val="left" w:pos="9000"/>
              </w:tabs>
              <w:jc w:val="center"/>
            </w:pPr>
            <w:r w:rsidRPr="00C45179">
              <w:t>16,573,210</w:t>
            </w:r>
          </w:p>
        </w:tc>
      </w:tr>
      <w:tr w:rsidR="00BE6001" w:rsidRPr="00C45179" w14:paraId="64304124" w14:textId="77777777" w:rsidTr="00FB6BDC">
        <w:trPr>
          <w:gridAfter w:val="1"/>
          <w:wAfter w:w="8" w:type="dxa"/>
          <w:trHeight w:val="219"/>
        </w:trPr>
        <w:tc>
          <w:tcPr>
            <w:tcW w:w="4950" w:type="dxa"/>
            <w:gridSpan w:val="2"/>
            <w:shd w:val="clear" w:color="auto" w:fill="F2F2F2" w:themeFill="background1" w:themeFillShade="F2"/>
            <w:vAlign w:val="center"/>
          </w:tcPr>
          <w:p w14:paraId="38F7E48C" w14:textId="77777777" w:rsidR="003C3427" w:rsidRPr="00C45179" w:rsidRDefault="00E06207" w:rsidP="0079293E">
            <w:pPr>
              <w:tabs>
                <w:tab w:val="left" w:pos="1560"/>
                <w:tab w:val="left" w:pos="9000"/>
              </w:tabs>
              <w:jc w:val="both"/>
              <w:rPr>
                <w:color w:val="333333"/>
              </w:rPr>
            </w:pPr>
            <w:r w:rsidRPr="00C45179">
              <w:t>Total</w:t>
            </w:r>
          </w:p>
        </w:tc>
        <w:tc>
          <w:tcPr>
            <w:tcW w:w="1620" w:type="dxa"/>
            <w:shd w:val="clear" w:color="auto" w:fill="F2F2F2" w:themeFill="background1" w:themeFillShade="F2"/>
            <w:vAlign w:val="center"/>
          </w:tcPr>
          <w:p w14:paraId="1907AF5F" w14:textId="77777777" w:rsidR="003C3427" w:rsidRPr="00C45179" w:rsidRDefault="00E06207" w:rsidP="0079293E">
            <w:pPr>
              <w:tabs>
                <w:tab w:val="left" w:pos="9000"/>
              </w:tabs>
              <w:jc w:val="center"/>
            </w:pPr>
            <w:r w:rsidRPr="00C45179">
              <w:t>51,956,000</w:t>
            </w:r>
          </w:p>
        </w:tc>
        <w:tc>
          <w:tcPr>
            <w:tcW w:w="1710" w:type="dxa"/>
            <w:shd w:val="clear" w:color="auto" w:fill="F2F2F2" w:themeFill="background1" w:themeFillShade="F2"/>
            <w:vAlign w:val="center"/>
          </w:tcPr>
          <w:p w14:paraId="56DF8130" w14:textId="77777777" w:rsidR="003C3427" w:rsidRPr="00C45179" w:rsidRDefault="00E06207" w:rsidP="0079293E">
            <w:pPr>
              <w:tabs>
                <w:tab w:val="left" w:pos="9000"/>
              </w:tabs>
              <w:jc w:val="center"/>
            </w:pPr>
            <w:r w:rsidRPr="00C45179">
              <w:t>25,098,863</w:t>
            </w:r>
          </w:p>
        </w:tc>
        <w:tc>
          <w:tcPr>
            <w:tcW w:w="1710" w:type="dxa"/>
            <w:shd w:val="clear" w:color="auto" w:fill="F2F2F2" w:themeFill="background1" w:themeFillShade="F2"/>
            <w:vAlign w:val="center"/>
          </w:tcPr>
          <w:p w14:paraId="576BF8AF" w14:textId="77777777" w:rsidR="003C3427" w:rsidRPr="00C45179" w:rsidRDefault="00E06207" w:rsidP="0079293E">
            <w:pPr>
              <w:tabs>
                <w:tab w:val="left" w:pos="9000"/>
              </w:tabs>
              <w:jc w:val="center"/>
            </w:pPr>
            <w:r w:rsidRPr="00C45179">
              <w:t>17,778,233</w:t>
            </w:r>
          </w:p>
        </w:tc>
      </w:tr>
    </w:tbl>
    <w:p w14:paraId="2A3FEDAD" w14:textId="77777777" w:rsidR="000C0ABC" w:rsidRPr="0089338C" w:rsidRDefault="00E06207" w:rsidP="0079293E">
      <w:pPr>
        <w:pStyle w:val="ADRTextBulletL2"/>
        <w:tabs>
          <w:tab w:val="left" w:pos="9000"/>
        </w:tabs>
        <w:jc w:val="both"/>
        <w:rPr>
          <w:rFonts w:asciiTheme="minorHAnsi" w:hAnsiTheme="minorHAnsi"/>
          <w:sz w:val="18"/>
          <w:szCs w:val="18"/>
        </w:rPr>
      </w:pPr>
      <w:r w:rsidRPr="0089338C">
        <w:rPr>
          <w:rFonts w:asciiTheme="minorHAnsi" w:hAnsiTheme="minorHAnsi"/>
          <w:sz w:val="18"/>
          <w:szCs w:val="18"/>
        </w:rPr>
        <w:t xml:space="preserve">*Excludes USD </w:t>
      </w:r>
      <w:r w:rsidR="00EF2A68" w:rsidRPr="0089338C">
        <w:rPr>
          <w:rFonts w:asciiTheme="minorHAnsi" w:hAnsiTheme="minorHAnsi"/>
          <w:sz w:val="18"/>
          <w:szCs w:val="18"/>
        </w:rPr>
        <w:t>1.69</w:t>
      </w:r>
      <w:r w:rsidRPr="0089338C">
        <w:rPr>
          <w:rFonts w:asciiTheme="minorHAnsi" w:hAnsiTheme="minorHAnsi"/>
          <w:sz w:val="18"/>
          <w:szCs w:val="18"/>
        </w:rPr>
        <w:t xml:space="preserve"> million which is unlinked to any outcome</w:t>
      </w:r>
      <w:r w:rsidR="00EF2A68" w:rsidRPr="0089338C">
        <w:rPr>
          <w:rFonts w:asciiTheme="minorHAnsi" w:hAnsiTheme="minorHAnsi"/>
          <w:sz w:val="18"/>
          <w:szCs w:val="18"/>
        </w:rPr>
        <w:t xml:space="preserve"> and USD 0.91 million linked to </w:t>
      </w:r>
      <w:r w:rsidR="0003428E" w:rsidRPr="0089338C">
        <w:rPr>
          <w:rFonts w:asciiTheme="minorHAnsi" w:hAnsiTheme="minorHAnsi"/>
          <w:sz w:val="18"/>
          <w:szCs w:val="18"/>
        </w:rPr>
        <w:t>“EUR OUTCOME O1”</w:t>
      </w:r>
      <w:r w:rsidRPr="0089338C">
        <w:rPr>
          <w:rFonts w:asciiTheme="minorHAnsi" w:hAnsiTheme="minorHAnsi"/>
          <w:sz w:val="18"/>
          <w:szCs w:val="18"/>
        </w:rPr>
        <w:t xml:space="preserve">; ** Excludes USD </w:t>
      </w:r>
      <w:r w:rsidR="00EF2A68" w:rsidRPr="0089338C">
        <w:rPr>
          <w:rFonts w:asciiTheme="minorHAnsi" w:hAnsiTheme="minorHAnsi"/>
          <w:sz w:val="18"/>
          <w:szCs w:val="18"/>
        </w:rPr>
        <w:t>0.66 million</w:t>
      </w:r>
      <w:r w:rsidRPr="0089338C">
        <w:rPr>
          <w:rFonts w:asciiTheme="minorHAnsi" w:hAnsiTheme="minorHAnsi"/>
          <w:sz w:val="18"/>
          <w:szCs w:val="18"/>
        </w:rPr>
        <w:t xml:space="preserve"> which is unlinked </w:t>
      </w:r>
      <w:r w:rsidR="00EF2A68" w:rsidRPr="0089338C">
        <w:rPr>
          <w:rFonts w:asciiTheme="minorHAnsi" w:hAnsiTheme="minorHAnsi"/>
          <w:sz w:val="18"/>
          <w:szCs w:val="18"/>
        </w:rPr>
        <w:t>to any outcome</w:t>
      </w:r>
      <w:r w:rsidR="0003428E" w:rsidRPr="0089338C">
        <w:rPr>
          <w:rFonts w:asciiTheme="minorHAnsi" w:hAnsiTheme="minorHAnsi"/>
          <w:sz w:val="18"/>
          <w:szCs w:val="18"/>
        </w:rPr>
        <w:t xml:space="preserve"> and USD 0.02 million linked to “EUR OUTCOME O1”</w:t>
      </w:r>
      <w:r w:rsidR="00EF2A68" w:rsidRPr="0089338C">
        <w:rPr>
          <w:rFonts w:asciiTheme="minorHAnsi" w:hAnsiTheme="minorHAnsi"/>
          <w:sz w:val="18"/>
          <w:szCs w:val="18"/>
        </w:rPr>
        <w:t>;</w:t>
      </w:r>
    </w:p>
    <w:p w14:paraId="718DD964" w14:textId="77777777" w:rsidR="000C0ABC" w:rsidRPr="0089338C" w:rsidRDefault="00E06207" w:rsidP="0079293E">
      <w:pPr>
        <w:pStyle w:val="ADRTextBulletL2"/>
        <w:tabs>
          <w:tab w:val="left" w:pos="9000"/>
        </w:tabs>
        <w:jc w:val="both"/>
        <w:rPr>
          <w:rFonts w:asciiTheme="minorHAnsi" w:eastAsia="Calibri" w:hAnsiTheme="minorHAnsi"/>
          <w:b/>
          <w:sz w:val="18"/>
          <w:szCs w:val="18"/>
        </w:rPr>
      </w:pPr>
      <w:r w:rsidRPr="0089338C">
        <w:rPr>
          <w:rFonts w:asciiTheme="minorHAnsi" w:hAnsiTheme="minorHAnsi"/>
          <w:sz w:val="18"/>
          <w:szCs w:val="18"/>
        </w:rPr>
        <w:t>Source: Country Programme Document 201</w:t>
      </w:r>
      <w:r w:rsidR="0003428E" w:rsidRPr="0089338C">
        <w:rPr>
          <w:rFonts w:asciiTheme="minorHAnsi" w:hAnsiTheme="minorHAnsi"/>
          <w:sz w:val="18"/>
          <w:szCs w:val="18"/>
        </w:rPr>
        <w:t>6</w:t>
      </w:r>
      <w:r w:rsidRPr="0089338C">
        <w:rPr>
          <w:rFonts w:asciiTheme="minorHAnsi" w:hAnsiTheme="minorHAnsi"/>
          <w:sz w:val="18"/>
          <w:szCs w:val="18"/>
        </w:rPr>
        <w:t>-20</w:t>
      </w:r>
      <w:r w:rsidR="0003428E" w:rsidRPr="0089338C">
        <w:rPr>
          <w:rFonts w:asciiTheme="minorHAnsi" w:hAnsiTheme="minorHAnsi"/>
          <w:sz w:val="18"/>
          <w:szCs w:val="18"/>
        </w:rPr>
        <w:t>20</w:t>
      </w:r>
      <w:r w:rsidRPr="0089338C">
        <w:rPr>
          <w:rFonts w:asciiTheme="minorHAnsi" w:hAnsiTheme="minorHAnsi"/>
          <w:sz w:val="18"/>
          <w:szCs w:val="18"/>
        </w:rPr>
        <w:t xml:space="preserve"> and </w:t>
      </w:r>
      <w:r w:rsidR="0003428E" w:rsidRPr="0089338C">
        <w:rPr>
          <w:sz w:val="18"/>
          <w:szCs w:val="18"/>
        </w:rPr>
        <w:t>Power BI/Atlas, 29 Jan 2019.</w:t>
      </w:r>
    </w:p>
    <w:p w14:paraId="641C9F1D" w14:textId="77777777" w:rsidR="00373377" w:rsidRDefault="00373377" w:rsidP="000C0ABC">
      <w:pPr>
        <w:pStyle w:val="ADRTextBulletL2"/>
        <w:tabs>
          <w:tab w:val="left" w:pos="9000"/>
        </w:tabs>
        <w:jc w:val="both"/>
        <w:rPr>
          <w:rFonts w:asciiTheme="minorHAnsi" w:hAnsiTheme="minorHAnsi" w:cstheme="minorHAnsi"/>
        </w:rPr>
      </w:pPr>
    </w:p>
    <w:p w14:paraId="29526212" w14:textId="0F8B0A73" w:rsidR="000C0ABC" w:rsidRPr="00C0272F" w:rsidRDefault="00E06207" w:rsidP="000C0ABC">
      <w:pPr>
        <w:pStyle w:val="ADRTextBulletL2"/>
        <w:tabs>
          <w:tab w:val="left" w:pos="9000"/>
        </w:tabs>
        <w:jc w:val="both"/>
        <w:rPr>
          <w:rFonts w:asciiTheme="minorHAnsi" w:hAnsiTheme="minorHAnsi" w:cstheme="minorHAnsi"/>
        </w:rPr>
      </w:pPr>
      <w:r w:rsidRPr="00C0272F">
        <w:rPr>
          <w:rFonts w:asciiTheme="minorHAnsi" w:hAnsiTheme="minorHAnsi" w:cstheme="minorHAnsi"/>
        </w:rPr>
        <w:t xml:space="preserve">The </w:t>
      </w:r>
      <w:r>
        <w:rPr>
          <w:rFonts w:asciiTheme="minorHAnsi" w:hAnsiTheme="minorHAnsi" w:cstheme="minorHAnsi"/>
        </w:rPr>
        <w:t>evaluation</w:t>
      </w:r>
      <w:r w:rsidRPr="00C0272F">
        <w:rPr>
          <w:rFonts w:asciiTheme="minorHAnsi" w:hAnsiTheme="minorHAnsi" w:cstheme="minorHAnsi"/>
        </w:rPr>
        <w:t xml:space="preserve"> will also consider UNDP’s performance and contribution within the broader framework of the UNCT and assess </w:t>
      </w:r>
      <w:r w:rsidRPr="000D448C">
        <w:rPr>
          <w:rFonts w:asciiTheme="minorHAnsi" w:hAnsiTheme="minorHAnsi" w:cstheme="minorHAnsi"/>
        </w:rPr>
        <w:t xml:space="preserve">UNDP’s role as a catalyst and convener </w:t>
      </w:r>
      <w:r w:rsidRPr="000D448C">
        <w:t>working in partnership with other development partners, civil society,</w:t>
      </w:r>
      <w:r w:rsidR="00BA108C" w:rsidRPr="000D448C">
        <w:t xml:space="preserve"> think-tanks</w:t>
      </w:r>
      <w:r w:rsidRPr="000D448C">
        <w:t>,</w:t>
      </w:r>
      <w:r w:rsidRPr="00C0272F">
        <w:t xml:space="preserve"> and the private sector. This will be done with a view to supporting the </w:t>
      </w:r>
      <w:r w:rsidR="008D08DD">
        <w:t>CP</w:t>
      </w:r>
      <w:r w:rsidRPr="00C0272F">
        <w:t xml:space="preserve"> in meeting new requirements set by UNDP's </w:t>
      </w:r>
      <w:r w:rsidR="00751C1B">
        <w:t>S</w:t>
      </w:r>
      <w:r w:rsidRPr="00C0272F">
        <w:t xml:space="preserve">trategic </w:t>
      </w:r>
      <w:r w:rsidR="00751C1B">
        <w:t>P</w:t>
      </w:r>
      <w:r w:rsidRPr="00C0272F">
        <w:t>lan 2018-2021, and requirements established by on-going reforms of the United Natio</w:t>
      </w:r>
      <w:r>
        <w:t>ns Development S</w:t>
      </w:r>
      <w:r w:rsidRPr="00C0272F">
        <w:t xml:space="preserve">ystem. </w:t>
      </w:r>
    </w:p>
    <w:p w14:paraId="58890901" w14:textId="77777777" w:rsidR="000C0ABC" w:rsidRPr="00C0272F" w:rsidRDefault="000C0ABC" w:rsidP="000C0ABC">
      <w:pPr>
        <w:pStyle w:val="ADRTextBulletL2"/>
        <w:tabs>
          <w:tab w:val="left" w:pos="9000"/>
        </w:tabs>
        <w:jc w:val="both"/>
        <w:rPr>
          <w:rFonts w:asciiTheme="minorHAnsi" w:hAnsiTheme="minorHAnsi" w:cstheme="minorHAnsi"/>
        </w:rPr>
      </w:pPr>
    </w:p>
    <w:p w14:paraId="1C2B5B9C" w14:textId="500CC0AD" w:rsidR="000C0ABC" w:rsidRDefault="00E06207" w:rsidP="000C0ABC">
      <w:pPr>
        <w:pStyle w:val="ADRText"/>
        <w:tabs>
          <w:tab w:val="left" w:pos="9000"/>
        </w:tabs>
        <w:spacing w:after="0"/>
        <w:ind w:left="0"/>
        <w:jc w:val="both"/>
        <w:rPr>
          <w:rFonts w:asciiTheme="minorHAnsi" w:hAnsiTheme="minorHAnsi"/>
        </w:rPr>
      </w:pPr>
      <w:r w:rsidRPr="00C0272F">
        <w:rPr>
          <w:rFonts w:asciiTheme="minorHAnsi" w:hAnsiTheme="minorHAnsi"/>
        </w:rPr>
        <w:t xml:space="preserve">Special efforts will be made to capture the role and contribution of UNV </w:t>
      </w:r>
      <w:r w:rsidR="00A42E94">
        <w:rPr>
          <w:rFonts w:asciiTheme="minorHAnsi" w:hAnsiTheme="minorHAnsi"/>
        </w:rPr>
        <w:t xml:space="preserve">and UNCDF </w:t>
      </w:r>
      <w:r w:rsidRPr="00C0272F">
        <w:rPr>
          <w:rFonts w:asciiTheme="minorHAnsi" w:hAnsiTheme="minorHAnsi"/>
        </w:rPr>
        <w:t xml:space="preserve">through </w:t>
      </w:r>
      <w:r w:rsidR="008E054F">
        <w:rPr>
          <w:rFonts w:asciiTheme="minorHAnsi" w:hAnsiTheme="minorHAnsi"/>
        </w:rPr>
        <w:t>any j</w:t>
      </w:r>
      <w:r w:rsidRPr="00C0272F">
        <w:rPr>
          <w:rFonts w:asciiTheme="minorHAnsi" w:hAnsiTheme="minorHAnsi"/>
        </w:rPr>
        <w:t xml:space="preserve">oint work </w:t>
      </w:r>
      <w:r w:rsidR="008E054F">
        <w:rPr>
          <w:rFonts w:asciiTheme="minorHAnsi" w:hAnsiTheme="minorHAnsi"/>
        </w:rPr>
        <w:t xml:space="preserve">undertaken </w:t>
      </w:r>
      <w:r w:rsidRPr="00C0272F">
        <w:rPr>
          <w:rFonts w:asciiTheme="minorHAnsi" w:hAnsiTheme="minorHAnsi"/>
        </w:rPr>
        <w:t>with UNDP. This information will be used for synthesis to provide corporate level evaluative evidence of the performance of the associated funds and programmes.</w:t>
      </w:r>
    </w:p>
    <w:p w14:paraId="1448942D" w14:textId="3F694855" w:rsidR="008D0AED" w:rsidRDefault="008D0AED" w:rsidP="000C0ABC">
      <w:pPr>
        <w:pStyle w:val="ADRText"/>
        <w:tabs>
          <w:tab w:val="left" w:pos="9000"/>
        </w:tabs>
        <w:spacing w:after="0"/>
        <w:ind w:left="0"/>
        <w:jc w:val="both"/>
        <w:rPr>
          <w:rFonts w:asciiTheme="minorHAnsi" w:hAnsiTheme="minorHAnsi"/>
        </w:rPr>
      </w:pPr>
    </w:p>
    <w:p w14:paraId="4508B161" w14:textId="355C13EB" w:rsidR="008D0AED" w:rsidRPr="00C0272F" w:rsidRDefault="005915E6" w:rsidP="000C0ABC">
      <w:pPr>
        <w:pStyle w:val="ADRText"/>
        <w:tabs>
          <w:tab w:val="left" w:pos="9000"/>
        </w:tabs>
        <w:spacing w:after="0"/>
        <w:ind w:left="0"/>
        <w:jc w:val="both"/>
        <w:rPr>
          <w:rFonts w:asciiTheme="minorHAnsi" w:hAnsiTheme="minorHAnsi"/>
        </w:rPr>
      </w:pPr>
      <w:r w:rsidRPr="002B0B34">
        <w:rPr>
          <w:rFonts w:asciiTheme="minorHAnsi" w:hAnsiTheme="minorHAnsi"/>
        </w:rPr>
        <w:t xml:space="preserve">In 2019 IEO is conducting a corporate evaluation of its engagement in middle-income countries. UNDP Malaysia has been selected as one of the case studies for this evaluation. The ICPE in-country mission will </w:t>
      </w:r>
      <w:r w:rsidR="00CE0F2F" w:rsidRPr="002B0B34">
        <w:rPr>
          <w:rFonts w:asciiTheme="minorHAnsi" w:hAnsiTheme="minorHAnsi"/>
        </w:rPr>
        <w:t>be used to collect data and information for this thematic evaluation.</w:t>
      </w:r>
      <w:r w:rsidR="00CE0F2F">
        <w:rPr>
          <w:rFonts w:asciiTheme="minorHAnsi" w:hAnsiTheme="minorHAnsi"/>
        </w:rPr>
        <w:t xml:space="preserve">  </w:t>
      </w:r>
      <w:r>
        <w:rPr>
          <w:rFonts w:asciiTheme="minorHAnsi" w:hAnsiTheme="minorHAnsi"/>
        </w:rPr>
        <w:t xml:space="preserve"> </w:t>
      </w:r>
    </w:p>
    <w:p w14:paraId="466626E5" w14:textId="77777777" w:rsidR="000C0ABC" w:rsidRPr="00E27264" w:rsidRDefault="000C0ABC" w:rsidP="000C0ABC">
      <w:pPr>
        <w:pStyle w:val="BodyText"/>
        <w:tabs>
          <w:tab w:val="left" w:pos="9000"/>
        </w:tabs>
        <w:ind w:left="0"/>
        <w:jc w:val="both"/>
        <w:rPr>
          <w:rFonts w:asciiTheme="minorHAnsi" w:hAnsiTheme="minorHAnsi"/>
          <w:lang w:val="en-GB"/>
        </w:rPr>
      </w:pPr>
    </w:p>
    <w:p w14:paraId="57EEF402" w14:textId="77777777" w:rsidR="000C0ABC" w:rsidRDefault="00E06207" w:rsidP="000C0ABC">
      <w:pPr>
        <w:pStyle w:val="ADRTextBulletL2"/>
        <w:numPr>
          <w:ilvl w:val="0"/>
          <w:numId w:val="6"/>
        </w:numPr>
        <w:tabs>
          <w:tab w:val="left" w:pos="9000"/>
        </w:tabs>
        <w:jc w:val="both"/>
        <w:rPr>
          <w:rFonts w:asciiTheme="minorHAnsi" w:hAnsiTheme="minorHAnsi"/>
          <w:b/>
          <w:szCs w:val="22"/>
        </w:rPr>
      </w:pPr>
      <w:r w:rsidRPr="00E27264">
        <w:rPr>
          <w:rFonts w:asciiTheme="minorHAnsi" w:hAnsiTheme="minorHAnsi"/>
          <w:b/>
          <w:szCs w:val="22"/>
        </w:rPr>
        <w:t>METHODOLOGY</w:t>
      </w:r>
    </w:p>
    <w:p w14:paraId="0513E23F" w14:textId="77777777" w:rsidR="000C0ABC" w:rsidRDefault="000C0ABC" w:rsidP="000C0ABC">
      <w:pPr>
        <w:spacing w:after="0" w:line="240" w:lineRule="auto"/>
        <w:jc w:val="both"/>
        <w:rPr>
          <w:rFonts w:cstheme="minorHAnsi"/>
        </w:rPr>
      </w:pPr>
    </w:p>
    <w:p w14:paraId="5CE11BAE" w14:textId="1D3D2D6C" w:rsidR="00373377" w:rsidRDefault="00E06207" w:rsidP="00373377">
      <w:pPr>
        <w:pStyle w:val="ListParagraph"/>
        <w:spacing w:after="0" w:line="240" w:lineRule="auto"/>
        <w:jc w:val="both"/>
        <w:rPr>
          <w:rFonts w:eastAsia="Calibri" w:cs="Calibri"/>
          <w:szCs w:val="20"/>
        </w:rPr>
      </w:pPr>
      <w:r w:rsidRPr="00C0272F">
        <w:rPr>
          <w:rFonts w:cstheme="minorHAnsi"/>
        </w:rPr>
        <w:t xml:space="preserve">The evaluation methodology will adhere to </w:t>
      </w:r>
      <w:r w:rsidRPr="00C0272F">
        <w:rPr>
          <w:rFonts w:eastAsia="Calibri" w:cs="Calibri"/>
          <w:szCs w:val="20"/>
        </w:rPr>
        <w:t xml:space="preserve">the United Nations Evaluation Group (UNEG) Norms </w:t>
      </w:r>
      <w:r w:rsidR="00743D42">
        <w:rPr>
          <w:rFonts w:eastAsia="Calibri" w:cs="Calibri"/>
          <w:szCs w:val="20"/>
        </w:rPr>
        <w:t>and</w:t>
      </w:r>
      <w:r w:rsidRPr="00C0272F">
        <w:rPr>
          <w:rFonts w:eastAsia="Calibri" w:cs="Calibri"/>
          <w:szCs w:val="20"/>
        </w:rPr>
        <w:t xml:space="preserve"> Standards.</w:t>
      </w:r>
      <w:r>
        <w:rPr>
          <w:rFonts w:eastAsia="Calibri" w:cs="Calibri"/>
          <w:szCs w:val="20"/>
          <w:vertAlign w:val="superscript"/>
        </w:rPr>
        <w:footnoteReference w:id="28"/>
      </w:r>
      <w:r w:rsidRPr="00C0272F">
        <w:rPr>
          <w:rFonts w:eastAsia="Calibri" w:cs="Calibri"/>
          <w:szCs w:val="20"/>
          <w:vertAlign w:val="superscript"/>
        </w:rPr>
        <w:t xml:space="preserve"> </w:t>
      </w:r>
      <w:r w:rsidRPr="00C0272F">
        <w:rPr>
          <w:rFonts w:eastAsia="Calibri" w:cs="Calibri"/>
          <w:szCs w:val="20"/>
        </w:rPr>
        <w:t xml:space="preserve"> </w:t>
      </w:r>
      <w:r>
        <w:rPr>
          <w:rFonts w:eastAsia="Calibri" w:cs="Calibri"/>
          <w:szCs w:val="20"/>
        </w:rPr>
        <w:t>It</w:t>
      </w:r>
      <w:r w:rsidRPr="00C0272F">
        <w:rPr>
          <w:rFonts w:eastAsia="Calibri" w:cs="Calibri"/>
          <w:szCs w:val="20"/>
        </w:rPr>
        <w:t xml:space="preserve"> will address the following three key evaluation questions. These questions will also guide the presentation of the evaluation findings in the report</w:t>
      </w:r>
      <w:r w:rsidR="00373377">
        <w:rPr>
          <w:rFonts w:eastAsia="Calibri" w:cs="Calibri"/>
          <w:szCs w:val="20"/>
        </w:rPr>
        <w:t>:</w:t>
      </w:r>
      <w:r w:rsidRPr="00C0272F">
        <w:rPr>
          <w:rFonts w:eastAsia="Calibri" w:cs="Calibri"/>
          <w:szCs w:val="20"/>
        </w:rPr>
        <w:t xml:space="preserve"> </w:t>
      </w:r>
      <w:bookmarkStart w:id="7" w:name="_Hlk505151413"/>
    </w:p>
    <w:p w14:paraId="39877882" w14:textId="3911045C" w:rsidR="000C0ABC" w:rsidRPr="00C0272F" w:rsidRDefault="00E06207" w:rsidP="000C0ABC">
      <w:pPr>
        <w:pStyle w:val="ListParagraph"/>
        <w:numPr>
          <w:ilvl w:val="0"/>
          <w:numId w:val="7"/>
        </w:numPr>
        <w:spacing w:after="0" w:line="240" w:lineRule="auto"/>
        <w:jc w:val="both"/>
        <w:rPr>
          <w:rFonts w:eastAsia="Calibri" w:cs="Calibri"/>
          <w:szCs w:val="20"/>
        </w:rPr>
      </w:pPr>
      <w:r w:rsidRPr="00C0272F">
        <w:rPr>
          <w:rFonts w:eastAsia="Calibri" w:cs="Calibri"/>
          <w:szCs w:val="20"/>
        </w:rPr>
        <w:t xml:space="preserve">What did the </w:t>
      </w:r>
      <w:r w:rsidR="008D08DD">
        <w:rPr>
          <w:rFonts w:eastAsia="Calibri" w:cs="Calibri"/>
          <w:szCs w:val="20"/>
        </w:rPr>
        <w:t xml:space="preserve">country </w:t>
      </w:r>
      <w:proofErr w:type="spellStart"/>
      <w:r w:rsidR="008D08DD">
        <w:rPr>
          <w:rFonts w:eastAsia="Calibri" w:cs="Calibri"/>
          <w:szCs w:val="20"/>
        </w:rPr>
        <w:t>programme</w:t>
      </w:r>
      <w:proofErr w:type="spellEnd"/>
      <w:r w:rsidRPr="00C0272F">
        <w:rPr>
          <w:rFonts w:eastAsia="Calibri" w:cs="Calibri"/>
          <w:szCs w:val="20"/>
        </w:rPr>
        <w:t xml:space="preserve"> intend to achieve during the period under review? </w:t>
      </w:r>
    </w:p>
    <w:p w14:paraId="1D26DEAF" w14:textId="77777777" w:rsidR="000C0ABC" w:rsidRPr="00C0272F" w:rsidRDefault="00E06207" w:rsidP="000C0ABC">
      <w:pPr>
        <w:pStyle w:val="ListParagraph"/>
        <w:numPr>
          <w:ilvl w:val="0"/>
          <w:numId w:val="7"/>
        </w:numPr>
        <w:spacing w:after="0" w:line="240" w:lineRule="auto"/>
        <w:jc w:val="both"/>
        <w:rPr>
          <w:rFonts w:eastAsia="Calibri" w:cs="Calibri"/>
          <w:szCs w:val="20"/>
        </w:rPr>
      </w:pPr>
      <w:r w:rsidRPr="00C0272F">
        <w:rPr>
          <w:rFonts w:eastAsia="Calibri" w:cs="Calibri"/>
          <w:szCs w:val="20"/>
        </w:rPr>
        <w:t xml:space="preserve">To what extent has the </w:t>
      </w:r>
      <w:proofErr w:type="spellStart"/>
      <w:r w:rsidRPr="00C0272F">
        <w:rPr>
          <w:rFonts w:eastAsia="Calibri" w:cs="Calibri"/>
          <w:szCs w:val="20"/>
        </w:rPr>
        <w:t>programme</w:t>
      </w:r>
      <w:proofErr w:type="spellEnd"/>
      <w:r w:rsidRPr="00C0272F">
        <w:rPr>
          <w:rFonts w:eastAsia="Calibri" w:cs="Calibri"/>
          <w:szCs w:val="20"/>
        </w:rPr>
        <w:t xml:space="preserve"> achieved (or is likely to achieve) its intended objectives? </w:t>
      </w:r>
    </w:p>
    <w:p w14:paraId="77398FAD" w14:textId="77777777" w:rsidR="000C0ABC" w:rsidRPr="00C0272F" w:rsidRDefault="00E06207" w:rsidP="000C0ABC">
      <w:pPr>
        <w:pStyle w:val="ListParagraph"/>
        <w:numPr>
          <w:ilvl w:val="0"/>
          <w:numId w:val="7"/>
        </w:numPr>
        <w:spacing w:after="0" w:line="240" w:lineRule="auto"/>
        <w:jc w:val="both"/>
        <w:rPr>
          <w:rFonts w:cstheme="minorHAnsi"/>
        </w:rPr>
      </w:pPr>
      <w:r w:rsidRPr="00C0272F">
        <w:rPr>
          <w:rFonts w:eastAsia="Calibri" w:cs="Calibri"/>
          <w:szCs w:val="20"/>
        </w:rPr>
        <w:t>What factors contributed to or hindered UNDP’s performance</w:t>
      </w:r>
      <w:r w:rsidRPr="00C0272F">
        <w:rPr>
          <w:rFonts w:cstheme="minorHAnsi"/>
        </w:rPr>
        <w:t xml:space="preserve"> and eventually, the sustainability of results?</w:t>
      </w:r>
    </w:p>
    <w:bookmarkEnd w:id="7"/>
    <w:p w14:paraId="7649D136" w14:textId="77777777" w:rsidR="000C0ABC" w:rsidRPr="00C0272F" w:rsidRDefault="000C0ABC" w:rsidP="000C0ABC">
      <w:pPr>
        <w:tabs>
          <w:tab w:val="left" w:pos="9000"/>
        </w:tabs>
        <w:spacing w:after="0" w:line="240" w:lineRule="auto"/>
        <w:jc w:val="both"/>
      </w:pPr>
    </w:p>
    <w:p w14:paraId="0F2F3445" w14:textId="3E286EE1" w:rsidR="007C4155" w:rsidRPr="00C0272F" w:rsidRDefault="007C4155" w:rsidP="007C4155">
      <w:pPr>
        <w:spacing w:after="0" w:line="240" w:lineRule="auto"/>
        <w:jc w:val="both"/>
        <w:rPr>
          <w:rFonts w:eastAsia="Calibri" w:cs="Calibri"/>
          <w:szCs w:val="20"/>
        </w:rPr>
      </w:pPr>
      <w:r>
        <w:rPr>
          <w:rFonts w:eastAsia="Calibri" w:cs="Calibri"/>
          <w:szCs w:val="20"/>
        </w:rPr>
        <w:t>These questions will be further dissected into sub-questions and organized in an evaluation matrix, with respective methodologies, means of verification and data collection tools</w:t>
      </w:r>
      <w:r w:rsidR="00FB6BDC">
        <w:rPr>
          <w:rFonts w:eastAsia="Calibri" w:cs="Calibri"/>
          <w:szCs w:val="20"/>
        </w:rPr>
        <w:t xml:space="preserve"> during the evaluation’s preparatory phase</w:t>
      </w:r>
      <w:r>
        <w:rPr>
          <w:rFonts w:eastAsia="Calibri" w:cs="Calibri"/>
          <w:szCs w:val="20"/>
        </w:rPr>
        <w:t xml:space="preserve">. </w:t>
      </w:r>
    </w:p>
    <w:p w14:paraId="00170BE0" w14:textId="77777777" w:rsidR="007C4155" w:rsidRDefault="007C4155" w:rsidP="000C0ABC">
      <w:pPr>
        <w:tabs>
          <w:tab w:val="left" w:pos="9000"/>
        </w:tabs>
        <w:spacing w:after="0" w:line="240" w:lineRule="auto"/>
        <w:jc w:val="both"/>
        <w:rPr>
          <w:rFonts w:cstheme="minorHAnsi"/>
        </w:rPr>
      </w:pPr>
    </w:p>
    <w:p w14:paraId="08EBFE14" w14:textId="3032858E" w:rsidR="000C0ABC" w:rsidRPr="0079293E" w:rsidRDefault="00E06207" w:rsidP="000C0ABC">
      <w:pPr>
        <w:tabs>
          <w:tab w:val="left" w:pos="9000"/>
        </w:tabs>
        <w:spacing w:after="0" w:line="240" w:lineRule="auto"/>
        <w:jc w:val="both"/>
        <w:rPr>
          <w:rFonts w:cstheme="minorHAnsi"/>
          <w:bCs/>
        </w:rPr>
      </w:pPr>
      <w:r w:rsidRPr="00C0272F">
        <w:rPr>
          <w:rFonts w:cstheme="minorHAnsi"/>
        </w:rPr>
        <w:t xml:space="preserve">To address key question 1, a </w:t>
      </w:r>
      <w:r>
        <w:rPr>
          <w:rFonts w:cstheme="minorHAnsi"/>
        </w:rPr>
        <w:t>t</w:t>
      </w:r>
      <w:r w:rsidRPr="00C0272F">
        <w:rPr>
          <w:rFonts w:cstheme="minorHAnsi"/>
        </w:rPr>
        <w:t xml:space="preserve">heory of </w:t>
      </w:r>
      <w:r>
        <w:rPr>
          <w:rFonts w:cstheme="minorHAnsi"/>
        </w:rPr>
        <w:t>c</w:t>
      </w:r>
      <w:r w:rsidRPr="00C0272F">
        <w:rPr>
          <w:rFonts w:cstheme="minorHAnsi"/>
        </w:rPr>
        <w:t xml:space="preserve">hange approach will be used in consultation with stakeholders, as appropriate, to </w:t>
      </w:r>
      <w:r w:rsidRPr="00C0272F">
        <w:rPr>
          <w:rFonts w:cstheme="minorHAnsi"/>
          <w:bCs/>
        </w:rPr>
        <w:t xml:space="preserve">better understand the </w:t>
      </w:r>
      <w:r w:rsidR="008D08DD">
        <w:rPr>
          <w:rFonts w:cstheme="minorHAnsi"/>
          <w:bCs/>
        </w:rPr>
        <w:t>CP</w:t>
      </w:r>
      <w:r w:rsidRPr="00C0272F">
        <w:rPr>
          <w:rFonts w:cstheme="minorHAnsi"/>
          <w:bCs/>
        </w:rPr>
        <w:t xml:space="preserve"> interventions, how and under what conditions </w:t>
      </w:r>
      <w:r w:rsidRPr="0079293E">
        <w:rPr>
          <w:rFonts w:cstheme="minorHAnsi"/>
          <w:bCs/>
        </w:rPr>
        <w:t xml:space="preserve">they are expected to lead to </w:t>
      </w:r>
      <w:r w:rsidR="00751C1B" w:rsidRPr="0079293E">
        <w:rPr>
          <w:rFonts w:cstheme="minorHAnsi"/>
          <w:bCs/>
        </w:rPr>
        <w:t>reduced socioeconomic</w:t>
      </w:r>
      <w:r w:rsidR="00E36508" w:rsidRPr="0079293E">
        <w:rPr>
          <w:rFonts w:cstheme="minorHAnsi"/>
          <w:bCs/>
        </w:rPr>
        <w:t xml:space="preserve"> inequality, Improved wellbeing and human capital, green growth and sustainable management of energy and natural resources.</w:t>
      </w:r>
    </w:p>
    <w:p w14:paraId="607F09AC" w14:textId="77777777" w:rsidR="000C0ABC" w:rsidRPr="0079293E" w:rsidRDefault="000C0ABC" w:rsidP="000C0ABC">
      <w:pPr>
        <w:tabs>
          <w:tab w:val="left" w:pos="9000"/>
        </w:tabs>
        <w:spacing w:after="0" w:line="240" w:lineRule="auto"/>
        <w:jc w:val="both"/>
        <w:rPr>
          <w:rFonts w:cstheme="minorHAnsi"/>
          <w:bCs/>
        </w:rPr>
      </w:pPr>
    </w:p>
    <w:p w14:paraId="04A30579" w14:textId="29E7D0D9" w:rsidR="000C0ABC" w:rsidRDefault="00E06207" w:rsidP="000C0ABC">
      <w:pPr>
        <w:tabs>
          <w:tab w:val="left" w:pos="9000"/>
        </w:tabs>
        <w:spacing w:after="0" w:line="240" w:lineRule="auto"/>
        <w:jc w:val="both"/>
        <w:rPr>
          <w:rFonts w:cstheme="minorHAnsi"/>
        </w:rPr>
      </w:pPr>
      <w:r w:rsidRPr="0079293E">
        <w:rPr>
          <w:rFonts w:cstheme="minorHAnsi"/>
          <w:bCs/>
        </w:rPr>
        <w:t xml:space="preserve">An abridged </w:t>
      </w:r>
      <w:r w:rsidR="004F0869">
        <w:rPr>
          <w:rFonts w:cstheme="minorHAnsi"/>
          <w:bCs/>
        </w:rPr>
        <w:t>CP</w:t>
      </w:r>
      <w:r w:rsidRPr="0079293E">
        <w:rPr>
          <w:rFonts w:cstheme="minorHAnsi"/>
        </w:rPr>
        <w:t xml:space="preserve"> theory of change for discussion with the country office is presented in Figure 1. Reviews of the theory of change will focus on mapping the assumptions behind the </w:t>
      </w:r>
      <w:proofErr w:type="spellStart"/>
      <w:r w:rsidRPr="0079293E">
        <w:rPr>
          <w:rFonts w:cstheme="minorHAnsi"/>
        </w:rPr>
        <w:t>programme’s</w:t>
      </w:r>
      <w:proofErr w:type="spellEnd"/>
      <w:r w:rsidRPr="0079293E">
        <w:rPr>
          <w:rFonts w:cstheme="minorHAnsi"/>
        </w:rPr>
        <w:t xml:space="preserve"> desired change(s) and the causal linkages between the interventions and the intended </w:t>
      </w:r>
      <w:r w:rsidR="008D08DD">
        <w:rPr>
          <w:rFonts w:cstheme="minorHAnsi"/>
        </w:rPr>
        <w:t>CP</w:t>
      </w:r>
      <w:r w:rsidRPr="0079293E">
        <w:rPr>
          <w:rFonts w:cstheme="minorHAnsi"/>
        </w:rPr>
        <w:t xml:space="preserve"> outcomes.</w:t>
      </w:r>
      <w:r w:rsidRPr="00C0272F">
        <w:rPr>
          <w:rFonts w:cstheme="minorHAnsi"/>
        </w:rPr>
        <w:t xml:space="preserve"> </w:t>
      </w:r>
    </w:p>
    <w:p w14:paraId="1EC3181E" w14:textId="77777777" w:rsidR="00751C1B" w:rsidRDefault="00751C1B" w:rsidP="00D260B2">
      <w:pPr>
        <w:tabs>
          <w:tab w:val="left" w:pos="9000"/>
        </w:tabs>
        <w:spacing w:after="0" w:line="240" w:lineRule="auto"/>
        <w:jc w:val="both"/>
        <w:rPr>
          <w:rFonts w:cstheme="minorHAnsi"/>
        </w:rPr>
      </w:pPr>
    </w:p>
    <w:p w14:paraId="04F667BA" w14:textId="282B9238" w:rsidR="00D260B2" w:rsidRDefault="00D260B2" w:rsidP="00D260B2">
      <w:pPr>
        <w:tabs>
          <w:tab w:val="left" w:pos="9000"/>
        </w:tabs>
        <w:spacing w:after="0" w:line="240" w:lineRule="auto"/>
        <w:jc w:val="both"/>
        <w:rPr>
          <w:rFonts w:cstheme="minorHAnsi"/>
        </w:rPr>
      </w:pPr>
      <w:r w:rsidRPr="001C2670">
        <w:rPr>
          <w:rFonts w:cstheme="minorHAnsi"/>
        </w:rPr>
        <w:lastRenderedPageBreak/>
        <w:t xml:space="preserve">According </w:t>
      </w:r>
      <w:r>
        <w:rPr>
          <w:rFonts w:cstheme="minorHAnsi"/>
        </w:rPr>
        <w:t xml:space="preserve">to the theory of change, </w:t>
      </w:r>
      <w:r w:rsidR="004F0869">
        <w:rPr>
          <w:rFonts w:cstheme="minorHAnsi"/>
        </w:rPr>
        <w:t xml:space="preserve">the overarching goal of the CP is to contribute to improved institutional capacities so that relevant public institutions are designing, implementing, monitoring and evaluating national </w:t>
      </w:r>
      <w:proofErr w:type="spellStart"/>
      <w:r w:rsidR="004F0869">
        <w:rPr>
          <w:rFonts w:cstheme="minorHAnsi"/>
        </w:rPr>
        <w:t>programmes</w:t>
      </w:r>
      <w:proofErr w:type="spellEnd"/>
      <w:r w:rsidR="004F0869">
        <w:rPr>
          <w:rFonts w:cstheme="minorHAnsi"/>
        </w:rPr>
        <w:t xml:space="preserve"> addressing inclusive and sustainable growth and development. The CP </w:t>
      </w:r>
      <w:r>
        <w:rPr>
          <w:rFonts w:cstheme="minorHAnsi"/>
        </w:rPr>
        <w:t xml:space="preserve">is based on the logic that a mix of </w:t>
      </w:r>
      <w:r w:rsidR="004F0869">
        <w:rPr>
          <w:rFonts w:cstheme="minorHAnsi"/>
        </w:rPr>
        <w:t xml:space="preserve">interventions entailing </w:t>
      </w:r>
      <w:r>
        <w:rPr>
          <w:rFonts w:cstheme="minorHAnsi"/>
        </w:rPr>
        <w:t xml:space="preserve">high-level policy advice and implementation support in relevant national priority areas </w:t>
      </w:r>
      <w:r w:rsidRPr="001C2670">
        <w:rPr>
          <w:rFonts w:cstheme="minorHAnsi"/>
        </w:rPr>
        <w:t xml:space="preserve">will result </w:t>
      </w:r>
      <w:r w:rsidR="004F0869">
        <w:rPr>
          <w:rFonts w:cstheme="minorHAnsi"/>
        </w:rPr>
        <w:t xml:space="preserve">in </w:t>
      </w:r>
      <w:r w:rsidRPr="001C2670">
        <w:rPr>
          <w:rFonts w:cstheme="minorHAnsi"/>
        </w:rPr>
        <w:t>the achievement of planned outputs</w:t>
      </w:r>
      <w:r w:rsidR="004F0869">
        <w:rPr>
          <w:rFonts w:cstheme="minorHAnsi"/>
        </w:rPr>
        <w:t xml:space="preserve">, which in turn will contribute to </w:t>
      </w:r>
      <w:r w:rsidRPr="001C2670">
        <w:rPr>
          <w:rFonts w:cstheme="minorHAnsi"/>
        </w:rPr>
        <w:t>planned outcomes. This entails establishing some of the necessary conditions that when pursued can lead to intermediate results</w:t>
      </w:r>
      <w:r w:rsidRPr="002B0B34">
        <w:rPr>
          <w:rFonts w:cstheme="minorHAnsi"/>
        </w:rPr>
        <w:t xml:space="preserve">. </w:t>
      </w:r>
      <w:r w:rsidRPr="002B0B34">
        <w:t>Intermediate and long-term outcomes are the result of the collective efforts of multiple development actors, including government and other partners. Hence</w:t>
      </w:r>
      <w:r w:rsidRPr="001C2670">
        <w:t xml:space="preserve">, the assessment of the </w:t>
      </w:r>
      <w:proofErr w:type="spellStart"/>
      <w:r w:rsidRPr="001C2670">
        <w:t>programme’s</w:t>
      </w:r>
      <w:proofErr w:type="spellEnd"/>
      <w:r w:rsidRPr="001C2670">
        <w:t xml:space="preserve"> contribution will take into consideration the level of efforts and the space available for contribution.   </w:t>
      </w:r>
      <w:r w:rsidRPr="001C2670">
        <w:rPr>
          <w:rFonts w:cstheme="minorHAnsi"/>
        </w:rPr>
        <w:t xml:space="preserve">  </w:t>
      </w:r>
    </w:p>
    <w:p w14:paraId="143BBAD7" w14:textId="348EAD3E" w:rsidR="00DE5761" w:rsidRDefault="00DE5761" w:rsidP="00D260B2">
      <w:pPr>
        <w:tabs>
          <w:tab w:val="left" w:pos="9000"/>
        </w:tabs>
        <w:spacing w:after="0" w:line="240" w:lineRule="auto"/>
        <w:jc w:val="both"/>
        <w:rPr>
          <w:rFonts w:cstheme="minorHAnsi"/>
        </w:rPr>
      </w:pPr>
    </w:p>
    <w:p w14:paraId="0BF262F9" w14:textId="0494F282" w:rsidR="00C03F46" w:rsidRDefault="00C03F46" w:rsidP="00D260B2">
      <w:pPr>
        <w:tabs>
          <w:tab w:val="left" w:pos="9000"/>
        </w:tabs>
        <w:spacing w:after="0" w:line="240" w:lineRule="auto"/>
        <w:jc w:val="both"/>
        <w:rPr>
          <w:rFonts w:cstheme="minorHAnsi"/>
        </w:rPr>
      </w:pPr>
    </w:p>
    <w:p w14:paraId="61282A4F" w14:textId="77777777" w:rsidR="000D448C" w:rsidRDefault="000D448C" w:rsidP="00D260B2">
      <w:pPr>
        <w:tabs>
          <w:tab w:val="left" w:pos="9000"/>
        </w:tabs>
        <w:spacing w:after="0" w:line="240" w:lineRule="auto"/>
        <w:jc w:val="both"/>
        <w:rPr>
          <w:rFonts w:cstheme="minorHAnsi"/>
        </w:rPr>
      </w:pPr>
    </w:p>
    <w:p w14:paraId="55CC5C39" w14:textId="77777777" w:rsidR="00DE5761" w:rsidRPr="005E7F68" w:rsidRDefault="00DE5761" w:rsidP="00DE5761">
      <w:pPr>
        <w:tabs>
          <w:tab w:val="left" w:pos="9000"/>
        </w:tabs>
        <w:spacing w:after="0" w:line="240" w:lineRule="auto"/>
        <w:jc w:val="both"/>
        <w:rPr>
          <w:rFonts w:cstheme="minorHAnsi"/>
          <w:b/>
          <w:color w:val="2E74B5" w:themeColor="accent5" w:themeShade="BF"/>
        </w:rPr>
      </w:pPr>
      <w:r w:rsidRPr="005E7F68">
        <w:rPr>
          <w:rFonts w:cstheme="minorHAnsi"/>
          <w:b/>
          <w:color w:val="2E74B5" w:themeColor="accent5" w:themeShade="BF"/>
        </w:rPr>
        <w:t xml:space="preserve">Figure 1: Abridged theory of change of the country </w:t>
      </w:r>
      <w:proofErr w:type="spellStart"/>
      <w:r w:rsidRPr="005E7F68">
        <w:rPr>
          <w:rFonts w:cstheme="minorHAnsi"/>
          <w:b/>
          <w:color w:val="2E74B5" w:themeColor="accent5" w:themeShade="BF"/>
        </w:rPr>
        <w:t>programme</w:t>
      </w:r>
      <w:proofErr w:type="spellEnd"/>
      <w:r w:rsidRPr="005E7F68">
        <w:rPr>
          <w:rFonts w:cstheme="minorHAnsi"/>
          <w:b/>
          <w:color w:val="2E74B5" w:themeColor="accent5" w:themeShade="BF"/>
        </w:rPr>
        <w:t xml:space="preserve"> </w:t>
      </w:r>
    </w:p>
    <w:p w14:paraId="7BF5FA4C" w14:textId="77777777" w:rsidR="00D260B2" w:rsidRPr="001C2670" w:rsidRDefault="00D260B2" w:rsidP="00D260B2">
      <w:pPr>
        <w:tabs>
          <w:tab w:val="left" w:pos="9000"/>
        </w:tabs>
        <w:spacing w:after="0" w:line="240" w:lineRule="auto"/>
        <w:jc w:val="both"/>
        <w:rPr>
          <w:rFonts w:cstheme="minorHAnsi"/>
          <w:highlight w:val="lightGray"/>
        </w:rPr>
      </w:pPr>
    </w:p>
    <w:p w14:paraId="65788957" w14:textId="71AAB842" w:rsidR="00DE5761" w:rsidRDefault="00DE5761" w:rsidP="00D260B2">
      <w:pPr>
        <w:tabs>
          <w:tab w:val="left" w:pos="9000"/>
        </w:tabs>
        <w:spacing w:after="0" w:line="240" w:lineRule="auto"/>
        <w:jc w:val="both"/>
        <w:rPr>
          <w:rFonts w:cstheme="minorHAnsi"/>
          <w:highlight w:val="yellow"/>
        </w:rPr>
      </w:pPr>
      <w:r w:rsidRPr="001C2670">
        <w:rPr>
          <w:rFonts w:cstheme="minorHAnsi"/>
          <w:noProof/>
          <w:sz w:val="20"/>
          <w:lang w:val="en-GB" w:eastAsia="en-GB"/>
        </w:rPr>
        <w:drawing>
          <wp:inline distT="0" distB="0" distL="0" distR="0" wp14:anchorId="3D6BAA32" wp14:editId="3EAC0660">
            <wp:extent cx="6033101" cy="283169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0895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01279" cy="2863690"/>
                    </a:xfrm>
                    <a:prstGeom prst="rect">
                      <a:avLst/>
                    </a:prstGeom>
                    <a:noFill/>
                  </pic:spPr>
                </pic:pic>
              </a:graphicData>
            </a:graphic>
          </wp:inline>
        </w:drawing>
      </w:r>
    </w:p>
    <w:p w14:paraId="308ECF12" w14:textId="77777777" w:rsidR="00DE5761" w:rsidRDefault="00DE5761" w:rsidP="00D260B2">
      <w:pPr>
        <w:tabs>
          <w:tab w:val="left" w:pos="9000"/>
        </w:tabs>
        <w:spacing w:after="0" w:line="240" w:lineRule="auto"/>
        <w:jc w:val="both"/>
        <w:rPr>
          <w:rFonts w:cstheme="minorHAnsi"/>
          <w:highlight w:val="yellow"/>
        </w:rPr>
      </w:pPr>
    </w:p>
    <w:p w14:paraId="1451116B" w14:textId="77777777" w:rsidR="00DE5761" w:rsidRDefault="00DE5761" w:rsidP="00D260B2">
      <w:pPr>
        <w:tabs>
          <w:tab w:val="left" w:pos="9000"/>
        </w:tabs>
        <w:spacing w:after="0" w:line="240" w:lineRule="auto"/>
        <w:jc w:val="both"/>
        <w:rPr>
          <w:rFonts w:cstheme="minorHAnsi"/>
          <w:highlight w:val="yellow"/>
        </w:rPr>
      </w:pPr>
    </w:p>
    <w:p w14:paraId="26902A80" w14:textId="5CEC04AB" w:rsidR="00D260B2" w:rsidRPr="00D260B2" w:rsidRDefault="00D260B2" w:rsidP="00D260B2">
      <w:pPr>
        <w:tabs>
          <w:tab w:val="left" w:pos="9000"/>
        </w:tabs>
        <w:spacing w:after="0" w:line="240" w:lineRule="auto"/>
        <w:jc w:val="both"/>
        <w:rPr>
          <w:rFonts w:cstheme="minorHAnsi"/>
        </w:rPr>
      </w:pPr>
      <w:r w:rsidRPr="00613E9F">
        <w:rPr>
          <w:rFonts w:cstheme="minorHAnsi"/>
        </w:rPr>
        <w:t xml:space="preserve">The effectiveness of the </w:t>
      </w:r>
      <w:r w:rsidR="008D08DD" w:rsidRPr="00613E9F">
        <w:rPr>
          <w:rFonts w:cstheme="minorHAnsi"/>
        </w:rPr>
        <w:t xml:space="preserve">CP </w:t>
      </w:r>
      <w:r w:rsidRPr="00613E9F">
        <w:rPr>
          <w:rFonts w:cstheme="minorHAnsi"/>
        </w:rPr>
        <w:t xml:space="preserve">will be analyzed under key evaluation question 2. It will include an assessment of achieved </w:t>
      </w:r>
      <w:r w:rsidR="00A42E94" w:rsidRPr="00613E9F">
        <w:rPr>
          <w:rFonts w:cstheme="minorHAnsi"/>
        </w:rPr>
        <w:t xml:space="preserve">and </w:t>
      </w:r>
      <w:r w:rsidRPr="00613E9F">
        <w:rPr>
          <w:rFonts w:cstheme="minorHAnsi"/>
        </w:rPr>
        <w:t xml:space="preserve">outcomes and the extent to which these outcomes have contributed to the intended </w:t>
      </w:r>
      <w:r w:rsidR="008D08DD" w:rsidRPr="00613E9F">
        <w:rPr>
          <w:rFonts w:cstheme="minorHAnsi"/>
        </w:rPr>
        <w:t>CP</w:t>
      </w:r>
      <w:r w:rsidRPr="00613E9F">
        <w:rPr>
          <w:rFonts w:cstheme="minorHAnsi"/>
        </w:rPr>
        <w:t xml:space="preserve"> objectives. The </w:t>
      </w:r>
      <w:proofErr w:type="spellStart"/>
      <w:r w:rsidRPr="00613E9F">
        <w:rPr>
          <w:rFonts w:cstheme="minorHAnsi"/>
        </w:rPr>
        <w:t>programme</w:t>
      </w:r>
      <w:proofErr w:type="spellEnd"/>
      <w:r w:rsidRPr="00613E9F">
        <w:rPr>
          <w:rFonts w:cstheme="minorHAnsi"/>
        </w:rPr>
        <w:t xml:space="preserve"> implementation started effectively in 2016 with the CPAP signed in March 2016. However, as noted earlier Malaysia experienced in 2018 a </w:t>
      </w:r>
      <w:r w:rsidR="00A42E94" w:rsidRPr="00613E9F">
        <w:rPr>
          <w:rFonts w:cstheme="minorHAnsi"/>
        </w:rPr>
        <w:t>change of government</w:t>
      </w:r>
      <w:r w:rsidRPr="00613E9F">
        <w:rPr>
          <w:rFonts w:cstheme="minorHAnsi"/>
        </w:rPr>
        <w:t xml:space="preserve">, </w:t>
      </w:r>
      <w:r w:rsidRPr="00613E9F">
        <w:rPr>
          <w:rFonts w:eastAsia="Times New Roman" w:cs="Arial"/>
          <w:lang w:eastAsia="en-GB"/>
        </w:rPr>
        <w:t xml:space="preserve">with the victory of the opposition coalition. This recent change in political leadership was associated with the 2018 mid-term review of the </w:t>
      </w:r>
      <w:r w:rsidR="00A42E94" w:rsidRPr="00613E9F">
        <w:rPr>
          <w:rFonts w:eastAsia="Times New Roman" w:cs="Arial"/>
          <w:lang w:eastAsia="en-GB"/>
        </w:rPr>
        <w:t>11</w:t>
      </w:r>
      <w:r w:rsidR="00A42E94" w:rsidRPr="00613E9F">
        <w:rPr>
          <w:rFonts w:eastAsia="Times New Roman" w:cs="Arial"/>
          <w:vertAlign w:val="superscript"/>
          <w:lang w:eastAsia="en-GB"/>
        </w:rPr>
        <w:t>th</w:t>
      </w:r>
      <w:r w:rsidR="00A42E94" w:rsidRPr="00613E9F">
        <w:rPr>
          <w:rFonts w:eastAsia="Times New Roman" w:cs="Arial"/>
          <w:lang w:eastAsia="en-GB"/>
        </w:rPr>
        <w:t xml:space="preserve"> </w:t>
      </w:r>
      <w:r w:rsidRPr="00613E9F">
        <w:rPr>
          <w:rFonts w:eastAsia="Times New Roman" w:cs="Arial"/>
          <w:lang w:eastAsia="en-GB"/>
        </w:rPr>
        <w:t>Malaysia Plan 2016-2020, which set up a revised set of national priorities for the 2018-2020 period</w:t>
      </w:r>
      <w:r w:rsidR="00A42E94" w:rsidRPr="00613E9F">
        <w:rPr>
          <w:rFonts w:eastAsia="Times New Roman" w:cs="Arial"/>
          <w:lang w:eastAsia="en-GB"/>
        </w:rPr>
        <w:t>.</w:t>
      </w:r>
      <w:r w:rsidRPr="00613E9F">
        <w:rPr>
          <w:rFonts w:eastAsia="Times New Roman" w:cs="Arial"/>
          <w:lang w:eastAsia="en-GB"/>
        </w:rPr>
        <w:t xml:space="preserve">  The major changes will provide an opportunity for the evaluation to ascertain how these changes in national strategies </w:t>
      </w:r>
      <w:r w:rsidR="00A42E94" w:rsidRPr="00613E9F">
        <w:rPr>
          <w:rFonts w:eastAsia="Times New Roman" w:cs="Arial"/>
          <w:lang w:eastAsia="en-GB"/>
        </w:rPr>
        <w:t>as well as changes in UNDP corporate strategies (</w:t>
      </w:r>
      <w:r w:rsidR="008D08DD" w:rsidRPr="00613E9F">
        <w:rPr>
          <w:rFonts w:eastAsia="Times New Roman" w:cs="Arial"/>
          <w:lang w:eastAsia="en-GB"/>
        </w:rPr>
        <w:t>including a new</w:t>
      </w:r>
      <w:r w:rsidR="00A42E94" w:rsidRPr="00613E9F">
        <w:rPr>
          <w:rFonts w:eastAsia="Times New Roman" w:cs="Arial"/>
          <w:lang w:eastAsia="en-GB"/>
        </w:rPr>
        <w:t xml:space="preserve"> Strategic Plan </w:t>
      </w:r>
      <w:r w:rsidR="008D08DD" w:rsidRPr="00613E9F">
        <w:rPr>
          <w:rFonts w:eastAsia="Times New Roman" w:cs="Arial"/>
          <w:lang w:eastAsia="en-GB"/>
        </w:rPr>
        <w:t xml:space="preserve">for </w:t>
      </w:r>
      <w:r w:rsidR="00A42E94" w:rsidRPr="00613E9F">
        <w:rPr>
          <w:rFonts w:eastAsia="Times New Roman" w:cs="Arial"/>
          <w:lang w:eastAsia="en-GB"/>
        </w:rPr>
        <w:t xml:space="preserve">2018-2021) </w:t>
      </w:r>
      <w:r w:rsidRPr="00613E9F">
        <w:rPr>
          <w:rFonts w:eastAsia="Times New Roman" w:cs="Arial"/>
          <w:lang w:eastAsia="en-GB"/>
        </w:rPr>
        <w:t xml:space="preserve">will potentially affect the implementation of the current country </w:t>
      </w:r>
      <w:proofErr w:type="spellStart"/>
      <w:r w:rsidRPr="00613E9F">
        <w:rPr>
          <w:rFonts w:eastAsia="Times New Roman" w:cs="Arial"/>
          <w:lang w:eastAsia="en-GB"/>
        </w:rPr>
        <w:t>programme</w:t>
      </w:r>
      <w:proofErr w:type="spellEnd"/>
      <w:r w:rsidRPr="00613E9F">
        <w:rPr>
          <w:rFonts w:eastAsia="Times New Roman" w:cs="Arial"/>
          <w:lang w:eastAsia="en-GB"/>
        </w:rPr>
        <w:t>.</w:t>
      </w:r>
      <w:r w:rsidRPr="00613E9F">
        <w:rPr>
          <w:rFonts w:ascii="Arial" w:eastAsia="Times New Roman" w:hAnsi="Arial" w:cs="Arial"/>
          <w:color w:val="323E4F" w:themeColor="text2" w:themeShade="BF"/>
          <w:sz w:val="19"/>
          <w:szCs w:val="19"/>
          <w:lang w:eastAsia="en-GB"/>
        </w:rPr>
        <w:t xml:space="preserve"> </w:t>
      </w:r>
      <w:r w:rsidRPr="00613E9F">
        <w:rPr>
          <w:rFonts w:cstheme="minorHAnsi"/>
        </w:rPr>
        <w:t xml:space="preserve">The evaluation will </w:t>
      </w:r>
      <w:proofErr w:type="gramStart"/>
      <w:r w:rsidRPr="00613E9F">
        <w:rPr>
          <w:rFonts w:cstheme="minorHAnsi"/>
        </w:rPr>
        <w:t>take into account</w:t>
      </w:r>
      <w:proofErr w:type="gramEnd"/>
      <w:r w:rsidRPr="00613E9F">
        <w:rPr>
          <w:rFonts w:cstheme="minorHAnsi"/>
        </w:rPr>
        <w:t xml:space="preserve"> these and other contextual</w:t>
      </w:r>
      <w:r w:rsidRPr="00D260B2">
        <w:rPr>
          <w:rFonts w:cstheme="minorHAnsi"/>
        </w:rPr>
        <w:t xml:space="preserve"> factors in assessing effectiveness. Both positive and negative, direct and indirect unintended outcomes will also be identified.  </w:t>
      </w:r>
    </w:p>
    <w:p w14:paraId="03BB31C4" w14:textId="77777777" w:rsidR="00D260B2" w:rsidRPr="00D260B2" w:rsidRDefault="00D260B2" w:rsidP="00D260B2">
      <w:pPr>
        <w:tabs>
          <w:tab w:val="left" w:pos="9000"/>
        </w:tabs>
        <w:spacing w:after="0" w:line="240" w:lineRule="auto"/>
        <w:jc w:val="both"/>
        <w:rPr>
          <w:rFonts w:cstheme="minorHAnsi"/>
        </w:rPr>
      </w:pPr>
    </w:p>
    <w:p w14:paraId="3F70E7B2" w14:textId="43E88824" w:rsidR="00D260B2" w:rsidRPr="001C2670" w:rsidRDefault="00D260B2" w:rsidP="00D260B2">
      <w:pPr>
        <w:tabs>
          <w:tab w:val="left" w:pos="9000"/>
        </w:tabs>
        <w:autoSpaceDE w:val="0"/>
        <w:autoSpaceDN w:val="0"/>
        <w:adjustRightInd w:val="0"/>
        <w:spacing w:after="0" w:line="240" w:lineRule="auto"/>
        <w:jc w:val="both"/>
        <w:rPr>
          <w:rFonts w:cstheme="minorHAnsi"/>
        </w:rPr>
      </w:pPr>
      <w:r w:rsidRPr="00D260B2">
        <w:rPr>
          <w:rFonts w:cstheme="minorHAnsi"/>
        </w:rPr>
        <w:t xml:space="preserve">To better understand the </w:t>
      </w:r>
      <w:proofErr w:type="spellStart"/>
      <w:r w:rsidR="008D08DD">
        <w:rPr>
          <w:rFonts w:cstheme="minorHAnsi"/>
        </w:rPr>
        <w:t>programme</w:t>
      </w:r>
      <w:r w:rsidRPr="00D260B2">
        <w:rPr>
          <w:rFonts w:cstheme="minorHAnsi"/>
        </w:rPr>
        <w:t>’s</w:t>
      </w:r>
      <w:proofErr w:type="spellEnd"/>
      <w:r w:rsidRPr="00D260B2">
        <w:rPr>
          <w:rFonts w:cstheme="minorHAnsi"/>
        </w:rPr>
        <w:t xml:space="preserve"> performance, the specific factors that influenced - positively or negatively - UNDP’s performance</w:t>
      </w:r>
      <w:r w:rsidRPr="001C2670">
        <w:rPr>
          <w:rFonts w:cstheme="minorHAnsi"/>
        </w:rPr>
        <w:t xml:space="preserve"> and eventually, the sustainability of results to which the </w:t>
      </w:r>
      <w:r w:rsidR="008D08DD">
        <w:rPr>
          <w:rFonts w:cstheme="minorHAnsi"/>
        </w:rPr>
        <w:t xml:space="preserve">it </w:t>
      </w:r>
      <w:r w:rsidRPr="001C2670">
        <w:rPr>
          <w:rFonts w:cstheme="minorHAnsi"/>
        </w:rPr>
        <w:t xml:space="preserve">contributes, </w:t>
      </w:r>
      <w:r w:rsidRPr="001C2670">
        <w:rPr>
          <w:rFonts w:cstheme="minorHAnsi"/>
        </w:rPr>
        <w:lastRenderedPageBreak/>
        <w:t xml:space="preserve">will be examined under key evaluation question 3. The utilization of resources to deliver results (including managerial practices), the extent to which the </w:t>
      </w:r>
      <w:r w:rsidR="008D08DD">
        <w:rPr>
          <w:rFonts w:cstheme="minorHAnsi"/>
        </w:rPr>
        <w:t xml:space="preserve">country office </w:t>
      </w:r>
      <w:r w:rsidRPr="001C2670">
        <w:rPr>
          <w:rFonts w:cstheme="minorHAnsi"/>
        </w:rPr>
        <w:t xml:space="preserve">fostered partnerships and synergies with other actors (including through south-south and triangular cooperation), and the integration of youth and gender equality and women’s empowerment in design and implementation of the country </w:t>
      </w:r>
      <w:proofErr w:type="spellStart"/>
      <w:r w:rsidRPr="001C2670">
        <w:rPr>
          <w:rFonts w:cstheme="minorHAnsi"/>
        </w:rPr>
        <w:t>programme</w:t>
      </w:r>
      <w:proofErr w:type="spellEnd"/>
      <w:r w:rsidRPr="001C2670">
        <w:rPr>
          <w:rFonts w:cstheme="minorHAnsi"/>
        </w:rPr>
        <w:t xml:space="preserve"> are some of the aspects that will be assessed under this question.</w:t>
      </w:r>
    </w:p>
    <w:p w14:paraId="69757A0B" w14:textId="77777777" w:rsidR="00D260B2" w:rsidRPr="001C2670" w:rsidRDefault="00D260B2" w:rsidP="00D260B2">
      <w:pPr>
        <w:tabs>
          <w:tab w:val="left" w:pos="9000"/>
        </w:tabs>
        <w:autoSpaceDE w:val="0"/>
        <w:autoSpaceDN w:val="0"/>
        <w:adjustRightInd w:val="0"/>
        <w:spacing w:after="0" w:line="240" w:lineRule="auto"/>
        <w:jc w:val="both"/>
        <w:rPr>
          <w:rFonts w:ascii="Times New Roman" w:hAnsi="Times New Roman" w:cs="Times New Roman"/>
        </w:rPr>
      </w:pPr>
    </w:p>
    <w:p w14:paraId="3AFB1ECD" w14:textId="33B7B5CE" w:rsidR="00DE5761" w:rsidRDefault="00DE5761" w:rsidP="00DE5761">
      <w:pPr>
        <w:tabs>
          <w:tab w:val="left" w:pos="9000"/>
        </w:tabs>
        <w:spacing w:after="0" w:line="240" w:lineRule="auto"/>
        <w:jc w:val="both"/>
        <w:rPr>
          <w:rFonts w:cstheme="minorHAnsi"/>
        </w:rPr>
      </w:pPr>
      <w:r w:rsidRPr="00B33442">
        <w:t xml:space="preserve">In addition, as gender equality is central to UNDP’s support to countries to implement and achieve the 2030 Agenda and the Sustainable Development Goals, the evaluation will also </w:t>
      </w:r>
      <w:proofErr w:type="spellStart"/>
      <w:r w:rsidRPr="00B33442">
        <w:t>analyse</w:t>
      </w:r>
      <w:proofErr w:type="spellEnd"/>
      <w:r w:rsidRPr="00B33442">
        <w:t xml:space="preserve"> the extent to which UNDP support was designed to and did contribute to gender equality</w:t>
      </w:r>
      <w:r w:rsidRPr="00B33442">
        <w:rPr>
          <w:sz w:val="20"/>
          <w:szCs w:val="20"/>
        </w:rPr>
        <w:t xml:space="preserve">.  </w:t>
      </w:r>
      <w:r w:rsidRPr="00734B6B">
        <w:rPr>
          <w:rFonts w:cstheme="minorHAnsi"/>
        </w:rPr>
        <w:t xml:space="preserve">Special attention will be given to integrate a gender-responsive evaluation approach to data collection methods. </w:t>
      </w:r>
      <w:r w:rsidRPr="00734B6B">
        <w:rPr>
          <w:rFonts w:eastAsia="Calibri" w:cs="Calibri"/>
          <w:szCs w:val="20"/>
        </w:rPr>
        <w:t xml:space="preserve">The evaluation will </w:t>
      </w:r>
      <w:r w:rsidRPr="00734B6B">
        <w:rPr>
          <w:rFonts w:cstheme="minorHAnsi"/>
        </w:rPr>
        <w:t>consider the gender marker</w:t>
      </w:r>
      <w:r w:rsidRPr="00734B6B">
        <w:rPr>
          <w:rStyle w:val="FootnoteReference"/>
          <w:rFonts w:cstheme="minorHAnsi"/>
        </w:rPr>
        <w:footnoteReference w:id="29"/>
      </w:r>
      <w:r w:rsidRPr="00734B6B">
        <w:rPr>
          <w:rFonts w:cstheme="minorHAnsi"/>
        </w:rPr>
        <w:t xml:space="preserve"> and the gender results effectiveness scale (GRES). The GRES, developed by IEO, classifies gender results into five categories: gender negative, gender blind, gender targeted, gender responsive, gender transformative.</w:t>
      </w:r>
    </w:p>
    <w:p w14:paraId="3EB08E49" w14:textId="77777777" w:rsidR="00DE5761" w:rsidRPr="00734B6B" w:rsidRDefault="00DE5761" w:rsidP="00DE5761">
      <w:pPr>
        <w:tabs>
          <w:tab w:val="left" w:pos="9000"/>
        </w:tabs>
        <w:spacing w:after="0" w:line="240" w:lineRule="auto"/>
        <w:jc w:val="both"/>
        <w:rPr>
          <w:rFonts w:cstheme="minorHAnsi"/>
        </w:rPr>
      </w:pPr>
    </w:p>
    <w:p w14:paraId="104D6A5F" w14:textId="494A6206" w:rsidR="00D260B2" w:rsidRPr="00C0272F" w:rsidRDefault="00D260B2" w:rsidP="000C0ABC">
      <w:pPr>
        <w:tabs>
          <w:tab w:val="left" w:pos="9000"/>
        </w:tabs>
        <w:spacing w:after="0" w:line="240" w:lineRule="auto"/>
        <w:jc w:val="both"/>
        <w:rPr>
          <w:rFonts w:cstheme="minorHAnsi"/>
        </w:rPr>
      </w:pPr>
    </w:p>
    <w:p w14:paraId="5D10A8B2" w14:textId="77777777" w:rsidR="000C0ABC" w:rsidRDefault="00DE5761" w:rsidP="0051740D">
      <w:pPr>
        <w:tabs>
          <w:tab w:val="left" w:pos="9000"/>
        </w:tabs>
        <w:spacing w:after="0" w:line="240" w:lineRule="auto"/>
        <w:jc w:val="center"/>
        <w:rPr>
          <w:rFonts w:cstheme="minorHAnsi"/>
        </w:rPr>
      </w:pPr>
      <w:r w:rsidRPr="00734B6B">
        <w:rPr>
          <w:rFonts w:cstheme="minorHAnsi"/>
          <w:noProof/>
        </w:rPr>
        <w:drawing>
          <wp:inline distT="0" distB="0" distL="0" distR="0" wp14:anchorId="17F06F0F" wp14:editId="7DE1488B">
            <wp:extent cx="4157190" cy="2023478"/>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0"/>
                    <a:srcRect l="3795" t="11298" r="4352" b="5760"/>
                    <a:stretch/>
                  </pic:blipFill>
                  <pic:spPr>
                    <a:xfrm>
                      <a:off x="0" y="0"/>
                      <a:ext cx="4214900" cy="2051568"/>
                    </a:xfrm>
                    <a:prstGeom prst="rect">
                      <a:avLst/>
                    </a:prstGeom>
                  </pic:spPr>
                </pic:pic>
              </a:graphicData>
            </a:graphic>
          </wp:inline>
        </w:drawing>
      </w:r>
    </w:p>
    <w:p w14:paraId="2736312A" w14:textId="77777777" w:rsidR="007C4155" w:rsidRDefault="007C4155" w:rsidP="007C4155">
      <w:pPr>
        <w:tabs>
          <w:tab w:val="left" w:pos="9000"/>
        </w:tabs>
        <w:spacing w:after="0" w:line="240" w:lineRule="auto"/>
        <w:rPr>
          <w:rFonts w:cstheme="minorHAnsi"/>
        </w:rPr>
      </w:pPr>
    </w:p>
    <w:p w14:paraId="1E62B2A0" w14:textId="77777777" w:rsidR="007C4155" w:rsidRDefault="007C4155" w:rsidP="007C4155">
      <w:pPr>
        <w:tabs>
          <w:tab w:val="left" w:pos="9000"/>
        </w:tabs>
        <w:spacing w:after="0" w:line="240" w:lineRule="auto"/>
        <w:rPr>
          <w:rFonts w:cstheme="minorHAnsi"/>
        </w:rPr>
      </w:pPr>
    </w:p>
    <w:p w14:paraId="656BA107" w14:textId="77777777" w:rsidR="000C0ABC" w:rsidRPr="00E27264" w:rsidRDefault="00E06207" w:rsidP="000C0ABC">
      <w:pPr>
        <w:pStyle w:val="ListParagraph"/>
        <w:numPr>
          <w:ilvl w:val="0"/>
          <w:numId w:val="6"/>
        </w:numPr>
        <w:tabs>
          <w:tab w:val="left" w:pos="9000"/>
        </w:tabs>
        <w:spacing w:after="0" w:line="240" w:lineRule="auto"/>
        <w:jc w:val="both"/>
        <w:rPr>
          <w:b/>
        </w:rPr>
      </w:pPr>
      <w:r w:rsidRPr="00E27264">
        <w:rPr>
          <w:b/>
        </w:rPr>
        <w:t>DATA COLLECTION</w:t>
      </w:r>
    </w:p>
    <w:p w14:paraId="6D0D6D7F" w14:textId="77777777" w:rsidR="000C0ABC" w:rsidRDefault="000C0ABC" w:rsidP="000C0ABC">
      <w:pPr>
        <w:pStyle w:val="ADRText"/>
        <w:tabs>
          <w:tab w:val="left" w:pos="9000"/>
        </w:tabs>
        <w:spacing w:after="0"/>
        <w:ind w:left="0"/>
        <w:jc w:val="both"/>
        <w:rPr>
          <w:rFonts w:asciiTheme="minorHAnsi" w:hAnsiTheme="minorHAnsi" w:cs="Times New Roman"/>
          <w:b/>
          <w:szCs w:val="22"/>
        </w:rPr>
      </w:pPr>
    </w:p>
    <w:p w14:paraId="692BD81A" w14:textId="3E46590E" w:rsidR="006E0736" w:rsidRDefault="00E06207" w:rsidP="000C0ABC">
      <w:pPr>
        <w:pStyle w:val="ADRText"/>
        <w:tabs>
          <w:tab w:val="left" w:pos="9000"/>
        </w:tabs>
        <w:spacing w:after="0"/>
        <w:ind w:left="0"/>
        <w:jc w:val="both"/>
        <w:rPr>
          <w:rFonts w:asciiTheme="minorHAnsi" w:hAnsiTheme="minorHAnsi" w:cs="Times New Roman"/>
          <w:szCs w:val="22"/>
        </w:rPr>
      </w:pPr>
      <w:r w:rsidRPr="00E27264">
        <w:rPr>
          <w:rFonts w:asciiTheme="minorHAnsi" w:hAnsiTheme="minorHAnsi" w:cs="Times New Roman"/>
          <w:b/>
          <w:szCs w:val="22"/>
        </w:rPr>
        <w:t xml:space="preserve">Assessment of </w:t>
      </w:r>
      <w:r w:rsidR="00FC52DD">
        <w:rPr>
          <w:rFonts w:asciiTheme="minorHAnsi" w:hAnsiTheme="minorHAnsi" w:cs="Times New Roman"/>
          <w:b/>
          <w:szCs w:val="22"/>
        </w:rPr>
        <w:t xml:space="preserve">existing </w:t>
      </w:r>
      <w:r w:rsidRPr="00E27264">
        <w:rPr>
          <w:rFonts w:asciiTheme="minorHAnsi" w:hAnsiTheme="minorHAnsi" w:cs="Times New Roman"/>
          <w:b/>
          <w:szCs w:val="22"/>
        </w:rPr>
        <w:t xml:space="preserve">data </w:t>
      </w:r>
      <w:r w:rsidR="00FC52DD">
        <w:rPr>
          <w:rFonts w:asciiTheme="minorHAnsi" w:hAnsiTheme="minorHAnsi" w:cs="Times New Roman"/>
          <w:b/>
          <w:szCs w:val="22"/>
        </w:rPr>
        <w:t xml:space="preserve">and data </w:t>
      </w:r>
      <w:r w:rsidRPr="00E27264">
        <w:rPr>
          <w:rFonts w:asciiTheme="minorHAnsi" w:hAnsiTheme="minorHAnsi" w:cs="Times New Roman"/>
          <w:b/>
          <w:szCs w:val="22"/>
        </w:rPr>
        <w:t>collection constraints</w:t>
      </w:r>
      <w:r w:rsidRPr="00E27264">
        <w:rPr>
          <w:rFonts w:asciiTheme="minorHAnsi" w:hAnsiTheme="minorHAnsi" w:cs="Times New Roman"/>
          <w:szCs w:val="22"/>
        </w:rPr>
        <w:t xml:space="preserve">: </w:t>
      </w:r>
      <w:r w:rsidRPr="00C0272F">
        <w:rPr>
          <w:rFonts w:cstheme="minorHAnsi"/>
        </w:rPr>
        <w:t>An assessment</w:t>
      </w:r>
      <w:r w:rsidRPr="00C0272F">
        <w:rPr>
          <w:rFonts w:cstheme="minorHAnsi"/>
          <w:b/>
        </w:rPr>
        <w:t xml:space="preserve"> </w:t>
      </w:r>
      <w:r w:rsidRPr="00C0272F">
        <w:rPr>
          <w:rFonts w:cstheme="minorHAnsi"/>
        </w:rPr>
        <w:t xml:space="preserve">was carried out to identify available data as well as potential data collection constraints and opportunities. </w:t>
      </w:r>
      <w:r w:rsidR="006B254D">
        <w:rPr>
          <w:rFonts w:cstheme="minorHAnsi"/>
        </w:rPr>
        <w:t xml:space="preserve">The </w:t>
      </w:r>
      <w:r w:rsidRPr="00C0272F">
        <w:rPr>
          <w:rFonts w:asciiTheme="minorHAnsi" w:hAnsiTheme="minorHAnsi" w:cs="Times New Roman"/>
          <w:szCs w:val="22"/>
        </w:rPr>
        <w:t xml:space="preserve">UNDP’s evaluation resource centre (ERC) indicated </w:t>
      </w:r>
      <w:r w:rsidR="00BA321A">
        <w:rPr>
          <w:rFonts w:asciiTheme="minorHAnsi" w:hAnsiTheme="minorHAnsi" w:cs="Times New Roman"/>
          <w:szCs w:val="22"/>
        </w:rPr>
        <w:t xml:space="preserve">that </w:t>
      </w:r>
      <w:r w:rsidR="00CC05D0">
        <w:rPr>
          <w:rFonts w:asciiTheme="minorHAnsi" w:hAnsiTheme="minorHAnsi" w:cs="Times New Roman"/>
          <w:szCs w:val="22"/>
        </w:rPr>
        <w:t>six</w:t>
      </w:r>
      <w:r>
        <w:rPr>
          <w:rFonts w:asciiTheme="minorHAnsi" w:hAnsiTheme="minorHAnsi" w:cs="Times New Roman"/>
          <w:szCs w:val="22"/>
        </w:rPr>
        <w:t xml:space="preserve"> </w:t>
      </w:r>
      <w:r w:rsidRPr="00C0272F">
        <w:rPr>
          <w:rFonts w:asciiTheme="minorHAnsi" w:hAnsiTheme="minorHAnsi" w:cs="Times New Roman"/>
          <w:szCs w:val="22"/>
        </w:rPr>
        <w:t>evaluations were planned as part of the country programme</w:t>
      </w:r>
      <w:r>
        <w:rPr>
          <w:rFonts w:asciiTheme="minorHAnsi" w:hAnsiTheme="minorHAnsi" w:cs="Times New Roman"/>
          <w:szCs w:val="22"/>
        </w:rPr>
        <w:t xml:space="preserve">. </w:t>
      </w:r>
      <w:r w:rsidR="00C13422">
        <w:rPr>
          <w:rFonts w:asciiTheme="minorHAnsi" w:hAnsiTheme="minorHAnsi" w:cs="Times New Roman"/>
          <w:szCs w:val="22"/>
        </w:rPr>
        <w:t xml:space="preserve">Of these, three are </w:t>
      </w:r>
      <w:r>
        <w:rPr>
          <w:rFonts w:asciiTheme="minorHAnsi" w:hAnsiTheme="minorHAnsi" w:cs="Times New Roman"/>
          <w:szCs w:val="22"/>
        </w:rPr>
        <w:t>project</w:t>
      </w:r>
      <w:r w:rsidRPr="00C0272F">
        <w:rPr>
          <w:rFonts w:asciiTheme="minorHAnsi" w:hAnsiTheme="minorHAnsi" w:cs="Times New Roman"/>
          <w:szCs w:val="22"/>
        </w:rPr>
        <w:t xml:space="preserve"> evaluations</w:t>
      </w:r>
      <w:r w:rsidR="00CC05D0">
        <w:rPr>
          <w:rFonts w:asciiTheme="minorHAnsi" w:hAnsiTheme="minorHAnsi" w:cs="Times New Roman"/>
          <w:szCs w:val="22"/>
        </w:rPr>
        <w:t xml:space="preserve"> and </w:t>
      </w:r>
      <w:r w:rsidR="00B567B6">
        <w:rPr>
          <w:rFonts w:asciiTheme="minorHAnsi" w:hAnsiTheme="minorHAnsi" w:cs="Times New Roman"/>
          <w:szCs w:val="22"/>
        </w:rPr>
        <w:t>two</w:t>
      </w:r>
      <w:r>
        <w:rPr>
          <w:rFonts w:asciiTheme="minorHAnsi" w:hAnsiTheme="minorHAnsi" w:cs="Times New Roman"/>
          <w:szCs w:val="22"/>
        </w:rPr>
        <w:t xml:space="preserve"> </w:t>
      </w:r>
      <w:r w:rsidR="00C13422">
        <w:rPr>
          <w:rFonts w:asciiTheme="minorHAnsi" w:hAnsiTheme="minorHAnsi" w:cs="Times New Roman"/>
          <w:szCs w:val="22"/>
        </w:rPr>
        <w:t xml:space="preserve">are </w:t>
      </w:r>
      <w:r>
        <w:rPr>
          <w:rFonts w:asciiTheme="minorHAnsi" w:hAnsiTheme="minorHAnsi" w:cs="Times New Roman"/>
          <w:szCs w:val="22"/>
        </w:rPr>
        <w:t>outcome evaluation</w:t>
      </w:r>
      <w:r w:rsidR="00B567B6">
        <w:rPr>
          <w:rFonts w:asciiTheme="minorHAnsi" w:hAnsiTheme="minorHAnsi" w:cs="Times New Roman"/>
          <w:szCs w:val="22"/>
        </w:rPr>
        <w:t>s</w:t>
      </w:r>
      <w:r w:rsidR="00CC05D0">
        <w:rPr>
          <w:rFonts w:asciiTheme="minorHAnsi" w:hAnsiTheme="minorHAnsi" w:cs="Times New Roman"/>
          <w:szCs w:val="22"/>
        </w:rPr>
        <w:t xml:space="preserve">. One of the project evaluations was completed </w:t>
      </w:r>
      <w:r w:rsidR="00BF60F7">
        <w:rPr>
          <w:rFonts w:asciiTheme="minorHAnsi" w:hAnsiTheme="minorHAnsi" w:cs="Times New Roman"/>
          <w:szCs w:val="22"/>
        </w:rPr>
        <w:t>in 2018</w:t>
      </w:r>
      <w:r w:rsidR="00CC05D0">
        <w:rPr>
          <w:rFonts w:asciiTheme="minorHAnsi" w:hAnsiTheme="minorHAnsi" w:cs="Times New Roman"/>
          <w:szCs w:val="22"/>
        </w:rPr>
        <w:t xml:space="preserve"> while the other evaluations are planned to be conducted in 2019-2020</w:t>
      </w:r>
      <w:r>
        <w:rPr>
          <w:rFonts w:asciiTheme="minorHAnsi" w:hAnsiTheme="minorHAnsi" w:cs="Times New Roman"/>
          <w:szCs w:val="22"/>
        </w:rPr>
        <w:t xml:space="preserve">. </w:t>
      </w:r>
      <w:r w:rsidR="000A01E6">
        <w:rPr>
          <w:rFonts w:asciiTheme="minorHAnsi" w:hAnsiTheme="minorHAnsi" w:cs="Times New Roman"/>
          <w:szCs w:val="22"/>
        </w:rPr>
        <w:t xml:space="preserve">The sixth planned evaluation is this independent country programme evaluation. </w:t>
      </w:r>
      <w:r w:rsidR="006E0736">
        <w:rPr>
          <w:rFonts w:asciiTheme="minorHAnsi" w:hAnsiTheme="minorHAnsi" w:cs="Times New Roman"/>
          <w:szCs w:val="22"/>
        </w:rPr>
        <w:t xml:space="preserve">A review of the status of the CP indicators shows that these were updated in 2016 and 2017, however, for 2018 the CP output indicators were updated. The evaluation will seek to identify the reason for this. </w:t>
      </w:r>
    </w:p>
    <w:p w14:paraId="0BD53EDC" w14:textId="77777777" w:rsidR="006E0736" w:rsidRDefault="006E0736" w:rsidP="000C0ABC">
      <w:pPr>
        <w:pStyle w:val="ADRText"/>
        <w:tabs>
          <w:tab w:val="left" w:pos="9000"/>
        </w:tabs>
        <w:spacing w:after="0"/>
        <w:ind w:left="0"/>
        <w:jc w:val="both"/>
        <w:rPr>
          <w:rFonts w:asciiTheme="minorHAnsi" w:hAnsiTheme="minorHAnsi" w:cs="Times New Roman"/>
          <w:szCs w:val="22"/>
        </w:rPr>
      </w:pPr>
    </w:p>
    <w:p w14:paraId="279E06B6" w14:textId="520E5B66" w:rsidR="000A01E6" w:rsidRDefault="00E06207" w:rsidP="000C0ABC">
      <w:pPr>
        <w:pStyle w:val="ADRText"/>
        <w:tabs>
          <w:tab w:val="left" w:pos="9000"/>
        </w:tabs>
        <w:spacing w:after="0"/>
        <w:ind w:left="0"/>
        <w:jc w:val="both"/>
        <w:rPr>
          <w:rFonts w:asciiTheme="minorHAnsi" w:hAnsiTheme="minorHAnsi" w:cs="Times New Roman"/>
          <w:szCs w:val="22"/>
        </w:rPr>
      </w:pPr>
      <w:r>
        <w:rPr>
          <w:rFonts w:asciiTheme="minorHAnsi" w:hAnsiTheme="minorHAnsi" w:cs="Times New Roman"/>
          <w:szCs w:val="22"/>
        </w:rPr>
        <w:t>The report of the last internal audit</w:t>
      </w:r>
      <w:r w:rsidRPr="00C0272F">
        <w:rPr>
          <w:rFonts w:asciiTheme="minorHAnsi" w:hAnsiTheme="minorHAnsi" w:cs="Times New Roman"/>
          <w:szCs w:val="22"/>
        </w:rPr>
        <w:t xml:space="preserve"> </w:t>
      </w:r>
      <w:r w:rsidRPr="00065726">
        <w:rPr>
          <w:rFonts w:asciiTheme="minorHAnsi" w:hAnsiTheme="minorHAnsi" w:cs="Times New Roman"/>
          <w:szCs w:val="22"/>
        </w:rPr>
        <w:t>conducted by UNDP’s Office of Audit and I</w:t>
      </w:r>
      <w:r w:rsidRPr="00E32FA2">
        <w:rPr>
          <w:rFonts w:asciiTheme="minorHAnsi" w:hAnsiTheme="minorHAnsi" w:cs="Times New Roman"/>
          <w:szCs w:val="22"/>
        </w:rPr>
        <w:t xml:space="preserve">nvestigations in </w:t>
      </w:r>
      <w:r w:rsidR="00BF60F7" w:rsidRPr="00E32FA2">
        <w:rPr>
          <w:rFonts w:asciiTheme="minorHAnsi" w:hAnsiTheme="minorHAnsi" w:cs="Times New Roman"/>
          <w:szCs w:val="22"/>
        </w:rPr>
        <w:t>September</w:t>
      </w:r>
      <w:r w:rsidRPr="00E32FA2">
        <w:rPr>
          <w:rFonts w:asciiTheme="minorHAnsi" w:hAnsiTheme="minorHAnsi" w:cs="Times New Roman"/>
          <w:szCs w:val="22"/>
        </w:rPr>
        <w:t xml:space="preserve"> 201</w:t>
      </w:r>
      <w:r w:rsidR="00BF60F7" w:rsidRPr="00E32FA2">
        <w:rPr>
          <w:rFonts w:asciiTheme="minorHAnsi" w:hAnsiTheme="minorHAnsi" w:cs="Times New Roman"/>
          <w:szCs w:val="22"/>
        </w:rPr>
        <w:t>5</w:t>
      </w:r>
      <w:r w:rsidRPr="00E32FA2">
        <w:rPr>
          <w:rFonts w:asciiTheme="minorHAnsi" w:hAnsiTheme="minorHAnsi" w:cs="Times New Roman"/>
          <w:szCs w:val="22"/>
        </w:rPr>
        <w:t xml:space="preserve"> is also available but covered the previous planning cycle. </w:t>
      </w:r>
    </w:p>
    <w:p w14:paraId="29DD2456" w14:textId="77777777" w:rsidR="000A01E6" w:rsidRDefault="000A01E6" w:rsidP="000C0ABC">
      <w:pPr>
        <w:pStyle w:val="ADRText"/>
        <w:tabs>
          <w:tab w:val="left" w:pos="9000"/>
        </w:tabs>
        <w:spacing w:after="0"/>
        <w:ind w:left="0"/>
        <w:jc w:val="both"/>
        <w:rPr>
          <w:rFonts w:asciiTheme="minorHAnsi" w:hAnsiTheme="minorHAnsi" w:cs="Times New Roman"/>
          <w:szCs w:val="22"/>
        </w:rPr>
      </w:pPr>
    </w:p>
    <w:p w14:paraId="4596DC69" w14:textId="77777777" w:rsidR="000C0ABC" w:rsidRPr="00D260B2" w:rsidRDefault="00E06207" w:rsidP="000C0ABC">
      <w:pPr>
        <w:pStyle w:val="ADRText"/>
        <w:tabs>
          <w:tab w:val="left" w:pos="9000"/>
        </w:tabs>
        <w:spacing w:after="0"/>
        <w:ind w:left="0"/>
        <w:jc w:val="both"/>
        <w:rPr>
          <w:rFonts w:cstheme="minorHAnsi"/>
        </w:rPr>
      </w:pPr>
      <w:r w:rsidRPr="00D260B2">
        <w:rPr>
          <w:rFonts w:cstheme="minorHAnsi"/>
        </w:rPr>
        <w:lastRenderedPageBreak/>
        <w:t>The World Bank indicators for statistical capacity</w:t>
      </w:r>
      <w:bookmarkStart w:id="8" w:name="_Hlk508814045"/>
      <w:r w:rsidRPr="00D260B2">
        <w:rPr>
          <w:rStyle w:val="FootnoteReference"/>
          <w:rFonts w:cstheme="minorHAnsi"/>
        </w:rPr>
        <w:footnoteReference w:id="30"/>
      </w:r>
      <w:r w:rsidRPr="00D260B2">
        <w:rPr>
          <w:rFonts w:cstheme="minorHAnsi"/>
        </w:rPr>
        <w:t xml:space="preserve"> </w:t>
      </w:r>
      <w:bookmarkEnd w:id="8"/>
      <w:r w:rsidRPr="00D260B2">
        <w:rPr>
          <w:rFonts w:cstheme="minorHAnsi"/>
        </w:rPr>
        <w:t xml:space="preserve">suggest that </w:t>
      </w:r>
      <w:r w:rsidR="00AE6D3C" w:rsidRPr="00D260B2">
        <w:rPr>
          <w:rFonts w:cstheme="minorHAnsi"/>
        </w:rPr>
        <w:t xml:space="preserve">Malaysia has a high </w:t>
      </w:r>
      <w:r w:rsidRPr="00D260B2">
        <w:rPr>
          <w:rFonts w:cstheme="minorHAnsi"/>
        </w:rPr>
        <w:t xml:space="preserve">statistical capacity </w:t>
      </w:r>
      <w:r w:rsidR="00AE6D3C" w:rsidRPr="00D260B2">
        <w:rPr>
          <w:rFonts w:cstheme="minorHAnsi"/>
        </w:rPr>
        <w:t xml:space="preserve">which </w:t>
      </w:r>
      <w:r w:rsidRPr="00D260B2">
        <w:rPr>
          <w:rFonts w:cstheme="minorHAnsi"/>
        </w:rPr>
        <w:t xml:space="preserve">has been improving (from </w:t>
      </w:r>
      <w:r w:rsidR="00AE6D3C" w:rsidRPr="00D260B2">
        <w:rPr>
          <w:rFonts w:cstheme="minorHAnsi"/>
        </w:rPr>
        <w:t>70</w:t>
      </w:r>
      <w:r w:rsidRPr="00D260B2">
        <w:rPr>
          <w:rFonts w:cstheme="minorHAnsi"/>
        </w:rPr>
        <w:t xml:space="preserve"> in 20</w:t>
      </w:r>
      <w:r w:rsidR="00AE6D3C" w:rsidRPr="00D260B2">
        <w:rPr>
          <w:rFonts w:cstheme="minorHAnsi"/>
        </w:rPr>
        <w:t>12</w:t>
      </w:r>
      <w:r w:rsidRPr="00D260B2">
        <w:rPr>
          <w:rFonts w:cstheme="minorHAnsi"/>
        </w:rPr>
        <w:t xml:space="preserve"> to </w:t>
      </w:r>
      <w:r w:rsidR="00AE6D3C" w:rsidRPr="00D260B2">
        <w:rPr>
          <w:rFonts w:cstheme="minorHAnsi"/>
        </w:rPr>
        <w:t>81.1</w:t>
      </w:r>
      <w:r w:rsidRPr="00D260B2">
        <w:rPr>
          <w:rFonts w:cstheme="minorHAnsi"/>
        </w:rPr>
        <w:t xml:space="preserve"> in 201</w:t>
      </w:r>
      <w:r w:rsidR="00AE6D3C" w:rsidRPr="00D260B2">
        <w:rPr>
          <w:rFonts w:cstheme="minorHAnsi"/>
        </w:rPr>
        <w:t>8</w:t>
      </w:r>
      <w:r w:rsidRPr="00D260B2">
        <w:rPr>
          <w:rFonts w:cstheme="minorHAnsi"/>
        </w:rPr>
        <w:t xml:space="preserve">). The website of the country’s </w:t>
      </w:r>
      <w:r w:rsidR="00790194" w:rsidRPr="00D260B2">
        <w:rPr>
          <w:rFonts w:cstheme="minorHAnsi"/>
        </w:rPr>
        <w:t xml:space="preserve">Department of Statistics, Malaysia </w:t>
      </w:r>
      <w:r w:rsidRPr="00D260B2">
        <w:rPr>
          <w:rFonts w:cstheme="minorHAnsi"/>
        </w:rPr>
        <w:t>highlights the availability of recent national surveys and regular macroeconomic data. It is expected that additional sources of evidence and triangulation will be found in secondary data available through the evaluations and reports of other UN entities and other development partners (donors, multilateral development banks, NGOs, academia, think</w:t>
      </w:r>
      <w:r w:rsidR="00790194" w:rsidRPr="00D260B2">
        <w:rPr>
          <w:rFonts w:cstheme="minorHAnsi"/>
        </w:rPr>
        <w:t>-</w:t>
      </w:r>
      <w:r w:rsidRPr="00D260B2">
        <w:rPr>
          <w:rFonts w:cstheme="minorHAnsi"/>
        </w:rPr>
        <w:t>tanks, civil society associations, etc.).</w:t>
      </w:r>
    </w:p>
    <w:p w14:paraId="4792874E" w14:textId="77777777" w:rsidR="000C0ABC" w:rsidRPr="00D260B2" w:rsidRDefault="000C0ABC" w:rsidP="000C0ABC">
      <w:pPr>
        <w:pStyle w:val="ADRText"/>
        <w:tabs>
          <w:tab w:val="left" w:pos="9000"/>
        </w:tabs>
        <w:spacing w:after="0"/>
        <w:ind w:left="0"/>
        <w:jc w:val="both"/>
        <w:rPr>
          <w:rFonts w:cstheme="minorHAnsi"/>
        </w:rPr>
      </w:pPr>
    </w:p>
    <w:p w14:paraId="5B5D8909" w14:textId="6FB35FA6" w:rsidR="000C0ABC" w:rsidRDefault="00E06207" w:rsidP="000C0ABC">
      <w:pPr>
        <w:pStyle w:val="ADRText"/>
        <w:tabs>
          <w:tab w:val="left" w:pos="9000"/>
        </w:tabs>
        <w:spacing w:after="0"/>
        <w:ind w:left="0"/>
        <w:jc w:val="both"/>
        <w:rPr>
          <w:rFonts w:asciiTheme="minorHAnsi" w:hAnsiTheme="minorHAnsi" w:cs="Times New Roman"/>
          <w:szCs w:val="22"/>
        </w:rPr>
      </w:pPr>
      <w:r w:rsidRPr="00D260B2">
        <w:rPr>
          <w:rFonts w:asciiTheme="minorHAnsi" w:hAnsiTheme="minorHAnsi" w:cs="Times New Roman"/>
          <w:b/>
          <w:szCs w:val="22"/>
        </w:rPr>
        <w:t>Data collection methods.</w:t>
      </w:r>
      <w:r w:rsidRPr="00D260B2">
        <w:rPr>
          <w:rFonts w:asciiTheme="minorHAnsi" w:hAnsiTheme="minorHAnsi" w:cs="Times New Roman"/>
          <w:szCs w:val="22"/>
        </w:rPr>
        <w:t xml:space="preserve"> The evaluation will use data from primary and secondary sources, including desk review of documentation, surveys and information</w:t>
      </w:r>
      <w:r w:rsidRPr="00E27264">
        <w:rPr>
          <w:rFonts w:asciiTheme="minorHAnsi" w:hAnsiTheme="minorHAnsi" w:cs="Times New Roman"/>
          <w:szCs w:val="22"/>
        </w:rPr>
        <w:t xml:space="preserve"> and interviews with key </w:t>
      </w:r>
      <w:r>
        <w:rPr>
          <w:rFonts w:asciiTheme="minorHAnsi" w:hAnsiTheme="minorHAnsi"/>
          <w:spacing w:val="-1"/>
        </w:rPr>
        <w:t>stakeholders</w:t>
      </w:r>
      <w:r w:rsidRPr="00E27264">
        <w:rPr>
          <w:rFonts w:asciiTheme="minorHAnsi" w:hAnsiTheme="minorHAnsi" w:cs="Times New Roman"/>
          <w:szCs w:val="22"/>
        </w:rPr>
        <w:t xml:space="preserve">, including beneficiaries, partners and </w:t>
      </w:r>
      <w:r>
        <w:rPr>
          <w:rFonts w:asciiTheme="minorHAnsi" w:hAnsiTheme="minorHAnsi" w:cs="Times New Roman"/>
          <w:szCs w:val="22"/>
        </w:rPr>
        <w:t xml:space="preserve">project </w:t>
      </w:r>
      <w:r w:rsidRPr="00E27264">
        <w:rPr>
          <w:rFonts w:asciiTheme="minorHAnsi" w:hAnsiTheme="minorHAnsi" w:cs="Times New Roman"/>
          <w:szCs w:val="22"/>
        </w:rPr>
        <w:t xml:space="preserve">managers. </w:t>
      </w:r>
      <w:r>
        <w:rPr>
          <w:rFonts w:asciiTheme="minorHAnsi" w:hAnsiTheme="minorHAnsi" w:cs="Times New Roman"/>
          <w:szCs w:val="22"/>
        </w:rPr>
        <w:t>Evaluation sub-</w:t>
      </w:r>
      <w:r w:rsidRPr="00932A4D">
        <w:rPr>
          <w:rFonts w:asciiTheme="minorHAnsi" w:hAnsiTheme="minorHAnsi"/>
          <w:szCs w:val="22"/>
        </w:rPr>
        <w:t>questions and the data collection method will be further</w:t>
      </w:r>
      <w:r>
        <w:rPr>
          <w:rFonts w:asciiTheme="minorHAnsi" w:hAnsiTheme="minorHAnsi"/>
          <w:szCs w:val="22"/>
        </w:rPr>
        <w:t xml:space="preserve"> detailed and outlined during the desk review phase</w:t>
      </w:r>
      <w:r w:rsidRPr="00932A4D">
        <w:rPr>
          <w:rFonts w:asciiTheme="minorHAnsi" w:hAnsiTheme="minorHAnsi"/>
          <w:szCs w:val="22"/>
        </w:rPr>
        <w:t xml:space="preserve">. </w:t>
      </w:r>
      <w:r w:rsidRPr="00E27264">
        <w:rPr>
          <w:rFonts w:asciiTheme="minorHAnsi" w:hAnsiTheme="minorHAnsi" w:cs="Times New Roman"/>
          <w:szCs w:val="22"/>
        </w:rPr>
        <w:t>A multi-stakeh</w:t>
      </w:r>
      <w:r>
        <w:rPr>
          <w:rFonts w:asciiTheme="minorHAnsi" w:hAnsiTheme="minorHAnsi" w:cs="Times New Roman"/>
          <w:szCs w:val="22"/>
        </w:rPr>
        <w:t>old</w:t>
      </w:r>
      <w:r w:rsidRPr="00E27264">
        <w:rPr>
          <w:rFonts w:asciiTheme="minorHAnsi" w:hAnsiTheme="minorHAnsi" w:cs="Times New Roman"/>
          <w:szCs w:val="22"/>
        </w:rPr>
        <w:t xml:space="preserve">er approach will be followed, and interviews will include government representatives, civil society organizations, private-sector representatives, UN agencies, multilateral organizations, bilateral donors, and beneficiaries of the programme. Focus groups will be used to consult </w:t>
      </w:r>
      <w:r>
        <w:rPr>
          <w:rFonts w:asciiTheme="minorHAnsi" w:hAnsiTheme="minorHAnsi" w:cs="Times New Roman"/>
          <w:szCs w:val="22"/>
        </w:rPr>
        <w:t>programme participants and</w:t>
      </w:r>
      <w:r w:rsidRPr="00E27264">
        <w:rPr>
          <w:rFonts w:asciiTheme="minorHAnsi" w:hAnsiTheme="minorHAnsi" w:cs="Times New Roman"/>
          <w:szCs w:val="22"/>
        </w:rPr>
        <w:t xml:space="preserve"> beneficiaries as appropriate.  </w:t>
      </w:r>
    </w:p>
    <w:p w14:paraId="2E5F05F9" w14:textId="77777777" w:rsidR="000C0ABC" w:rsidRDefault="000C0ABC" w:rsidP="000C0ABC">
      <w:pPr>
        <w:pStyle w:val="ADRText"/>
        <w:tabs>
          <w:tab w:val="left" w:pos="9000"/>
        </w:tabs>
        <w:spacing w:after="0"/>
        <w:ind w:left="0"/>
        <w:jc w:val="both"/>
        <w:rPr>
          <w:rFonts w:asciiTheme="minorHAnsi" w:hAnsiTheme="minorHAnsi" w:cs="Times New Roman"/>
          <w:szCs w:val="22"/>
        </w:rPr>
      </w:pPr>
    </w:p>
    <w:p w14:paraId="0E74E3EC" w14:textId="77777777" w:rsidR="000C0ABC" w:rsidRPr="00E27264" w:rsidRDefault="00E06207" w:rsidP="000C0ABC">
      <w:pPr>
        <w:pStyle w:val="ADRText"/>
        <w:tabs>
          <w:tab w:val="left" w:pos="9000"/>
        </w:tabs>
        <w:spacing w:after="0"/>
        <w:ind w:left="0"/>
        <w:jc w:val="both"/>
        <w:rPr>
          <w:rFonts w:asciiTheme="minorHAnsi" w:hAnsiTheme="minorHAnsi" w:cs="Times New Roman"/>
          <w:szCs w:val="22"/>
        </w:rPr>
      </w:pPr>
      <w:r>
        <w:rPr>
          <w:rFonts w:asciiTheme="minorHAnsi" w:hAnsiTheme="minorHAnsi" w:cs="Times New Roman"/>
          <w:szCs w:val="22"/>
        </w:rPr>
        <w:t xml:space="preserve">Data collection will entail visits to project sites. The following criteria will be used to select projects to be visited: </w:t>
      </w:r>
      <w:r w:rsidRPr="00E27264">
        <w:rPr>
          <w:rFonts w:asciiTheme="minorHAnsi" w:hAnsiTheme="minorHAnsi" w:cs="Times New Roman"/>
          <w:szCs w:val="22"/>
        </w:rPr>
        <w:t xml:space="preserve"> </w:t>
      </w:r>
    </w:p>
    <w:p w14:paraId="35588CA2" w14:textId="77777777" w:rsidR="000C0ABC" w:rsidRDefault="00E06207" w:rsidP="000C0ABC">
      <w:pPr>
        <w:pStyle w:val="ListParagraph"/>
        <w:numPr>
          <w:ilvl w:val="0"/>
          <w:numId w:val="9"/>
        </w:numPr>
        <w:tabs>
          <w:tab w:val="left" w:pos="9000"/>
        </w:tabs>
        <w:spacing w:after="0" w:line="240" w:lineRule="auto"/>
        <w:jc w:val="both"/>
      </w:pPr>
      <w:proofErr w:type="spellStart"/>
      <w:r>
        <w:t>Programme</w:t>
      </w:r>
      <w:proofErr w:type="spellEnd"/>
      <w:r>
        <w:t xml:space="preserve"> coverage (projects covering the various components and cross-cutting areas);</w:t>
      </w:r>
    </w:p>
    <w:p w14:paraId="2117E9A9" w14:textId="77777777" w:rsidR="000C0ABC" w:rsidRDefault="00E06207" w:rsidP="000C0ABC">
      <w:pPr>
        <w:pStyle w:val="ListParagraph"/>
        <w:numPr>
          <w:ilvl w:val="0"/>
          <w:numId w:val="9"/>
        </w:numPr>
        <w:tabs>
          <w:tab w:val="left" w:pos="9000"/>
        </w:tabs>
        <w:spacing w:after="0" w:line="240" w:lineRule="auto"/>
        <w:jc w:val="both"/>
      </w:pPr>
      <w:r>
        <w:t>Financial expenditure (projects of all sizes, both large and smaller pilot projects);</w:t>
      </w:r>
    </w:p>
    <w:p w14:paraId="2D6BC4D3" w14:textId="77777777" w:rsidR="000C0ABC" w:rsidRDefault="00E06207" w:rsidP="000C0ABC">
      <w:pPr>
        <w:pStyle w:val="ListParagraph"/>
        <w:numPr>
          <w:ilvl w:val="0"/>
          <w:numId w:val="9"/>
        </w:numPr>
        <w:tabs>
          <w:tab w:val="left" w:pos="9000"/>
        </w:tabs>
        <w:spacing w:after="0" w:line="240" w:lineRule="auto"/>
        <w:jc w:val="both"/>
      </w:pPr>
      <w:r>
        <w:t>Geographic coverage (not only national level and urban-based ones, but also in the various regions);</w:t>
      </w:r>
    </w:p>
    <w:p w14:paraId="1A6A909F" w14:textId="77777777" w:rsidR="000C0ABC" w:rsidRDefault="00E06207" w:rsidP="000C0ABC">
      <w:pPr>
        <w:pStyle w:val="ListParagraph"/>
        <w:numPr>
          <w:ilvl w:val="0"/>
          <w:numId w:val="9"/>
        </w:numPr>
        <w:tabs>
          <w:tab w:val="left" w:pos="9000"/>
        </w:tabs>
        <w:spacing w:after="0" w:line="240" w:lineRule="auto"/>
        <w:jc w:val="both"/>
      </w:pPr>
      <w:r>
        <w:t>Maturity (covering both completed and active projects);</w:t>
      </w:r>
    </w:p>
    <w:p w14:paraId="053ADF8F" w14:textId="77777777" w:rsidR="000C0ABC" w:rsidRDefault="00E06207" w:rsidP="000C0ABC">
      <w:pPr>
        <w:pStyle w:val="ListParagraph"/>
        <w:numPr>
          <w:ilvl w:val="0"/>
          <w:numId w:val="9"/>
        </w:numPr>
        <w:tabs>
          <w:tab w:val="left" w:pos="9000"/>
        </w:tabs>
        <w:spacing w:after="0" w:line="240" w:lineRule="auto"/>
        <w:jc w:val="both"/>
      </w:pPr>
      <w:r>
        <w:t>The degree of "success" (coverage of successful projects, as well as projects reporting difficulties where lessons can be learned).</w:t>
      </w:r>
    </w:p>
    <w:p w14:paraId="3E9F227A" w14:textId="77777777" w:rsidR="000C0ABC" w:rsidRDefault="000C0ABC" w:rsidP="000C0ABC">
      <w:pPr>
        <w:tabs>
          <w:tab w:val="left" w:pos="9000"/>
        </w:tabs>
        <w:spacing w:after="0" w:line="240" w:lineRule="auto"/>
        <w:jc w:val="both"/>
      </w:pPr>
    </w:p>
    <w:p w14:paraId="79FA7EA1" w14:textId="77777777" w:rsidR="000C0ABC" w:rsidRDefault="00E06207" w:rsidP="000C0ABC">
      <w:pPr>
        <w:tabs>
          <w:tab w:val="left" w:pos="9000"/>
        </w:tabs>
        <w:spacing w:after="0" w:line="240" w:lineRule="auto"/>
        <w:jc w:val="both"/>
        <w:rPr>
          <w:rFonts w:cstheme="minorHAnsi"/>
        </w:rPr>
      </w:pPr>
      <w:r w:rsidRPr="00C85518">
        <w:rPr>
          <w:rFonts w:cstheme="minorHAnsi"/>
        </w:rPr>
        <w:t xml:space="preserve">All information and data collected from multiple sources will be triangulated to ensure its validity. </w:t>
      </w:r>
      <w:r>
        <w:rPr>
          <w:rFonts w:cstheme="minorHAnsi"/>
        </w:rPr>
        <w:t>An</w:t>
      </w:r>
      <w:r w:rsidRPr="00932A4D">
        <w:rPr>
          <w:rFonts w:cstheme="minorHAnsi"/>
        </w:rPr>
        <w:t xml:space="preserve"> evaluation matrix will be used to </w:t>
      </w:r>
      <w:r>
        <w:rPr>
          <w:rFonts w:cstheme="minorHAnsi"/>
        </w:rPr>
        <w:t>organize</w:t>
      </w:r>
      <w:r w:rsidRPr="00932A4D">
        <w:rPr>
          <w:rFonts w:cstheme="minorHAnsi"/>
        </w:rPr>
        <w:t xml:space="preserve"> the available evidence by key evaluation questions. </w:t>
      </w:r>
      <w:r w:rsidRPr="00C85518">
        <w:rPr>
          <w:rFonts w:cstheme="minorHAnsi"/>
        </w:rPr>
        <w:t>This will also facilitate the analysis process and will support the evaluation team in drawing well-substantiated conclusions and recommendations.</w:t>
      </w:r>
    </w:p>
    <w:p w14:paraId="19D8DE4D" w14:textId="77777777" w:rsidR="000C0ABC" w:rsidRDefault="000C0ABC" w:rsidP="000C0ABC">
      <w:pPr>
        <w:tabs>
          <w:tab w:val="left" w:pos="9000"/>
        </w:tabs>
        <w:spacing w:after="0" w:line="240" w:lineRule="auto"/>
        <w:jc w:val="both"/>
        <w:rPr>
          <w:rFonts w:cstheme="minorHAnsi"/>
        </w:rPr>
      </w:pPr>
    </w:p>
    <w:p w14:paraId="2FD4F489" w14:textId="77777777" w:rsidR="000C0ABC" w:rsidRPr="00A67527" w:rsidRDefault="00E06207" w:rsidP="000C0ABC">
      <w:pPr>
        <w:pStyle w:val="ADRTextBulletL2"/>
        <w:tabs>
          <w:tab w:val="left" w:pos="9000"/>
        </w:tabs>
        <w:jc w:val="both"/>
        <w:rPr>
          <w:rFonts w:asciiTheme="minorHAnsi" w:eastAsia="Calibri" w:hAnsiTheme="minorHAnsi" w:cstheme="minorHAnsi"/>
          <w:i/>
          <w:szCs w:val="22"/>
        </w:rPr>
      </w:pPr>
      <w:r w:rsidRPr="00C0272F">
        <w:rPr>
          <w:rFonts w:asciiTheme="minorHAnsi" w:hAnsiTheme="minorHAnsi" w:cstheme="minorHAnsi"/>
          <w:szCs w:val="22"/>
        </w:rPr>
        <w:t xml:space="preserve">In line with UNDP’s gender mainstreaming strategy, the </w:t>
      </w:r>
      <w:r>
        <w:rPr>
          <w:rFonts w:asciiTheme="minorHAnsi" w:hAnsiTheme="minorHAnsi" w:cstheme="minorHAnsi"/>
          <w:szCs w:val="22"/>
        </w:rPr>
        <w:t xml:space="preserve">evaluation </w:t>
      </w:r>
      <w:r w:rsidRPr="00C0272F">
        <w:rPr>
          <w:rFonts w:asciiTheme="minorHAnsi" w:hAnsiTheme="minorHAnsi" w:cstheme="minorHAnsi"/>
          <w:szCs w:val="22"/>
        </w:rPr>
        <w:t xml:space="preserve">will examine the level of gender mainstreaming across </w:t>
      </w:r>
      <w:proofErr w:type="gramStart"/>
      <w:r w:rsidRPr="00C0272F">
        <w:rPr>
          <w:rFonts w:asciiTheme="minorHAnsi" w:hAnsiTheme="minorHAnsi" w:cstheme="minorHAnsi"/>
          <w:szCs w:val="22"/>
        </w:rPr>
        <w:t>all of</w:t>
      </w:r>
      <w:proofErr w:type="gramEnd"/>
      <w:r w:rsidRPr="00C0272F">
        <w:rPr>
          <w:rFonts w:asciiTheme="minorHAnsi" w:hAnsiTheme="minorHAnsi" w:cstheme="minorHAnsi"/>
          <w:szCs w:val="22"/>
        </w:rPr>
        <w:t xml:space="preserve"> </w:t>
      </w:r>
      <w:r>
        <w:rPr>
          <w:rFonts w:asciiTheme="minorHAnsi" w:hAnsiTheme="minorHAnsi" w:cstheme="minorHAnsi"/>
          <w:szCs w:val="22"/>
        </w:rPr>
        <w:t>the country programme an</w:t>
      </w:r>
      <w:r w:rsidRPr="00C0272F">
        <w:rPr>
          <w:rFonts w:asciiTheme="minorHAnsi" w:hAnsiTheme="minorHAnsi" w:cstheme="minorHAnsi"/>
          <w:szCs w:val="22"/>
        </w:rPr>
        <w:t>d operations. Gender disaggregated data will be collected, where available, and assessed against its programme outcomes. This information will be used to provide corporate level evidence on the performance of the associated fund and programme.</w:t>
      </w:r>
    </w:p>
    <w:p w14:paraId="17B5E6F7" w14:textId="77777777" w:rsidR="000C0ABC" w:rsidRDefault="000C0ABC" w:rsidP="000C0ABC">
      <w:pPr>
        <w:tabs>
          <w:tab w:val="left" w:pos="9000"/>
        </w:tabs>
        <w:spacing w:after="0" w:line="240" w:lineRule="auto"/>
        <w:jc w:val="both"/>
        <w:rPr>
          <w:rFonts w:cstheme="minorHAnsi"/>
        </w:rPr>
      </w:pPr>
    </w:p>
    <w:p w14:paraId="386A583D" w14:textId="77777777" w:rsidR="000C0ABC" w:rsidRDefault="00E06207" w:rsidP="000C0ABC">
      <w:pPr>
        <w:spacing w:after="0" w:line="240" w:lineRule="auto"/>
        <w:jc w:val="both"/>
        <w:rPr>
          <w:rFonts w:cstheme="minorHAnsi"/>
        </w:rPr>
      </w:pPr>
      <w:r w:rsidRPr="00E27264">
        <w:rPr>
          <w:b/>
        </w:rPr>
        <w:t xml:space="preserve">Stakeholder involvement: </w:t>
      </w:r>
      <w:r w:rsidRPr="00C85518">
        <w:rPr>
          <w:rFonts w:cstheme="minorHAnsi"/>
        </w:rPr>
        <w:t xml:space="preserve">a participatory and transparent process will be followed to engage with multiple stakeholders at all stages of the evaluation process. During the </w:t>
      </w:r>
      <w:r>
        <w:rPr>
          <w:rFonts w:cstheme="minorHAnsi"/>
        </w:rPr>
        <w:t>initial</w:t>
      </w:r>
      <w:r w:rsidRPr="00C85518">
        <w:rPr>
          <w:rFonts w:cstheme="minorHAnsi"/>
        </w:rPr>
        <w:t xml:space="preserve"> phase</w:t>
      </w:r>
      <w:r>
        <w:rPr>
          <w:rFonts w:cstheme="minorHAnsi"/>
        </w:rPr>
        <w:t>,</w:t>
      </w:r>
      <w:r w:rsidRPr="00C85518">
        <w:rPr>
          <w:rFonts w:cstheme="minorHAnsi"/>
        </w:rPr>
        <w:t xml:space="preserve"> a stakeholder analysis will be conducted to identify all relevant UNDP partners, including those that may have not worked with UNDP but play a key role in the outcomes to which UNDP contributes. This </w:t>
      </w:r>
      <w:r>
        <w:rPr>
          <w:rFonts w:cstheme="minorHAnsi"/>
        </w:rPr>
        <w:t xml:space="preserve">stakeholder analysis will serve </w:t>
      </w:r>
      <w:r w:rsidRPr="00C85518">
        <w:rPr>
          <w:rFonts w:cstheme="minorHAnsi"/>
        </w:rPr>
        <w:t>to identify key informants for interviews during the main data col</w:t>
      </w:r>
      <w:r>
        <w:rPr>
          <w:rFonts w:cstheme="minorHAnsi"/>
        </w:rPr>
        <w:t>lection phase of the evaluation, and to examine any potential partnerships that could further improve UNDP’s contribution to the country.</w:t>
      </w:r>
    </w:p>
    <w:p w14:paraId="62C7F313" w14:textId="77777777" w:rsidR="000C0ABC" w:rsidRDefault="000C0ABC" w:rsidP="000C0ABC">
      <w:pPr>
        <w:pStyle w:val="ADRText"/>
        <w:tabs>
          <w:tab w:val="left" w:pos="9000"/>
        </w:tabs>
        <w:spacing w:after="0"/>
        <w:ind w:left="0"/>
        <w:jc w:val="both"/>
        <w:rPr>
          <w:rFonts w:asciiTheme="minorHAnsi" w:hAnsiTheme="minorHAnsi" w:cs="Times New Roman"/>
          <w:i/>
          <w:color w:val="0070C0"/>
          <w:szCs w:val="22"/>
        </w:rPr>
      </w:pPr>
    </w:p>
    <w:p w14:paraId="2BC514B8" w14:textId="77777777" w:rsidR="000C0ABC" w:rsidRDefault="00E06207" w:rsidP="000C0ABC">
      <w:pPr>
        <w:pStyle w:val="ADRTextBulletL2"/>
        <w:numPr>
          <w:ilvl w:val="0"/>
          <w:numId w:val="6"/>
        </w:numPr>
        <w:tabs>
          <w:tab w:val="left" w:pos="9000"/>
        </w:tabs>
        <w:jc w:val="both"/>
        <w:rPr>
          <w:rFonts w:asciiTheme="minorHAnsi" w:eastAsia="Calibri" w:hAnsiTheme="minorHAnsi"/>
          <w:b/>
          <w:szCs w:val="22"/>
        </w:rPr>
      </w:pPr>
      <w:r w:rsidRPr="00E27264">
        <w:rPr>
          <w:rFonts w:asciiTheme="minorHAnsi" w:eastAsia="Calibri" w:hAnsiTheme="minorHAnsi"/>
          <w:b/>
          <w:szCs w:val="22"/>
        </w:rPr>
        <w:t>MANAGEMENT ARRANGEMENTS</w:t>
      </w:r>
    </w:p>
    <w:p w14:paraId="42B89123" w14:textId="77777777" w:rsidR="000C0ABC" w:rsidRPr="00E27264" w:rsidRDefault="000C0ABC" w:rsidP="000C0ABC">
      <w:pPr>
        <w:pStyle w:val="ADRTextBulletL2"/>
        <w:tabs>
          <w:tab w:val="left" w:pos="9000"/>
        </w:tabs>
        <w:ind w:left="360"/>
        <w:jc w:val="both"/>
        <w:rPr>
          <w:rFonts w:asciiTheme="minorHAnsi" w:eastAsia="Calibri" w:hAnsiTheme="minorHAnsi"/>
          <w:b/>
          <w:szCs w:val="22"/>
        </w:rPr>
      </w:pPr>
    </w:p>
    <w:p w14:paraId="3DA4D1B1" w14:textId="77777777" w:rsidR="000C0ABC" w:rsidRPr="00E27264" w:rsidRDefault="00E06207" w:rsidP="000C0ABC">
      <w:pPr>
        <w:pStyle w:val="ADRTextBulletL2"/>
        <w:tabs>
          <w:tab w:val="left" w:pos="9000"/>
        </w:tabs>
        <w:jc w:val="both"/>
        <w:rPr>
          <w:rFonts w:asciiTheme="minorHAnsi" w:eastAsia="SimSun" w:hAnsiTheme="minorHAnsi"/>
          <w:b/>
          <w:szCs w:val="22"/>
        </w:rPr>
      </w:pPr>
      <w:r w:rsidRPr="00E27264">
        <w:rPr>
          <w:rFonts w:asciiTheme="minorHAnsi" w:hAnsiTheme="minorHAnsi"/>
          <w:b/>
          <w:szCs w:val="22"/>
        </w:rPr>
        <w:lastRenderedPageBreak/>
        <w:t xml:space="preserve">Independent </w:t>
      </w:r>
      <w:r w:rsidRPr="00E27264">
        <w:rPr>
          <w:rFonts w:asciiTheme="minorHAnsi" w:eastAsia="SimSun" w:hAnsiTheme="minorHAnsi"/>
          <w:b/>
          <w:szCs w:val="22"/>
        </w:rPr>
        <w:t xml:space="preserve">Evaluation Office of UNDP: </w:t>
      </w:r>
      <w:r w:rsidRPr="00E27264">
        <w:rPr>
          <w:rFonts w:asciiTheme="minorHAnsi" w:eastAsia="SimSun" w:hAnsiTheme="minorHAnsi"/>
          <w:szCs w:val="22"/>
        </w:rPr>
        <w:t xml:space="preserve">The </w:t>
      </w:r>
      <w:r w:rsidRPr="00E27264">
        <w:rPr>
          <w:rFonts w:asciiTheme="minorHAnsi" w:hAnsiTheme="minorHAnsi"/>
          <w:szCs w:val="22"/>
        </w:rPr>
        <w:t xml:space="preserve">UNDP IEO will conduct the </w:t>
      </w:r>
      <w:r>
        <w:rPr>
          <w:rFonts w:asciiTheme="minorHAnsi" w:hAnsiTheme="minorHAnsi"/>
          <w:szCs w:val="22"/>
        </w:rPr>
        <w:t xml:space="preserve">evaluation </w:t>
      </w:r>
      <w:r w:rsidRPr="00E27264">
        <w:rPr>
          <w:rFonts w:asciiTheme="minorHAnsi" w:hAnsiTheme="minorHAnsi"/>
          <w:szCs w:val="22"/>
        </w:rPr>
        <w:t xml:space="preserve">in consultation with the UNDP </w:t>
      </w:r>
      <w:r w:rsidR="006905CC">
        <w:rPr>
          <w:rFonts w:asciiTheme="minorHAnsi" w:hAnsiTheme="minorHAnsi"/>
          <w:szCs w:val="22"/>
        </w:rPr>
        <w:t>Malaysia</w:t>
      </w:r>
      <w:r w:rsidRPr="00E27264">
        <w:rPr>
          <w:rFonts w:asciiTheme="minorHAnsi" w:hAnsiTheme="minorHAnsi"/>
          <w:szCs w:val="22"/>
        </w:rPr>
        <w:t xml:space="preserve"> country office, the Regional Bureau for </w:t>
      </w:r>
      <w:r>
        <w:rPr>
          <w:rFonts w:asciiTheme="minorHAnsi" w:hAnsiTheme="minorHAnsi"/>
          <w:szCs w:val="22"/>
        </w:rPr>
        <w:t>Asia and Pacific</w:t>
      </w:r>
      <w:r w:rsidRPr="00E27264">
        <w:rPr>
          <w:rFonts w:asciiTheme="minorHAnsi" w:hAnsiTheme="minorHAnsi"/>
          <w:szCs w:val="22"/>
        </w:rPr>
        <w:t xml:space="preserve"> and the </w:t>
      </w:r>
      <w:r>
        <w:rPr>
          <w:rFonts w:asciiTheme="minorHAnsi" w:hAnsiTheme="minorHAnsi"/>
          <w:szCs w:val="22"/>
        </w:rPr>
        <w:t xml:space="preserve">Government of </w:t>
      </w:r>
      <w:r w:rsidR="006905CC">
        <w:rPr>
          <w:rFonts w:asciiTheme="minorHAnsi" w:hAnsiTheme="minorHAnsi"/>
          <w:szCs w:val="22"/>
        </w:rPr>
        <w:t>Malaysia</w:t>
      </w:r>
      <w:r w:rsidRPr="00E27264">
        <w:rPr>
          <w:rFonts w:asciiTheme="minorHAnsi" w:hAnsiTheme="minorHAnsi"/>
          <w:szCs w:val="22"/>
        </w:rPr>
        <w:t xml:space="preserve">. The IEO </w:t>
      </w:r>
      <w:r>
        <w:rPr>
          <w:rFonts w:asciiTheme="minorHAnsi" w:hAnsiTheme="minorHAnsi"/>
          <w:szCs w:val="22"/>
        </w:rPr>
        <w:t>lead evaluator</w:t>
      </w:r>
      <w:r w:rsidRPr="00E27264">
        <w:rPr>
          <w:rFonts w:asciiTheme="minorHAnsi" w:hAnsiTheme="minorHAnsi"/>
          <w:szCs w:val="22"/>
        </w:rPr>
        <w:t xml:space="preserve"> will lead the evaluation and coordinate the evaluation team. The IEO will meet all costs directly related to the conduct of the</w:t>
      </w:r>
      <w:r>
        <w:rPr>
          <w:rFonts w:asciiTheme="minorHAnsi" w:hAnsiTheme="minorHAnsi"/>
          <w:szCs w:val="22"/>
        </w:rPr>
        <w:t xml:space="preserve"> evaluation</w:t>
      </w:r>
      <w:r w:rsidRPr="00E27264">
        <w:rPr>
          <w:rFonts w:asciiTheme="minorHAnsi" w:hAnsiTheme="minorHAnsi"/>
          <w:szCs w:val="22"/>
        </w:rPr>
        <w:t>.</w:t>
      </w:r>
    </w:p>
    <w:p w14:paraId="770D554E" w14:textId="77777777" w:rsidR="000C0ABC" w:rsidRPr="00E27264" w:rsidRDefault="000C0ABC" w:rsidP="000C0ABC">
      <w:pPr>
        <w:pStyle w:val="ADRTextBulletL2"/>
        <w:tabs>
          <w:tab w:val="left" w:pos="9000"/>
        </w:tabs>
        <w:jc w:val="both"/>
        <w:rPr>
          <w:rFonts w:asciiTheme="minorHAnsi" w:hAnsiTheme="minorHAnsi"/>
          <w:szCs w:val="22"/>
        </w:rPr>
      </w:pPr>
    </w:p>
    <w:p w14:paraId="558E81A7" w14:textId="77777777" w:rsidR="000C0ABC" w:rsidRDefault="00E06207" w:rsidP="000C0ABC">
      <w:pPr>
        <w:pStyle w:val="ADRTextBulletL2"/>
        <w:tabs>
          <w:tab w:val="left" w:pos="9000"/>
        </w:tabs>
        <w:jc w:val="both"/>
        <w:rPr>
          <w:rFonts w:asciiTheme="minorHAnsi" w:hAnsiTheme="minorHAnsi"/>
          <w:szCs w:val="22"/>
        </w:rPr>
      </w:pPr>
      <w:r w:rsidRPr="00E27264">
        <w:rPr>
          <w:rFonts w:asciiTheme="minorHAnsi" w:eastAsia="SimSun" w:hAnsiTheme="minorHAnsi"/>
          <w:b/>
          <w:szCs w:val="22"/>
        </w:rPr>
        <w:t xml:space="preserve">UNDP Country Office in </w:t>
      </w:r>
      <w:r w:rsidR="006905CC">
        <w:rPr>
          <w:rFonts w:asciiTheme="minorHAnsi" w:eastAsia="SimSun" w:hAnsiTheme="minorHAnsi"/>
          <w:b/>
          <w:szCs w:val="22"/>
        </w:rPr>
        <w:t>Malaysia</w:t>
      </w:r>
      <w:r w:rsidRPr="00E27264">
        <w:rPr>
          <w:rFonts w:asciiTheme="minorHAnsi" w:eastAsia="SimSun" w:hAnsiTheme="minorHAnsi"/>
          <w:b/>
          <w:szCs w:val="22"/>
        </w:rPr>
        <w:t xml:space="preserve">: </w:t>
      </w:r>
      <w:r w:rsidRPr="00E27264">
        <w:rPr>
          <w:rFonts w:asciiTheme="minorHAnsi" w:hAnsiTheme="minorHAnsi"/>
          <w:szCs w:val="22"/>
        </w:rPr>
        <w:t xml:space="preserve">The country office </w:t>
      </w:r>
      <w:r>
        <w:rPr>
          <w:rFonts w:asciiTheme="minorHAnsi" w:hAnsiTheme="minorHAnsi"/>
          <w:szCs w:val="22"/>
        </w:rPr>
        <w:t xml:space="preserve">(CO) will </w:t>
      </w:r>
      <w:r w:rsidRPr="00932A4D">
        <w:rPr>
          <w:rFonts w:asciiTheme="minorHAnsi" w:hAnsiTheme="minorHAnsi"/>
          <w:szCs w:val="22"/>
        </w:rPr>
        <w:t xml:space="preserve">support the evaluation team to liaise with key partners and other stakeholders, make available to the team all necessary information regarding UNDP’s programmes, projects and activities in the country, and provide factual verifications of the draft report on a timely basis. </w:t>
      </w:r>
      <w:r>
        <w:rPr>
          <w:rFonts w:asciiTheme="minorHAnsi" w:hAnsiTheme="minorHAnsi"/>
          <w:szCs w:val="22"/>
        </w:rPr>
        <w:t>The CO</w:t>
      </w:r>
      <w:r w:rsidRPr="00932A4D">
        <w:rPr>
          <w:rFonts w:asciiTheme="minorHAnsi" w:hAnsiTheme="minorHAnsi"/>
          <w:szCs w:val="22"/>
        </w:rPr>
        <w:t xml:space="preserve"> will provide </w:t>
      </w:r>
      <w:r>
        <w:rPr>
          <w:rFonts w:asciiTheme="minorHAnsi" w:hAnsiTheme="minorHAnsi"/>
          <w:szCs w:val="22"/>
        </w:rPr>
        <w:t>s</w:t>
      </w:r>
      <w:r w:rsidRPr="00932A4D">
        <w:rPr>
          <w:rFonts w:asciiTheme="minorHAnsi" w:hAnsiTheme="minorHAnsi"/>
          <w:szCs w:val="22"/>
        </w:rPr>
        <w:t xml:space="preserve">upport in kind (e.g. arranging meetings with project staff, stakeholders and beneficiaries; assistance for </w:t>
      </w:r>
      <w:r>
        <w:rPr>
          <w:rFonts w:asciiTheme="minorHAnsi" w:hAnsiTheme="minorHAnsi"/>
          <w:szCs w:val="22"/>
        </w:rPr>
        <w:t xml:space="preserve">field </w:t>
      </w:r>
      <w:r w:rsidRPr="00932A4D">
        <w:rPr>
          <w:rFonts w:asciiTheme="minorHAnsi" w:hAnsiTheme="minorHAnsi"/>
          <w:szCs w:val="22"/>
        </w:rPr>
        <w:t xml:space="preserve">site visits). To ensure </w:t>
      </w:r>
      <w:r>
        <w:rPr>
          <w:rFonts w:asciiTheme="minorHAnsi" w:hAnsiTheme="minorHAnsi"/>
          <w:szCs w:val="22"/>
        </w:rPr>
        <w:t>the anonymity of interviewees</w:t>
      </w:r>
      <w:r w:rsidRPr="00932A4D">
        <w:rPr>
          <w:rFonts w:asciiTheme="minorHAnsi" w:hAnsiTheme="minorHAnsi"/>
          <w:szCs w:val="22"/>
        </w:rPr>
        <w:t xml:space="preserve">, the </w:t>
      </w:r>
      <w:r>
        <w:rPr>
          <w:rFonts w:asciiTheme="minorHAnsi" w:hAnsiTheme="minorHAnsi"/>
          <w:szCs w:val="22"/>
        </w:rPr>
        <w:t>country office</w:t>
      </w:r>
      <w:r w:rsidRPr="00932A4D">
        <w:rPr>
          <w:rFonts w:asciiTheme="minorHAnsi" w:hAnsiTheme="minorHAnsi"/>
          <w:szCs w:val="22"/>
        </w:rPr>
        <w:t xml:space="preserve"> staff will not participate in the </w:t>
      </w:r>
      <w:r>
        <w:rPr>
          <w:rFonts w:asciiTheme="minorHAnsi" w:hAnsiTheme="minorHAnsi"/>
          <w:szCs w:val="22"/>
        </w:rPr>
        <w:t>stakeholder interviews</w:t>
      </w:r>
      <w:r w:rsidRPr="00932A4D">
        <w:rPr>
          <w:rFonts w:asciiTheme="minorHAnsi" w:hAnsiTheme="minorHAnsi"/>
          <w:szCs w:val="22"/>
        </w:rPr>
        <w:t xml:space="preserve">. </w:t>
      </w:r>
      <w:r w:rsidRPr="0067548E">
        <w:rPr>
          <w:rFonts w:asciiTheme="minorHAnsi" w:hAnsiTheme="minorHAnsi"/>
          <w:szCs w:val="22"/>
        </w:rPr>
        <w:t xml:space="preserve">The </w:t>
      </w:r>
      <w:r>
        <w:rPr>
          <w:rFonts w:asciiTheme="minorHAnsi" w:hAnsiTheme="minorHAnsi"/>
          <w:szCs w:val="22"/>
        </w:rPr>
        <w:t>CO</w:t>
      </w:r>
      <w:r w:rsidRPr="0067548E">
        <w:rPr>
          <w:rFonts w:asciiTheme="minorHAnsi" w:hAnsiTheme="minorHAnsi"/>
          <w:szCs w:val="22"/>
        </w:rPr>
        <w:t xml:space="preserve"> </w:t>
      </w:r>
      <w:r>
        <w:rPr>
          <w:rFonts w:asciiTheme="minorHAnsi" w:hAnsiTheme="minorHAnsi"/>
          <w:szCs w:val="22"/>
        </w:rPr>
        <w:t xml:space="preserve">and IEO </w:t>
      </w:r>
      <w:r w:rsidRPr="0067548E">
        <w:rPr>
          <w:rFonts w:asciiTheme="minorHAnsi" w:hAnsiTheme="minorHAnsi"/>
          <w:szCs w:val="22"/>
        </w:rPr>
        <w:t>will jointly organize the final stakeholder</w:t>
      </w:r>
      <w:r>
        <w:rPr>
          <w:rFonts w:asciiTheme="minorHAnsi" w:hAnsiTheme="minorHAnsi"/>
          <w:szCs w:val="22"/>
        </w:rPr>
        <w:t xml:space="preserve"> debriefing</w:t>
      </w:r>
      <w:r w:rsidRPr="0067548E">
        <w:rPr>
          <w:rFonts w:asciiTheme="minorHAnsi" w:hAnsiTheme="minorHAnsi"/>
          <w:szCs w:val="22"/>
        </w:rPr>
        <w:t xml:space="preserve">, ensuring participation of key government counterparts, through a videoconference, where findings and results of the evaluation will be presented. Additionally, the </w:t>
      </w:r>
      <w:r>
        <w:rPr>
          <w:rFonts w:asciiTheme="minorHAnsi" w:hAnsiTheme="minorHAnsi"/>
          <w:szCs w:val="22"/>
        </w:rPr>
        <w:t>CO</w:t>
      </w:r>
      <w:r w:rsidRPr="0067548E">
        <w:rPr>
          <w:rFonts w:asciiTheme="minorHAnsi" w:hAnsiTheme="minorHAnsi"/>
          <w:szCs w:val="22"/>
        </w:rPr>
        <w:t xml:space="preserve"> </w:t>
      </w:r>
      <w:r w:rsidRPr="00932A4D">
        <w:rPr>
          <w:rFonts w:asciiTheme="minorHAnsi" w:hAnsiTheme="minorHAnsi"/>
          <w:szCs w:val="22"/>
        </w:rPr>
        <w:t>will prepare a management r</w:t>
      </w:r>
      <w:r>
        <w:rPr>
          <w:rFonts w:asciiTheme="minorHAnsi" w:hAnsiTheme="minorHAnsi"/>
          <w:szCs w:val="22"/>
        </w:rPr>
        <w:t xml:space="preserve">esponse in consultation with the regional bureau and </w:t>
      </w:r>
      <w:r w:rsidRPr="0067548E">
        <w:rPr>
          <w:rFonts w:asciiTheme="minorHAnsi" w:hAnsiTheme="minorHAnsi"/>
          <w:szCs w:val="22"/>
        </w:rPr>
        <w:t xml:space="preserve">will support the use and dissemination of the final outputs of the </w:t>
      </w:r>
      <w:r>
        <w:rPr>
          <w:rFonts w:asciiTheme="minorHAnsi" w:hAnsiTheme="minorHAnsi"/>
          <w:szCs w:val="22"/>
        </w:rPr>
        <w:t>evaluation</w:t>
      </w:r>
      <w:r w:rsidRPr="0067548E">
        <w:rPr>
          <w:rFonts w:asciiTheme="minorHAnsi" w:hAnsiTheme="minorHAnsi"/>
          <w:szCs w:val="22"/>
        </w:rPr>
        <w:t xml:space="preserve"> process.</w:t>
      </w:r>
    </w:p>
    <w:p w14:paraId="5710C84C" w14:textId="77777777" w:rsidR="000C0ABC" w:rsidRPr="00E27264" w:rsidRDefault="000C0ABC" w:rsidP="000C0ABC">
      <w:pPr>
        <w:pStyle w:val="ADRTextBulletL2"/>
        <w:tabs>
          <w:tab w:val="left" w:pos="9000"/>
        </w:tabs>
        <w:jc w:val="both"/>
        <w:rPr>
          <w:rFonts w:asciiTheme="minorHAnsi" w:hAnsiTheme="minorHAnsi"/>
          <w:szCs w:val="22"/>
        </w:rPr>
      </w:pPr>
    </w:p>
    <w:p w14:paraId="39E0E347" w14:textId="77777777" w:rsidR="000C0ABC" w:rsidRDefault="00E06207" w:rsidP="000C0ABC">
      <w:pPr>
        <w:tabs>
          <w:tab w:val="left" w:pos="9000"/>
        </w:tabs>
        <w:spacing w:after="0" w:line="240" w:lineRule="auto"/>
        <w:jc w:val="both"/>
      </w:pPr>
      <w:r w:rsidRPr="00E27264">
        <w:rPr>
          <w:b/>
        </w:rPr>
        <w:t xml:space="preserve">UNDP Regional Bureau for </w:t>
      </w:r>
      <w:r>
        <w:rPr>
          <w:b/>
        </w:rPr>
        <w:t>Asia and Pacific</w:t>
      </w:r>
      <w:r w:rsidRPr="00E27264">
        <w:rPr>
          <w:b/>
        </w:rPr>
        <w:t>:</w:t>
      </w:r>
      <w:r w:rsidRPr="00E27264">
        <w:t xml:space="preserve"> The UNDP Regional Bureau for </w:t>
      </w:r>
      <w:r>
        <w:t>Asia and Pacific</w:t>
      </w:r>
      <w:r w:rsidRPr="00E27264">
        <w:t xml:space="preserve"> will support the evaluation through information sharing and will also participate in discussions on emerging conclusions and recommendations.</w:t>
      </w:r>
    </w:p>
    <w:p w14:paraId="037BE234" w14:textId="77777777" w:rsidR="000C0ABC" w:rsidRPr="00E27264" w:rsidRDefault="000C0ABC" w:rsidP="000C0ABC">
      <w:pPr>
        <w:pStyle w:val="ADRTextBulletL2"/>
        <w:tabs>
          <w:tab w:val="left" w:pos="9000"/>
        </w:tabs>
        <w:jc w:val="both"/>
        <w:rPr>
          <w:rFonts w:asciiTheme="minorHAnsi" w:eastAsia="SimSun" w:hAnsiTheme="minorHAnsi"/>
          <w:b/>
          <w:szCs w:val="22"/>
        </w:rPr>
      </w:pPr>
    </w:p>
    <w:p w14:paraId="42A19C56" w14:textId="77777777" w:rsidR="000C0ABC" w:rsidRPr="00E27264" w:rsidRDefault="00E06207" w:rsidP="000C0ABC">
      <w:pPr>
        <w:tabs>
          <w:tab w:val="left" w:pos="9000"/>
        </w:tabs>
        <w:spacing w:after="0" w:line="240" w:lineRule="auto"/>
        <w:jc w:val="both"/>
      </w:pPr>
      <w:r w:rsidRPr="00E27264">
        <w:rPr>
          <w:b/>
        </w:rPr>
        <w:t xml:space="preserve">Evaluation Team:  </w:t>
      </w:r>
      <w:r w:rsidRPr="00E27264">
        <w:t xml:space="preserve">The IEO will constitute an evaluation team to undertake the </w:t>
      </w:r>
      <w:r>
        <w:t>ICPE</w:t>
      </w:r>
      <w:r w:rsidRPr="00E27264">
        <w:t>. The IEO will ensure gender balance in the team which will include the following members:</w:t>
      </w:r>
    </w:p>
    <w:p w14:paraId="4CF778F7" w14:textId="1002921D" w:rsidR="000C0ABC" w:rsidRDefault="00E06207" w:rsidP="000C0ABC">
      <w:pPr>
        <w:pStyle w:val="ListParagraph"/>
        <w:numPr>
          <w:ilvl w:val="0"/>
          <w:numId w:val="8"/>
        </w:numPr>
        <w:tabs>
          <w:tab w:val="left" w:pos="9000"/>
        </w:tabs>
        <w:autoSpaceDE w:val="0"/>
        <w:autoSpaceDN w:val="0"/>
        <w:spacing w:after="0" w:line="240" w:lineRule="auto"/>
        <w:jc w:val="both"/>
      </w:pPr>
      <w:r w:rsidRPr="00AA6910">
        <w:rPr>
          <w:u w:val="single"/>
        </w:rPr>
        <w:t>Lead Evaluator (LE)</w:t>
      </w:r>
      <w:r w:rsidRPr="00AA6910">
        <w:rPr>
          <w:i/>
        </w:rPr>
        <w:t xml:space="preserve">: </w:t>
      </w:r>
      <w:r w:rsidRPr="00E27264">
        <w:t xml:space="preserve">IEO staff member with overall responsibility </w:t>
      </w:r>
      <w:r w:rsidRPr="00680E88">
        <w:t>for developing the evaluation design and terms of reference; managing the conduct of the ICPE, preparing/ finalizing the final report; and organizing the stakeholder workshop, as appropriate, with the country office.</w:t>
      </w:r>
    </w:p>
    <w:p w14:paraId="4DAC20F3" w14:textId="2154A066" w:rsidR="0051740D" w:rsidRDefault="0051740D" w:rsidP="00FB6BDC">
      <w:pPr>
        <w:pStyle w:val="ListParagraph"/>
        <w:numPr>
          <w:ilvl w:val="0"/>
          <w:numId w:val="8"/>
        </w:numPr>
      </w:pPr>
      <w:r w:rsidRPr="00FB6BDC">
        <w:rPr>
          <w:u w:val="single"/>
        </w:rPr>
        <w:t>Associate Lead Evaluator (ALE):</w:t>
      </w:r>
      <w:r w:rsidRPr="0051740D">
        <w:t xml:space="preserve"> IEO staff member with the general responsibility to support the LE, including in the preparation of terms of reference, data collection and analysis and the final report. Together with the LE, will help backstop the work of other team members.</w:t>
      </w:r>
    </w:p>
    <w:p w14:paraId="4CE880E2" w14:textId="1D3A6DEF" w:rsidR="000C0ABC" w:rsidRDefault="00E06207" w:rsidP="000C0ABC">
      <w:pPr>
        <w:pStyle w:val="ListParagraph"/>
        <w:numPr>
          <w:ilvl w:val="0"/>
          <w:numId w:val="8"/>
        </w:numPr>
        <w:tabs>
          <w:tab w:val="left" w:pos="9000"/>
        </w:tabs>
        <w:autoSpaceDE w:val="0"/>
        <w:autoSpaceDN w:val="0"/>
        <w:spacing w:after="0" w:line="240" w:lineRule="auto"/>
        <w:jc w:val="both"/>
      </w:pPr>
      <w:r w:rsidRPr="00E27264">
        <w:rPr>
          <w:u w:val="single"/>
        </w:rPr>
        <w:t>Consultants</w:t>
      </w:r>
      <w:r>
        <w:t xml:space="preserve">: </w:t>
      </w:r>
      <w:r w:rsidR="006D29CA" w:rsidRPr="00FB6BDC">
        <w:t>One</w:t>
      </w:r>
      <w:r>
        <w:t xml:space="preserve"> external </w:t>
      </w:r>
      <w:r w:rsidRPr="00AE6F24">
        <w:t>consultant (preferably</w:t>
      </w:r>
      <w:r w:rsidRPr="00680E88">
        <w:t xml:space="preserve"> national</w:t>
      </w:r>
      <w:r>
        <w:t>/</w:t>
      </w:r>
      <w:r w:rsidRPr="00680E88">
        <w:t>regional</w:t>
      </w:r>
      <w:r>
        <w:t xml:space="preserve"> but </w:t>
      </w:r>
      <w:r w:rsidRPr="00680E88">
        <w:t>international</w:t>
      </w:r>
      <w:r>
        <w:t xml:space="preserve"> consultants will also be considered</w:t>
      </w:r>
      <w:r w:rsidRPr="00680E88">
        <w:t xml:space="preserve">, as needed) will be recruited to </w:t>
      </w:r>
      <w:r>
        <w:t xml:space="preserve">collect data and help </w:t>
      </w:r>
      <w:r w:rsidRPr="00680E88">
        <w:t xml:space="preserve">assess the </w:t>
      </w:r>
      <w:proofErr w:type="spellStart"/>
      <w:r>
        <w:t>programme</w:t>
      </w:r>
      <w:proofErr w:type="spellEnd"/>
      <w:r>
        <w:t xml:space="preserve"> and/or specific outcome areas</w:t>
      </w:r>
      <w:r w:rsidRPr="00680E88">
        <w:t>.</w:t>
      </w:r>
      <w:r>
        <w:t xml:space="preserve"> Under the guidance of the LE</w:t>
      </w:r>
      <w:r w:rsidRPr="00680E88">
        <w:t xml:space="preserve">, they will conduct preliminary </w:t>
      </w:r>
      <w:r>
        <w:t xml:space="preserve">research and </w:t>
      </w:r>
      <w:r w:rsidRPr="00680E88">
        <w:t>data collection activ</w:t>
      </w:r>
      <w:r>
        <w:t>ities, prepare outcome analysis</w:t>
      </w:r>
      <w:r w:rsidRPr="00680E88">
        <w:t xml:space="preserve">, and contribute to the preparation of the final </w:t>
      </w:r>
      <w:r>
        <w:t xml:space="preserve">evaluation </w:t>
      </w:r>
      <w:r w:rsidRPr="00680E88">
        <w:t xml:space="preserve">report. </w:t>
      </w:r>
    </w:p>
    <w:p w14:paraId="0EA54030" w14:textId="77777777" w:rsidR="000C0ABC" w:rsidRDefault="00E06207" w:rsidP="000C0ABC">
      <w:pPr>
        <w:pStyle w:val="ListParagraph"/>
        <w:numPr>
          <w:ilvl w:val="0"/>
          <w:numId w:val="8"/>
        </w:numPr>
        <w:tabs>
          <w:tab w:val="left" w:pos="9000"/>
        </w:tabs>
        <w:autoSpaceDE w:val="0"/>
        <w:autoSpaceDN w:val="0"/>
        <w:spacing w:after="0" w:line="240" w:lineRule="auto"/>
        <w:jc w:val="both"/>
      </w:pPr>
      <w:r w:rsidRPr="0011283C">
        <w:rPr>
          <w:u w:val="single"/>
        </w:rPr>
        <w:t>Research Assistant (RA)</w:t>
      </w:r>
      <w:r w:rsidRPr="0011283C">
        <w:rPr>
          <w:i/>
        </w:rPr>
        <w:t>:</w:t>
      </w:r>
      <w:r w:rsidRPr="00E27264">
        <w:t xml:space="preserve"> A research assistant based in the IEO will provide background research and documentation.</w:t>
      </w:r>
    </w:p>
    <w:p w14:paraId="749C1BFE" w14:textId="77777777" w:rsidR="000C0ABC" w:rsidRPr="00E27264" w:rsidRDefault="000C0ABC" w:rsidP="000C0ABC">
      <w:pPr>
        <w:tabs>
          <w:tab w:val="left" w:pos="9000"/>
        </w:tabs>
        <w:autoSpaceDE w:val="0"/>
        <w:autoSpaceDN w:val="0"/>
        <w:spacing w:after="0" w:line="240" w:lineRule="auto"/>
        <w:ind w:left="360"/>
        <w:jc w:val="both"/>
      </w:pPr>
    </w:p>
    <w:p w14:paraId="058911B1" w14:textId="77777777" w:rsidR="000C0ABC" w:rsidRPr="00E27264" w:rsidRDefault="00E06207" w:rsidP="000C0ABC">
      <w:pPr>
        <w:pStyle w:val="ADRTextBulletL2"/>
        <w:numPr>
          <w:ilvl w:val="0"/>
          <w:numId w:val="6"/>
        </w:numPr>
        <w:tabs>
          <w:tab w:val="left" w:pos="9000"/>
        </w:tabs>
        <w:jc w:val="both"/>
        <w:rPr>
          <w:rFonts w:asciiTheme="minorHAnsi" w:eastAsia="Calibri" w:hAnsiTheme="minorHAnsi"/>
          <w:b/>
          <w:szCs w:val="22"/>
        </w:rPr>
      </w:pPr>
      <w:r w:rsidRPr="00E27264">
        <w:rPr>
          <w:rFonts w:asciiTheme="minorHAnsi" w:eastAsia="Calibri" w:hAnsiTheme="minorHAnsi"/>
          <w:b/>
          <w:szCs w:val="22"/>
        </w:rPr>
        <w:t xml:space="preserve">EVALUATION PROCESS </w:t>
      </w:r>
    </w:p>
    <w:p w14:paraId="76785BE9" w14:textId="77777777" w:rsidR="000C0ABC" w:rsidRDefault="00E06207" w:rsidP="000C0ABC">
      <w:pPr>
        <w:tabs>
          <w:tab w:val="left" w:pos="9000"/>
        </w:tabs>
        <w:spacing w:after="0" w:line="240" w:lineRule="auto"/>
        <w:jc w:val="both"/>
      </w:pPr>
      <w:r w:rsidRPr="0005567C">
        <w:t>The ICPE will be conducted according to the approved IEO process</w:t>
      </w:r>
      <w:r>
        <w:rPr>
          <w:rStyle w:val="FootnoteReference"/>
        </w:rPr>
        <w:footnoteReference w:id="31"/>
      </w:r>
      <w:r>
        <w:t>.</w:t>
      </w:r>
      <w:r w:rsidRPr="0005567C">
        <w:t xml:space="preserve"> </w:t>
      </w:r>
      <w:r w:rsidRPr="00E27264">
        <w:t xml:space="preserve">The following represents a summary of </w:t>
      </w:r>
      <w:r w:rsidRPr="0005567C">
        <w:t xml:space="preserve">the five key phases </w:t>
      </w:r>
      <w:r w:rsidRPr="00E27264">
        <w:t>of the process</w:t>
      </w:r>
      <w:r>
        <w:t xml:space="preserve">, which constitute </w:t>
      </w:r>
      <w:r w:rsidRPr="00E27264">
        <w:t xml:space="preserve">the framework </w:t>
      </w:r>
      <w:r>
        <w:t xml:space="preserve">for </w:t>
      </w:r>
      <w:r w:rsidRPr="00E27264">
        <w:t>conducting the evaluation.</w:t>
      </w:r>
    </w:p>
    <w:p w14:paraId="026AE4B9" w14:textId="77777777" w:rsidR="000C0ABC" w:rsidRPr="00E27264" w:rsidRDefault="000C0ABC" w:rsidP="000C0ABC">
      <w:pPr>
        <w:tabs>
          <w:tab w:val="left" w:pos="9000"/>
        </w:tabs>
        <w:spacing w:after="0" w:line="240" w:lineRule="auto"/>
        <w:jc w:val="both"/>
      </w:pPr>
    </w:p>
    <w:p w14:paraId="59D5300C" w14:textId="77777777" w:rsidR="000C0ABC" w:rsidRPr="00932A4D" w:rsidRDefault="00E06207" w:rsidP="000C0ABC">
      <w:pPr>
        <w:pStyle w:val="ADRText"/>
        <w:tabs>
          <w:tab w:val="left" w:pos="9360"/>
        </w:tabs>
        <w:spacing w:after="0"/>
        <w:ind w:left="0"/>
        <w:jc w:val="both"/>
        <w:rPr>
          <w:rFonts w:asciiTheme="minorHAnsi" w:eastAsiaTheme="minorHAnsi" w:hAnsiTheme="minorHAnsi" w:cstheme="minorBidi"/>
          <w:szCs w:val="22"/>
        </w:rPr>
      </w:pPr>
      <w:r w:rsidRPr="00A47CEA">
        <w:rPr>
          <w:rFonts w:asciiTheme="minorHAnsi" w:hAnsiTheme="minorHAnsi" w:cs="Times New Roman"/>
          <w:b/>
          <w:bCs/>
        </w:rPr>
        <w:t xml:space="preserve">Phase 1: Preparatory work. </w:t>
      </w:r>
      <w:r w:rsidRPr="00932A4D">
        <w:rPr>
          <w:rFonts w:asciiTheme="minorHAnsi" w:eastAsiaTheme="minorHAnsi" w:hAnsiTheme="minorHAnsi" w:cstheme="minorBidi"/>
          <w:szCs w:val="22"/>
        </w:rPr>
        <w:t xml:space="preserve">The IEO prepares the TOR and evaluation design and recruits evaluation team members, comprising international and/or national development professionals. The IEO </w:t>
      </w:r>
      <w:r>
        <w:rPr>
          <w:rFonts w:asciiTheme="minorHAnsi" w:eastAsiaTheme="minorHAnsi" w:hAnsiTheme="minorHAnsi" w:cstheme="minorBidi"/>
          <w:szCs w:val="22"/>
        </w:rPr>
        <w:t>collects</w:t>
      </w:r>
      <w:r w:rsidRPr="00932A4D">
        <w:rPr>
          <w:rFonts w:asciiTheme="minorHAnsi" w:eastAsiaTheme="minorHAnsi" w:hAnsiTheme="minorHAnsi" w:cstheme="minorBidi"/>
          <w:szCs w:val="22"/>
        </w:rPr>
        <w:t xml:space="preserve"> data </w:t>
      </w:r>
      <w:r>
        <w:rPr>
          <w:rFonts w:asciiTheme="minorHAnsi" w:eastAsiaTheme="minorHAnsi" w:hAnsiTheme="minorHAnsi" w:cstheme="minorBidi"/>
          <w:szCs w:val="22"/>
        </w:rPr>
        <w:t xml:space="preserve">first </w:t>
      </w:r>
      <w:r w:rsidRPr="00932A4D">
        <w:rPr>
          <w:rFonts w:asciiTheme="minorHAnsi" w:eastAsiaTheme="minorHAnsi" w:hAnsiTheme="minorHAnsi" w:cstheme="minorBidi"/>
          <w:szCs w:val="22"/>
        </w:rPr>
        <w:t xml:space="preserve">internally and then fill data gaps with help from the </w:t>
      </w:r>
      <w:r>
        <w:rPr>
          <w:rFonts w:asciiTheme="minorHAnsi" w:eastAsiaTheme="minorHAnsi" w:hAnsiTheme="minorHAnsi" w:cstheme="minorBidi"/>
          <w:szCs w:val="22"/>
        </w:rPr>
        <w:t>country office</w:t>
      </w:r>
      <w:r w:rsidRPr="00932A4D">
        <w:rPr>
          <w:rFonts w:asciiTheme="minorHAnsi" w:eastAsiaTheme="minorHAnsi" w:hAnsiTheme="minorHAnsi" w:cstheme="minorBidi"/>
          <w:szCs w:val="22"/>
        </w:rPr>
        <w:t xml:space="preserve">, and external resources </w:t>
      </w:r>
      <w:r>
        <w:rPr>
          <w:rFonts w:asciiTheme="minorHAnsi" w:eastAsiaTheme="minorHAnsi" w:hAnsiTheme="minorHAnsi" w:cstheme="minorBidi"/>
          <w:szCs w:val="22"/>
        </w:rPr>
        <w:t>in</w:t>
      </w:r>
      <w:r w:rsidRPr="00932A4D">
        <w:rPr>
          <w:rFonts w:asciiTheme="minorHAnsi" w:eastAsiaTheme="minorHAnsi" w:hAnsiTheme="minorHAnsi" w:cstheme="minorBidi"/>
          <w:szCs w:val="22"/>
        </w:rPr>
        <w:t xml:space="preserve"> various </w:t>
      </w:r>
      <w:r>
        <w:rPr>
          <w:rFonts w:asciiTheme="minorHAnsi" w:eastAsiaTheme="minorHAnsi" w:hAnsiTheme="minorHAnsi" w:cstheme="minorBidi"/>
          <w:szCs w:val="22"/>
        </w:rPr>
        <w:t>ways</w:t>
      </w:r>
      <w:r w:rsidRPr="00932A4D">
        <w:rPr>
          <w:rFonts w:asciiTheme="minorHAnsi" w:eastAsiaTheme="minorHAnsi" w:hAnsiTheme="minorHAnsi" w:cstheme="minorBidi"/>
          <w:szCs w:val="22"/>
        </w:rPr>
        <w:t>.</w:t>
      </w:r>
      <w:r>
        <w:rPr>
          <w:rFonts w:asciiTheme="minorHAnsi" w:eastAsiaTheme="minorHAnsi" w:hAnsiTheme="minorHAnsi" w:cstheme="minorBidi"/>
          <w:szCs w:val="22"/>
        </w:rPr>
        <w:t xml:space="preserve"> T</w:t>
      </w:r>
      <w:r w:rsidRPr="00932A4D">
        <w:rPr>
          <w:rFonts w:asciiTheme="minorHAnsi" w:eastAsiaTheme="minorHAnsi" w:hAnsiTheme="minorHAnsi" w:cstheme="minorBidi"/>
          <w:szCs w:val="22"/>
        </w:rPr>
        <w:t>he evaluation questions are finalized in an evaluation matrix containing detailed questions and means of data collection and verification to guide data collection based on an overall evaluation matrix for the ICPE.</w:t>
      </w:r>
    </w:p>
    <w:p w14:paraId="62A127F5" w14:textId="77777777" w:rsidR="000C0ABC" w:rsidRPr="00A47CEA" w:rsidRDefault="000C0ABC" w:rsidP="000C0ABC">
      <w:pPr>
        <w:pStyle w:val="ADRText"/>
        <w:spacing w:after="0"/>
        <w:ind w:left="0"/>
        <w:jc w:val="both"/>
        <w:rPr>
          <w:rFonts w:asciiTheme="minorHAnsi" w:hAnsiTheme="minorHAnsi" w:cs="Times New Roman"/>
        </w:rPr>
      </w:pPr>
    </w:p>
    <w:p w14:paraId="5B86CC8D" w14:textId="77777777" w:rsidR="000C0ABC" w:rsidRPr="00932A4D" w:rsidRDefault="00E06207" w:rsidP="000C0ABC">
      <w:pPr>
        <w:pStyle w:val="ADRText"/>
        <w:tabs>
          <w:tab w:val="left" w:pos="9360"/>
        </w:tabs>
        <w:spacing w:after="0"/>
        <w:ind w:left="0"/>
        <w:jc w:val="both"/>
        <w:rPr>
          <w:rFonts w:asciiTheme="minorHAnsi" w:eastAsiaTheme="minorHAnsi" w:hAnsiTheme="minorHAnsi" w:cstheme="minorBidi"/>
          <w:szCs w:val="22"/>
        </w:rPr>
      </w:pPr>
      <w:r w:rsidRPr="00A47CEA">
        <w:rPr>
          <w:rFonts w:asciiTheme="minorHAnsi" w:hAnsiTheme="minorHAnsi" w:cs="Times New Roman"/>
          <w:b/>
          <w:bCs/>
        </w:rPr>
        <w:lastRenderedPageBreak/>
        <w:t xml:space="preserve">Phase 2: Desk analysis. </w:t>
      </w:r>
      <w:r w:rsidRPr="00932A4D">
        <w:rPr>
          <w:rFonts w:asciiTheme="minorHAnsi" w:eastAsiaTheme="minorHAnsi" w:hAnsiTheme="minorHAnsi" w:cstheme="minorBidi"/>
          <w:szCs w:val="22"/>
        </w:rPr>
        <w:t>Further in-depth data collection is conducted by administering a “survey” and</w:t>
      </w:r>
      <w:r>
        <w:rPr>
          <w:rFonts w:asciiTheme="minorHAnsi" w:eastAsiaTheme="minorHAnsi" w:hAnsiTheme="minorHAnsi" w:cstheme="minorBidi"/>
          <w:szCs w:val="22"/>
        </w:rPr>
        <w:t>/or</w:t>
      </w:r>
      <w:r w:rsidRPr="00932A4D">
        <w:rPr>
          <w:rFonts w:asciiTheme="minorHAnsi" w:eastAsiaTheme="minorHAnsi" w:hAnsiTheme="minorHAnsi" w:cstheme="minorBidi"/>
          <w:szCs w:val="22"/>
        </w:rPr>
        <w:t xml:space="preserve"> interviews (via phone, Skype etc.) with </w:t>
      </w:r>
      <w:r>
        <w:rPr>
          <w:rFonts w:asciiTheme="minorHAnsi" w:eastAsiaTheme="minorHAnsi" w:hAnsiTheme="minorHAnsi" w:cstheme="minorBidi"/>
          <w:szCs w:val="22"/>
        </w:rPr>
        <w:t>country office</w:t>
      </w:r>
      <w:r w:rsidRPr="00932A4D">
        <w:rPr>
          <w:rFonts w:asciiTheme="minorHAnsi" w:eastAsiaTheme="minorHAnsi" w:hAnsiTheme="minorHAnsi" w:cstheme="minorBidi"/>
          <w:szCs w:val="22"/>
        </w:rPr>
        <w:t xml:space="preserve"> staff. Evaluation team members conduct desk reviews of reference material, prepare a summary of context and other evaluative evidence, and identify the outcome theory of change, specific evaluation questions, gaps and issues that will require validation during the field-based phase of data collection.</w:t>
      </w:r>
    </w:p>
    <w:p w14:paraId="5D62224D" w14:textId="77777777" w:rsidR="000C0ABC" w:rsidRPr="00A47CEA" w:rsidRDefault="000C0ABC" w:rsidP="000C0ABC">
      <w:pPr>
        <w:pStyle w:val="ADRText"/>
        <w:spacing w:after="0"/>
        <w:ind w:left="0"/>
        <w:jc w:val="both"/>
        <w:rPr>
          <w:rFonts w:asciiTheme="minorHAnsi" w:hAnsiTheme="minorHAnsi" w:cs="Times New Roman"/>
        </w:rPr>
      </w:pPr>
    </w:p>
    <w:p w14:paraId="18CABF17" w14:textId="77777777" w:rsidR="000C0ABC" w:rsidRPr="008D6618" w:rsidRDefault="00E06207" w:rsidP="000C0ABC">
      <w:pPr>
        <w:pStyle w:val="ADRText"/>
        <w:tabs>
          <w:tab w:val="left" w:pos="9360"/>
        </w:tabs>
        <w:spacing w:after="0"/>
        <w:ind w:left="0"/>
        <w:jc w:val="both"/>
        <w:rPr>
          <w:rFonts w:asciiTheme="minorHAnsi" w:eastAsiaTheme="minorHAnsi" w:hAnsiTheme="minorHAnsi" w:cstheme="minorBidi"/>
          <w:szCs w:val="22"/>
        </w:rPr>
      </w:pPr>
      <w:r w:rsidRPr="00A47CEA">
        <w:rPr>
          <w:rFonts w:asciiTheme="minorHAnsi" w:hAnsiTheme="minorHAnsi" w:cs="Times New Roman"/>
          <w:b/>
          <w:bCs/>
        </w:rPr>
        <w:t xml:space="preserve">Phase 3: Field data collection. </w:t>
      </w:r>
      <w:r w:rsidRPr="00932A4D">
        <w:rPr>
          <w:rFonts w:asciiTheme="minorHAnsi" w:eastAsiaTheme="minorHAnsi" w:hAnsiTheme="minorHAnsi" w:cstheme="minorBidi"/>
          <w:szCs w:val="22"/>
        </w:rPr>
        <w:t xml:space="preserve">During this phase, the evaluation team undertakes a mission to the country to engage in data collection activities. The estimated duration of the mission </w:t>
      </w:r>
      <w:r>
        <w:rPr>
          <w:rFonts w:asciiTheme="minorHAnsi" w:eastAsiaTheme="minorHAnsi" w:hAnsiTheme="minorHAnsi" w:cstheme="minorBidi"/>
          <w:szCs w:val="22"/>
        </w:rPr>
        <w:t>will be 2-</w:t>
      </w:r>
      <w:r w:rsidRPr="00932A4D">
        <w:rPr>
          <w:rFonts w:asciiTheme="minorHAnsi" w:eastAsiaTheme="minorHAnsi" w:hAnsiTheme="minorHAnsi" w:cstheme="minorBidi"/>
          <w:szCs w:val="22"/>
        </w:rPr>
        <w:t xml:space="preserve">3 weeks. </w:t>
      </w:r>
      <w:r w:rsidRPr="00A47CEA">
        <w:rPr>
          <w:rFonts w:asciiTheme="minorHAnsi" w:hAnsiTheme="minorHAnsi" w:cs="Times New Roman"/>
        </w:rPr>
        <w:t>Data will be collected according to the approach outlined in Section 6</w:t>
      </w:r>
      <w:r>
        <w:rPr>
          <w:rFonts w:asciiTheme="minorHAnsi" w:hAnsiTheme="minorHAnsi" w:cs="Times New Roman"/>
        </w:rPr>
        <w:t>.</w:t>
      </w:r>
      <w:r w:rsidRPr="00A47CEA">
        <w:rPr>
          <w:rFonts w:asciiTheme="minorHAnsi" w:hAnsiTheme="minorHAnsi" w:cs="Times New Roman"/>
        </w:rPr>
        <w:t xml:space="preserve"> The evaluation team will liaise with CO staff and manageme</w:t>
      </w:r>
      <w:r>
        <w:rPr>
          <w:rFonts w:asciiTheme="minorHAnsi" w:hAnsiTheme="minorHAnsi" w:cs="Times New Roman"/>
        </w:rPr>
        <w:t xml:space="preserve">nt, key government stakeholders, </w:t>
      </w:r>
      <w:r w:rsidRPr="00A47CEA">
        <w:rPr>
          <w:rFonts w:asciiTheme="minorHAnsi" w:hAnsiTheme="minorHAnsi" w:cs="Times New Roman"/>
        </w:rPr>
        <w:t xml:space="preserve">other partners, and beneficiaries. </w:t>
      </w:r>
      <w:r w:rsidRPr="00932A4D">
        <w:rPr>
          <w:rFonts w:asciiTheme="minorHAnsi" w:eastAsiaTheme="minorHAnsi" w:hAnsiTheme="minorHAnsi" w:cstheme="minorBidi"/>
          <w:szCs w:val="22"/>
        </w:rPr>
        <w:t xml:space="preserve">At the end of the mission, the evaluation team holds a debrief presentation of the key preliminary findings at the </w:t>
      </w:r>
      <w:r>
        <w:rPr>
          <w:rFonts w:asciiTheme="minorHAnsi" w:eastAsiaTheme="minorHAnsi" w:hAnsiTheme="minorHAnsi" w:cstheme="minorBidi"/>
          <w:szCs w:val="22"/>
        </w:rPr>
        <w:t>country office</w:t>
      </w:r>
      <w:r w:rsidRPr="00932A4D">
        <w:rPr>
          <w:rFonts w:asciiTheme="minorHAnsi" w:eastAsiaTheme="minorHAnsi" w:hAnsiTheme="minorHAnsi" w:cstheme="minorBidi"/>
          <w:szCs w:val="22"/>
        </w:rPr>
        <w:t>.</w:t>
      </w:r>
    </w:p>
    <w:p w14:paraId="35118409" w14:textId="77777777" w:rsidR="000C0ABC" w:rsidRPr="00A47CEA" w:rsidRDefault="000C0ABC" w:rsidP="000C0ABC">
      <w:pPr>
        <w:pStyle w:val="ADRText"/>
        <w:spacing w:after="0"/>
        <w:ind w:left="0"/>
        <w:jc w:val="both"/>
        <w:rPr>
          <w:rFonts w:asciiTheme="minorHAnsi" w:hAnsiTheme="minorHAnsi" w:cs="Times New Roman"/>
          <w:b/>
          <w:bCs/>
        </w:rPr>
      </w:pPr>
    </w:p>
    <w:p w14:paraId="7C032D53" w14:textId="77777777" w:rsidR="000C0ABC" w:rsidRDefault="00E06207" w:rsidP="000C0ABC">
      <w:pPr>
        <w:pStyle w:val="ADRText"/>
        <w:spacing w:after="0"/>
        <w:ind w:left="0"/>
        <w:jc w:val="both"/>
        <w:rPr>
          <w:rFonts w:asciiTheme="minorHAnsi" w:hAnsiTheme="minorHAnsi" w:cs="Times New Roman"/>
        </w:rPr>
      </w:pPr>
      <w:r w:rsidRPr="00A47CEA">
        <w:rPr>
          <w:rFonts w:asciiTheme="minorHAnsi" w:hAnsiTheme="minorHAnsi" w:cs="Times New Roman"/>
          <w:b/>
          <w:bCs/>
        </w:rPr>
        <w:t xml:space="preserve">Phase 4: Analysis, report writing, quality review and debrief. </w:t>
      </w:r>
      <w:r w:rsidRPr="00A47CEA">
        <w:rPr>
          <w:rFonts w:asciiTheme="minorHAnsi" w:hAnsiTheme="minorHAnsi" w:cs="Times New Roman"/>
        </w:rPr>
        <w:t xml:space="preserve">Based on the analysis of data collected and triangulated, the LE will undertake a synthesis process to write the ICPE report. </w:t>
      </w:r>
      <w:r w:rsidRPr="00C0272F">
        <w:rPr>
          <w:rFonts w:asciiTheme="minorHAnsi" w:hAnsiTheme="minorHAnsi" w:cs="Times New Roman"/>
        </w:rPr>
        <w:t xml:space="preserve">The first draft (“zero draft”) of the ICPE report will be subject to peer review by IEO and the </w:t>
      </w:r>
      <w:r>
        <w:rPr>
          <w:rFonts w:asciiTheme="minorHAnsi" w:hAnsiTheme="minorHAnsi" w:cs="Times New Roman"/>
        </w:rPr>
        <w:t xml:space="preserve">IEO’s </w:t>
      </w:r>
      <w:r w:rsidRPr="00C0272F">
        <w:rPr>
          <w:rFonts w:asciiTheme="minorHAnsi" w:hAnsiTheme="minorHAnsi" w:cs="Times New Roman"/>
        </w:rPr>
        <w:t xml:space="preserve">Evaluation Advisory Panel </w:t>
      </w:r>
      <w:r>
        <w:rPr>
          <w:rFonts w:asciiTheme="minorHAnsi" w:hAnsiTheme="minorHAnsi" w:cs="Times New Roman"/>
        </w:rPr>
        <w:t>(</w:t>
      </w:r>
      <w:r w:rsidRPr="00C0272F">
        <w:rPr>
          <w:rFonts w:asciiTheme="minorHAnsi" w:hAnsiTheme="minorHAnsi" w:cs="Times New Roman"/>
        </w:rPr>
        <w:t xml:space="preserve">EAP). Once the first draft is cleared, it will be circulated to the country office and the UNDP Regional Bureau for factual corrections. The second draft, which </w:t>
      </w:r>
      <w:proofErr w:type="gramStart"/>
      <w:r w:rsidRPr="00C0272F">
        <w:rPr>
          <w:rFonts w:asciiTheme="minorHAnsi" w:hAnsiTheme="minorHAnsi" w:cs="Times New Roman"/>
        </w:rPr>
        <w:t>takes into account</w:t>
      </w:r>
      <w:proofErr w:type="gramEnd"/>
      <w:r w:rsidRPr="00C0272F">
        <w:rPr>
          <w:rFonts w:asciiTheme="minorHAnsi" w:hAnsiTheme="minorHAnsi" w:cs="Times New Roman"/>
        </w:rPr>
        <w:t xml:space="preserve"> any factual corrections, will be shared with national stakeholders for further comments. Any necessary additional corrections will be </w:t>
      </w:r>
      <w:proofErr w:type="gramStart"/>
      <w:r w:rsidRPr="00C0272F">
        <w:rPr>
          <w:rFonts w:asciiTheme="minorHAnsi" w:hAnsiTheme="minorHAnsi" w:cs="Times New Roman"/>
        </w:rPr>
        <w:t>made</w:t>
      </w:r>
      <w:proofErr w:type="gramEnd"/>
      <w:r w:rsidRPr="00C0272F">
        <w:rPr>
          <w:rFonts w:asciiTheme="minorHAnsi" w:hAnsiTheme="minorHAnsi" w:cs="Times New Roman"/>
        </w:rPr>
        <w:t xml:space="preserve"> and the UNDP country office will prepare the management response to the ICPE, under the overall oversight of the </w:t>
      </w:r>
      <w:r>
        <w:rPr>
          <w:rFonts w:asciiTheme="minorHAnsi" w:hAnsiTheme="minorHAnsi" w:cs="Times New Roman"/>
        </w:rPr>
        <w:t>R</w:t>
      </w:r>
      <w:r w:rsidRPr="00C0272F">
        <w:rPr>
          <w:rFonts w:asciiTheme="minorHAnsi" w:hAnsiTheme="minorHAnsi" w:cs="Times New Roman"/>
        </w:rPr>
        <w:t xml:space="preserve">egional </w:t>
      </w:r>
      <w:r>
        <w:rPr>
          <w:rFonts w:asciiTheme="minorHAnsi" w:hAnsiTheme="minorHAnsi" w:cs="Times New Roman"/>
        </w:rPr>
        <w:t>B</w:t>
      </w:r>
      <w:r w:rsidRPr="00C0272F">
        <w:rPr>
          <w:rFonts w:asciiTheme="minorHAnsi" w:hAnsiTheme="minorHAnsi" w:cs="Times New Roman"/>
        </w:rPr>
        <w:t xml:space="preserve">ureau. The report will then be shared at a final debriefing via video conference where the results of the evaluation are presented to key national stakeholders. Ways forward will be discussed with a view to creating greater ownership by national stakeholders in taking forward the recommendations and strengthening national accountability of UNDP. </w:t>
      </w:r>
      <w:proofErr w:type="gramStart"/>
      <w:r w:rsidRPr="00C0272F">
        <w:rPr>
          <w:rFonts w:asciiTheme="minorHAnsi" w:hAnsiTheme="minorHAnsi" w:cs="Times New Roman"/>
        </w:rPr>
        <w:t>Taking into account</w:t>
      </w:r>
      <w:proofErr w:type="gramEnd"/>
      <w:r w:rsidRPr="00C0272F">
        <w:rPr>
          <w:rFonts w:asciiTheme="minorHAnsi" w:hAnsiTheme="minorHAnsi" w:cs="Times New Roman"/>
        </w:rPr>
        <w:t xml:space="preserve"> the discussion at the stakeholder event, the final evaluation report will be published.</w:t>
      </w:r>
    </w:p>
    <w:p w14:paraId="20EEC41D" w14:textId="77777777" w:rsidR="000C0ABC" w:rsidRDefault="000C0ABC" w:rsidP="000C0ABC">
      <w:pPr>
        <w:pStyle w:val="ADRText"/>
        <w:spacing w:after="0"/>
        <w:ind w:left="0"/>
        <w:jc w:val="both"/>
        <w:rPr>
          <w:rFonts w:asciiTheme="minorHAnsi" w:hAnsiTheme="minorHAnsi" w:cs="Times New Roman"/>
        </w:rPr>
      </w:pPr>
    </w:p>
    <w:p w14:paraId="02E642DD" w14:textId="02AF6559" w:rsidR="000C0ABC" w:rsidRDefault="00E06207" w:rsidP="000C0ABC">
      <w:pPr>
        <w:pStyle w:val="ADRText"/>
        <w:spacing w:after="0"/>
        <w:ind w:left="0"/>
        <w:jc w:val="both"/>
        <w:rPr>
          <w:rFonts w:asciiTheme="minorHAnsi" w:hAnsiTheme="minorHAnsi" w:cs="Times New Roman"/>
        </w:rPr>
      </w:pPr>
      <w:r w:rsidRPr="00A47CEA">
        <w:rPr>
          <w:rFonts w:asciiTheme="minorHAnsi" w:hAnsiTheme="minorHAnsi" w:cs="Times New Roman"/>
          <w:b/>
          <w:bCs/>
        </w:rPr>
        <w:t>Phase 5: Publication and dissemination.</w:t>
      </w:r>
      <w:r w:rsidRPr="00A47CEA">
        <w:rPr>
          <w:rFonts w:asciiTheme="minorHAnsi" w:hAnsiTheme="minorHAnsi" w:cs="Times New Roman"/>
        </w:rPr>
        <w:t xml:space="preserve"> The ICPE report and </w:t>
      </w:r>
      <w:proofErr w:type="gramStart"/>
      <w:r w:rsidRPr="00A47CEA">
        <w:rPr>
          <w:rFonts w:asciiTheme="minorHAnsi" w:hAnsiTheme="minorHAnsi" w:cs="Times New Roman"/>
        </w:rPr>
        <w:t>brief summary</w:t>
      </w:r>
      <w:proofErr w:type="gramEnd"/>
      <w:r w:rsidRPr="00A47CEA">
        <w:rPr>
          <w:rFonts w:asciiTheme="minorHAnsi" w:hAnsiTheme="minorHAnsi" w:cs="Times New Roman"/>
        </w:rPr>
        <w:t xml:space="preserve"> will be widely distributed in hard and electronic versions. The evaluation report will be made available to the UNDP Executive Board </w:t>
      </w:r>
      <w:r>
        <w:rPr>
          <w:rFonts w:asciiTheme="minorHAnsi" w:hAnsiTheme="minorHAnsi" w:cs="Times New Roman"/>
        </w:rPr>
        <w:t>at</w:t>
      </w:r>
      <w:r w:rsidRPr="00A47CEA">
        <w:rPr>
          <w:rFonts w:asciiTheme="minorHAnsi" w:hAnsiTheme="minorHAnsi" w:cs="Times New Roman"/>
        </w:rPr>
        <w:t xml:space="preserve"> the time of </w:t>
      </w:r>
      <w:r>
        <w:rPr>
          <w:rFonts w:asciiTheme="minorHAnsi" w:hAnsiTheme="minorHAnsi" w:cs="Times New Roman"/>
        </w:rPr>
        <w:t>its approval of</w:t>
      </w:r>
      <w:r w:rsidRPr="00A47CEA">
        <w:rPr>
          <w:rFonts w:asciiTheme="minorHAnsi" w:hAnsiTheme="minorHAnsi" w:cs="Times New Roman"/>
        </w:rPr>
        <w:t xml:space="preserve"> a new Country Programme Document. It will be distributed by the IEO within UNDP as well as to the evaluation units of other international organizations, evaluation societies/networks and research institutions in the region. The </w:t>
      </w:r>
      <w:r w:rsidR="00A87EB6">
        <w:rPr>
          <w:rFonts w:asciiTheme="minorHAnsi" w:hAnsiTheme="minorHAnsi" w:cs="Times New Roman"/>
        </w:rPr>
        <w:t xml:space="preserve">Malaysia </w:t>
      </w:r>
      <w:r w:rsidRPr="00A47CEA">
        <w:rPr>
          <w:rFonts w:asciiTheme="minorHAnsi" w:hAnsiTheme="minorHAnsi" w:cs="Times New Roman"/>
        </w:rPr>
        <w:t xml:space="preserve">country office and the Government of </w:t>
      </w:r>
      <w:r w:rsidR="00A87EB6">
        <w:rPr>
          <w:rFonts w:asciiTheme="minorHAnsi" w:hAnsiTheme="minorHAnsi" w:cs="Times New Roman"/>
        </w:rPr>
        <w:t>Malaysia</w:t>
      </w:r>
      <w:r w:rsidRPr="00A47CEA">
        <w:rPr>
          <w:rFonts w:asciiTheme="minorHAnsi" w:hAnsiTheme="minorHAnsi" w:cs="Times New Roman"/>
        </w:rPr>
        <w:t xml:space="preserve"> will disseminate the report to stakeholders in the country. The report and the management response will be published on the UNDP website</w:t>
      </w:r>
      <w:r>
        <w:rPr>
          <w:rStyle w:val="FootnoteReference"/>
          <w:rFonts w:asciiTheme="minorHAnsi" w:hAnsiTheme="minorHAnsi" w:cs="Times New Roman"/>
        </w:rPr>
        <w:footnoteReference w:id="32"/>
      </w:r>
      <w:r w:rsidRPr="00A47CEA">
        <w:rPr>
          <w:rFonts w:asciiTheme="minorHAnsi" w:hAnsiTheme="minorHAnsi" w:cs="Times New Roman"/>
        </w:rPr>
        <w:t xml:space="preserve"> as well as in the Evaluation Resource Centre. The regional bureau</w:t>
      </w:r>
      <w:r w:rsidR="00157A79">
        <w:rPr>
          <w:rFonts w:asciiTheme="minorHAnsi" w:hAnsiTheme="minorHAnsi" w:cs="Times New Roman"/>
        </w:rPr>
        <w:t xml:space="preserve"> </w:t>
      </w:r>
      <w:r w:rsidRPr="00A47CEA">
        <w:rPr>
          <w:rFonts w:asciiTheme="minorHAnsi" w:hAnsiTheme="minorHAnsi" w:cs="Times New Roman"/>
        </w:rPr>
        <w:t>will be responsible for monitoring and overseeing the implementation of follow-up actions in the Evaluation Resource Centre.</w:t>
      </w:r>
      <w:r>
        <w:rPr>
          <w:rStyle w:val="FootnoteReference"/>
          <w:rFonts w:asciiTheme="minorHAnsi" w:hAnsiTheme="minorHAnsi" w:cs="Times New Roman"/>
        </w:rPr>
        <w:footnoteReference w:id="33"/>
      </w:r>
    </w:p>
    <w:p w14:paraId="569FBFD9" w14:textId="77777777" w:rsidR="000C0ABC" w:rsidRDefault="000C0ABC" w:rsidP="000C0ABC">
      <w:pPr>
        <w:pStyle w:val="ADRText"/>
        <w:spacing w:after="0"/>
        <w:ind w:left="0"/>
        <w:jc w:val="both"/>
        <w:rPr>
          <w:rFonts w:asciiTheme="minorHAnsi" w:hAnsiTheme="minorHAnsi" w:cs="Times New Roman"/>
        </w:rPr>
      </w:pPr>
    </w:p>
    <w:p w14:paraId="2A7BD25E" w14:textId="152CFE6B" w:rsidR="000C0ABC" w:rsidRPr="00FB6BDC" w:rsidRDefault="00E06207" w:rsidP="00FB6BDC">
      <w:pPr>
        <w:pStyle w:val="ListParagraph"/>
        <w:numPr>
          <w:ilvl w:val="0"/>
          <w:numId w:val="6"/>
        </w:numPr>
        <w:tabs>
          <w:tab w:val="left" w:pos="9000"/>
        </w:tabs>
        <w:spacing w:after="0" w:line="240" w:lineRule="auto"/>
        <w:jc w:val="both"/>
        <w:rPr>
          <w:b/>
        </w:rPr>
      </w:pPr>
      <w:r w:rsidRPr="00FB6BDC">
        <w:rPr>
          <w:b/>
        </w:rPr>
        <w:t>TIMEFRAME FOR THE ICPE PROCESS</w:t>
      </w:r>
    </w:p>
    <w:p w14:paraId="6BD91960" w14:textId="6A40CB05" w:rsidR="00FB6BDC" w:rsidRDefault="00FB6BDC" w:rsidP="000C0ABC">
      <w:pPr>
        <w:tabs>
          <w:tab w:val="left" w:pos="9000"/>
        </w:tabs>
        <w:spacing w:after="0" w:line="240" w:lineRule="auto"/>
        <w:jc w:val="both"/>
        <w:rPr>
          <w:rFonts w:eastAsia="Calibri"/>
        </w:rPr>
      </w:pPr>
    </w:p>
    <w:p w14:paraId="52B975BA" w14:textId="2FE64487" w:rsidR="007E5DFC" w:rsidRDefault="007E5DFC" w:rsidP="000C0ABC">
      <w:pPr>
        <w:tabs>
          <w:tab w:val="left" w:pos="9000"/>
        </w:tabs>
        <w:spacing w:after="0" w:line="240" w:lineRule="auto"/>
        <w:jc w:val="both"/>
        <w:rPr>
          <w:rFonts w:eastAsia="Calibri"/>
        </w:rPr>
      </w:pPr>
    </w:p>
    <w:p w14:paraId="2FDFAE5C" w14:textId="3330C58E" w:rsidR="007E5DFC" w:rsidRDefault="007E5DFC" w:rsidP="000C0ABC">
      <w:pPr>
        <w:tabs>
          <w:tab w:val="left" w:pos="9000"/>
        </w:tabs>
        <w:spacing w:after="0" w:line="240" w:lineRule="auto"/>
        <w:jc w:val="both"/>
        <w:rPr>
          <w:rFonts w:eastAsia="Calibri"/>
        </w:rPr>
      </w:pPr>
    </w:p>
    <w:p w14:paraId="7117B306" w14:textId="353BD03C" w:rsidR="007E5DFC" w:rsidRDefault="007E5DFC" w:rsidP="000C0ABC">
      <w:pPr>
        <w:tabs>
          <w:tab w:val="left" w:pos="9000"/>
        </w:tabs>
        <w:spacing w:after="0" w:line="240" w:lineRule="auto"/>
        <w:jc w:val="both"/>
        <w:rPr>
          <w:rFonts w:eastAsia="Calibri"/>
        </w:rPr>
      </w:pPr>
    </w:p>
    <w:p w14:paraId="52B06CBB" w14:textId="55482117" w:rsidR="007E5DFC" w:rsidRDefault="007E5DFC" w:rsidP="000C0ABC">
      <w:pPr>
        <w:tabs>
          <w:tab w:val="left" w:pos="9000"/>
        </w:tabs>
        <w:spacing w:after="0" w:line="240" w:lineRule="auto"/>
        <w:jc w:val="both"/>
        <w:rPr>
          <w:rFonts w:eastAsia="Calibri"/>
        </w:rPr>
      </w:pPr>
    </w:p>
    <w:p w14:paraId="4B2A636B" w14:textId="77777777" w:rsidR="007E5DFC" w:rsidRDefault="007E5DFC" w:rsidP="000C0ABC">
      <w:pPr>
        <w:tabs>
          <w:tab w:val="left" w:pos="9000"/>
        </w:tabs>
        <w:spacing w:after="0" w:line="240" w:lineRule="auto"/>
        <w:jc w:val="both"/>
        <w:rPr>
          <w:rFonts w:eastAsia="Calibri"/>
        </w:rPr>
      </w:pPr>
      <w:bookmarkStart w:id="9" w:name="_GoBack"/>
      <w:bookmarkEnd w:id="9"/>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430"/>
        <w:gridCol w:w="3028"/>
      </w:tblGrid>
      <w:tr w:rsidR="00BE6001" w14:paraId="384D2BE2" w14:textId="77777777" w:rsidTr="00051042">
        <w:trPr>
          <w:trHeight w:val="390"/>
        </w:trPr>
        <w:tc>
          <w:tcPr>
            <w:tcW w:w="9688" w:type="dxa"/>
            <w:gridSpan w:val="3"/>
            <w:shd w:val="clear" w:color="auto" w:fill="000000" w:themeFill="text1"/>
            <w:vAlign w:val="center"/>
          </w:tcPr>
          <w:p w14:paraId="67796CBB" w14:textId="069C0C63" w:rsidR="000C0ABC" w:rsidRPr="00E27264" w:rsidRDefault="00E06207" w:rsidP="00051042">
            <w:pPr>
              <w:tabs>
                <w:tab w:val="left" w:pos="9000"/>
              </w:tabs>
              <w:spacing w:after="0" w:line="240" w:lineRule="auto"/>
              <w:jc w:val="both"/>
              <w:rPr>
                <w:rFonts w:eastAsia="Calibri"/>
                <w:b/>
              </w:rPr>
            </w:pPr>
            <w:r w:rsidRPr="00E27264">
              <w:rPr>
                <w:rFonts w:eastAsia="Calibri"/>
                <w:b/>
              </w:rPr>
              <w:lastRenderedPageBreak/>
              <w:t xml:space="preserve">Table 3: Timeframe for the </w:t>
            </w:r>
            <w:r>
              <w:rPr>
                <w:rFonts w:eastAsia="Calibri"/>
                <w:b/>
              </w:rPr>
              <w:t>ICPE</w:t>
            </w:r>
            <w:r w:rsidRPr="00E27264">
              <w:rPr>
                <w:rFonts w:eastAsia="Calibri"/>
                <w:b/>
              </w:rPr>
              <w:t xml:space="preserve"> process</w:t>
            </w:r>
            <w:r w:rsidR="000A01E6">
              <w:rPr>
                <w:rStyle w:val="FootnoteReference"/>
                <w:rFonts w:eastAsia="Calibri"/>
                <w:b/>
              </w:rPr>
              <w:footnoteReference w:id="34"/>
            </w:r>
            <w:r>
              <w:rPr>
                <w:rFonts w:eastAsia="Calibri"/>
                <w:b/>
              </w:rPr>
              <w:t xml:space="preserve"> </w:t>
            </w:r>
          </w:p>
        </w:tc>
      </w:tr>
      <w:tr w:rsidR="00BE6001" w14:paraId="1A4985AF" w14:textId="77777777" w:rsidTr="008A1454">
        <w:tc>
          <w:tcPr>
            <w:tcW w:w="4230" w:type="dxa"/>
            <w:shd w:val="clear" w:color="auto" w:fill="A6A6A6" w:themeFill="background1" w:themeFillShade="A6"/>
            <w:vAlign w:val="center"/>
          </w:tcPr>
          <w:p w14:paraId="039950CD" w14:textId="77777777" w:rsidR="000C0ABC" w:rsidRPr="00E27264" w:rsidRDefault="00E06207" w:rsidP="00051042">
            <w:pPr>
              <w:tabs>
                <w:tab w:val="left" w:pos="9000"/>
              </w:tabs>
              <w:spacing w:after="0" w:line="240" w:lineRule="auto"/>
              <w:jc w:val="both"/>
              <w:rPr>
                <w:rFonts w:eastAsia="Calibri"/>
                <w:b/>
              </w:rPr>
            </w:pPr>
            <w:r w:rsidRPr="00E27264">
              <w:rPr>
                <w:rFonts w:eastAsia="Calibri"/>
                <w:b/>
              </w:rPr>
              <w:t>Activity</w:t>
            </w:r>
          </w:p>
        </w:tc>
        <w:tc>
          <w:tcPr>
            <w:tcW w:w="2430" w:type="dxa"/>
            <w:shd w:val="clear" w:color="auto" w:fill="A6A6A6" w:themeFill="background1" w:themeFillShade="A6"/>
            <w:vAlign w:val="center"/>
          </w:tcPr>
          <w:p w14:paraId="2BBD77D4" w14:textId="77777777" w:rsidR="000C0ABC" w:rsidRPr="00E27264" w:rsidRDefault="00E06207" w:rsidP="00051042">
            <w:pPr>
              <w:tabs>
                <w:tab w:val="left" w:pos="9000"/>
              </w:tabs>
              <w:spacing w:after="0" w:line="240" w:lineRule="auto"/>
              <w:jc w:val="both"/>
              <w:rPr>
                <w:rFonts w:eastAsia="Calibri"/>
                <w:b/>
              </w:rPr>
            </w:pPr>
            <w:r w:rsidRPr="00E27264">
              <w:rPr>
                <w:rFonts w:eastAsia="Calibri"/>
                <w:b/>
              </w:rPr>
              <w:t>Responsible party</w:t>
            </w:r>
          </w:p>
        </w:tc>
        <w:tc>
          <w:tcPr>
            <w:tcW w:w="3028" w:type="dxa"/>
            <w:shd w:val="clear" w:color="auto" w:fill="A6A6A6" w:themeFill="background1" w:themeFillShade="A6"/>
            <w:vAlign w:val="center"/>
          </w:tcPr>
          <w:p w14:paraId="1EAAD211" w14:textId="77777777" w:rsidR="000C0ABC" w:rsidRPr="00E27264" w:rsidRDefault="00E06207" w:rsidP="00051042">
            <w:pPr>
              <w:tabs>
                <w:tab w:val="left" w:pos="9000"/>
              </w:tabs>
              <w:spacing w:after="0" w:line="240" w:lineRule="auto"/>
              <w:jc w:val="both"/>
              <w:rPr>
                <w:b/>
              </w:rPr>
            </w:pPr>
            <w:r w:rsidRPr="00E27264">
              <w:rPr>
                <w:rFonts w:eastAsia="Calibri"/>
                <w:b/>
              </w:rPr>
              <w:t>Proposed timeframe</w:t>
            </w:r>
          </w:p>
        </w:tc>
      </w:tr>
      <w:tr w:rsidR="00BE6001" w14:paraId="6636FFCA" w14:textId="77777777" w:rsidTr="00051042">
        <w:tc>
          <w:tcPr>
            <w:tcW w:w="9688" w:type="dxa"/>
            <w:gridSpan w:val="3"/>
            <w:shd w:val="clear" w:color="auto" w:fill="A6A6A6" w:themeFill="background1" w:themeFillShade="A6"/>
          </w:tcPr>
          <w:p w14:paraId="119A4432" w14:textId="77777777" w:rsidR="000C0ABC" w:rsidRPr="00E27264" w:rsidRDefault="00E06207" w:rsidP="00051042">
            <w:pPr>
              <w:tabs>
                <w:tab w:val="left" w:pos="9000"/>
              </w:tabs>
              <w:spacing w:after="0" w:line="240" w:lineRule="auto"/>
              <w:jc w:val="both"/>
              <w:rPr>
                <w:b/>
              </w:rPr>
            </w:pPr>
            <w:r w:rsidRPr="00E27264">
              <w:rPr>
                <w:b/>
              </w:rPr>
              <w:t>Phase 1: Preparat</w:t>
            </w:r>
            <w:r>
              <w:rPr>
                <w:b/>
              </w:rPr>
              <w:t>ory work</w:t>
            </w:r>
          </w:p>
        </w:tc>
      </w:tr>
      <w:tr w:rsidR="001C59F2" w14:paraId="224F8962" w14:textId="77777777" w:rsidTr="008A1454">
        <w:tc>
          <w:tcPr>
            <w:tcW w:w="4230" w:type="dxa"/>
            <w:shd w:val="clear" w:color="auto" w:fill="F2F2F2" w:themeFill="background1" w:themeFillShade="F2"/>
          </w:tcPr>
          <w:p w14:paraId="2A70A30F" w14:textId="2F190B2D" w:rsidR="001C59F2" w:rsidRDefault="001C59F2" w:rsidP="00051042">
            <w:pPr>
              <w:tabs>
                <w:tab w:val="left" w:pos="9000"/>
              </w:tabs>
              <w:spacing w:after="0" w:line="240" w:lineRule="auto"/>
              <w:jc w:val="both"/>
            </w:pPr>
            <w:r>
              <w:t xml:space="preserve">Preliminary desk review and draft </w:t>
            </w:r>
            <w:proofErr w:type="spellStart"/>
            <w:r>
              <w:t>ToR</w:t>
            </w:r>
            <w:proofErr w:type="spellEnd"/>
            <w:r>
              <w:t xml:space="preserve"> </w:t>
            </w:r>
          </w:p>
        </w:tc>
        <w:tc>
          <w:tcPr>
            <w:tcW w:w="2430" w:type="dxa"/>
            <w:shd w:val="clear" w:color="auto" w:fill="F2F2F2" w:themeFill="background1" w:themeFillShade="F2"/>
          </w:tcPr>
          <w:p w14:paraId="3E2C2DBF" w14:textId="2623D2FD" w:rsidR="001C59F2" w:rsidRDefault="008A1454" w:rsidP="00051042">
            <w:pPr>
              <w:tabs>
                <w:tab w:val="left" w:pos="9000"/>
              </w:tabs>
              <w:spacing w:after="0" w:line="240" w:lineRule="auto"/>
              <w:jc w:val="both"/>
            </w:pPr>
            <w:r>
              <w:t>LE/RA</w:t>
            </w:r>
          </w:p>
        </w:tc>
        <w:tc>
          <w:tcPr>
            <w:tcW w:w="3028" w:type="dxa"/>
            <w:shd w:val="clear" w:color="auto" w:fill="F2F2F2" w:themeFill="background1" w:themeFillShade="F2"/>
            <w:vAlign w:val="center"/>
          </w:tcPr>
          <w:p w14:paraId="3FE3D42D" w14:textId="3B7CEC16" w:rsidR="001C59F2" w:rsidRPr="001C59F2" w:rsidRDefault="001C59F2" w:rsidP="00051042">
            <w:pPr>
              <w:tabs>
                <w:tab w:val="left" w:pos="9000"/>
              </w:tabs>
              <w:spacing w:after="0" w:line="240" w:lineRule="auto"/>
              <w:jc w:val="both"/>
            </w:pPr>
            <w:r>
              <w:t>Feb - March 2019</w:t>
            </w:r>
          </w:p>
        </w:tc>
      </w:tr>
      <w:tr w:rsidR="00BE6001" w14:paraId="19506172" w14:textId="77777777" w:rsidTr="008A1454">
        <w:tc>
          <w:tcPr>
            <w:tcW w:w="4230" w:type="dxa"/>
            <w:shd w:val="clear" w:color="auto" w:fill="F2F2F2" w:themeFill="background1" w:themeFillShade="F2"/>
          </w:tcPr>
          <w:p w14:paraId="66FFC91D" w14:textId="1AA1F735" w:rsidR="000C0ABC" w:rsidRPr="00E27264" w:rsidRDefault="00E06207" w:rsidP="00051042">
            <w:pPr>
              <w:tabs>
                <w:tab w:val="left" w:pos="9000"/>
              </w:tabs>
              <w:spacing w:after="0" w:line="240" w:lineRule="auto"/>
              <w:jc w:val="both"/>
            </w:pPr>
            <w:r>
              <w:t>TOR</w:t>
            </w:r>
            <w:r w:rsidRPr="00E27264">
              <w:t xml:space="preserve"> approval by the I</w:t>
            </w:r>
            <w:r w:rsidR="001C59F2">
              <w:t>EO</w:t>
            </w:r>
          </w:p>
        </w:tc>
        <w:tc>
          <w:tcPr>
            <w:tcW w:w="2430" w:type="dxa"/>
            <w:shd w:val="clear" w:color="auto" w:fill="F2F2F2" w:themeFill="background1" w:themeFillShade="F2"/>
          </w:tcPr>
          <w:p w14:paraId="7DD34A7A" w14:textId="77777777" w:rsidR="000C0ABC" w:rsidRPr="00E27264" w:rsidRDefault="00E06207" w:rsidP="00051042">
            <w:pPr>
              <w:tabs>
                <w:tab w:val="left" w:pos="9000"/>
              </w:tabs>
              <w:spacing w:after="0" w:line="240" w:lineRule="auto"/>
              <w:jc w:val="both"/>
            </w:pPr>
            <w:r>
              <w:t>LE</w:t>
            </w:r>
          </w:p>
        </w:tc>
        <w:tc>
          <w:tcPr>
            <w:tcW w:w="3028" w:type="dxa"/>
            <w:shd w:val="clear" w:color="auto" w:fill="F2F2F2" w:themeFill="background1" w:themeFillShade="F2"/>
            <w:vAlign w:val="center"/>
          </w:tcPr>
          <w:p w14:paraId="2DDD2E92" w14:textId="4BC546FA" w:rsidR="000C0ABC" w:rsidRPr="001C59F2" w:rsidRDefault="00E06207" w:rsidP="00051042">
            <w:pPr>
              <w:tabs>
                <w:tab w:val="left" w:pos="9000"/>
              </w:tabs>
              <w:spacing w:after="0" w:line="240" w:lineRule="auto"/>
              <w:jc w:val="both"/>
            </w:pPr>
            <w:r w:rsidRPr="001C59F2">
              <w:t xml:space="preserve">April </w:t>
            </w:r>
          </w:p>
        </w:tc>
      </w:tr>
      <w:tr w:rsidR="00BE6001" w14:paraId="779DAF86" w14:textId="77777777" w:rsidTr="008A1454">
        <w:tc>
          <w:tcPr>
            <w:tcW w:w="4230" w:type="dxa"/>
            <w:shd w:val="clear" w:color="auto" w:fill="F2F2F2" w:themeFill="background1" w:themeFillShade="F2"/>
          </w:tcPr>
          <w:p w14:paraId="3BB7140D" w14:textId="77777777" w:rsidR="000C0ABC" w:rsidRPr="00E27264" w:rsidRDefault="00E06207" w:rsidP="00051042">
            <w:pPr>
              <w:tabs>
                <w:tab w:val="left" w:pos="9000"/>
              </w:tabs>
              <w:spacing w:after="0" w:line="240" w:lineRule="auto"/>
              <w:jc w:val="both"/>
            </w:pPr>
            <w:r w:rsidRPr="00E27264">
              <w:t>Selection of other evaluation team members</w:t>
            </w:r>
          </w:p>
        </w:tc>
        <w:tc>
          <w:tcPr>
            <w:tcW w:w="2430" w:type="dxa"/>
            <w:shd w:val="clear" w:color="auto" w:fill="F2F2F2" w:themeFill="background1" w:themeFillShade="F2"/>
          </w:tcPr>
          <w:p w14:paraId="7989150E" w14:textId="48ED6280" w:rsidR="000C0ABC" w:rsidRPr="00E27264" w:rsidRDefault="00E06207" w:rsidP="00051042">
            <w:pPr>
              <w:tabs>
                <w:tab w:val="left" w:pos="9000"/>
              </w:tabs>
              <w:spacing w:after="0" w:line="240" w:lineRule="auto"/>
              <w:jc w:val="both"/>
            </w:pPr>
            <w:r>
              <w:t>LE</w:t>
            </w:r>
            <w:r w:rsidR="008A1454">
              <w:t>/ALE/RA</w:t>
            </w:r>
          </w:p>
        </w:tc>
        <w:tc>
          <w:tcPr>
            <w:tcW w:w="3028" w:type="dxa"/>
            <w:shd w:val="clear" w:color="auto" w:fill="F2F2F2" w:themeFill="background1" w:themeFillShade="F2"/>
            <w:vAlign w:val="center"/>
          </w:tcPr>
          <w:p w14:paraId="1AF9AE3A" w14:textId="2E758E0D" w:rsidR="000C0ABC" w:rsidRPr="001C59F2" w:rsidRDefault="00E06207" w:rsidP="00051042">
            <w:pPr>
              <w:tabs>
                <w:tab w:val="left" w:pos="9000"/>
              </w:tabs>
              <w:spacing w:after="0" w:line="240" w:lineRule="auto"/>
              <w:jc w:val="both"/>
            </w:pPr>
            <w:r w:rsidRPr="001C59F2">
              <w:t xml:space="preserve">May </w:t>
            </w:r>
          </w:p>
        </w:tc>
      </w:tr>
      <w:tr w:rsidR="00BE6001" w14:paraId="43241255" w14:textId="77777777" w:rsidTr="00051042">
        <w:tc>
          <w:tcPr>
            <w:tcW w:w="9688" w:type="dxa"/>
            <w:gridSpan w:val="3"/>
            <w:shd w:val="clear" w:color="auto" w:fill="A6A6A6" w:themeFill="background1" w:themeFillShade="A6"/>
          </w:tcPr>
          <w:p w14:paraId="77639A51" w14:textId="77777777" w:rsidR="000C0ABC" w:rsidRPr="00E27264" w:rsidRDefault="00E06207" w:rsidP="00051042">
            <w:pPr>
              <w:tabs>
                <w:tab w:val="left" w:pos="9000"/>
              </w:tabs>
              <w:spacing w:after="0" w:line="240" w:lineRule="auto"/>
              <w:jc w:val="both"/>
              <w:rPr>
                <w:b/>
              </w:rPr>
            </w:pPr>
            <w:r w:rsidRPr="00E27264">
              <w:rPr>
                <w:b/>
              </w:rPr>
              <w:t xml:space="preserve">Phase 2: </w:t>
            </w:r>
            <w:r>
              <w:rPr>
                <w:b/>
              </w:rPr>
              <w:t>Desk analysis</w:t>
            </w:r>
          </w:p>
        </w:tc>
      </w:tr>
      <w:tr w:rsidR="00BE6001" w14:paraId="71C50A1A" w14:textId="77777777" w:rsidTr="008A1454">
        <w:tc>
          <w:tcPr>
            <w:tcW w:w="4230" w:type="dxa"/>
            <w:shd w:val="clear" w:color="auto" w:fill="F2F2F2" w:themeFill="background1" w:themeFillShade="F2"/>
          </w:tcPr>
          <w:p w14:paraId="59E018ED" w14:textId="0CFC4C93" w:rsidR="000C0ABC" w:rsidRPr="00E27264" w:rsidRDefault="001C59F2" w:rsidP="00051042">
            <w:pPr>
              <w:tabs>
                <w:tab w:val="left" w:pos="9000"/>
              </w:tabs>
              <w:spacing w:after="0" w:line="240" w:lineRule="auto"/>
              <w:jc w:val="both"/>
            </w:pPr>
            <w:r>
              <w:t>Desk review – cont’d</w:t>
            </w:r>
          </w:p>
        </w:tc>
        <w:tc>
          <w:tcPr>
            <w:tcW w:w="2430" w:type="dxa"/>
            <w:shd w:val="clear" w:color="auto" w:fill="F2F2F2" w:themeFill="background1" w:themeFillShade="F2"/>
            <w:vAlign w:val="center"/>
          </w:tcPr>
          <w:p w14:paraId="052911F8" w14:textId="77777777" w:rsidR="000C0ABC" w:rsidRPr="00E27264" w:rsidRDefault="00E06207" w:rsidP="00051042">
            <w:pPr>
              <w:tabs>
                <w:tab w:val="left" w:pos="9000"/>
              </w:tabs>
              <w:spacing w:after="0" w:line="240" w:lineRule="auto"/>
              <w:jc w:val="both"/>
            </w:pPr>
            <w:r>
              <w:t>Evaluation team</w:t>
            </w:r>
          </w:p>
        </w:tc>
        <w:tc>
          <w:tcPr>
            <w:tcW w:w="3028" w:type="dxa"/>
            <w:shd w:val="clear" w:color="auto" w:fill="F2F2F2" w:themeFill="background1" w:themeFillShade="F2"/>
            <w:vAlign w:val="center"/>
          </w:tcPr>
          <w:p w14:paraId="13A310B7" w14:textId="0FF9BD77" w:rsidR="000C0ABC" w:rsidRPr="00E27264" w:rsidRDefault="001C59F2" w:rsidP="00051042">
            <w:pPr>
              <w:tabs>
                <w:tab w:val="left" w:pos="9000"/>
              </w:tabs>
              <w:spacing w:after="0" w:line="240" w:lineRule="auto"/>
              <w:jc w:val="both"/>
            </w:pPr>
            <w:r>
              <w:t xml:space="preserve">Apr - </w:t>
            </w:r>
            <w:r w:rsidR="00E06207">
              <w:t xml:space="preserve">June </w:t>
            </w:r>
          </w:p>
        </w:tc>
      </w:tr>
      <w:tr w:rsidR="00BE6001" w14:paraId="2753CE64" w14:textId="77777777" w:rsidTr="008A1454">
        <w:tc>
          <w:tcPr>
            <w:tcW w:w="4230" w:type="dxa"/>
            <w:shd w:val="clear" w:color="auto" w:fill="A6A6A6" w:themeFill="background1" w:themeFillShade="A6"/>
          </w:tcPr>
          <w:p w14:paraId="2F218E8B" w14:textId="77777777" w:rsidR="000C0ABC" w:rsidRPr="009757E5" w:rsidRDefault="00E06207" w:rsidP="00051042">
            <w:pPr>
              <w:tabs>
                <w:tab w:val="left" w:pos="9000"/>
              </w:tabs>
              <w:spacing w:after="0" w:line="240" w:lineRule="auto"/>
              <w:jc w:val="both"/>
              <w:rPr>
                <w:b/>
              </w:rPr>
            </w:pPr>
            <w:r>
              <w:rPr>
                <w:b/>
              </w:rPr>
              <w:t>Phase 3: Data Collection</w:t>
            </w:r>
          </w:p>
        </w:tc>
        <w:tc>
          <w:tcPr>
            <w:tcW w:w="2430" w:type="dxa"/>
            <w:shd w:val="clear" w:color="auto" w:fill="A6A6A6" w:themeFill="background1" w:themeFillShade="A6"/>
            <w:vAlign w:val="center"/>
          </w:tcPr>
          <w:p w14:paraId="35663128" w14:textId="77777777" w:rsidR="000C0ABC" w:rsidRPr="009757E5" w:rsidRDefault="000C0ABC" w:rsidP="00051042">
            <w:pPr>
              <w:tabs>
                <w:tab w:val="left" w:pos="9000"/>
              </w:tabs>
              <w:spacing w:after="0" w:line="240" w:lineRule="auto"/>
              <w:jc w:val="both"/>
              <w:rPr>
                <w:b/>
              </w:rPr>
            </w:pPr>
          </w:p>
        </w:tc>
        <w:tc>
          <w:tcPr>
            <w:tcW w:w="3028" w:type="dxa"/>
            <w:shd w:val="clear" w:color="auto" w:fill="A6A6A6" w:themeFill="background1" w:themeFillShade="A6"/>
            <w:vAlign w:val="center"/>
          </w:tcPr>
          <w:p w14:paraId="2C788A06" w14:textId="77777777" w:rsidR="000C0ABC" w:rsidRPr="009757E5" w:rsidRDefault="000C0ABC" w:rsidP="00051042">
            <w:pPr>
              <w:tabs>
                <w:tab w:val="left" w:pos="9000"/>
              </w:tabs>
              <w:spacing w:after="0" w:line="240" w:lineRule="auto"/>
              <w:jc w:val="both"/>
              <w:rPr>
                <w:b/>
              </w:rPr>
            </w:pPr>
          </w:p>
        </w:tc>
      </w:tr>
      <w:tr w:rsidR="00BE6001" w14:paraId="6E436D1A" w14:textId="77777777" w:rsidTr="008A1454">
        <w:tc>
          <w:tcPr>
            <w:tcW w:w="4230" w:type="dxa"/>
            <w:shd w:val="clear" w:color="auto" w:fill="F2F2F2" w:themeFill="background1" w:themeFillShade="F2"/>
          </w:tcPr>
          <w:p w14:paraId="55218D5F" w14:textId="77777777" w:rsidR="000C0ABC" w:rsidRPr="00E27264" w:rsidRDefault="00E06207" w:rsidP="00051042">
            <w:pPr>
              <w:tabs>
                <w:tab w:val="left" w:pos="9000"/>
              </w:tabs>
              <w:spacing w:after="0" w:line="240" w:lineRule="auto"/>
              <w:jc w:val="both"/>
            </w:pPr>
            <w:r w:rsidRPr="00E27264">
              <w:t>Data collection</w:t>
            </w:r>
            <w:r>
              <w:t xml:space="preserve"> and preliminary findings</w:t>
            </w:r>
          </w:p>
        </w:tc>
        <w:tc>
          <w:tcPr>
            <w:tcW w:w="2430" w:type="dxa"/>
            <w:shd w:val="clear" w:color="auto" w:fill="F2F2F2" w:themeFill="background1" w:themeFillShade="F2"/>
            <w:vAlign w:val="center"/>
          </w:tcPr>
          <w:p w14:paraId="03395473" w14:textId="77777777" w:rsidR="000C0ABC" w:rsidRPr="00E27264" w:rsidRDefault="00E06207" w:rsidP="00051042">
            <w:pPr>
              <w:tabs>
                <w:tab w:val="left" w:pos="9000"/>
              </w:tabs>
              <w:spacing w:after="0" w:line="240" w:lineRule="auto"/>
              <w:jc w:val="both"/>
            </w:pPr>
            <w:r>
              <w:t>Evaluation team</w:t>
            </w:r>
          </w:p>
        </w:tc>
        <w:tc>
          <w:tcPr>
            <w:tcW w:w="3028" w:type="dxa"/>
            <w:shd w:val="clear" w:color="auto" w:fill="F2F2F2" w:themeFill="background1" w:themeFillShade="F2"/>
            <w:vAlign w:val="center"/>
          </w:tcPr>
          <w:p w14:paraId="49697893" w14:textId="72559997" w:rsidR="000C0ABC" w:rsidRPr="007E5DFC" w:rsidRDefault="00FB185E" w:rsidP="00051042">
            <w:pPr>
              <w:tabs>
                <w:tab w:val="left" w:pos="9000"/>
              </w:tabs>
              <w:spacing w:after="0" w:line="240" w:lineRule="auto"/>
              <w:jc w:val="both"/>
            </w:pPr>
            <w:r w:rsidRPr="007E5DFC">
              <w:t>15</w:t>
            </w:r>
            <w:r w:rsidR="00A77EB4" w:rsidRPr="007E5DFC">
              <w:t>-2</w:t>
            </w:r>
            <w:r w:rsidR="007E5DFC">
              <w:t>7</w:t>
            </w:r>
            <w:r w:rsidR="00DE4144" w:rsidRPr="007E5DFC">
              <w:t xml:space="preserve"> Jul</w:t>
            </w:r>
            <w:r w:rsidR="00E06207" w:rsidRPr="007E5DFC">
              <w:t xml:space="preserve">y </w:t>
            </w:r>
          </w:p>
        </w:tc>
      </w:tr>
      <w:tr w:rsidR="00BE6001" w14:paraId="1F76FAA4" w14:textId="77777777" w:rsidTr="00051042">
        <w:tc>
          <w:tcPr>
            <w:tcW w:w="9688" w:type="dxa"/>
            <w:gridSpan w:val="3"/>
            <w:shd w:val="clear" w:color="auto" w:fill="A6A6A6" w:themeFill="background1" w:themeFillShade="A6"/>
          </w:tcPr>
          <w:p w14:paraId="2BBD7D27" w14:textId="77777777" w:rsidR="000C0ABC" w:rsidRPr="00E27264" w:rsidRDefault="00E06207" w:rsidP="00051042">
            <w:pPr>
              <w:tabs>
                <w:tab w:val="left" w:pos="9000"/>
              </w:tabs>
              <w:spacing w:after="0" w:line="240" w:lineRule="auto"/>
              <w:jc w:val="both"/>
              <w:rPr>
                <w:b/>
              </w:rPr>
            </w:pPr>
            <w:r w:rsidRPr="00E27264">
              <w:rPr>
                <w:b/>
              </w:rPr>
              <w:t xml:space="preserve">Phase </w:t>
            </w:r>
            <w:r>
              <w:rPr>
                <w:b/>
              </w:rPr>
              <w:t>4</w:t>
            </w:r>
            <w:r w:rsidRPr="00E27264">
              <w:rPr>
                <w:b/>
              </w:rPr>
              <w:t xml:space="preserve">: </w:t>
            </w:r>
            <w:r>
              <w:rPr>
                <w:b/>
              </w:rPr>
              <w:t>Analysis,</w:t>
            </w:r>
            <w:r w:rsidRPr="00E27264">
              <w:rPr>
                <w:b/>
              </w:rPr>
              <w:t xml:space="preserve"> report writing</w:t>
            </w:r>
            <w:r>
              <w:rPr>
                <w:b/>
              </w:rPr>
              <w:t>, quality review and debrief</w:t>
            </w:r>
          </w:p>
        </w:tc>
      </w:tr>
      <w:tr w:rsidR="00BE6001" w14:paraId="1E43B9ED" w14:textId="77777777" w:rsidTr="008A1454">
        <w:tc>
          <w:tcPr>
            <w:tcW w:w="4230" w:type="dxa"/>
            <w:shd w:val="clear" w:color="auto" w:fill="F2F2F2" w:themeFill="background1" w:themeFillShade="F2"/>
          </w:tcPr>
          <w:p w14:paraId="327A2545" w14:textId="77777777" w:rsidR="000C0ABC" w:rsidRPr="00E27264" w:rsidRDefault="00E06207" w:rsidP="00051042">
            <w:pPr>
              <w:tabs>
                <w:tab w:val="left" w:pos="9000"/>
              </w:tabs>
              <w:spacing w:after="0" w:line="240" w:lineRule="auto"/>
              <w:jc w:val="both"/>
            </w:pPr>
            <w:r>
              <w:t xml:space="preserve">Analysis and </w:t>
            </w:r>
            <w:r w:rsidRPr="00E27264">
              <w:t>Synthesis</w:t>
            </w:r>
          </w:p>
        </w:tc>
        <w:tc>
          <w:tcPr>
            <w:tcW w:w="2430" w:type="dxa"/>
            <w:shd w:val="clear" w:color="auto" w:fill="F2F2F2" w:themeFill="background1" w:themeFillShade="F2"/>
          </w:tcPr>
          <w:p w14:paraId="12F48AAE" w14:textId="77777777" w:rsidR="000C0ABC" w:rsidRPr="00E27264" w:rsidRDefault="00E06207" w:rsidP="00051042">
            <w:pPr>
              <w:tabs>
                <w:tab w:val="left" w:pos="9000"/>
              </w:tabs>
              <w:spacing w:after="0" w:line="240" w:lineRule="auto"/>
              <w:jc w:val="both"/>
            </w:pPr>
            <w:r>
              <w:t>Evaluation team</w:t>
            </w:r>
          </w:p>
        </w:tc>
        <w:tc>
          <w:tcPr>
            <w:tcW w:w="3028" w:type="dxa"/>
            <w:shd w:val="clear" w:color="auto" w:fill="F2F2F2" w:themeFill="background1" w:themeFillShade="F2"/>
            <w:vAlign w:val="center"/>
          </w:tcPr>
          <w:p w14:paraId="4A78FB0B" w14:textId="6640A5D7" w:rsidR="000C0ABC" w:rsidRPr="00E27264" w:rsidRDefault="00E06207" w:rsidP="00051042">
            <w:pPr>
              <w:tabs>
                <w:tab w:val="left" w:pos="9000"/>
              </w:tabs>
              <w:spacing w:after="0" w:line="240" w:lineRule="auto"/>
              <w:jc w:val="both"/>
            </w:pPr>
            <w:r>
              <w:t xml:space="preserve">Aug – </w:t>
            </w:r>
            <w:r w:rsidR="00BA238C">
              <w:t>Sept</w:t>
            </w:r>
            <w:r>
              <w:t xml:space="preserve"> </w:t>
            </w:r>
          </w:p>
        </w:tc>
      </w:tr>
      <w:tr w:rsidR="00BE6001" w14:paraId="3BAAA805" w14:textId="77777777" w:rsidTr="008A1454">
        <w:tc>
          <w:tcPr>
            <w:tcW w:w="4230" w:type="dxa"/>
            <w:shd w:val="clear" w:color="auto" w:fill="F2F2F2" w:themeFill="background1" w:themeFillShade="F2"/>
          </w:tcPr>
          <w:p w14:paraId="27408647" w14:textId="0B19A151" w:rsidR="000C0ABC" w:rsidRPr="00E27264" w:rsidRDefault="00E06207" w:rsidP="00051042">
            <w:pPr>
              <w:tabs>
                <w:tab w:val="left" w:pos="9000"/>
              </w:tabs>
              <w:spacing w:after="0" w:line="240" w:lineRule="auto"/>
              <w:jc w:val="both"/>
            </w:pPr>
            <w:r w:rsidRPr="00E27264">
              <w:t xml:space="preserve">Zero draft </w:t>
            </w:r>
            <w:r w:rsidR="008A1454">
              <w:t>report</w:t>
            </w:r>
            <w:r w:rsidRPr="00E27264">
              <w:t xml:space="preserve"> for clearance by IEO</w:t>
            </w:r>
            <w:r>
              <w:t xml:space="preserve"> and EAP</w:t>
            </w:r>
          </w:p>
        </w:tc>
        <w:tc>
          <w:tcPr>
            <w:tcW w:w="2430" w:type="dxa"/>
            <w:shd w:val="clear" w:color="auto" w:fill="F2F2F2" w:themeFill="background1" w:themeFillShade="F2"/>
          </w:tcPr>
          <w:p w14:paraId="716C08B6" w14:textId="77777777" w:rsidR="000C0ABC" w:rsidRPr="00E27264" w:rsidRDefault="00E06207" w:rsidP="00051042">
            <w:pPr>
              <w:tabs>
                <w:tab w:val="left" w:pos="9000"/>
              </w:tabs>
              <w:spacing w:after="0" w:line="240" w:lineRule="auto"/>
              <w:jc w:val="both"/>
            </w:pPr>
            <w:r>
              <w:t>LE</w:t>
            </w:r>
          </w:p>
        </w:tc>
        <w:tc>
          <w:tcPr>
            <w:tcW w:w="3028" w:type="dxa"/>
            <w:shd w:val="clear" w:color="auto" w:fill="F2F2F2" w:themeFill="background1" w:themeFillShade="F2"/>
            <w:vAlign w:val="center"/>
          </w:tcPr>
          <w:p w14:paraId="589733CA" w14:textId="43D60139" w:rsidR="000C0ABC" w:rsidRPr="00E27264" w:rsidRDefault="008A1454" w:rsidP="00051042">
            <w:pPr>
              <w:tabs>
                <w:tab w:val="left" w:pos="9000"/>
              </w:tabs>
              <w:spacing w:after="0" w:line="240" w:lineRule="auto"/>
              <w:jc w:val="both"/>
            </w:pPr>
            <w:r>
              <w:t>October</w:t>
            </w:r>
            <w:r w:rsidR="008F61AD">
              <w:t xml:space="preserve"> </w:t>
            </w:r>
          </w:p>
        </w:tc>
      </w:tr>
      <w:tr w:rsidR="00BE6001" w14:paraId="5A3B2316" w14:textId="77777777" w:rsidTr="008A1454">
        <w:tc>
          <w:tcPr>
            <w:tcW w:w="4230" w:type="dxa"/>
            <w:shd w:val="clear" w:color="auto" w:fill="F2F2F2" w:themeFill="background1" w:themeFillShade="F2"/>
          </w:tcPr>
          <w:p w14:paraId="1CFCA747" w14:textId="624A63F7" w:rsidR="000C0ABC" w:rsidRPr="00E27264" w:rsidRDefault="00E06207" w:rsidP="00051042">
            <w:pPr>
              <w:tabs>
                <w:tab w:val="left" w:pos="9000"/>
              </w:tabs>
              <w:spacing w:after="0" w:line="240" w:lineRule="auto"/>
              <w:jc w:val="both"/>
            </w:pPr>
            <w:r w:rsidRPr="00C0272F">
              <w:t xml:space="preserve">First draft </w:t>
            </w:r>
            <w:r w:rsidR="008A1454">
              <w:t>report</w:t>
            </w:r>
            <w:r w:rsidRPr="00C0272F">
              <w:t xml:space="preserve"> for Country Office/</w:t>
            </w:r>
            <w:r w:rsidR="00157A79">
              <w:t>Regional Hub/</w:t>
            </w:r>
            <w:r w:rsidRPr="00C0272F">
              <w:t>Regional Bureau review</w:t>
            </w:r>
            <w:r w:rsidR="008A1454">
              <w:t xml:space="preserve"> and comments</w:t>
            </w:r>
          </w:p>
        </w:tc>
        <w:tc>
          <w:tcPr>
            <w:tcW w:w="2430" w:type="dxa"/>
            <w:shd w:val="clear" w:color="auto" w:fill="F2F2F2" w:themeFill="background1" w:themeFillShade="F2"/>
          </w:tcPr>
          <w:p w14:paraId="23AA1201" w14:textId="6B1BD9FF" w:rsidR="000C0ABC" w:rsidRPr="00E27264" w:rsidRDefault="008A1454" w:rsidP="00051042">
            <w:pPr>
              <w:tabs>
                <w:tab w:val="left" w:pos="9000"/>
              </w:tabs>
              <w:spacing w:after="0" w:line="240" w:lineRule="auto"/>
              <w:jc w:val="both"/>
            </w:pPr>
            <w:r>
              <w:t>LE/</w:t>
            </w:r>
            <w:r w:rsidR="00E06207">
              <w:t>CO/Regional Bureau</w:t>
            </w:r>
          </w:p>
        </w:tc>
        <w:tc>
          <w:tcPr>
            <w:tcW w:w="3028" w:type="dxa"/>
            <w:shd w:val="clear" w:color="auto" w:fill="F2F2F2" w:themeFill="background1" w:themeFillShade="F2"/>
            <w:vAlign w:val="center"/>
          </w:tcPr>
          <w:p w14:paraId="4E818794" w14:textId="7A8853BE" w:rsidR="000C0ABC" w:rsidRPr="00E27264" w:rsidRDefault="008F61AD" w:rsidP="00051042">
            <w:pPr>
              <w:tabs>
                <w:tab w:val="left" w:pos="9000"/>
              </w:tabs>
              <w:spacing w:after="0" w:line="240" w:lineRule="auto"/>
              <w:jc w:val="both"/>
            </w:pPr>
            <w:r>
              <w:t xml:space="preserve">October </w:t>
            </w:r>
            <w:r w:rsidR="008A1454">
              <w:t>(end)</w:t>
            </w:r>
          </w:p>
        </w:tc>
      </w:tr>
      <w:tr w:rsidR="00BE6001" w14:paraId="6A23F16B" w14:textId="77777777" w:rsidTr="008A1454">
        <w:tc>
          <w:tcPr>
            <w:tcW w:w="4230" w:type="dxa"/>
            <w:shd w:val="clear" w:color="auto" w:fill="F2F2F2" w:themeFill="background1" w:themeFillShade="F2"/>
          </w:tcPr>
          <w:p w14:paraId="29BDF988" w14:textId="46D4755A" w:rsidR="000C0ABC" w:rsidRPr="00E27264" w:rsidRDefault="00E06207" w:rsidP="00051042">
            <w:pPr>
              <w:tabs>
                <w:tab w:val="left" w:pos="9000"/>
              </w:tabs>
              <w:spacing w:after="0" w:line="240" w:lineRule="auto"/>
              <w:jc w:val="both"/>
            </w:pPr>
            <w:r w:rsidRPr="00C0272F">
              <w:t xml:space="preserve">Second draft </w:t>
            </w:r>
            <w:r w:rsidR="008A1454">
              <w:t xml:space="preserve">report </w:t>
            </w:r>
            <w:r w:rsidRPr="00C0272F">
              <w:t>shared with Government</w:t>
            </w:r>
          </w:p>
        </w:tc>
        <w:tc>
          <w:tcPr>
            <w:tcW w:w="2430" w:type="dxa"/>
            <w:shd w:val="clear" w:color="auto" w:fill="F2F2F2" w:themeFill="background1" w:themeFillShade="F2"/>
            <w:vAlign w:val="center"/>
          </w:tcPr>
          <w:p w14:paraId="781A9784" w14:textId="7E2A561D" w:rsidR="000C0ABC" w:rsidRDefault="008A1454" w:rsidP="00051042">
            <w:pPr>
              <w:tabs>
                <w:tab w:val="left" w:pos="9000"/>
              </w:tabs>
              <w:spacing w:after="0" w:line="240" w:lineRule="auto"/>
              <w:jc w:val="both"/>
            </w:pPr>
            <w:r>
              <w:t>LE/</w:t>
            </w:r>
            <w:r w:rsidR="00E06207">
              <w:t>CO</w:t>
            </w:r>
          </w:p>
        </w:tc>
        <w:tc>
          <w:tcPr>
            <w:tcW w:w="3028" w:type="dxa"/>
            <w:shd w:val="clear" w:color="auto" w:fill="F2F2F2" w:themeFill="background1" w:themeFillShade="F2"/>
            <w:vAlign w:val="center"/>
          </w:tcPr>
          <w:p w14:paraId="2F339D3D" w14:textId="1C5F3404" w:rsidR="000C0ABC" w:rsidRDefault="00BA238C" w:rsidP="00051042">
            <w:pPr>
              <w:tabs>
                <w:tab w:val="left" w:pos="9000"/>
              </w:tabs>
              <w:spacing w:after="0" w:line="240" w:lineRule="auto"/>
              <w:jc w:val="both"/>
            </w:pPr>
            <w:r>
              <w:t>Dec</w:t>
            </w:r>
            <w:r w:rsidR="008F61AD">
              <w:t xml:space="preserve">ember </w:t>
            </w:r>
          </w:p>
        </w:tc>
      </w:tr>
      <w:tr w:rsidR="00BE6001" w14:paraId="319F9B60" w14:textId="77777777" w:rsidTr="008A1454">
        <w:tc>
          <w:tcPr>
            <w:tcW w:w="4230" w:type="dxa"/>
            <w:shd w:val="clear" w:color="auto" w:fill="F2F2F2" w:themeFill="background1" w:themeFillShade="F2"/>
          </w:tcPr>
          <w:p w14:paraId="7FF181EA" w14:textId="77777777" w:rsidR="000C0ABC" w:rsidRPr="00E27264" w:rsidRDefault="00E06207" w:rsidP="00051042">
            <w:pPr>
              <w:tabs>
                <w:tab w:val="left" w:pos="9000"/>
              </w:tabs>
              <w:spacing w:after="0" w:line="240" w:lineRule="auto"/>
              <w:jc w:val="both"/>
            </w:pPr>
            <w:r w:rsidRPr="00E27264">
              <w:t>Draft management response</w:t>
            </w:r>
          </w:p>
        </w:tc>
        <w:tc>
          <w:tcPr>
            <w:tcW w:w="2430" w:type="dxa"/>
            <w:shd w:val="clear" w:color="auto" w:fill="F2F2F2" w:themeFill="background1" w:themeFillShade="F2"/>
            <w:vAlign w:val="center"/>
          </w:tcPr>
          <w:p w14:paraId="6F11EB5C" w14:textId="77777777" w:rsidR="000C0ABC" w:rsidRPr="00E27264" w:rsidRDefault="00E06207" w:rsidP="00051042">
            <w:pPr>
              <w:tabs>
                <w:tab w:val="left" w:pos="9000"/>
              </w:tabs>
              <w:spacing w:after="0" w:line="240" w:lineRule="auto"/>
              <w:jc w:val="both"/>
            </w:pPr>
            <w:r>
              <w:t>CO/Regional Bureau</w:t>
            </w:r>
          </w:p>
        </w:tc>
        <w:tc>
          <w:tcPr>
            <w:tcW w:w="3028" w:type="dxa"/>
            <w:shd w:val="clear" w:color="auto" w:fill="F2F2F2" w:themeFill="background1" w:themeFillShade="F2"/>
            <w:vAlign w:val="center"/>
          </w:tcPr>
          <w:p w14:paraId="1D7F2448" w14:textId="1CE22C79" w:rsidR="000C0ABC" w:rsidRPr="00E27264" w:rsidRDefault="00BA238C" w:rsidP="00051042">
            <w:pPr>
              <w:tabs>
                <w:tab w:val="left" w:pos="9000"/>
              </w:tabs>
              <w:spacing w:after="0" w:line="240" w:lineRule="auto"/>
              <w:jc w:val="both"/>
            </w:pPr>
            <w:r>
              <w:t>Dec</w:t>
            </w:r>
            <w:r w:rsidR="00E06207">
              <w:t xml:space="preserve">ember </w:t>
            </w:r>
          </w:p>
        </w:tc>
      </w:tr>
      <w:tr w:rsidR="00BE6001" w14:paraId="6A1FC013" w14:textId="77777777" w:rsidTr="008A1454">
        <w:trPr>
          <w:trHeight w:val="161"/>
        </w:trPr>
        <w:tc>
          <w:tcPr>
            <w:tcW w:w="4230" w:type="dxa"/>
            <w:shd w:val="clear" w:color="auto" w:fill="F2F2F2" w:themeFill="background1" w:themeFillShade="F2"/>
          </w:tcPr>
          <w:p w14:paraId="531874B6" w14:textId="77777777" w:rsidR="000C0ABC" w:rsidRPr="00E27264" w:rsidRDefault="00E06207" w:rsidP="00051042">
            <w:pPr>
              <w:tabs>
                <w:tab w:val="left" w:pos="9000"/>
              </w:tabs>
              <w:spacing w:after="0" w:line="240" w:lineRule="auto"/>
              <w:jc w:val="both"/>
            </w:pPr>
            <w:r>
              <w:t>Final debriefing with national stakeholders</w:t>
            </w:r>
          </w:p>
        </w:tc>
        <w:tc>
          <w:tcPr>
            <w:tcW w:w="2430" w:type="dxa"/>
            <w:shd w:val="clear" w:color="auto" w:fill="F2F2F2" w:themeFill="background1" w:themeFillShade="F2"/>
            <w:vAlign w:val="center"/>
          </w:tcPr>
          <w:p w14:paraId="6C4244DA" w14:textId="77777777" w:rsidR="000C0ABC" w:rsidRPr="00E27264" w:rsidRDefault="00E06207" w:rsidP="00051042">
            <w:pPr>
              <w:tabs>
                <w:tab w:val="left" w:pos="9000"/>
              </w:tabs>
              <w:spacing w:after="0" w:line="240" w:lineRule="auto"/>
              <w:jc w:val="both"/>
            </w:pPr>
            <w:r>
              <w:t>CO/LE</w:t>
            </w:r>
          </w:p>
        </w:tc>
        <w:tc>
          <w:tcPr>
            <w:tcW w:w="3028" w:type="dxa"/>
            <w:shd w:val="clear" w:color="auto" w:fill="F2F2F2" w:themeFill="background1" w:themeFillShade="F2"/>
            <w:vAlign w:val="center"/>
          </w:tcPr>
          <w:p w14:paraId="45585E20" w14:textId="16B44118" w:rsidR="000C0ABC" w:rsidRPr="00E27264" w:rsidRDefault="001C59F2" w:rsidP="00051042">
            <w:pPr>
              <w:tabs>
                <w:tab w:val="left" w:pos="9000"/>
              </w:tabs>
              <w:spacing w:after="0" w:line="240" w:lineRule="auto"/>
              <w:jc w:val="both"/>
            </w:pPr>
            <w:r>
              <w:t>Dec</w:t>
            </w:r>
            <w:r w:rsidR="00E06207">
              <w:t xml:space="preserve">ember </w:t>
            </w:r>
          </w:p>
        </w:tc>
      </w:tr>
      <w:tr w:rsidR="00BE6001" w14:paraId="48FC48ED" w14:textId="77777777" w:rsidTr="00051042">
        <w:tc>
          <w:tcPr>
            <w:tcW w:w="9688" w:type="dxa"/>
            <w:gridSpan w:val="3"/>
            <w:shd w:val="clear" w:color="auto" w:fill="A6A6A6" w:themeFill="background1" w:themeFillShade="A6"/>
          </w:tcPr>
          <w:p w14:paraId="5F18798F" w14:textId="77777777" w:rsidR="000C0ABC" w:rsidRPr="00E27264" w:rsidRDefault="00E06207" w:rsidP="00051042">
            <w:pPr>
              <w:tabs>
                <w:tab w:val="left" w:pos="9000"/>
              </w:tabs>
              <w:spacing w:after="0" w:line="240" w:lineRule="auto"/>
              <w:jc w:val="both"/>
              <w:rPr>
                <w:b/>
              </w:rPr>
            </w:pPr>
            <w:r w:rsidRPr="00E27264">
              <w:rPr>
                <w:b/>
              </w:rPr>
              <w:t xml:space="preserve">Phase </w:t>
            </w:r>
            <w:r>
              <w:rPr>
                <w:b/>
              </w:rPr>
              <w:t>5</w:t>
            </w:r>
            <w:r w:rsidRPr="00E27264">
              <w:rPr>
                <w:b/>
              </w:rPr>
              <w:t>: Production and Follow-up</w:t>
            </w:r>
          </w:p>
        </w:tc>
      </w:tr>
      <w:tr w:rsidR="00BE6001" w14:paraId="52BF7F8A" w14:textId="77777777" w:rsidTr="008A1454">
        <w:tc>
          <w:tcPr>
            <w:tcW w:w="4230" w:type="dxa"/>
            <w:shd w:val="clear" w:color="auto" w:fill="F2F2F2" w:themeFill="background1" w:themeFillShade="F2"/>
          </w:tcPr>
          <w:p w14:paraId="11868E1B" w14:textId="70FDE17A" w:rsidR="000C0ABC" w:rsidRPr="00E27264" w:rsidRDefault="00E06207" w:rsidP="00051042">
            <w:pPr>
              <w:tabs>
                <w:tab w:val="left" w:pos="9000"/>
              </w:tabs>
              <w:spacing w:after="0" w:line="240" w:lineRule="auto"/>
              <w:jc w:val="both"/>
            </w:pPr>
            <w:r w:rsidRPr="00E27264">
              <w:t xml:space="preserve">Editing </w:t>
            </w:r>
            <w:r w:rsidR="008A1454">
              <w:t>and publication</w:t>
            </w:r>
          </w:p>
        </w:tc>
        <w:tc>
          <w:tcPr>
            <w:tcW w:w="2430" w:type="dxa"/>
            <w:shd w:val="clear" w:color="auto" w:fill="F2F2F2" w:themeFill="background1" w:themeFillShade="F2"/>
            <w:vAlign w:val="center"/>
          </w:tcPr>
          <w:p w14:paraId="72066BC3" w14:textId="0DF0B07E" w:rsidR="000C0ABC" w:rsidRPr="00E27264" w:rsidRDefault="008A1454" w:rsidP="00051042">
            <w:pPr>
              <w:tabs>
                <w:tab w:val="left" w:pos="9000"/>
              </w:tabs>
              <w:spacing w:after="0" w:line="240" w:lineRule="auto"/>
              <w:jc w:val="both"/>
            </w:pPr>
            <w:r>
              <w:t>LE/IEO Communications</w:t>
            </w:r>
          </w:p>
        </w:tc>
        <w:tc>
          <w:tcPr>
            <w:tcW w:w="3028" w:type="dxa"/>
            <w:shd w:val="clear" w:color="auto" w:fill="F2F2F2" w:themeFill="background1" w:themeFillShade="F2"/>
            <w:vAlign w:val="center"/>
          </w:tcPr>
          <w:p w14:paraId="7B60FC64" w14:textId="3BCEFCDD" w:rsidR="000C0ABC" w:rsidRPr="00E27264" w:rsidRDefault="00A77EB4" w:rsidP="00377DD5">
            <w:pPr>
              <w:tabs>
                <w:tab w:val="left" w:pos="9000"/>
              </w:tabs>
              <w:spacing w:after="0" w:line="240" w:lineRule="auto"/>
              <w:jc w:val="both"/>
            </w:pPr>
            <w:r>
              <w:t>Jan</w:t>
            </w:r>
            <w:r w:rsidR="008A1454">
              <w:t xml:space="preserve"> – </w:t>
            </w:r>
            <w:r>
              <w:t>March</w:t>
            </w:r>
            <w:r w:rsidR="008A1454">
              <w:t xml:space="preserve"> 2020</w:t>
            </w:r>
            <w:r w:rsidR="00E06207">
              <w:t xml:space="preserve"> </w:t>
            </w:r>
          </w:p>
        </w:tc>
      </w:tr>
      <w:tr w:rsidR="00BE6001" w14:paraId="627E5723" w14:textId="77777777" w:rsidTr="008A1454">
        <w:tc>
          <w:tcPr>
            <w:tcW w:w="4230" w:type="dxa"/>
            <w:shd w:val="clear" w:color="auto" w:fill="F2F2F2" w:themeFill="background1" w:themeFillShade="F2"/>
          </w:tcPr>
          <w:p w14:paraId="0C12B583" w14:textId="77777777" w:rsidR="000C0ABC" w:rsidRPr="00E27264" w:rsidRDefault="00E06207" w:rsidP="00051042">
            <w:pPr>
              <w:tabs>
                <w:tab w:val="left" w:pos="9000"/>
              </w:tabs>
              <w:spacing w:after="0" w:line="240" w:lineRule="auto"/>
              <w:jc w:val="both"/>
            </w:pPr>
            <w:r w:rsidRPr="00E27264">
              <w:t xml:space="preserve">Dissemination of the final report </w:t>
            </w:r>
          </w:p>
        </w:tc>
        <w:tc>
          <w:tcPr>
            <w:tcW w:w="2430" w:type="dxa"/>
            <w:shd w:val="clear" w:color="auto" w:fill="F2F2F2" w:themeFill="background1" w:themeFillShade="F2"/>
            <w:vAlign w:val="center"/>
          </w:tcPr>
          <w:p w14:paraId="44CA0DE6" w14:textId="77777777" w:rsidR="000C0ABC" w:rsidRPr="00E27264" w:rsidRDefault="00E06207" w:rsidP="00051042">
            <w:pPr>
              <w:tabs>
                <w:tab w:val="left" w:pos="9000"/>
              </w:tabs>
              <w:spacing w:after="0" w:line="240" w:lineRule="auto"/>
              <w:jc w:val="both"/>
            </w:pPr>
            <w:r>
              <w:t>IEO/CO</w:t>
            </w:r>
          </w:p>
        </w:tc>
        <w:tc>
          <w:tcPr>
            <w:tcW w:w="3028" w:type="dxa"/>
            <w:shd w:val="clear" w:color="auto" w:fill="F2F2F2" w:themeFill="background1" w:themeFillShade="F2"/>
            <w:vAlign w:val="center"/>
          </w:tcPr>
          <w:p w14:paraId="168409F2" w14:textId="72BC12E7" w:rsidR="000C0ABC" w:rsidRPr="00E27264" w:rsidRDefault="00A77EB4" w:rsidP="00051042">
            <w:pPr>
              <w:tabs>
                <w:tab w:val="left" w:pos="9000"/>
              </w:tabs>
              <w:spacing w:after="0" w:line="240" w:lineRule="auto"/>
              <w:jc w:val="both"/>
            </w:pPr>
            <w:r>
              <w:t>April</w:t>
            </w:r>
            <w:r w:rsidR="00E06207">
              <w:t xml:space="preserve"> </w:t>
            </w:r>
          </w:p>
        </w:tc>
      </w:tr>
      <w:tr w:rsidR="00A87EB6" w14:paraId="3E070944" w14:textId="77777777" w:rsidTr="008A1454">
        <w:tc>
          <w:tcPr>
            <w:tcW w:w="4230" w:type="dxa"/>
            <w:shd w:val="clear" w:color="auto" w:fill="F2F2F2" w:themeFill="background1" w:themeFillShade="F2"/>
          </w:tcPr>
          <w:p w14:paraId="519944FE" w14:textId="74DAF078" w:rsidR="00A87EB6" w:rsidRPr="00E27264" w:rsidRDefault="001C59F2" w:rsidP="00051042">
            <w:pPr>
              <w:tabs>
                <w:tab w:val="left" w:pos="9000"/>
              </w:tabs>
              <w:spacing w:after="0" w:line="240" w:lineRule="auto"/>
              <w:jc w:val="both"/>
            </w:pPr>
            <w:r>
              <w:t xml:space="preserve">Final report posted on </w:t>
            </w:r>
            <w:r w:rsidR="00A87EB6">
              <w:t xml:space="preserve">Executive Board </w:t>
            </w:r>
            <w:r>
              <w:t>website</w:t>
            </w:r>
          </w:p>
        </w:tc>
        <w:tc>
          <w:tcPr>
            <w:tcW w:w="2430" w:type="dxa"/>
            <w:shd w:val="clear" w:color="auto" w:fill="F2F2F2" w:themeFill="background1" w:themeFillShade="F2"/>
            <w:vAlign w:val="center"/>
          </w:tcPr>
          <w:p w14:paraId="7FF89DBC" w14:textId="18AE15C6" w:rsidR="00A87EB6" w:rsidRDefault="00A87EB6" w:rsidP="00051042">
            <w:pPr>
              <w:tabs>
                <w:tab w:val="left" w:pos="9000"/>
              </w:tabs>
              <w:spacing w:after="0" w:line="240" w:lineRule="auto"/>
              <w:jc w:val="both"/>
            </w:pPr>
            <w:r>
              <w:t xml:space="preserve">IEO </w:t>
            </w:r>
          </w:p>
        </w:tc>
        <w:tc>
          <w:tcPr>
            <w:tcW w:w="3028" w:type="dxa"/>
            <w:shd w:val="clear" w:color="auto" w:fill="F2F2F2" w:themeFill="background1" w:themeFillShade="F2"/>
            <w:vAlign w:val="center"/>
          </w:tcPr>
          <w:p w14:paraId="7FC830DA" w14:textId="296A65C9" w:rsidR="00A87EB6" w:rsidRDefault="00A77EB4" w:rsidP="00051042">
            <w:pPr>
              <w:tabs>
                <w:tab w:val="left" w:pos="9000"/>
              </w:tabs>
              <w:spacing w:after="0" w:line="240" w:lineRule="auto"/>
              <w:jc w:val="both"/>
            </w:pPr>
            <w:r>
              <w:t>April</w:t>
            </w:r>
            <w:r w:rsidR="001C59F2">
              <w:t xml:space="preserve"> </w:t>
            </w:r>
          </w:p>
        </w:tc>
      </w:tr>
    </w:tbl>
    <w:p w14:paraId="71AA61F0" w14:textId="75E5E77C" w:rsidR="00514B56" w:rsidRDefault="00514B56" w:rsidP="00887A05"/>
    <w:sectPr w:rsidR="00514B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6AAA" w14:textId="77777777" w:rsidR="00126051" w:rsidRDefault="00126051">
      <w:pPr>
        <w:spacing w:after="0" w:line="240" w:lineRule="auto"/>
      </w:pPr>
      <w:r>
        <w:separator/>
      </w:r>
    </w:p>
  </w:endnote>
  <w:endnote w:type="continuationSeparator" w:id="0">
    <w:p w14:paraId="780BE836" w14:textId="77777777" w:rsidR="00126051" w:rsidRDefault="0012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317256"/>
      <w:docPartObj>
        <w:docPartGallery w:val="Page Numbers (Bottom of Page)"/>
        <w:docPartUnique/>
      </w:docPartObj>
    </w:sdtPr>
    <w:sdtEndPr/>
    <w:sdtContent>
      <w:sdt>
        <w:sdtPr>
          <w:id w:val="1728636285"/>
          <w:docPartObj>
            <w:docPartGallery w:val="Page Numbers (Top of Page)"/>
            <w:docPartUnique/>
          </w:docPartObj>
        </w:sdtPr>
        <w:sdtEndPr/>
        <w:sdtContent>
          <w:p w14:paraId="30033480" w14:textId="77777777" w:rsidR="005855DF" w:rsidRDefault="00E062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7A0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A05">
              <w:rPr>
                <w:b/>
                <w:bCs/>
                <w:noProof/>
              </w:rPr>
              <w:t>13</w:t>
            </w:r>
            <w:r>
              <w:rPr>
                <w:b/>
                <w:bCs/>
                <w:sz w:val="24"/>
                <w:szCs w:val="24"/>
              </w:rPr>
              <w:fldChar w:fldCharType="end"/>
            </w:r>
          </w:p>
        </w:sdtContent>
      </w:sdt>
    </w:sdtContent>
  </w:sdt>
  <w:p w14:paraId="0601EB5E" w14:textId="77777777" w:rsidR="005855DF" w:rsidRDefault="0058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B39D" w14:textId="77777777" w:rsidR="00126051" w:rsidRDefault="00126051" w:rsidP="00102842">
      <w:pPr>
        <w:spacing w:after="0" w:line="240" w:lineRule="auto"/>
      </w:pPr>
      <w:r>
        <w:separator/>
      </w:r>
    </w:p>
  </w:footnote>
  <w:footnote w:type="continuationSeparator" w:id="0">
    <w:p w14:paraId="05CFF35A" w14:textId="77777777" w:rsidR="00126051" w:rsidRDefault="00126051" w:rsidP="00102842">
      <w:pPr>
        <w:spacing w:after="0" w:line="240" w:lineRule="auto"/>
      </w:pPr>
      <w:r>
        <w:continuationSeparator/>
      </w:r>
    </w:p>
  </w:footnote>
  <w:footnote w:id="1">
    <w:p w14:paraId="29AFBEAA" w14:textId="77777777" w:rsidR="005855DF" w:rsidRPr="006D71D5" w:rsidRDefault="00E06207" w:rsidP="007E3D4C">
      <w:pPr>
        <w:spacing w:after="0" w:line="240" w:lineRule="auto"/>
        <w:jc w:val="both"/>
        <w:rPr>
          <w:noProof/>
          <w:sz w:val="18"/>
          <w:szCs w:val="18"/>
        </w:rPr>
      </w:pPr>
      <w:r w:rsidRPr="006D71D5">
        <w:rPr>
          <w:rStyle w:val="FootnoteReference"/>
          <w:rFonts w:eastAsia="Calibri"/>
          <w:sz w:val="18"/>
          <w:szCs w:val="18"/>
        </w:rPr>
        <w:footnoteRef/>
      </w:r>
      <w:r w:rsidRPr="006D71D5">
        <w:rPr>
          <w:sz w:val="18"/>
          <w:szCs w:val="18"/>
        </w:rPr>
        <w:t xml:space="preserve"> See UNDP Evaluation Policy: www.undp.org/eo/documents/Evaluation-Policy.pdf. The ICPE will also be conducted in adherence to the Norms and the Standards and the ethical Code of Conduct established by the United Nations Evaluation Group (www.uneval.org). </w:t>
      </w:r>
    </w:p>
  </w:footnote>
  <w:footnote w:id="2">
    <w:p w14:paraId="563252ED" w14:textId="2AECC6C0" w:rsidR="005855DF" w:rsidRPr="006D71D5" w:rsidRDefault="00E06207">
      <w:pPr>
        <w:pStyle w:val="FootnoteText"/>
        <w:rPr>
          <w:sz w:val="18"/>
          <w:szCs w:val="18"/>
        </w:rPr>
      </w:pPr>
      <w:r w:rsidRPr="006D71D5">
        <w:rPr>
          <w:rStyle w:val="FootnoteReference"/>
          <w:sz w:val="18"/>
          <w:szCs w:val="18"/>
        </w:rPr>
        <w:footnoteRef/>
      </w:r>
      <w:r w:rsidRPr="006D71D5">
        <w:rPr>
          <w:sz w:val="18"/>
          <w:szCs w:val="18"/>
        </w:rPr>
        <w:t xml:space="preserve"> UNDP </w:t>
      </w:r>
      <w:r w:rsidRPr="006D71D5">
        <w:rPr>
          <w:bCs/>
          <w:sz w:val="18"/>
          <w:szCs w:val="18"/>
          <w:lang w:val="en-GB"/>
        </w:rPr>
        <w:t>Results Oriented Annual Report</w:t>
      </w:r>
      <w:r w:rsidR="006D71D5">
        <w:rPr>
          <w:bCs/>
          <w:sz w:val="18"/>
          <w:szCs w:val="18"/>
          <w:lang w:val="en-GB"/>
        </w:rPr>
        <w:t>, Malaysia</w:t>
      </w:r>
      <w:r w:rsidRPr="006D71D5">
        <w:rPr>
          <w:bCs/>
          <w:sz w:val="18"/>
          <w:szCs w:val="18"/>
          <w:lang w:val="en-GB"/>
        </w:rPr>
        <w:t xml:space="preserve"> 2018</w:t>
      </w:r>
    </w:p>
  </w:footnote>
  <w:footnote w:id="3">
    <w:p w14:paraId="63A43FC3" w14:textId="77777777" w:rsidR="005855DF" w:rsidRPr="006D71D5" w:rsidRDefault="00E06207">
      <w:pPr>
        <w:pStyle w:val="FootnoteText"/>
        <w:rPr>
          <w:sz w:val="18"/>
          <w:szCs w:val="18"/>
        </w:rPr>
      </w:pPr>
      <w:r w:rsidRPr="006D71D5">
        <w:rPr>
          <w:rStyle w:val="FootnoteReference"/>
          <w:sz w:val="18"/>
          <w:szCs w:val="18"/>
        </w:rPr>
        <w:footnoteRef/>
      </w:r>
      <w:r w:rsidRPr="006D71D5">
        <w:rPr>
          <w:sz w:val="18"/>
          <w:szCs w:val="18"/>
        </w:rPr>
        <w:t xml:space="preserve"> </w:t>
      </w:r>
      <w:hyperlink r:id="rId1" w:history="1">
        <w:r w:rsidRPr="006D71D5">
          <w:rPr>
            <w:rStyle w:val="Hyperlink"/>
            <w:sz w:val="18"/>
            <w:szCs w:val="18"/>
          </w:rPr>
          <w:t>The Economist Intelligence Unit: Democracy Index 2018: Me too?</w:t>
        </w:r>
      </w:hyperlink>
    </w:p>
  </w:footnote>
  <w:footnote w:id="4">
    <w:p w14:paraId="2F2F0ABC" w14:textId="77777777" w:rsidR="005855DF" w:rsidRPr="00D86D51" w:rsidRDefault="00E06207" w:rsidP="00AD1F7D">
      <w:pPr>
        <w:pStyle w:val="FootnoteText"/>
        <w:rPr>
          <w:sz w:val="18"/>
          <w:szCs w:val="18"/>
        </w:rPr>
      </w:pPr>
      <w:r w:rsidRPr="00D86D51">
        <w:rPr>
          <w:rStyle w:val="FootnoteReference"/>
          <w:sz w:val="18"/>
          <w:szCs w:val="18"/>
        </w:rPr>
        <w:footnoteRef/>
      </w:r>
      <w:r w:rsidRPr="00D86D51">
        <w:rPr>
          <w:sz w:val="18"/>
          <w:szCs w:val="18"/>
        </w:rPr>
        <w:t xml:space="preserve"> Ibid.</w:t>
      </w:r>
    </w:p>
  </w:footnote>
  <w:footnote w:id="5">
    <w:p w14:paraId="3ABBA18B" w14:textId="77777777" w:rsidR="005855DF" w:rsidRPr="00D86D51" w:rsidRDefault="00E06207" w:rsidP="00AD1F7D">
      <w:pPr>
        <w:pStyle w:val="FootnoteText"/>
        <w:rPr>
          <w:sz w:val="18"/>
          <w:szCs w:val="18"/>
        </w:rPr>
      </w:pPr>
      <w:r w:rsidRPr="00D86D51">
        <w:rPr>
          <w:rStyle w:val="FootnoteReference"/>
          <w:sz w:val="18"/>
          <w:szCs w:val="18"/>
        </w:rPr>
        <w:footnoteRef/>
      </w:r>
      <w:r w:rsidRPr="00D86D51">
        <w:rPr>
          <w:sz w:val="18"/>
          <w:szCs w:val="18"/>
        </w:rPr>
        <w:t xml:space="preserve"> Ibid</w:t>
      </w:r>
    </w:p>
  </w:footnote>
  <w:footnote w:id="6">
    <w:p w14:paraId="4B3123C4" w14:textId="5430271B" w:rsidR="005855DF" w:rsidRPr="00D86D51" w:rsidRDefault="00E06207" w:rsidP="001E0A80">
      <w:pPr>
        <w:pStyle w:val="FootnoteText"/>
        <w:rPr>
          <w:sz w:val="18"/>
          <w:szCs w:val="18"/>
          <w:lang w:val="en-GB"/>
        </w:rPr>
      </w:pPr>
      <w:r w:rsidRPr="00D86D51">
        <w:rPr>
          <w:rStyle w:val="FootnoteReference"/>
          <w:sz w:val="18"/>
          <w:szCs w:val="18"/>
        </w:rPr>
        <w:footnoteRef/>
      </w:r>
      <w:r w:rsidRPr="00D86D51">
        <w:rPr>
          <w:sz w:val="18"/>
          <w:szCs w:val="18"/>
        </w:rPr>
        <w:t xml:space="preserve"> </w:t>
      </w:r>
      <w:r w:rsidR="00D86D51">
        <w:rPr>
          <w:sz w:val="18"/>
          <w:szCs w:val="18"/>
        </w:rPr>
        <w:t xml:space="preserve">UNDP </w:t>
      </w:r>
      <w:r w:rsidRPr="00D86D51">
        <w:rPr>
          <w:bCs/>
          <w:sz w:val="18"/>
          <w:szCs w:val="18"/>
          <w:lang w:val="en-GB"/>
        </w:rPr>
        <w:t>Results Oriented Annual Report</w:t>
      </w:r>
      <w:r w:rsidR="00D86D51">
        <w:rPr>
          <w:bCs/>
          <w:sz w:val="18"/>
          <w:szCs w:val="18"/>
          <w:lang w:val="en-GB"/>
        </w:rPr>
        <w:t>,</w:t>
      </w:r>
      <w:r w:rsidRPr="00D86D51">
        <w:rPr>
          <w:bCs/>
          <w:sz w:val="18"/>
          <w:szCs w:val="18"/>
          <w:lang w:val="en-GB"/>
        </w:rPr>
        <w:t xml:space="preserve"> </w:t>
      </w:r>
      <w:r w:rsidR="00D86D51">
        <w:rPr>
          <w:bCs/>
          <w:sz w:val="18"/>
          <w:szCs w:val="18"/>
          <w:lang w:val="en-GB"/>
        </w:rPr>
        <w:t>Malaysia</w:t>
      </w:r>
      <w:r w:rsidRPr="00D86D51">
        <w:rPr>
          <w:bCs/>
          <w:sz w:val="18"/>
          <w:szCs w:val="18"/>
          <w:lang w:val="en-GB"/>
        </w:rPr>
        <w:t xml:space="preserve"> 2018</w:t>
      </w:r>
    </w:p>
  </w:footnote>
  <w:footnote w:id="7">
    <w:p w14:paraId="373600FA" w14:textId="77777777" w:rsidR="005855DF" w:rsidRPr="00D86D51" w:rsidRDefault="00E06207" w:rsidP="00DA3609">
      <w:pPr>
        <w:pStyle w:val="FootnoteText"/>
        <w:rPr>
          <w:sz w:val="18"/>
          <w:szCs w:val="18"/>
        </w:rPr>
      </w:pPr>
      <w:r w:rsidRPr="00D86D51">
        <w:rPr>
          <w:rStyle w:val="FootnoteReference"/>
          <w:sz w:val="18"/>
          <w:szCs w:val="18"/>
        </w:rPr>
        <w:footnoteRef/>
      </w:r>
      <w:r w:rsidRPr="00D86D51">
        <w:rPr>
          <w:sz w:val="18"/>
          <w:szCs w:val="18"/>
        </w:rPr>
        <w:t xml:space="preserve"> World Development Indicators-The World Bank. The GNI per capita is expressed in PPP (constant 2011 International $). When current US$ is used instead the GNI per capita more than triple over the same period in nominal term, increasing from 2,880 in 1192 to 9,650 in 2017.</w:t>
      </w:r>
    </w:p>
  </w:footnote>
  <w:footnote w:id="8">
    <w:p w14:paraId="2DD04A71" w14:textId="77777777" w:rsidR="005855DF" w:rsidRPr="00D86D51" w:rsidRDefault="00E06207" w:rsidP="00DA3609">
      <w:pPr>
        <w:pStyle w:val="FootnoteText"/>
        <w:rPr>
          <w:sz w:val="18"/>
          <w:szCs w:val="18"/>
        </w:rPr>
      </w:pPr>
      <w:r w:rsidRPr="00D86D51">
        <w:rPr>
          <w:rStyle w:val="FootnoteReference"/>
          <w:sz w:val="18"/>
          <w:szCs w:val="18"/>
        </w:rPr>
        <w:footnoteRef/>
      </w:r>
      <w:r w:rsidRPr="00D86D51">
        <w:rPr>
          <w:sz w:val="18"/>
          <w:szCs w:val="18"/>
        </w:rPr>
        <w:t xml:space="preserve"> Ibid. </w:t>
      </w:r>
    </w:p>
  </w:footnote>
  <w:footnote w:id="9">
    <w:p w14:paraId="2AC49FCD" w14:textId="3FB125CE" w:rsidR="005855DF" w:rsidRPr="00D86D51" w:rsidRDefault="00E06207" w:rsidP="00DA3609">
      <w:pPr>
        <w:pStyle w:val="FootnoteText"/>
        <w:rPr>
          <w:sz w:val="18"/>
          <w:szCs w:val="18"/>
        </w:rPr>
      </w:pPr>
      <w:r w:rsidRPr="00D86D51">
        <w:rPr>
          <w:rStyle w:val="FootnoteReference"/>
          <w:sz w:val="18"/>
          <w:szCs w:val="18"/>
        </w:rPr>
        <w:footnoteRef/>
      </w:r>
      <w:r w:rsidRPr="00D86D51">
        <w:rPr>
          <w:sz w:val="18"/>
          <w:szCs w:val="18"/>
        </w:rPr>
        <w:t xml:space="preserve"> </w:t>
      </w:r>
      <w:r w:rsidR="00D86D51" w:rsidRPr="00D86D51">
        <w:rPr>
          <w:sz w:val="18"/>
          <w:szCs w:val="18"/>
        </w:rPr>
        <w:t>Department of Statistics Malaysia</w:t>
      </w:r>
      <w:r w:rsidR="00D86D51">
        <w:rPr>
          <w:sz w:val="18"/>
          <w:szCs w:val="18"/>
        </w:rPr>
        <w:t>,</w:t>
      </w:r>
      <w:r w:rsidR="00D86D51" w:rsidRPr="00D86D51">
        <w:rPr>
          <w:sz w:val="18"/>
          <w:szCs w:val="18"/>
        </w:rPr>
        <w:t xml:space="preserve"> </w:t>
      </w:r>
      <w:r w:rsidRPr="00D86D51">
        <w:rPr>
          <w:sz w:val="18"/>
          <w:szCs w:val="18"/>
        </w:rPr>
        <w:t xml:space="preserve">Preliminary Report – Annual Economic Statistics 2018 </w:t>
      </w:r>
    </w:p>
  </w:footnote>
  <w:footnote w:id="10">
    <w:p w14:paraId="543351A4" w14:textId="77777777" w:rsidR="005855DF" w:rsidRPr="00D86D51" w:rsidRDefault="00E06207" w:rsidP="00DA3609">
      <w:pPr>
        <w:pStyle w:val="FootnoteText"/>
        <w:rPr>
          <w:sz w:val="18"/>
          <w:szCs w:val="18"/>
        </w:rPr>
      </w:pPr>
      <w:r w:rsidRPr="00D86D51">
        <w:rPr>
          <w:rStyle w:val="FootnoteReference"/>
          <w:sz w:val="18"/>
          <w:szCs w:val="18"/>
        </w:rPr>
        <w:footnoteRef/>
      </w:r>
      <w:r w:rsidRPr="00D86D51">
        <w:rPr>
          <w:sz w:val="18"/>
          <w:szCs w:val="18"/>
        </w:rPr>
        <w:t xml:space="preserve"> Ibid.</w:t>
      </w:r>
    </w:p>
  </w:footnote>
  <w:footnote w:id="11">
    <w:p w14:paraId="4FCFD612" w14:textId="77777777" w:rsidR="005855DF" w:rsidRPr="00D86D51" w:rsidRDefault="00E06207" w:rsidP="00DA3609">
      <w:pPr>
        <w:pStyle w:val="FootnoteText"/>
        <w:rPr>
          <w:sz w:val="18"/>
          <w:szCs w:val="18"/>
        </w:rPr>
      </w:pPr>
      <w:r w:rsidRPr="00D86D51">
        <w:rPr>
          <w:rStyle w:val="FootnoteReference"/>
          <w:sz w:val="18"/>
          <w:szCs w:val="18"/>
        </w:rPr>
        <w:footnoteRef/>
      </w:r>
      <w:r w:rsidRPr="00D86D51">
        <w:rPr>
          <w:sz w:val="18"/>
          <w:szCs w:val="18"/>
        </w:rPr>
        <w:t xml:space="preserve"> Ibid</w:t>
      </w:r>
    </w:p>
  </w:footnote>
  <w:footnote w:id="12">
    <w:p w14:paraId="7354540B" w14:textId="77777777" w:rsidR="005855DF" w:rsidRPr="00D86D51" w:rsidRDefault="00E06207">
      <w:pPr>
        <w:pStyle w:val="FootnoteText"/>
        <w:rPr>
          <w:sz w:val="18"/>
          <w:szCs w:val="18"/>
        </w:rPr>
      </w:pPr>
      <w:r w:rsidRPr="00D86D51">
        <w:rPr>
          <w:rStyle w:val="FootnoteReference"/>
          <w:sz w:val="18"/>
          <w:szCs w:val="18"/>
        </w:rPr>
        <w:footnoteRef/>
      </w:r>
      <w:r w:rsidRPr="00D86D51">
        <w:rPr>
          <w:sz w:val="18"/>
          <w:szCs w:val="18"/>
        </w:rPr>
        <w:t xml:space="preserve"> </w:t>
      </w:r>
      <w:hyperlink r:id="rId2" w:history="1">
        <w:r w:rsidRPr="00D86D51">
          <w:rPr>
            <w:rStyle w:val="Hyperlink"/>
            <w:sz w:val="18"/>
            <w:szCs w:val="18"/>
          </w:rPr>
          <w:t>Department of Statistics Malaysia</w:t>
        </w:r>
      </w:hyperlink>
      <w:r w:rsidRPr="00D86D51">
        <w:rPr>
          <w:sz w:val="18"/>
          <w:szCs w:val="18"/>
        </w:rPr>
        <w:t xml:space="preserve"> (2016)</w:t>
      </w:r>
    </w:p>
  </w:footnote>
  <w:footnote w:id="13">
    <w:p w14:paraId="05290C3B" w14:textId="77777777" w:rsidR="005855DF" w:rsidRPr="00723691" w:rsidRDefault="00E06207" w:rsidP="002D480F">
      <w:pPr>
        <w:pStyle w:val="FootnoteText"/>
        <w:rPr>
          <w:sz w:val="18"/>
          <w:szCs w:val="18"/>
        </w:rPr>
      </w:pPr>
      <w:r>
        <w:rPr>
          <w:rStyle w:val="FootnoteReference"/>
        </w:rPr>
        <w:footnoteRef/>
      </w:r>
      <w:r>
        <w:t xml:space="preserve"> </w:t>
      </w:r>
      <w:hyperlink r:id="rId3" w:history="1">
        <w:r w:rsidRPr="00723691">
          <w:rPr>
            <w:rStyle w:val="Hyperlink"/>
            <w:sz w:val="18"/>
            <w:szCs w:val="18"/>
          </w:rPr>
          <w:t>Human Development Indices and Indicators: 2018 Statistical Update – Briefing note for countries on the 2018 Statistical Update: Malaysia</w:t>
        </w:r>
      </w:hyperlink>
      <w:r w:rsidRPr="00723691">
        <w:rPr>
          <w:sz w:val="18"/>
          <w:szCs w:val="18"/>
        </w:rPr>
        <w:t xml:space="preserve"> </w:t>
      </w:r>
    </w:p>
  </w:footnote>
  <w:footnote w:id="14">
    <w:p w14:paraId="12C6EC02" w14:textId="77777777" w:rsidR="005855DF" w:rsidRPr="00723691" w:rsidRDefault="00E06207">
      <w:pPr>
        <w:pStyle w:val="FootnoteText"/>
        <w:rPr>
          <w:sz w:val="18"/>
          <w:szCs w:val="18"/>
        </w:rPr>
      </w:pPr>
      <w:r w:rsidRPr="00723691">
        <w:rPr>
          <w:rStyle w:val="FootnoteReference"/>
          <w:sz w:val="18"/>
          <w:szCs w:val="18"/>
          <w:highlight w:val="yellow"/>
        </w:rPr>
        <w:footnoteRef/>
      </w:r>
      <w:r w:rsidRPr="00723691">
        <w:rPr>
          <w:sz w:val="18"/>
          <w:szCs w:val="18"/>
        </w:rPr>
        <w:t xml:space="preserve"> </w:t>
      </w:r>
    </w:p>
  </w:footnote>
  <w:footnote w:id="15">
    <w:p w14:paraId="7458C185" w14:textId="77777777" w:rsidR="005855DF" w:rsidRPr="00723691" w:rsidRDefault="00E06207">
      <w:pPr>
        <w:pStyle w:val="FootnoteText"/>
        <w:rPr>
          <w:sz w:val="18"/>
          <w:szCs w:val="18"/>
        </w:rPr>
      </w:pPr>
      <w:r w:rsidRPr="00723691">
        <w:rPr>
          <w:rStyle w:val="FootnoteReference"/>
          <w:sz w:val="18"/>
          <w:szCs w:val="18"/>
        </w:rPr>
        <w:footnoteRef/>
      </w:r>
      <w:r w:rsidRPr="00723691">
        <w:rPr>
          <w:sz w:val="18"/>
          <w:szCs w:val="18"/>
        </w:rPr>
        <w:t xml:space="preserve"> </w:t>
      </w:r>
      <w:hyperlink r:id="rId4" w:history="1">
        <w:r w:rsidRPr="00723691">
          <w:rPr>
            <w:rStyle w:val="Hyperlink"/>
            <w:sz w:val="18"/>
            <w:szCs w:val="18"/>
          </w:rPr>
          <w:t>Re-Emergence of Malaria in Malaysia: A Review Article (2018)</w:t>
        </w:r>
      </w:hyperlink>
    </w:p>
  </w:footnote>
  <w:footnote w:id="16">
    <w:p w14:paraId="0C04FF62" w14:textId="77777777" w:rsidR="005855DF" w:rsidRPr="00723691" w:rsidRDefault="00E06207">
      <w:pPr>
        <w:pStyle w:val="FootnoteText"/>
        <w:rPr>
          <w:sz w:val="18"/>
          <w:szCs w:val="18"/>
        </w:rPr>
      </w:pPr>
      <w:r w:rsidRPr="00723691">
        <w:rPr>
          <w:rStyle w:val="FootnoteReference"/>
          <w:sz w:val="18"/>
          <w:szCs w:val="18"/>
        </w:rPr>
        <w:footnoteRef/>
      </w:r>
      <w:r w:rsidRPr="00723691">
        <w:rPr>
          <w:sz w:val="18"/>
          <w:szCs w:val="18"/>
        </w:rPr>
        <w:t xml:space="preserve"> Mid-term review of the Eleventh Malaysia Plan 2016-2020.</w:t>
      </w:r>
    </w:p>
  </w:footnote>
  <w:footnote w:id="17">
    <w:p w14:paraId="36C61404" w14:textId="77777777" w:rsidR="005855DF" w:rsidRPr="00723691" w:rsidRDefault="00E06207">
      <w:pPr>
        <w:pStyle w:val="FootnoteText"/>
        <w:rPr>
          <w:sz w:val="18"/>
          <w:szCs w:val="18"/>
        </w:rPr>
      </w:pPr>
      <w:r w:rsidRPr="00723691">
        <w:rPr>
          <w:rStyle w:val="FootnoteReference"/>
          <w:sz w:val="18"/>
          <w:szCs w:val="18"/>
        </w:rPr>
        <w:footnoteRef/>
      </w:r>
      <w:r w:rsidRPr="00723691">
        <w:rPr>
          <w:sz w:val="18"/>
          <w:szCs w:val="18"/>
        </w:rPr>
        <w:t xml:space="preserve"> World Development Indicators based on UNAIDS estimate </w:t>
      </w:r>
    </w:p>
  </w:footnote>
  <w:footnote w:id="18">
    <w:p w14:paraId="67FAA6E1" w14:textId="77777777" w:rsidR="005855DF" w:rsidRPr="00723691" w:rsidRDefault="00E06207" w:rsidP="00D35E33">
      <w:pPr>
        <w:pStyle w:val="FootnoteText"/>
        <w:rPr>
          <w:sz w:val="18"/>
          <w:szCs w:val="18"/>
        </w:rPr>
      </w:pPr>
      <w:r w:rsidRPr="00723691">
        <w:rPr>
          <w:rStyle w:val="FootnoteReference"/>
          <w:sz w:val="18"/>
          <w:szCs w:val="18"/>
        </w:rPr>
        <w:footnoteRef/>
      </w:r>
      <w:r w:rsidRPr="00723691">
        <w:rPr>
          <w:sz w:val="18"/>
          <w:szCs w:val="18"/>
        </w:rPr>
        <w:t xml:space="preserve"> World Health Organization, Global Tuberculosis Report.</w:t>
      </w:r>
    </w:p>
  </w:footnote>
  <w:footnote w:id="19">
    <w:p w14:paraId="15E1063E" w14:textId="77777777" w:rsidR="005855DF" w:rsidRPr="00723691" w:rsidRDefault="00E06207">
      <w:pPr>
        <w:pStyle w:val="FootnoteText"/>
        <w:rPr>
          <w:sz w:val="18"/>
          <w:szCs w:val="18"/>
        </w:rPr>
      </w:pPr>
      <w:r w:rsidRPr="00723691">
        <w:rPr>
          <w:rStyle w:val="FootnoteReference"/>
          <w:sz w:val="18"/>
          <w:szCs w:val="18"/>
        </w:rPr>
        <w:footnoteRef/>
      </w:r>
      <w:r w:rsidRPr="00723691">
        <w:rPr>
          <w:sz w:val="18"/>
          <w:szCs w:val="18"/>
        </w:rPr>
        <w:t xml:space="preserve"> Mid-term review of the Eleventh Malaysia Plan 2016-2020.</w:t>
      </w:r>
    </w:p>
  </w:footnote>
  <w:footnote w:id="20">
    <w:p w14:paraId="74B93FB4" w14:textId="7A6C3229" w:rsidR="005855DF" w:rsidRPr="00723691" w:rsidRDefault="00E06207">
      <w:pPr>
        <w:pStyle w:val="FootnoteText"/>
        <w:rPr>
          <w:sz w:val="18"/>
          <w:szCs w:val="18"/>
        </w:rPr>
      </w:pPr>
      <w:r w:rsidRPr="00723691">
        <w:rPr>
          <w:rStyle w:val="FootnoteReference"/>
          <w:sz w:val="18"/>
          <w:szCs w:val="18"/>
        </w:rPr>
        <w:footnoteRef/>
      </w:r>
      <w:r w:rsidRPr="00723691">
        <w:rPr>
          <w:sz w:val="18"/>
          <w:szCs w:val="18"/>
        </w:rPr>
        <w:t xml:space="preserve"> H</w:t>
      </w:r>
      <w:r w:rsidR="006A64EE">
        <w:rPr>
          <w:sz w:val="18"/>
          <w:szCs w:val="18"/>
        </w:rPr>
        <w:t xml:space="preserve">uman </w:t>
      </w:r>
      <w:r w:rsidRPr="00723691">
        <w:rPr>
          <w:sz w:val="18"/>
          <w:szCs w:val="18"/>
        </w:rPr>
        <w:t>D</w:t>
      </w:r>
      <w:r w:rsidR="006A64EE">
        <w:rPr>
          <w:sz w:val="18"/>
          <w:szCs w:val="18"/>
        </w:rPr>
        <w:t xml:space="preserve">evelopment </w:t>
      </w:r>
      <w:r w:rsidRPr="00723691">
        <w:rPr>
          <w:sz w:val="18"/>
          <w:szCs w:val="18"/>
        </w:rPr>
        <w:t>R</w:t>
      </w:r>
      <w:r w:rsidR="006A64EE">
        <w:rPr>
          <w:sz w:val="18"/>
          <w:szCs w:val="18"/>
        </w:rPr>
        <w:t>eport,</w:t>
      </w:r>
      <w:r w:rsidRPr="00723691">
        <w:rPr>
          <w:sz w:val="18"/>
          <w:szCs w:val="18"/>
        </w:rPr>
        <w:t xml:space="preserve"> Malaysia 2018.</w:t>
      </w:r>
    </w:p>
  </w:footnote>
  <w:footnote w:id="21">
    <w:p w14:paraId="01CDCBAA" w14:textId="77777777" w:rsidR="005855DF" w:rsidRPr="0089338C" w:rsidRDefault="00E06207">
      <w:pPr>
        <w:pStyle w:val="FootnoteText"/>
        <w:rPr>
          <w:sz w:val="18"/>
          <w:szCs w:val="18"/>
        </w:rPr>
      </w:pPr>
      <w:r w:rsidRPr="0089338C">
        <w:rPr>
          <w:rStyle w:val="FootnoteReference"/>
          <w:sz w:val="18"/>
          <w:szCs w:val="18"/>
        </w:rPr>
        <w:footnoteRef/>
      </w:r>
      <w:r w:rsidRPr="0089338C">
        <w:rPr>
          <w:sz w:val="18"/>
          <w:szCs w:val="18"/>
        </w:rPr>
        <w:t xml:space="preserve"> I</w:t>
      </w:r>
      <w:hyperlink r:id="rId5" w:history="1">
        <w:r w:rsidRPr="0089338C">
          <w:rPr>
            <w:rStyle w:val="Hyperlink"/>
            <w:sz w:val="18"/>
            <w:szCs w:val="18"/>
          </w:rPr>
          <w:t>nternational Disaster Database</w:t>
        </w:r>
      </w:hyperlink>
      <w:r w:rsidRPr="0089338C">
        <w:rPr>
          <w:sz w:val="18"/>
          <w:szCs w:val="18"/>
        </w:rPr>
        <w:t xml:space="preserve"> </w:t>
      </w:r>
    </w:p>
  </w:footnote>
  <w:footnote w:id="22">
    <w:p w14:paraId="4F0AE231" w14:textId="29D398F8" w:rsidR="005855DF" w:rsidRPr="0089338C" w:rsidRDefault="00E06207">
      <w:pPr>
        <w:pStyle w:val="FootnoteText"/>
        <w:rPr>
          <w:sz w:val="18"/>
          <w:szCs w:val="18"/>
        </w:rPr>
      </w:pPr>
      <w:r w:rsidRPr="0089338C">
        <w:rPr>
          <w:rStyle w:val="FootnoteReference"/>
          <w:sz w:val="18"/>
          <w:szCs w:val="18"/>
        </w:rPr>
        <w:footnoteRef/>
      </w:r>
      <w:r w:rsidR="00C45179" w:rsidRPr="0089338C">
        <w:rPr>
          <w:sz w:val="18"/>
          <w:szCs w:val="18"/>
        </w:rPr>
        <w:t xml:space="preserve"> Ibid</w:t>
      </w:r>
    </w:p>
  </w:footnote>
  <w:footnote w:id="23">
    <w:p w14:paraId="6F945CCC" w14:textId="3ACFC2F1" w:rsidR="005855DF" w:rsidRPr="0089338C" w:rsidRDefault="00E06207">
      <w:pPr>
        <w:pStyle w:val="FootnoteText"/>
        <w:rPr>
          <w:sz w:val="18"/>
          <w:szCs w:val="18"/>
        </w:rPr>
      </w:pPr>
      <w:r w:rsidRPr="0089338C">
        <w:rPr>
          <w:rStyle w:val="FootnoteReference"/>
          <w:sz w:val="18"/>
          <w:szCs w:val="18"/>
        </w:rPr>
        <w:footnoteRef/>
      </w:r>
      <w:r w:rsidRPr="0089338C">
        <w:rPr>
          <w:sz w:val="18"/>
          <w:szCs w:val="18"/>
        </w:rPr>
        <w:t xml:space="preserve"> </w:t>
      </w:r>
      <w:r w:rsidR="00A7229F" w:rsidRPr="0089338C">
        <w:rPr>
          <w:sz w:val="18"/>
          <w:szCs w:val="18"/>
        </w:rPr>
        <w:t xml:space="preserve">World Bank, </w:t>
      </w:r>
      <w:r w:rsidRPr="0089338C">
        <w:rPr>
          <w:sz w:val="18"/>
          <w:szCs w:val="18"/>
        </w:rPr>
        <w:t>World Development Indicators</w:t>
      </w:r>
      <w:r w:rsidR="00A7229F" w:rsidRPr="0089338C">
        <w:rPr>
          <w:sz w:val="18"/>
          <w:szCs w:val="18"/>
        </w:rPr>
        <w:t xml:space="preserve"> </w:t>
      </w:r>
    </w:p>
  </w:footnote>
  <w:footnote w:id="24">
    <w:p w14:paraId="29B8FDA4" w14:textId="0854805D" w:rsidR="005855DF" w:rsidRPr="0089338C" w:rsidRDefault="00E06207">
      <w:pPr>
        <w:pStyle w:val="FootnoteText"/>
        <w:rPr>
          <w:sz w:val="18"/>
          <w:szCs w:val="18"/>
        </w:rPr>
      </w:pPr>
      <w:r w:rsidRPr="0089338C">
        <w:rPr>
          <w:rStyle w:val="FootnoteReference"/>
          <w:sz w:val="18"/>
          <w:szCs w:val="18"/>
        </w:rPr>
        <w:footnoteRef/>
      </w:r>
      <w:r w:rsidRPr="0089338C">
        <w:rPr>
          <w:sz w:val="18"/>
          <w:szCs w:val="18"/>
        </w:rPr>
        <w:t xml:space="preserve"> Mid-term review of the </w:t>
      </w:r>
      <w:r w:rsidR="00A7229F" w:rsidRPr="0089338C">
        <w:rPr>
          <w:sz w:val="18"/>
          <w:szCs w:val="18"/>
        </w:rPr>
        <w:t>11th</w:t>
      </w:r>
      <w:r w:rsidRPr="0089338C">
        <w:rPr>
          <w:sz w:val="18"/>
          <w:szCs w:val="18"/>
        </w:rPr>
        <w:t xml:space="preserve"> Malaysia Plan 2016-2020</w:t>
      </w:r>
    </w:p>
  </w:footnote>
  <w:footnote w:id="25">
    <w:p w14:paraId="51E75AA7" w14:textId="77777777" w:rsidR="00E659F7" w:rsidRPr="0089338C" w:rsidRDefault="00E659F7">
      <w:pPr>
        <w:pStyle w:val="FootnoteText"/>
        <w:rPr>
          <w:sz w:val="18"/>
          <w:szCs w:val="18"/>
        </w:rPr>
      </w:pPr>
      <w:r w:rsidRPr="0089338C">
        <w:rPr>
          <w:rStyle w:val="FootnoteReference"/>
          <w:sz w:val="18"/>
          <w:szCs w:val="18"/>
        </w:rPr>
        <w:footnoteRef/>
      </w:r>
      <w:r w:rsidRPr="0089338C">
        <w:rPr>
          <w:sz w:val="18"/>
          <w:szCs w:val="18"/>
        </w:rPr>
        <w:t xml:space="preserve"> Source SDG Indicators Dashboard: </w:t>
      </w:r>
    </w:p>
    <w:p w14:paraId="11443BA5" w14:textId="182B8F60" w:rsidR="00E659F7" w:rsidRPr="0089338C" w:rsidRDefault="00E659F7">
      <w:pPr>
        <w:pStyle w:val="FootnoteText"/>
        <w:rPr>
          <w:sz w:val="18"/>
          <w:szCs w:val="18"/>
        </w:rPr>
      </w:pPr>
      <w:r w:rsidRPr="0089338C">
        <w:rPr>
          <w:sz w:val="18"/>
          <w:szCs w:val="18"/>
        </w:rPr>
        <w:t>e.g. Index score (70) suggest that the country is on average 70% of the way to the best possible outcome across the</w:t>
      </w:r>
      <w:r w:rsidR="00440A44" w:rsidRPr="0089338C">
        <w:rPr>
          <w:sz w:val="18"/>
          <w:szCs w:val="18"/>
        </w:rPr>
        <w:t xml:space="preserve"> </w:t>
      </w:r>
      <w:r w:rsidRPr="0089338C">
        <w:rPr>
          <w:sz w:val="18"/>
          <w:szCs w:val="18"/>
        </w:rPr>
        <w:t>17SDGs</w:t>
      </w:r>
    </w:p>
    <w:p w14:paraId="6189CAF9" w14:textId="19798F07" w:rsidR="00E659F7" w:rsidRPr="0089338C" w:rsidRDefault="00126051">
      <w:pPr>
        <w:pStyle w:val="FootnoteText"/>
        <w:rPr>
          <w:sz w:val="18"/>
          <w:szCs w:val="18"/>
        </w:rPr>
      </w:pPr>
      <w:hyperlink r:id="rId6" w:history="1">
        <w:r w:rsidR="00E659F7" w:rsidRPr="0089338C">
          <w:rPr>
            <w:rStyle w:val="Hyperlink"/>
            <w:sz w:val="18"/>
            <w:szCs w:val="18"/>
          </w:rPr>
          <w:t>http://sdgindex.org/assets/files/2018/01%20SDGS%20GLOBAL%20EDITION%20WEB%20V9%20180718.pdf</w:t>
        </w:r>
      </w:hyperlink>
    </w:p>
  </w:footnote>
  <w:footnote w:id="26">
    <w:p w14:paraId="1C5BE612" w14:textId="7B43EAD9" w:rsidR="00A7229F" w:rsidRPr="0089338C" w:rsidRDefault="00A7229F">
      <w:pPr>
        <w:pStyle w:val="FootnoteText"/>
        <w:rPr>
          <w:sz w:val="18"/>
          <w:szCs w:val="18"/>
        </w:rPr>
      </w:pPr>
      <w:r w:rsidRPr="0089338C">
        <w:rPr>
          <w:rStyle w:val="FootnoteReference"/>
          <w:sz w:val="18"/>
          <w:szCs w:val="18"/>
        </w:rPr>
        <w:footnoteRef/>
      </w:r>
      <w:r w:rsidRPr="0089338C">
        <w:rPr>
          <w:sz w:val="18"/>
          <w:szCs w:val="18"/>
        </w:rPr>
        <w:t xml:space="preserve"> Government of Malaysia and UNDP, Country </w:t>
      </w:r>
      <w:proofErr w:type="spellStart"/>
      <w:r w:rsidRPr="0089338C">
        <w:rPr>
          <w:sz w:val="18"/>
          <w:szCs w:val="18"/>
        </w:rPr>
        <w:t>Programme</w:t>
      </w:r>
      <w:proofErr w:type="spellEnd"/>
      <w:r w:rsidRPr="0089338C">
        <w:rPr>
          <w:sz w:val="18"/>
          <w:szCs w:val="18"/>
        </w:rPr>
        <w:t xml:space="preserve"> Action Plan 2016-2020</w:t>
      </w:r>
    </w:p>
  </w:footnote>
  <w:footnote w:id="27">
    <w:p w14:paraId="205F3493" w14:textId="73A0C1BA" w:rsidR="002A43DF" w:rsidRPr="0089338C" w:rsidRDefault="002A43DF">
      <w:pPr>
        <w:pStyle w:val="FootnoteText"/>
        <w:rPr>
          <w:sz w:val="18"/>
          <w:szCs w:val="18"/>
        </w:rPr>
      </w:pPr>
      <w:r w:rsidRPr="0089338C">
        <w:rPr>
          <w:rStyle w:val="FootnoteReference"/>
          <w:sz w:val="18"/>
          <w:szCs w:val="18"/>
        </w:rPr>
        <w:footnoteRef/>
      </w:r>
      <w:r w:rsidRPr="0089338C">
        <w:rPr>
          <w:sz w:val="18"/>
          <w:szCs w:val="18"/>
        </w:rPr>
        <w:t xml:space="preserve"> </w:t>
      </w:r>
      <w:r w:rsidR="00E429BE" w:rsidRPr="0089338C">
        <w:rPr>
          <w:sz w:val="18"/>
          <w:szCs w:val="18"/>
        </w:rPr>
        <w:t>Development cooperation with middle-income countries</w:t>
      </w:r>
      <w:r w:rsidR="00237251" w:rsidRPr="0089338C">
        <w:rPr>
          <w:sz w:val="18"/>
          <w:szCs w:val="18"/>
        </w:rPr>
        <w:t>,</w:t>
      </w:r>
      <w:r w:rsidR="00E429BE" w:rsidRPr="0089338C">
        <w:rPr>
          <w:sz w:val="18"/>
          <w:szCs w:val="18"/>
        </w:rPr>
        <w:t xml:space="preserve"> Report of the Secretary-General. 2017 </w:t>
      </w:r>
      <w:hyperlink r:id="rId7" w:history="1">
        <w:r w:rsidR="00E429BE" w:rsidRPr="0089338C">
          <w:rPr>
            <w:rStyle w:val="Hyperlink"/>
            <w:sz w:val="18"/>
            <w:szCs w:val="18"/>
          </w:rPr>
          <w:t>https://undocs.org/pdf?symbol=en/A/72/329</w:t>
        </w:r>
      </w:hyperlink>
    </w:p>
  </w:footnote>
  <w:footnote w:id="28">
    <w:p w14:paraId="38E7360D" w14:textId="77777777" w:rsidR="005855DF" w:rsidRPr="0089338C" w:rsidRDefault="00E06207" w:rsidP="000C0ABC">
      <w:pPr>
        <w:pStyle w:val="FootnoteText"/>
        <w:rPr>
          <w:rFonts w:ascii="Segoe UI" w:hAnsi="Segoe UI" w:cs="Segoe UI"/>
          <w:sz w:val="18"/>
          <w:szCs w:val="18"/>
        </w:rPr>
      </w:pPr>
      <w:r w:rsidRPr="0089338C">
        <w:rPr>
          <w:rStyle w:val="FootnoteReference"/>
          <w:sz w:val="18"/>
          <w:szCs w:val="18"/>
        </w:rPr>
        <w:footnoteRef/>
      </w:r>
      <w:r w:rsidRPr="0089338C">
        <w:rPr>
          <w:rStyle w:val="FootnoteReference"/>
          <w:sz w:val="18"/>
          <w:szCs w:val="18"/>
        </w:rPr>
        <w:t xml:space="preserve"> </w:t>
      </w:r>
      <w:hyperlink r:id="rId8" w:history="1">
        <w:r w:rsidRPr="0089338C">
          <w:rPr>
            <w:rStyle w:val="Hyperlink"/>
            <w:sz w:val="18"/>
            <w:szCs w:val="18"/>
          </w:rPr>
          <w:t xml:space="preserve">http://www.uneval.org/document/detail/21 </w:t>
        </w:r>
      </w:hyperlink>
      <w:r w:rsidRPr="0089338C">
        <w:rPr>
          <w:sz w:val="18"/>
          <w:szCs w:val="18"/>
        </w:rPr>
        <w:t xml:space="preserve">  </w:t>
      </w:r>
    </w:p>
  </w:footnote>
  <w:footnote w:id="29">
    <w:p w14:paraId="4ED98174" w14:textId="77777777" w:rsidR="00DE5761" w:rsidRPr="0089338C" w:rsidRDefault="00DE5761" w:rsidP="00DE5761">
      <w:pPr>
        <w:pStyle w:val="FootnoteText"/>
        <w:rPr>
          <w:sz w:val="18"/>
          <w:szCs w:val="18"/>
        </w:rPr>
      </w:pPr>
      <w:r w:rsidRPr="0089338C">
        <w:rPr>
          <w:rStyle w:val="FootnoteReference"/>
          <w:sz w:val="18"/>
          <w:szCs w:val="18"/>
        </w:rPr>
        <w:footnoteRef/>
      </w:r>
      <w:r w:rsidRPr="0089338C">
        <w:rPr>
          <w:sz w:val="18"/>
          <w:szCs w:val="18"/>
        </w:rPr>
        <w:t xml:space="preserve"> A corporate tool to sensitize </w:t>
      </w:r>
      <w:proofErr w:type="spellStart"/>
      <w:r w:rsidRPr="0089338C">
        <w:rPr>
          <w:sz w:val="18"/>
          <w:szCs w:val="18"/>
        </w:rPr>
        <w:t>programme</w:t>
      </w:r>
      <w:proofErr w:type="spellEnd"/>
      <w:r w:rsidRPr="0089338C">
        <w:rPr>
          <w:sz w:val="18"/>
          <w:szCs w:val="18"/>
        </w:rPr>
        <w:t xml:space="preserve"> managers in advancing GEWE by assigning ratings to projects during their design phase to indicate the level of expected contribution to GEWE. It can also be used to track planned </w:t>
      </w:r>
      <w:proofErr w:type="spellStart"/>
      <w:r w:rsidRPr="0089338C">
        <w:rPr>
          <w:sz w:val="18"/>
          <w:szCs w:val="18"/>
        </w:rPr>
        <w:t>programme</w:t>
      </w:r>
      <w:proofErr w:type="spellEnd"/>
      <w:r w:rsidRPr="0089338C">
        <w:rPr>
          <w:sz w:val="18"/>
          <w:szCs w:val="18"/>
        </w:rPr>
        <w:t xml:space="preserve"> expenditures on GEWE (not actual expenditures).   </w:t>
      </w:r>
    </w:p>
  </w:footnote>
  <w:footnote w:id="30">
    <w:p w14:paraId="5B9F2C18" w14:textId="77777777" w:rsidR="005855DF" w:rsidRPr="006E01F5" w:rsidRDefault="00E06207" w:rsidP="000C0ABC">
      <w:pPr>
        <w:pStyle w:val="FootnoteText"/>
      </w:pPr>
      <w:r w:rsidRPr="0089338C">
        <w:rPr>
          <w:rStyle w:val="FootnoteReference"/>
          <w:sz w:val="18"/>
          <w:szCs w:val="18"/>
        </w:rPr>
        <w:footnoteRef/>
      </w:r>
      <w:r w:rsidRPr="0089338C">
        <w:rPr>
          <w:sz w:val="18"/>
          <w:szCs w:val="18"/>
        </w:rPr>
        <w:t xml:space="preserve"> See </w:t>
      </w:r>
      <w:hyperlink r:id="rId9" w:history="1">
        <w:r w:rsidRPr="0089338C">
          <w:rPr>
            <w:rStyle w:val="Hyperlink"/>
            <w:sz w:val="18"/>
            <w:szCs w:val="18"/>
          </w:rPr>
          <w:t>http://datatopics.worldbank.org/statisticalcapacity/SCIdashboard.aspx</w:t>
        </w:r>
      </w:hyperlink>
      <w:r>
        <w:t xml:space="preserve"> </w:t>
      </w:r>
    </w:p>
  </w:footnote>
  <w:footnote w:id="31">
    <w:p w14:paraId="046B79A7" w14:textId="77777777" w:rsidR="005855DF" w:rsidRPr="0089338C" w:rsidRDefault="00E06207" w:rsidP="000C0ABC">
      <w:pPr>
        <w:pStyle w:val="FootnoteText"/>
        <w:rPr>
          <w:sz w:val="18"/>
          <w:szCs w:val="18"/>
        </w:rPr>
      </w:pPr>
      <w:r w:rsidRPr="0089338C">
        <w:rPr>
          <w:rStyle w:val="FootnoteReference"/>
          <w:sz w:val="18"/>
          <w:szCs w:val="18"/>
        </w:rPr>
        <w:footnoteRef/>
      </w:r>
      <w:r w:rsidRPr="0089338C">
        <w:rPr>
          <w:sz w:val="18"/>
          <w:szCs w:val="18"/>
        </w:rPr>
        <w:t xml:space="preserve"> The evaluation will be conducted according to the </w:t>
      </w:r>
      <w:hyperlink r:id="rId10" w:anchor="/Shared%20Documents/Forms/AllItems.aspx?RootFolder=%2Fsites%2Fieo%2Fadr%2FShared%20Documents%2F4%2E%20Manuals&amp;FolderCTID=0x012000D033729FF7762B4F9C8B65ED722FAD57&amp;View=%7BA7A6BFFD%2D4EF5%2D41D1%2D95FB%2D9D387BCE3461%7D" w:history="1">
        <w:r w:rsidRPr="0089338C">
          <w:rPr>
            <w:rStyle w:val="Hyperlink"/>
            <w:sz w:val="18"/>
            <w:szCs w:val="18"/>
          </w:rPr>
          <w:t>ICPE Process Manual</w:t>
        </w:r>
      </w:hyperlink>
      <w:r w:rsidRPr="0089338C">
        <w:rPr>
          <w:sz w:val="18"/>
          <w:szCs w:val="18"/>
        </w:rPr>
        <w:t xml:space="preserve"> and the </w:t>
      </w:r>
      <w:hyperlink r:id="rId11" w:history="1">
        <w:r w:rsidRPr="0089338C">
          <w:rPr>
            <w:rStyle w:val="Hyperlink"/>
            <w:sz w:val="18"/>
            <w:szCs w:val="18"/>
          </w:rPr>
          <w:t>ICPE Methodology Manual</w:t>
        </w:r>
      </w:hyperlink>
    </w:p>
  </w:footnote>
  <w:footnote w:id="32">
    <w:p w14:paraId="2A26A27C" w14:textId="77777777" w:rsidR="005855DF" w:rsidRPr="000A01E6" w:rsidRDefault="00E06207" w:rsidP="000C0ABC">
      <w:pPr>
        <w:pStyle w:val="FootnoteText"/>
        <w:rPr>
          <w:sz w:val="18"/>
          <w:szCs w:val="18"/>
        </w:rPr>
      </w:pPr>
      <w:r w:rsidRPr="000A01E6">
        <w:rPr>
          <w:rStyle w:val="FootnoteReference"/>
          <w:sz w:val="18"/>
          <w:szCs w:val="18"/>
        </w:rPr>
        <w:footnoteRef/>
      </w:r>
      <w:r w:rsidRPr="000A01E6">
        <w:rPr>
          <w:sz w:val="18"/>
          <w:szCs w:val="18"/>
        </w:rPr>
        <w:t xml:space="preserve"> </w:t>
      </w:r>
      <w:hyperlink r:id="rId12" w:history="1">
        <w:r w:rsidRPr="000A01E6">
          <w:rPr>
            <w:rStyle w:val="Hyperlink"/>
            <w:sz w:val="18"/>
            <w:szCs w:val="18"/>
          </w:rPr>
          <w:t>web.undp.org/evaluation</w:t>
        </w:r>
      </w:hyperlink>
    </w:p>
  </w:footnote>
  <w:footnote w:id="33">
    <w:p w14:paraId="273425F9" w14:textId="77777777" w:rsidR="005855DF" w:rsidRPr="000A01E6" w:rsidRDefault="00E06207" w:rsidP="000C0ABC">
      <w:pPr>
        <w:pStyle w:val="FootnoteText"/>
        <w:rPr>
          <w:sz w:val="18"/>
          <w:szCs w:val="18"/>
        </w:rPr>
      </w:pPr>
      <w:r w:rsidRPr="000A01E6">
        <w:rPr>
          <w:rStyle w:val="FootnoteReference"/>
          <w:sz w:val="18"/>
          <w:szCs w:val="18"/>
        </w:rPr>
        <w:footnoteRef/>
      </w:r>
      <w:r w:rsidRPr="000A01E6">
        <w:rPr>
          <w:sz w:val="18"/>
          <w:szCs w:val="18"/>
        </w:rPr>
        <w:t xml:space="preserve"> </w:t>
      </w:r>
      <w:hyperlink r:id="rId13" w:history="1">
        <w:r w:rsidRPr="000A01E6">
          <w:rPr>
            <w:rStyle w:val="Hyperlink"/>
            <w:sz w:val="18"/>
            <w:szCs w:val="18"/>
          </w:rPr>
          <w:t>erc.undp.org</w:t>
        </w:r>
      </w:hyperlink>
    </w:p>
  </w:footnote>
  <w:footnote w:id="34">
    <w:p w14:paraId="1CFBD76C" w14:textId="77777777" w:rsidR="000A01E6" w:rsidRPr="000A01E6" w:rsidRDefault="000A01E6" w:rsidP="000A01E6">
      <w:pPr>
        <w:pStyle w:val="ADRTextBulletL2"/>
        <w:jc w:val="both"/>
        <w:rPr>
          <w:rFonts w:asciiTheme="minorHAnsi" w:hAnsiTheme="minorHAnsi"/>
          <w:sz w:val="18"/>
          <w:szCs w:val="18"/>
        </w:rPr>
      </w:pPr>
      <w:r w:rsidRPr="000A01E6">
        <w:rPr>
          <w:rStyle w:val="FootnoteReference"/>
          <w:sz w:val="18"/>
          <w:szCs w:val="18"/>
        </w:rPr>
        <w:footnoteRef/>
      </w:r>
      <w:r w:rsidRPr="000A01E6">
        <w:rPr>
          <w:sz w:val="18"/>
          <w:szCs w:val="18"/>
        </w:rPr>
        <w:t xml:space="preserve"> </w:t>
      </w:r>
      <w:r w:rsidRPr="000A01E6">
        <w:rPr>
          <w:rFonts w:asciiTheme="minorHAnsi" w:hAnsiTheme="minorHAnsi"/>
          <w:sz w:val="18"/>
          <w:szCs w:val="18"/>
          <w:lang w:val="en-US"/>
        </w:rPr>
        <w:t>The timeframes, indicative of process and deadlines, does not imply full-time engagement of the evaluation team during the period</w:t>
      </w:r>
      <w:r w:rsidRPr="000A01E6">
        <w:rPr>
          <w:rFonts w:asciiTheme="minorHAnsi" w:hAnsiTheme="minorHAnsi"/>
          <w:sz w:val="18"/>
          <w:szCs w:val="18"/>
        </w:rPr>
        <w:t xml:space="preserve">. </w:t>
      </w:r>
    </w:p>
    <w:p w14:paraId="2B93E49F" w14:textId="6812AF1F" w:rsidR="000A01E6" w:rsidRDefault="000A01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3F4"/>
    <w:multiLevelType w:val="hybridMultilevel"/>
    <w:tmpl w:val="E8CA2CB6"/>
    <w:lvl w:ilvl="0" w:tplc="4E18800E">
      <w:start w:val="1"/>
      <w:numFmt w:val="decimal"/>
      <w:lvlText w:val="%1."/>
      <w:lvlJc w:val="left"/>
      <w:pPr>
        <w:ind w:left="720" w:hanging="360"/>
      </w:pPr>
    </w:lvl>
    <w:lvl w:ilvl="1" w:tplc="F920C324">
      <w:start w:val="1"/>
      <w:numFmt w:val="lowerLetter"/>
      <w:lvlText w:val="%2."/>
      <w:lvlJc w:val="left"/>
      <w:pPr>
        <w:ind w:left="1440" w:hanging="360"/>
      </w:pPr>
    </w:lvl>
    <w:lvl w:ilvl="2" w:tplc="B560C4B4">
      <w:start w:val="1"/>
      <w:numFmt w:val="lowerRoman"/>
      <w:lvlText w:val="%3."/>
      <w:lvlJc w:val="right"/>
      <w:pPr>
        <w:ind w:left="2160" w:hanging="180"/>
      </w:pPr>
    </w:lvl>
    <w:lvl w:ilvl="3" w:tplc="E4146B0A">
      <w:start w:val="1"/>
      <w:numFmt w:val="decimal"/>
      <w:lvlText w:val="%4."/>
      <w:lvlJc w:val="left"/>
      <w:pPr>
        <w:ind w:left="2880" w:hanging="360"/>
      </w:pPr>
    </w:lvl>
    <w:lvl w:ilvl="4" w:tplc="CEF052BC">
      <w:start w:val="1"/>
      <w:numFmt w:val="lowerLetter"/>
      <w:lvlText w:val="%5."/>
      <w:lvlJc w:val="left"/>
      <w:pPr>
        <w:ind w:left="3600" w:hanging="360"/>
      </w:pPr>
    </w:lvl>
    <w:lvl w:ilvl="5" w:tplc="856E3038">
      <w:start w:val="1"/>
      <w:numFmt w:val="lowerRoman"/>
      <w:lvlText w:val="%6."/>
      <w:lvlJc w:val="right"/>
      <w:pPr>
        <w:ind w:left="4320" w:hanging="180"/>
      </w:pPr>
    </w:lvl>
    <w:lvl w:ilvl="6" w:tplc="4FD2BB78">
      <w:start w:val="1"/>
      <w:numFmt w:val="decimal"/>
      <w:lvlText w:val="%7."/>
      <w:lvlJc w:val="left"/>
      <w:pPr>
        <w:ind w:left="5040" w:hanging="360"/>
      </w:pPr>
    </w:lvl>
    <w:lvl w:ilvl="7" w:tplc="8070C09C">
      <w:start w:val="1"/>
      <w:numFmt w:val="lowerLetter"/>
      <w:lvlText w:val="%8."/>
      <w:lvlJc w:val="left"/>
      <w:pPr>
        <w:ind w:left="5760" w:hanging="360"/>
      </w:pPr>
    </w:lvl>
    <w:lvl w:ilvl="8" w:tplc="BB3A59EE">
      <w:start w:val="1"/>
      <w:numFmt w:val="lowerRoman"/>
      <w:lvlText w:val="%9."/>
      <w:lvlJc w:val="right"/>
      <w:pPr>
        <w:ind w:left="6480" w:hanging="180"/>
      </w:pPr>
    </w:lvl>
  </w:abstractNum>
  <w:abstractNum w:abstractNumId="1" w15:restartNumberingAfterBreak="0">
    <w:nsid w:val="21487D13"/>
    <w:multiLevelType w:val="multilevel"/>
    <w:tmpl w:val="0409001D"/>
    <w:lvl w:ilvl="0">
      <w:start w:val="1"/>
      <w:numFmt w:val="decimal"/>
      <w:lvlText w:val="%1)"/>
      <w:lvlJc w:val="left"/>
      <w:pPr>
        <w:ind w:left="360" w:hanging="360"/>
      </w:pPr>
      <w:rPr>
        <w:b w:val="0"/>
        <w:color w:val="auto"/>
        <w:sz w:val="20"/>
        <w:szCs w:val="20"/>
      </w:rPr>
    </w:lvl>
    <w:lvl w:ilvl="1">
      <w:start w:val="1"/>
      <w:numFmt w:val="lowerLetter"/>
      <w:lvlText w:val="%2)"/>
      <w:lvlJc w:val="left"/>
      <w:pPr>
        <w:ind w:left="720" w:hanging="360"/>
      </w:pPr>
    </w:lvl>
    <w:lvl w:ilvl="2">
      <w:start w:val="1"/>
      <w:numFmt w:val="lowerRoman"/>
      <w:lvlText w:val="%3)"/>
      <w:lvlJc w:val="left"/>
      <w:pPr>
        <w:ind w:left="1080" w:hanging="360"/>
      </w:pPr>
      <w:rPr>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D31848"/>
    <w:multiLevelType w:val="hybridMultilevel"/>
    <w:tmpl w:val="193C6560"/>
    <w:lvl w:ilvl="0" w:tplc="89F4D990">
      <w:start w:val="1"/>
      <w:numFmt w:val="decimal"/>
      <w:lvlText w:val="%1."/>
      <w:lvlJc w:val="left"/>
      <w:pPr>
        <w:ind w:left="720" w:hanging="360"/>
      </w:pPr>
      <w:rPr>
        <w:rFonts w:hint="default"/>
      </w:rPr>
    </w:lvl>
    <w:lvl w:ilvl="1" w:tplc="EEF6E44C" w:tentative="1">
      <w:start w:val="1"/>
      <w:numFmt w:val="lowerLetter"/>
      <w:lvlText w:val="%2."/>
      <w:lvlJc w:val="left"/>
      <w:pPr>
        <w:ind w:left="1440" w:hanging="360"/>
      </w:pPr>
    </w:lvl>
    <w:lvl w:ilvl="2" w:tplc="C2EE95FA" w:tentative="1">
      <w:start w:val="1"/>
      <w:numFmt w:val="lowerRoman"/>
      <w:lvlText w:val="%3."/>
      <w:lvlJc w:val="right"/>
      <w:pPr>
        <w:ind w:left="2160" w:hanging="180"/>
      </w:pPr>
    </w:lvl>
    <w:lvl w:ilvl="3" w:tplc="23D06454" w:tentative="1">
      <w:start w:val="1"/>
      <w:numFmt w:val="decimal"/>
      <w:lvlText w:val="%4."/>
      <w:lvlJc w:val="left"/>
      <w:pPr>
        <w:ind w:left="2880" w:hanging="360"/>
      </w:pPr>
    </w:lvl>
    <w:lvl w:ilvl="4" w:tplc="429E1D6E" w:tentative="1">
      <w:start w:val="1"/>
      <w:numFmt w:val="lowerLetter"/>
      <w:lvlText w:val="%5."/>
      <w:lvlJc w:val="left"/>
      <w:pPr>
        <w:ind w:left="3600" w:hanging="360"/>
      </w:pPr>
    </w:lvl>
    <w:lvl w:ilvl="5" w:tplc="62CEF3E8" w:tentative="1">
      <w:start w:val="1"/>
      <w:numFmt w:val="lowerRoman"/>
      <w:lvlText w:val="%6."/>
      <w:lvlJc w:val="right"/>
      <w:pPr>
        <w:ind w:left="4320" w:hanging="180"/>
      </w:pPr>
    </w:lvl>
    <w:lvl w:ilvl="6" w:tplc="B824EE46" w:tentative="1">
      <w:start w:val="1"/>
      <w:numFmt w:val="decimal"/>
      <w:lvlText w:val="%7."/>
      <w:lvlJc w:val="left"/>
      <w:pPr>
        <w:ind w:left="5040" w:hanging="360"/>
      </w:pPr>
    </w:lvl>
    <w:lvl w:ilvl="7" w:tplc="922AD64A" w:tentative="1">
      <w:start w:val="1"/>
      <w:numFmt w:val="lowerLetter"/>
      <w:lvlText w:val="%8."/>
      <w:lvlJc w:val="left"/>
      <w:pPr>
        <w:ind w:left="5760" w:hanging="360"/>
      </w:pPr>
    </w:lvl>
    <w:lvl w:ilvl="8" w:tplc="94E0FDC2" w:tentative="1">
      <w:start w:val="1"/>
      <w:numFmt w:val="lowerRoman"/>
      <w:lvlText w:val="%9."/>
      <w:lvlJc w:val="right"/>
      <w:pPr>
        <w:ind w:left="6480" w:hanging="180"/>
      </w:pPr>
    </w:lvl>
  </w:abstractNum>
  <w:abstractNum w:abstractNumId="3" w15:restartNumberingAfterBreak="0">
    <w:nsid w:val="3E8953E5"/>
    <w:multiLevelType w:val="hybridMultilevel"/>
    <w:tmpl w:val="8FFE9496"/>
    <w:lvl w:ilvl="0" w:tplc="77D6BEA6">
      <w:start w:val="1"/>
      <w:numFmt w:val="bullet"/>
      <w:lvlText w:val=""/>
      <w:lvlJc w:val="left"/>
      <w:pPr>
        <w:tabs>
          <w:tab w:val="num" w:pos="360"/>
        </w:tabs>
        <w:ind w:left="360" w:hanging="360"/>
      </w:pPr>
      <w:rPr>
        <w:rFonts w:ascii="Symbol" w:hAnsi="Symbol" w:hint="default"/>
      </w:rPr>
    </w:lvl>
    <w:lvl w:ilvl="1" w:tplc="8750AE74" w:tentative="1">
      <w:start w:val="1"/>
      <w:numFmt w:val="bullet"/>
      <w:lvlText w:val=""/>
      <w:lvlJc w:val="left"/>
      <w:pPr>
        <w:tabs>
          <w:tab w:val="num" w:pos="1080"/>
        </w:tabs>
        <w:ind w:left="1080" w:hanging="360"/>
      </w:pPr>
      <w:rPr>
        <w:rFonts w:ascii="Wingdings" w:hAnsi="Wingdings" w:hint="default"/>
      </w:rPr>
    </w:lvl>
    <w:lvl w:ilvl="2" w:tplc="16809CA6" w:tentative="1">
      <w:start w:val="1"/>
      <w:numFmt w:val="bullet"/>
      <w:lvlText w:val=""/>
      <w:lvlJc w:val="left"/>
      <w:pPr>
        <w:tabs>
          <w:tab w:val="num" w:pos="1800"/>
        </w:tabs>
        <w:ind w:left="1800" w:hanging="360"/>
      </w:pPr>
      <w:rPr>
        <w:rFonts w:ascii="Wingdings" w:hAnsi="Wingdings" w:hint="default"/>
      </w:rPr>
    </w:lvl>
    <w:lvl w:ilvl="3" w:tplc="F8348CA2" w:tentative="1">
      <w:start w:val="1"/>
      <w:numFmt w:val="bullet"/>
      <w:lvlText w:val=""/>
      <w:lvlJc w:val="left"/>
      <w:pPr>
        <w:tabs>
          <w:tab w:val="num" w:pos="2520"/>
        </w:tabs>
        <w:ind w:left="2520" w:hanging="360"/>
      </w:pPr>
      <w:rPr>
        <w:rFonts w:ascii="Wingdings" w:hAnsi="Wingdings" w:hint="default"/>
      </w:rPr>
    </w:lvl>
    <w:lvl w:ilvl="4" w:tplc="8D5218F8" w:tentative="1">
      <w:start w:val="1"/>
      <w:numFmt w:val="bullet"/>
      <w:lvlText w:val=""/>
      <w:lvlJc w:val="left"/>
      <w:pPr>
        <w:tabs>
          <w:tab w:val="num" w:pos="3240"/>
        </w:tabs>
        <w:ind w:left="3240" w:hanging="360"/>
      </w:pPr>
      <w:rPr>
        <w:rFonts w:ascii="Wingdings" w:hAnsi="Wingdings" w:hint="default"/>
      </w:rPr>
    </w:lvl>
    <w:lvl w:ilvl="5" w:tplc="469AD6FE" w:tentative="1">
      <w:start w:val="1"/>
      <w:numFmt w:val="bullet"/>
      <w:lvlText w:val=""/>
      <w:lvlJc w:val="left"/>
      <w:pPr>
        <w:tabs>
          <w:tab w:val="num" w:pos="3960"/>
        </w:tabs>
        <w:ind w:left="3960" w:hanging="360"/>
      </w:pPr>
      <w:rPr>
        <w:rFonts w:ascii="Wingdings" w:hAnsi="Wingdings" w:hint="default"/>
      </w:rPr>
    </w:lvl>
    <w:lvl w:ilvl="6" w:tplc="8AF8BF00" w:tentative="1">
      <w:start w:val="1"/>
      <w:numFmt w:val="bullet"/>
      <w:lvlText w:val=""/>
      <w:lvlJc w:val="left"/>
      <w:pPr>
        <w:tabs>
          <w:tab w:val="num" w:pos="4680"/>
        </w:tabs>
        <w:ind w:left="4680" w:hanging="360"/>
      </w:pPr>
      <w:rPr>
        <w:rFonts w:ascii="Wingdings" w:hAnsi="Wingdings" w:hint="default"/>
      </w:rPr>
    </w:lvl>
    <w:lvl w:ilvl="7" w:tplc="D65055FC" w:tentative="1">
      <w:start w:val="1"/>
      <w:numFmt w:val="bullet"/>
      <w:lvlText w:val=""/>
      <w:lvlJc w:val="left"/>
      <w:pPr>
        <w:tabs>
          <w:tab w:val="num" w:pos="5400"/>
        </w:tabs>
        <w:ind w:left="5400" w:hanging="360"/>
      </w:pPr>
      <w:rPr>
        <w:rFonts w:ascii="Wingdings" w:hAnsi="Wingdings" w:hint="default"/>
      </w:rPr>
    </w:lvl>
    <w:lvl w:ilvl="8" w:tplc="3E1C209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EB0061"/>
    <w:multiLevelType w:val="hybridMultilevel"/>
    <w:tmpl w:val="1F567AAA"/>
    <w:lvl w:ilvl="0" w:tplc="4A9E1EAA">
      <w:start w:val="1"/>
      <w:numFmt w:val="bullet"/>
      <w:lvlText w:val=""/>
      <w:lvlJc w:val="left"/>
      <w:pPr>
        <w:ind w:left="360" w:hanging="360"/>
      </w:pPr>
      <w:rPr>
        <w:rFonts w:ascii="Symbol" w:hAnsi="Symbol" w:hint="default"/>
      </w:rPr>
    </w:lvl>
    <w:lvl w:ilvl="1" w:tplc="E96216A8">
      <w:start w:val="1"/>
      <w:numFmt w:val="bullet"/>
      <w:lvlText w:val="o"/>
      <w:lvlJc w:val="left"/>
      <w:pPr>
        <w:ind w:left="1080" w:hanging="360"/>
      </w:pPr>
      <w:rPr>
        <w:rFonts w:ascii="Courier New" w:hAnsi="Courier New" w:cs="Courier New" w:hint="default"/>
      </w:rPr>
    </w:lvl>
    <w:lvl w:ilvl="2" w:tplc="A23A2470" w:tentative="1">
      <w:start w:val="1"/>
      <w:numFmt w:val="bullet"/>
      <w:lvlText w:val=""/>
      <w:lvlJc w:val="left"/>
      <w:pPr>
        <w:ind w:left="1800" w:hanging="360"/>
      </w:pPr>
      <w:rPr>
        <w:rFonts w:ascii="Wingdings" w:hAnsi="Wingdings" w:hint="default"/>
      </w:rPr>
    </w:lvl>
    <w:lvl w:ilvl="3" w:tplc="56D222EE" w:tentative="1">
      <w:start w:val="1"/>
      <w:numFmt w:val="bullet"/>
      <w:lvlText w:val=""/>
      <w:lvlJc w:val="left"/>
      <w:pPr>
        <w:ind w:left="2520" w:hanging="360"/>
      </w:pPr>
      <w:rPr>
        <w:rFonts w:ascii="Symbol" w:hAnsi="Symbol" w:hint="default"/>
      </w:rPr>
    </w:lvl>
    <w:lvl w:ilvl="4" w:tplc="6DDC200E" w:tentative="1">
      <w:start w:val="1"/>
      <w:numFmt w:val="bullet"/>
      <w:lvlText w:val="o"/>
      <w:lvlJc w:val="left"/>
      <w:pPr>
        <w:ind w:left="3240" w:hanging="360"/>
      </w:pPr>
      <w:rPr>
        <w:rFonts w:ascii="Courier New" w:hAnsi="Courier New" w:cs="Courier New" w:hint="default"/>
      </w:rPr>
    </w:lvl>
    <w:lvl w:ilvl="5" w:tplc="26CA7340" w:tentative="1">
      <w:start w:val="1"/>
      <w:numFmt w:val="bullet"/>
      <w:lvlText w:val=""/>
      <w:lvlJc w:val="left"/>
      <w:pPr>
        <w:ind w:left="3960" w:hanging="360"/>
      </w:pPr>
      <w:rPr>
        <w:rFonts w:ascii="Wingdings" w:hAnsi="Wingdings" w:hint="default"/>
      </w:rPr>
    </w:lvl>
    <w:lvl w:ilvl="6" w:tplc="BBD4315E" w:tentative="1">
      <w:start w:val="1"/>
      <w:numFmt w:val="bullet"/>
      <w:lvlText w:val=""/>
      <w:lvlJc w:val="left"/>
      <w:pPr>
        <w:ind w:left="4680" w:hanging="360"/>
      </w:pPr>
      <w:rPr>
        <w:rFonts w:ascii="Symbol" w:hAnsi="Symbol" w:hint="default"/>
      </w:rPr>
    </w:lvl>
    <w:lvl w:ilvl="7" w:tplc="6A3CF63C" w:tentative="1">
      <w:start w:val="1"/>
      <w:numFmt w:val="bullet"/>
      <w:lvlText w:val="o"/>
      <w:lvlJc w:val="left"/>
      <w:pPr>
        <w:ind w:left="5400" w:hanging="360"/>
      </w:pPr>
      <w:rPr>
        <w:rFonts w:ascii="Courier New" w:hAnsi="Courier New" w:cs="Courier New" w:hint="default"/>
      </w:rPr>
    </w:lvl>
    <w:lvl w:ilvl="8" w:tplc="18003320" w:tentative="1">
      <w:start w:val="1"/>
      <w:numFmt w:val="bullet"/>
      <w:lvlText w:val=""/>
      <w:lvlJc w:val="left"/>
      <w:pPr>
        <w:ind w:left="6120" w:hanging="360"/>
      </w:pPr>
      <w:rPr>
        <w:rFonts w:ascii="Wingdings" w:hAnsi="Wingdings" w:hint="default"/>
      </w:rPr>
    </w:lvl>
  </w:abstractNum>
  <w:abstractNum w:abstractNumId="5" w15:restartNumberingAfterBreak="0">
    <w:nsid w:val="4E234806"/>
    <w:multiLevelType w:val="hybridMultilevel"/>
    <w:tmpl w:val="214237E2"/>
    <w:lvl w:ilvl="0" w:tplc="7632F664">
      <w:start w:val="1"/>
      <w:numFmt w:val="decimal"/>
      <w:lvlText w:val="(%1)"/>
      <w:lvlJc w:val="left"/>
      <w:pPr>
        <w:ind w:left="720" w:hanging="360"/>
      </w:pPr>
      <w:rPr>
        <w:rFonts w:hint="default"/>
      </w:rPr>
    </w:lvl>
    <w:lvl w:ilvl="1" w:tplc="E60AA9D6" w:tentative="1">
      <w:start w:val="1"/>
      <w:numFmt w:val="lowerLetter"/>
      <w:lvlText w:val="%2."/>
      <w:lvlJc w:val="left"/>
      <w:pPr>
        <w:ind w:left="1440" w:hanging="360"/>
      </w:pPr>
    </w:lvl>
    <w:lvl w:ilvl="2" w:tplc="1EC2564C" w:tentative="1">
      <w:start w:val="1"/>
      <w:numFmt w:val="lowerRoman"/>
      <w:lvlText w:val="%3."/>
      <w:lvlJc w:val="right"/>
      <w:pPr>
        <w:ind w:left="2160" w:hanging="180"/>
      </w:pPr>
    </w:lvl>
    <w:lvl w:ilvl="3" w:tplc="2304B352" w:tentative="1">
      <w:start w:val="1"/>
      <w:numFmt w:val="decimal"/>
      <w:lvlText w:val="%4."/>
      <w:lvlJc w:val="left"/>
      <w:pPr>
        <w:ind w:left="2880" w:hanging="360"/>
      </w:pPr>
    </w:lvl>
    <w:lvl w:ilvl="4" w:tplc="F8F44F6A" w:tentative="1">
      <w:start w:val="1"/>
      <w:numFmt w:val="lowerLetter"/>
      <w:lvlText w:val="%5."/>
      <w:lvlJc w:val="left"/>
      <w:pPr>
        <w:ind w:left="3600" w:hanging="360"/>
      </w:pPr>
    </w:lvl>
    <w:lvl w:ilvl="5" w:tplc="1BE6ACD0" w:tentative="1">
      <w:start w:val="1"/>
      <w:numFmt w:val="lowerRoman"/>
      <w:lvlText w:val="%6."/>
      <w:lvlJc w:val="right"/>
      <w:pPr>
        <w:ind w:left="4320" w:hanging="180"/>
      </w:pPr>
    </w:lvl>
    <w:lvl w:ilvl="6" w:tplc="4EDE0316" w:tentative="1">
      <w:start w:val="1"/>
      <w:numFmt w:val="decimal"/>
      <w:lvlText w:val="%7."/>
      <w:lvlJc w:val="left"/>
      <w:pPr>
        <w:ind w:left="5040" w:hanging="360"/>
      </w:pPr>
    </w:lvl>
    <w:lvl w:ilvl="7" w:tplc="C3ECD908" w:tentative="1">
      <w:start w:val="1"/>
      <w:numFmt w:val="lowerLetter"/>
      <w:lvlText w:val="%8."/>
      <w:lvlJc w:val="left"/>
      <w:pPr>
        <w:ind w:left="5760" w:hanging="360"/>
      </w:pPr>
    </w:lvl>
    <w:lvl w:ilvl="8" w:tplc="C2888F20" w:tentative="1">
      <w:start w:val="1"/>
      <w:numFmt w:val="lowerRoman"/>
      <w:lvlText w:val="%9."/>
      <w:lvlJc w:val="right"/>
      <w:pPr>
        <w:ind w:left="6480" w:hanging="180"/>
      </w:pPr>
    </w:lvl>
  </w:abstractNum>
  <w:abstractNum w:abstractNumId="6" w15:restartNumberingAfterBreak="0">
    <w:nsid w:val="50A63FD6"/>
    <w:multiLevelType w:val="hybridMultilevel"/>
    <w:tmpl w:val="A9F83A44"/>
    <w:lvl w:ilvl="0" w:tplc="3AE86800">
      <w:start w:val="1"/>
      <w:numFmt w:val="bullet"/>
      <w:lvlText w:val=""/>
      <w:lvlJc w:val="left"/>
      <w:pPr>
        <w:ind w:left="360" w:hanging="360"/>
      </w:pPr>
      <w:rPr>
        <w:rFonts w:ascii="Symbol" w:hAnsi="Symbol" w:hint="default"/>
      </w:rPr>
    </w:lvl>
    <w:lvl w:ilvl="1" w:tplc="3C947988">
      <w:start w:val="1"/>
      <w:numFmt w:val="bullet"/>
      <w:lvlText w:val="o"/>
      <w:lvlJc w:val="left"/>
      <w:pPr>
        <w:ind w:left="1080" w:hanging="360"/>
      </w:pPr>
      <w:rPr>
        <w:rFonts w:ascii="Courier New" w:hAnsi="Courier New" w:cs="Courier New" w:hint="default"/>
      </w:rPr>
    </w:lvl>
    <w:lvl w:ilvl="2" w:tplc="EFF05D98" w:tentative="1">
      <w:start w:val="1"/>
      <w:numFmt w:val="bullet"/>
      <w:lvlText w:val=""/>
      <w:lvlJc w:val="left"/>
      <w:pPr>
        <w:ind w:left="1800" w:hanging="360"/>
      </w:pPr>
      <w:rPr>
        <w:rFonts w:ascii="Wingdings" w:hAnsi="Wingdings" w:hint="default"/>
      </w:rPr>
    </w:lvl>
    <w:lvl w:ilvl="3" w:tplc="F7E849DE" w:tentative="1">
      <w:start w:val="1"/>
      <w:numFmt w:val="bullet"/>
      <w:lvlText w:val=""/>
      <w:lvlJc w:val="left"/>
      <w:pPr>
        <w:ind w:left="2520" w:hanging="360"/>
      </w:pPr>
      <w:rPr>
        <w:rFonts w:ascii="Symbol" w:hAnsi="Symbol" w:hint="default"/>
      </w:rPr>
    </w:lvl>
    <w:lvl w:ilvl="4" w:tplc="4348A04E" w:tentative="1">
      <w:start w:val="1"/>
      <w:numFmt w:val="bullet"/>
      <w:lvlText w:val="o"/>
      <w:lvlJc w:val="left"/>
      <w:pPr>
        <w:ind w:left="3240" w:hanging="360"/>
      </w:pPr>
      <w:rPr>
        <w:rFonts w:ascii="Courier New" w:hAnsi="Courier New" w:cs="Courier New" w:hint="default"/>
      </w:rPr>
    </w:lvl>
    <w:lvl w:ilvl="5" w:tplc="76E80A5E" w:tentative="1">
      <w:start w:val="1"/>
      <w:numFmt w:val="bullet"/>
      <w:lvlText w:val=""/>
      <w:lvlJc w:val="left"/>
      <w:pPr>
        <w:ind w:left="3960" w:hanging="360"/>
      </w:pPr>
      <w:rPr>
        <w:rFonts w:ascii="Wingdings" w:hAnsi="Wingdings" w:hint="default"/>
      </w:rPr>
    </w:lvl>
    <w:lvl w:ilvl="6" w:tplc="2C60C88C" w:tentative="1">
      <w:start w:val="1"/>
      <w:numFmt w:val="bullet"/>
      <w:lvlText w:val=""/>
      <w:lvlJc w:val="left"/>
      <w:pPr>
        <w:ind w:left="4680" w:hanging="360"/>
      </w:pPr>
      <w:rPr>
        <w:rFonts w:ascii="Symbol" w:hAnsi="Symbol" w:hint="default"/>
      </w:rPr>
    </w:lvl>
    <w:lvl w:ilvl="7" w:tplc="193EE214" w:tentative="1">
      <w:start w:val="1"/>
      <w:numFmt w:val="bullet"/>
      <w:lvlText w:val="o"/>
      <w:lvlJc w:val="left"/>
      <w:pPr>
        <w:ind w:left="5400" w:hanging="360"/>
      </w:pPr>
      <w:rPr>
        <w:rFonts w:ascii="Courier New" w:hAnsi="Courier New" w:cs="Courier New" w:hint="default"/>
      </w:rPr>
    </w:lvl>
    <w:lvl w:ilvl="8" w:tplc="CE3673D4" w:tentative="1">
      <w:start w:val="1"/>
      <w:numFmt w:val="bullet"/>
      <w:lvlText w:val=""/>
      <w:lvlJc w:val="left"/>
      <w:pPr>
        <w:ind w:left="6120" w:hanging="360"/>
      </w:pPr>
      <w:rPr>
        <w:rFonts w:ascii="Wingdings" w:hAnsi="Wingdings" w:hint="default"/>
      </w:rPr>
    </w:lvl>
  </w:abstractNum>
  <w:abstractNum w:abstractNumId="7" w15:restartNumberingAfterBreak="0">
    <w:nsid w:val="515B472F"/>
    <w:multiLevelType w:val="hybridMultilevel"/>
    <w:tmpl w:val="476A08B8"/>
    <w:lvl w:ilvl="0" w:tplc="1508259A">
      <w:start w:val="1"/>
      <w:numFmt w:val="bullet"/>
      <w:lvlText w:val=""/>
      <w:lvlJc w:val="left"/>
      <w:pPr>
        <w:ind w:left="720" w:hanging="360"/>
      </w:pPr>
      <w:rPr>
        <w:rFonts w:ascii="Symbol" w:hAnsi="Symbol" w:hint="default"/>
      </w:rPr>
    </w:lvl>
    <w:lvl w:ilvl="1" w:tplc="09B60E26" w:tentative="1">
      <w:start w:val="1"/>
      <w:numFmt w:val="bullet"/>
      <w:lvlText w:val="o"/>
      <w:lvlJc w:val="left"/>
      <w:pPr>
        <w:ind w:left="1440" w:hanging="360"/>
      </w:pPr>
      <w:rPr>
        <w:rFonts w:ascii="Courier New" w:hAnsi="Courier New" w:cs="Courier New" w:hint="default"/>
      </w:rPr>
    </w:lvl>
    <w:lvl w:ilvl="2" w:tplc="17A43A64" w:tentative="1">
      <w:start w:val="1"/>
      <w:numFmt w:val="bullet"/>
      <w:lvlText w:val=""/>
      <w:lvlJc w:val="left"/>
      <w:pPr>
        <w:ind w:left="2160" w:hanging="360"/>
      </w:pPr>
      <w:rPr>
        <w:rFonts w:ascii="Wingdings" w:hAnsi="Wingdings" w:hint="default"/>
      </w:rPr>
    </w:lvl>
    <w:lvl w:ilvl="3" w:tplc="8CFC3A80" w:tentative="1">
      <w:start w:val="1"/>
      <w:numFmt w:val="bullet"/>
      <w:lvlText w:val=""/>
      <w:lvlJc w:val="left"/>
      <w:pPr>
        <w:ind w:left="2880" w:hanging="360"/>
      </w:pPr>
      <w:rPr>
        <w:rFonts w:ascii="Symbol" w:hAnsi="Symbol" w:hint="default"/>
      </w:rPr>
    </w:lvl>
    <w:lvl w:ilvl="4" w:tplc="C546BEDA" w:tentative="1">
      <w:start w:val="1"/>
      <w:numFmt w:val="bullet"/>
      <w:lvlText w:val="o"/>
      <w:lvlJc w:val="left"/>
      <w:pPr>
        <w:ind w:left="3600" w:hanging="360"/>
      </w:pPr>
      <w:rPr>
        <w:rFonts w:ascii="Courier New" w:hAnsi="Courier New" w:cs="Courier New" w:hint="default"/>
      </w:rPr>
    </w:lvl>
    <w:lvl w:ilvl="5" w:tplc="279CF248" w:tentative="1">
      <w:start w:val="1"/>
      <w:numFmt w:val="bullet"/>
      <w:lvlText w:val=""/>
      <w:lvlJc w:val="left"/>
      <w:pPr>
        <w:ind w:left="4320" w:hanging="360"/>
      </w:pPr>
      <w:rPr>
        <w:rFonts w:ascii="Wingdings" w:hAnsi="Wingdings" w:hint="default"/>
      </w:rPr>
    </w:lvl>
    <w:lvl w:ilvl="6" w:tplc="6728FD78" w:tentative="1">
      <w:start w:val="1"/>
      <w:numFmt w:val="bullet"/>
      <w:lvlText w:val=""/>
      <w:lvlJc w:val="left"/>
      <w:pPr>
        <w:ind w:left="5040" w:hanging="360"/>
      </w:pPr>
      <w:rPr>
        <w:rFonts w:ascii="Symbol" w:hAnsi="Symbol" w:hint="default"/>
      </w:rPr>
    </w:lvl>
    <w:lvl w:ilvl="7" w:tplc="7BBEBE02" w:tentative="1">
      <w:start w:val="1"/>
      <w:numFmt w:val="bullet"/>
      <w:lvlText w:val="o"/>
      <w:lvlJc w:val="left"/>
      <w:pPr>
        <w:ind w:left="5760" w:hanging="360"/>
      </w:pPr>
      <w:rPr>
        <w:rFonts w:ascii="Courier New" w:hAnsi="Courier New" w:cs="Courier New" w:hint="default"/>
      </w:rPr>
    </w:lvl>
    <w:lvl w:ilvl="8" w:tplc="FD3451E4" w:tentative="1">
      <w:start w:val="1"/>
      <w:numFmt w:val="bullet"/>
      <w:lvlText w:val=""/>
      <w:lvlJc w:val="left"/>
      <w:pPr>
        <w:ind w:left="6480" w:hanging="360"/>
      </w:pPr>
      <w:rPr>
        <w:rFonts w:ascii="Wingdings" w:hAnsi="Wingdings" w:hint="default"/>
      </w:rPr>
    </w:lvl>
  </w:abstractNum>
  <w:abstractNum w:abstractNumId="8" w15:restartNumberingAfterBreak="0">
    <w:nsid w:val="74CE5711"/>
    <w:multiLevelType w:val="multilevel"/>
    <w:tmpl w:val="62501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F7E52D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F9955FC"/>
    <w:multiLevelType w:val="hybridMultilevel"/>
    <w:tmpl w:val="D52A5A48"/>
    <w:lvl w:ilvl="0" w:tplc="8EB2A814">
      <w:start w:val="1"/>
      <w:numFmt w:val="decimal"/>
      <w:lvlText w:val="%1."/>
      <w:lvlJc w:val="left"/>
      <w:pPr>
        <w:ind w:left="360" w:hanging="360"/>
      </w:pPr>
    </w:lvl>
    <w:lvl w:ilvl="1" w:tplc="8A4CFF2E" w:tentative="1">
      <w:start w:val="1"/>
      <w:numFmt w:val="lowerLetter"/>
      <w:lvlText w:val="%2."/>
      <w:lvlJc w:val="left"/>
      <w:pPr>
        <w:ind w:left="1080" w:hanging="360"/>
      </w:pPr>
    </w:lvl>
    <w:lvl w:ilvl="2" w:tplc="54E09010" w:tentative="1">
      <w:start w:val="1"/>
      <w:numFmt w:val="lowerRoman"/>
      <w:lvlText w:val="%3."/>
      <w:lvlJc w:val="right"/>
      <w:pPr>
        <w:ind w:left="1800" w:hanging="180"/>
      </w:pPr>
    </w:lvl>
    <w:lvl w:ilvl="3" w:tplc="2384F630" w:tentative="1">
      <w:start w:val="1"/>
      <w:numFmt w:val="decimal"/>
      <w:lvlText w:val="%4."/>
      <w:lvlJc w:val="left"/>
      <w:pPr>
        <w:ind w:left="2520" w:hanging="360"/>
      </w:pPr>
    </w:lvl>
    <w:lvl w:ilvl="4" w:tplc="548843A4" w:tentative="1">
      <w:start w:val="1"/>
      <w:numFmt w:val="lowerLetter"/>
      <w:lvlText w:val="%5."/>
      <w:lvlJc w:val="left"/>
      <w:pPr>
        <w:ind w:left="3240" w:hanging="360"/>
      </w:pPr>
    </w:lvl>
    <w:lvl w:ilvl="5" w:tplc="7C2E561C" w:tentative="1">
      <w:start w:val="1"/>
      <w:numFmt w:val="lowerRoman"/>
      <w:lvlText w:val="%6."/>
      <w:lvlJc w:val="right"/>
      <w:pPr>
        <w:ind w:left="3960" w:hanging="180"/>
      </w:pPr>
    </w:lvl>
    <w:lvl w:ilvl="6" w:tplc="E4ECC9DC" w:tentative="1">
      <w:start w:val="1"/>
      <w:numFmt w:val="decimal"/>
      <w:lvlText w:val="%7."/>
      <w:lvlJc w:val="left"/>
      <w:pPr>
        <w:ind w:left="4680" w:hanging="360"/>
      </w:pPr>
    </w:lvl>
    <w:lvl w:ilvl="7" w:tplc="A81CB68A" w:tentative="1">
      <w:start w:val="1"/>
      <w:numFmt w:val="lowerLetter"/>
      <w:lvlText w:val="%8."/>
      <w:lvlJc w:val="left"/>
      <w:pPr>
        <w:ind w:left="5400" w:hanging="360"/>
      </w:pPr>
    </w:lvl>
    <w:lvl w:ilvl="8" w:tplc="520CE694" w:tentative="1">
      <w:start w:val="1"/>
      <w:numFmt w:val="lowerRoman"/>
      <w:lvlText w:val="%9."/>
      <w:lvlJc w:val="right"/>
      <w:pPr>
        <w:ind w:left="6120" w:hanging="180"/>
      </w:pPr>
    </w:lvl>
  </w:abstractNum>
  <w:num w:numId="1">
    <w:abstractNumId w:val="7"/>
  </w:num>
  <w:num w:numId="2">
    <w:abstractNumId w:val="2"/>
  </w:num>
  <w:num w:numId="3">
    <w:abstractNumId w:val="10"/>
  </w:num>
  <w:num w:numId="4">
    <w:abstractNumId w:val="9"/>
  </w:num>
  <w:num w:numId="5">
    <w:abstractNumId w:val="3"/>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N7EwBgIzMxNzQyUdpeDU4uLM/DyQAiPTWgBz0exYLQAAAA=="/>
  </w:docVars>
  <w:rsids>
    <w:rsidRoot w:val="00577B1C"/>
    <w:rsid w:val="000031B5"/>
    <w:rsid w:val="00004648"/>
    <w:rsid w:val="00004731"/>
    <w:rsid w:val="00006077"/>
    <w:rsid w:val="0001212E"/>
    <w:rsid w:val="0001752C"/>
    <w:rsid w:val="00020B12"/>
    <w:rsid w:val="0003428E"/>
    <w:rsid w:val="00040E23"/>
    <w:rsid w:val="00041C13"/>
    <w:rsid w:val="00042492"/>
    <w:rsid w:val="000456DD"/>
    <w:rsid w:val="00046AC1"/>
    <w:rsid w:val="00051042"/>
    <w:rsid w:val="00053122"/>
    <w:rsid w:val="00053935"/>
    <w:rsid w:val="0005567C"/>
    <w:rsid w:val="00065726"/>
    <w:rsid w:val="00066534"/>
    <w:rsid w:val="00067DD0"/>
    <w:rsid w:val="00073F65"/>
    <w:rsid w:val="00076B7B"/>
    <w:rsid w:val="000A01E6"/>
    <w:rsid w:val="000C0ABC"/>
    <w:rsid w:val="000C195F"/>
    <w:rsid w:val="000C6A58"/>
    <w:rsid w:val="000D448C"/>
    <w:rsid w:val="00102842"/>
    <w:rsid w:val="00104970"/>
    <w:rsid w:val="0010504A"/>
    <w:rsid w:val="0011283C"/>
    <w:rsid w:val="00117260"/>
    <w:rsid w:val="00122D52"/>
    <w:rsid w:val="00123F72"/>
    <w:rsid w:val="00126051"/>
    <w:rsid w:val="0012629C"/>
    <w:rsid w:val="00134D36"/>
    <w:rsid w:val="0014406E"/>
    <w:rsid w:val="001526EE"/>
    <w:rsid w:val="00156451"/>
    <w:rsid w:val="00157A79"/>
    <w:rsid w:val="00164246"/>
    <w:rsid w:val="001645F2"/>
    <w:rsid w:val="00166143"/>
    <w:rsid w:val="00170456"/>
    <w:rsid w:val="0017688E"/>
    <w:rsid w:val="001844C3"/>
    <w:rsid w:val="00190B00"/>
    <w:rsid w:val="00191880"/>
    <w:rsid w:val="001A7271"/>
    <w:rsid w:val="001C2670"/>
    <w:rsid w:val="001C59F2"/>
    <w:rsid w:val="001C5DB7"/>
    <w:rsid w:val="001D62E3"/>
    <w:rsid w:val="001E0A80"/>
    <w:rsid w:val="001F125F"/>
    <w:rsid w:val="001F7F19"/>
    <w:rsid w:val="00210DFB"/>
    <w:rsid w:val="00211391"/>
    <w:rsid w:val="00224D8C"/>
    <w:rsid w:val="002323FC"/>
    <w:rsid w:val="00232744"/>
    <w:rsid w:val="00237251"/>
    <w:rsid w:val="00237477"/>
    <w:rsid w:val="00247C5B"/>
    <w:rsid w:val="00261E50"/>
    <w:rsid w:val="00264885"/>
    <w:rsid w:val="002714E9"/>
    <w:rsid w:val="00281563"/>
    <w:rsid w:val="00291EC8"/>
    <w:rsid w:val="0029309F"/>
    <w:rsid w:val="00297E3A"/>
    <w:rsid w:val="002A01A5"/>
    <w:rsid w:val="002A3A4F"/>
    <w:rsid w:val="002A43DF"/>
    <w:rsid w:val="002A5E20"/>
    <w:rsid w:val="002B0B34"/>
    <w:rsid w:val="002B5E33"/>
    <w:rsid w:val="002D480F"/>
    <w:rsid w:val="002E7398"/>
    <w:rsid w:val="002F72EE"/>
    <w:rsid w:val="00300023"/>
    <w:rsid w:val="003037DB"/>
    <w:rsid w:val="00306C75"/>
    <w:rsid w:val="00332103"/>
    <w:rsid w:val="003363A1"/>
    <w:rsid w:val="00342807"/>
    <w:rsid w:val="00346416"/>
    <w:rsid w:val="003508C1"/>
    <w:rsid w:val="00352767"/>
    <w:rsid w:val="0035382C"/>
    <w:rsid w:val="00360808"/>
    <w:rsid w:val="003618C3"/>
    <w:rsid w:val="00363750"/>
    <w:rsid w:val="00373377"/>
    <w:rsid w:val="00375811"/>
    <w:rsid w:val="00377DD5"/>
    <w:rsid w:val="0038693B"/>
    <w:rsid w:val="00392E38"/>
    <w:rsid w:val="003B6096"/>
    <w:rsid w:val="003C3427"/>
    <w:rsid w:val="003C79B3"/>
    <w:rsid w:val="003C7DF8"/>
    <w:rsid w:val="003E3F17"/>
    <w:rsid w:val="00400DC9"/>
    <w:rsid w:val="00413787"/>
    <w:rsid w:val="0042018E"/>
    <w:rsid w:val="00423642"/>
    <w:rsid w:val="00426EC4"/>
    <w:rsid w:val="0043537C"/>
    <w:rsid w:val="00440184"/>
    <w:rsid w:val="00440A44"/>
    <w:rsid w:val="00444655"/>
    <w:rsid w:val="004467B8"/>
    <w:rsid w:val="00463948"/>
    <w:rsid w:val="00472AE3"/>
    <w:rsid w:val="0048168B"/>
    <w:rsid w:val="00492355"/>
    <w:rsid w:val="0049785A"/>
    <w:rsid w:val="004B54BD"/>
    <w:rsid w:val="004C0131"/>
    <w:rsid w:val="004C1461"/>
    <w:rsid w:val="004E39F1"/>
    <w:rsid w:val="004E453A"/>
    <w:rsid w:val="004E6574"/>
    <w:rsid w:val="004F0869"/>
    <w:rsid w:val="0050346F"/>
    <w:rsid w:val="00514B56"/>
    <w:rsid w:val="0051740D"/>
    <w:rsid w:val="00522CDD"/>
    <w:rsid w:val="005337B3"/>
    <w:rsid w:val="00533B05"/>
    <w:rsid w:val="00535142"/>
    <w:rsid w:val="005403C5"/>
    <w:rsid w:val="005403CE"/>
    <w:rsid w:val="0057305E"/>
    <w:rsid w:val="00577B1C"/>
    <w:rsid w:val="00580A9C"/>
    <w:rsid w:val="005855DF"/>
    <w:rsid w:val="005915E6"/>
    <w:rsid w:val="00593CD2"/>
    <w:rsid w:val="0059551D"/>
    <w:rsid w:val="005A1A1F"/>
    <w:rsid w:val="005A2D4F"/>
    <w:rsid w:val="005A2FA7"/>
    <w:rsid w:val="005A5639"/>
    <w:rsid w:val="005B18B3"/>
    <w:rsid w:val="005B52B7"/>
    <w:rsid w:val="005D0B56"/>
    <w:rsid w:val="005D5F1B"/>
    <w:rsid w:val="005D682B"/>
    <w:rsid w:val="005E3110"/>
    <w:rsid w:val="005E7F68"/>
    <w:rsid w:val="0060190B"/>
    <w:rsid w:val="0060244C"/>
    <w:rsid w:val="00606889"/>
    <w:rsid w:val="00610F87"/>
    <w:rsid w:val="00611448"/>
    <w:rsid w:val="006119F0"/>
    <w:rsid w:val="006130AB"/>
    <w:rsid w:val="00613E9F"/>
    <w:rsid w:val="0061615A"/>
    <w:rsid w:val="00622DF7"/>
    <w:rsid w:val="00625328"/>
    <w:rsid w:val="00625FEF"/>
    <w:rsid w:val="0062726F"/>
    <w:rsid w:val="006309DE"/>
    <w:rsid w:val="0064665E"/>
    <w:rsid w:val="00653D9A"/>
    <w:rsid w:val="00663BCA"/>
    <w:rsid w:val="00665A08"/>
    <w:rsid w:val="0067548E"/>
    <w:rsid w:val="00680E88"/>
    <w:rsid w:val="006905CC"/>
    <w:rsid w:val="0069244A"/>
    <w:rsid w:val="00696CAC"/>
    <w:rsid w:val="006971C4"/>
    <w:rsid w:val="006A44F7"/>
    <w:rsid w:val="006A64EE"/>
    <w:rsid w:val="006B0C37"/>
    <w:rsid w:val="006B254D"/>
    <w:rsid w:val="006D29CA"/>
    <w:rsid w:val="006D71D5"/>
    <w:rsid w:val="006E01F5"/>
    <w:rsid w:val="006E0736"/>
    <w:rsid w:val="00703044"/>
    <w:rsid w:val="00704DB4"/>
    <w:rsid w:val="0071319D"/>
    <w:rsid w:val="007147EC"/>
    <w:rsid w:val="0072158D"/>
    <w:rsid w:val="00721A81"/>
    <w:rsid w:val="00723691"/>
    <w:rsid w:val="0072467D"/>
    <w:rsid w:val="00725103"/>
    <w:rsid w:val="00730D30"/>
    <w:rsid w:val="00741FDA"/>
    <w:rsid w:val="00743D42"/>
    <w:rsid w:val="00751C1B"/>
    <w:rsid w:val="007532EA"/>
    <w:rsid w:val="007567EB"/>
    <w:rsid w:val="00767AF9"/>
    <w:rsid w:val="00770BA8"/>
    <w:rsid w:val="007855F0"/>
    <w:rsid w:val="00790194"/>
    <w:rsid w:val="0079293E"/>
    <w:rsid w:val="00795610"/>
    <w:rsid w:val="007B5374"/>
    <w:rsid w:val="007C4155"/>
    <w:rsid w:val="007C442B"/>
    <w:rsid w:val="007C719F"/>
    <w:rsid w:val="007D1B49"/>
    <w:rsid w:val="007D5F69"/>
    <w:rsid w:val="007D7156"/>
    <w:rsid w:val="007E3D4C"/>
    <w:rsid w:val="007E5DFC"/>
    <w:rsid w:val="007F147C"/>
    <w:rsid w:val="007F75FC"/>
    <w:rsid w:val="008031BB"/>
    <w:rsid w:val="00806A13"/>
    <w:rsid w:val="0082198D"/>
    <w:rsid w:val="00823CE9"/>
    <w:rsid w:val="00830E18"/>
    <w:rsid w:val="00884EF7"/>
    <w:rsid w:val="00887A05"/>
    <w:rsid w:val="0089338C"/>
    <w:rsid w:val="00893E7B"/>
    <w:rsid w:val="00894109"/>
    <w:rsid w:val="00897747"/>
    <w:rsid w:val="008A1454"/>
    <w:rsid w:val="008D08DD"/>
    <w:rsid w:val="008D0AED"/>
    <w:rsid w:val="008D151F"/>
    <w:rsid w:val="008D1B8E"/>
    <w:rsid w:val="008D6618"/>
    <w:rsid w:val="008E054F"/>
    <w:rsid w:val="008F5EE6"/>
    <w:rsid w:val="008F61AD"/>
    <w:rsid w:val="009036B3"/>
    <w:rsid w:val="009128F8"/>
    <w:rsid w:val="00912CF5"/>
    <w:rsid w:val="0091588E"/>
    <w:rsid w:val="00930D78"/>
    <w:rsid w:val="00932A4D"/>
    <w:rsid w:val="00932ACA"/>
    <w:rsid w:val="0093581D"/>
    <w:rsid w:val="0094740A"/>
    <w:rsid w:val="00972633"/>
    <w:rsid w:val="009757E5"/>
    <w:rsid w:val="009A168C"/>
    <w:rsid w:val="009A53B4"/>
    <w:rsid w:val="009B24D2"/>
    <w:rsid w:val="009B56A4"/>
    <w:rsid w:val="009B7597"/>
    <w:rsid w:val="009C0FFF"/>
    <w:rsid w:val="009C5B87"/>
    <w:rsid w:val="009D1509"/>
    <w:rsid w:val="009E1FEE"/>
    <w:rsid w:val="009E5688"/>
    <w:rsid w:val="009E6694"/>
    <w:rsid w:val="009F1B31"/>
    <w:rsid w:val="009F44B1"/>
    <w:rsid w:val="00A05A6B"/>
    <w:rsid w:val="00A1686C"/>
    <w:rsid w:val="00A23094"/>
    <w:rsid w:val="00A30A99"/>
    <w:rsid w:val="00A42E94"/>
    <w:rsid w:val="00A430FE"/>
    <w:rsid w:val="00A43666"/>
    <w:rsid w:val="00A43C51"/>
    <w:rsid w:val="00A45949"/>
    <w:rsid w:val="00A47CEA"/>
    <w:rsid w:val="00A55C54"/>
    <w:rsid w:val="00A60AA2"/>
    <w:rsid w:val="00A67527"/>
    <w:rsid w:val="00A7229F"/>
    <w:rsid w:val="00A77EB4"/>
    <w:rsid w:val="00A814F3"/>
    <w:rsid w:val="00A863F0"/>
    <w:rsid w:val="00A87EB6"/>
    <w:rsid w:val="00A93FA4"/>
    <w:rsid w:val="00AA6910"/>
    <w:rsid w:val="00AB37C1"/>
    <w:rsid w:val="00AB4DDC"/>
    <w:rsid w:val="00AB70BC"/>
    <w:rsid w:val="00AB74EE"/>
    <w:rsid w:val="00AC070B"/>
    <w:rsid w:val="00AC76B4"/>
    <w:rsid w:val="00AD1F7D"/>
    <w:rsid w:val="00AE0B5B"/>
    <w:rsid w:val="00AE6D3C"/>
    <w:rsid w:val="00AE6F24"/>
    <w:rsid w:val="00AF332C"/>
    <w:rsid w:val="00AF53E8"/>
    <w:rsid w:val="00B13732"/>
    <w:rsid w:val="00B1549D"/>
    <w:rsid w:val="00B176B2"/>
    <w:rsid w:val="00B17D17"/>
    <w:rsid w:val="00B2089A"/>
    <w:rsid w:val="00B2163B"/>
    <w:rsid w:val="00B22FCC"/>
    <w:rsid w:val="00B37EA3"/>
    <w:rsid w:val="00B44CC5"/>
    <w:rsid w:val="00B45AD7"/>
    <w:rsid w:val="00B544DC"/>
    <w:rsid w:val="00B567B6"/>
    <w:rsid w:val="00B64D89"/>
    <w:rsid w:val="00B7401D"/>
    <w:rsid w:val="00B84B6E"/>
    <w:rsid w:val="00B87812"/>
    <w:rsid w:val="00B908E8"/>
    <w:rsid w:val="00B91646"/>
    <w:rsid w:val="00B93FFA"/>
    <w:rsid w:val="00BA108C"/>
    <w:rsid w:val="00BA238C"/>
    <w:rsid w:val="00BA321A"/>
    <w:rsid w:val="00BD3CD5"/>
    <w:rsid w:val="00BE03E2"/>
    <w:rsid w:val="00BE429F"/>
    <w:rsid w:val="00BE6001"/>
    <w:rsid w:val="00BE6235"/>
    <w:rsid w:val="00BF60F7"/>
    <w:rsid w:val="00C01B25"/>
    <w:rsid w:val="00C0272F"/>
    <w:rsid w:val="00C033A4"/>
    <w:rsid w:val="00C03F46"/>
    <w:rsid w:val="00C12923"/>
    <w:rsid w:val="00C13422"/>
    <w:rsid w:val="00C140E7"/>
    <w:rsid w:val="00C214BE"/>
    <w:rsid w:val="00C32272"/>
    <w:rsid w:val="00C3764C"/>
    <w:rsid w:val="00C410FE"/>
    <w:rsid w:val="00C45179"/>
    <w:rsid w:val="00C456B9"/>
    <w:rsid w:val="00C467E3"/>
    <w:rsid w:val="00C56828"/>
    <w:rsid w:val="00C571E8"/>
    <w:rsid w:val="00C60146"/>
    <w:rsid w:val="00C63015"/>
    <w:rsid w:val="00C666BC"/>
    <w:rsid w:val="00C8120D"/>
    <w:rsid w:val="00C85518"/>
    <w:rsid w:val="00C90D5B"/>
    <w:rsid w:val="00C93E86"/>
    <w:rsid w:val="00CA4286"/>
    <w:rsid w:val="00CA4C92"/>
    <w:rsid w:val="00CB1ADD"/>
    <w:rsid w:val="00CB2FA4"/>
    <w:rsid w:val="00CB681A"/>
    <w:rsid w:val="00CC05D0"/>
    <w:rsid w:val="00CC4D73"/>
    <w:rsid w:val="00CD4B26"/>
    <w:rsid w:val="00CD5339"/>
    <w:rsid w:val="00CE0F2F"/>
    <w:rsid w:val="00CF1658"/>
    <w:rsid w:val="00D12519"/>
    <w:rsid w:val="00D14812"/>
    <w:rsid w:val="00D1589F"/>
    <w:rsid w:val="00D17798"/>
    <w:rsid w:val="00D17D8D"/>
    <w:rsid w:val="00D260B2"/>
    <w:rsid w:val="00D30163"/>
    <w:rsid w:val="00D31F30"/>
    <w:rsid w:val="00D32289"/>
    <w:rsid w:val="00D35E33"/>
    <w:rsid w:val="00D42EA0"/>
    <w:rsid w:val="00D438B6"/>
    <w:rsid w:val="00D54B78"/>
    <w:rsid w:val="00D60394"/>
    <w:rsid w:val="00D61A1F"/>
    <w:rsid w:val="00D62B8A"/>
    <w:rsid w:val="00D65A08"/>
    <w:rsid w:val="00D67CEF"/>
    <w:rsid w:val="00D7501A"/>
    <w:rsid w:val="00D85515"/>
    <w:rsid w:val="00D86D51"/>
    <w:rsid w:val="00D87E35"/>
    <w:rsid w:val="00D942A2"/>
    <w:rsid w:val="00D95B4F"/>
    <w:rsid w:val="00DA10DC"/>
    <w:rsid w:val="00DA3609"/>
    <w:rsid w:val="00DA5D20"/>
    <w:rsid w:val="00DE3B79"/>
    <w:rsid w:val="00DE4144"/>
    <w:rsid w:val="00DE5761"/>
    <w:rsid w:val="00DE584D"/>
    <w:rsid w:val="00DF1AF7"/>
    <w:rsid w:val="00DF262A"/>
    <w:rsid w:val="00DF29ED"/>
    <w:rsid w:val="00DF6C8B"/>
    <w:rsid w:val="00DF78BF"/>
    <w:rsid w:val="00E06207"/>
    <w:rsid w:val="00E133F0"/>
    <w:rsid w:val="00E15B55"/>
    <w:rsid w:val="00E24704"/>
    <w:rsid w:val="00E24C89"/>
    <w:rsid w:val="00E26BFE"/>
    <w:rsid w:val="00E27264"/>
    <w:rsid w:val="00E32FA2"/>
    <w:rsid w:val="00E343C4"/>
    <w:rsid w:val="00E36508"/>
    <w:rsid w:val="00E429BE"/>
    <w:rsid w:val="00E45D6E"/>
    <w:rsid w:val="00E52292"/>
    <w:rsid w:val="00E6329D"/>
    <w:rsid w:val="00E659F7"/>
    <w:rsid w:val="00E767A7"/>
    <w:rsid w:val="00E81B33"/>
    <w:rsid w:val="00E82033"/>
    <w:rsid w:val="00E84AC2"/>
    <w:rsid w:val="00E8681B"/>
    <w:rsid w:val="00E93AC8"/>
    <w:rsid w:val="00EA0002"/>
    <w:rsid w:val="00EA610F"/>
    <w:rsid w:val="00EB55B1"/>
    <w:rsid w:val="00EC3862"/>
    <w:rsid w:val="00EC6953"/>
    <w:rsid w:val="00ED1543"/>
    <w:rsid w:val="00ED1A23"/>
    <w:rsid w:val="00EE1850"/>
    <w:rsid w:val="00EE5581"/>
    <w:rsid w:val="00EF2A68"/>
    <w:rsid w:val="00EF3BC9"/>
    <w:rsid w:val="00F02FB6"/>
    <w:rsid w:val="00F06085"/>
    <w:rsid w:val="00F06F14"/>
    <w:rsid w:val="00F12A95"/>
    <w:rsid w:val="00F224D7"/>
    <w:rsid w:val="00F347FA"/>
    <w:rsid w:val="00F372E4"/>
    <w:rsid w:val="00F4109F"/>
    <w:rsid w:val="00F41DE4"/>
    <w:rsid w:val="00F617E6"/>
    <w:rsid w:val="00F661C4"/>
    <w:rsid w:val="00F72929"/>
    <w:rsid w:val="00F751D9"/>
    <w:rsid w:val="00F969CA"/>
    <w:rsid w:val="00FB177E"/>
    <w:rsid w:val="00FB185E"/>
    <w:rsid w:val="00FB371F"/>
    <w:rsid w:val="00FB6BDC"/>
    <w:rsid w:val="00FB71FF"/>
    <w:rsid w:val="00FC18AF"/>
    <w:rsid w:val="00FC4F27"/>
    <w:rsid w:val="00FC52DD"/>
    <w:rsid w:val="00FC7BFE"/>
    <w:rsid w:val="00FD0878"/>
    <w:rsid w:val="00FE000D"/>
    <w:rsid w:val="00FE46B1"/>
    <w:rsid w:val="00FF0913"/>
    <w:rsid w:val="00F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58C1"/>
  <w15:chartTrackingRefBased/>
  <w15:docId w15:val="{51C914EA-56BD-4065-A87F-5A01621C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E3D4C"/>
    <w:pPr>
      <w:widowControl w:val="0"/>
      <w:numPr>
        <w:numId w:val="4"/>
      </w:numPr>
      <w:spacing w:before="20" w:after="0" w:line="240" w:lineRule="auto"/>
      <w:outlineLvl w:val="0"/>
    </w:pPr>
    <w:rPr>
      <w:rFonts w:ascii="Arial" w:eastAsia="Arial" w:hAnsi="Arial"/>
      <w:sz w:val="52"/>
      <w:szCs w:val="52"/>
    </w:rPr>
  </w:style>
  <w:style w:type="paragraph" w:styleId="Heading2">
    <w:name w:val="heading 2"/>
    <w:basedOn w:val="Normal"/>
    <w:link w:val="Heading2Char"/>
    <w:uiPriority w:val="1"/>
    <w:qFormat/>
    <w:rsid w:val="007E3D4C"/>
    <w:pPr>
      <w:widowControl w:val="0"/>
      <w:numPr>
        <w:ilvl w:val="1"/>
        <w:numId w:val="4"/>
      </w:numPr>
      <w:spacing w:after="0" w:line="240" w:lineRule="auto"/>
      <w:outlineLvl w:val="1"/>
    </w:pPr>
    <w:rPr>
      <w:rFonts w:ascii="Calibri" w:eastAsia="Calibri" w:hAnsi="Calibri"/>
      <w:b/>
      <w:bCs/>
    </w:rPr>
  </w:style>
  <w:style w:type="paragraph" w:styleId="Heading3">
    <w:name w:val="heading 3"/>
    <w:basedOn w:val="Normal"/>
    <w:next w:val="Normal"/>
    <w:link w:val="Heading3Char"/>
    <w:qFormat/>
    <w:rsid w:val="007E3D4C"/>
    <w:pPr>
      <w:keepNext/>
      <w:numPr>
        <w:ilvl w:val="2"/>
        <w:numId w:val="4"/>
      </w:numPr>
      <w:autoSpaceDE w:val="0"/>
      <w:autoSpaceDN w:val="0"/>
      <w:adjustRightInd w:val="0"/>
      <w:spacing w:before="240" w:after="60" w:line="240" w:lineRule="auto"/>
      <w:jc w:val="both"/>
      <w:outlineLvl w:val="2"/>
    </w:pPr>
    <w:rPr>
      <w:rFonts w:ascii="Times New Roman" w:eastAsia="Calibri" w:hAnsi="Times New Roman" w:cs="Times New Roman"/>
      <w:b/>
      <w:bCs/>
      <w:sz w:val="26"/>
      <w:szCs w:val="26"/>
      <w:lang w:val="en-IN"/>
    </w:rPr>
  </w:style>
  <w:style w:type="paragraph" w:styleId="Heading4">
    <w:name w:val="heading 4"/>
    <w:basedOn w:val="Normal"/>
    <w:next w:val="Normal"/>
    <w:link w:val="Heading4Char"/>
    <w:uiPriority w:val="9"/>
    <w:semiHidden/>
    <w:unhideWhenUsed/>
    <w:qFormat/>
    <w:rsid w:val="007E3D4C"/>
    <w:pPr>
      <w:keepNext/>
      <w:keepLines/>
      <w:numPr>
        <w:ilvl w:val="3"/>
        <w:numId w:val="4"/>
      </w:numPr>
      <w:spacing w:before="40" w:after="0" w:line="27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7E3D4C"/>
    <w:pPr>
      <w:keepNext/>
      <w:keepLines/>
      <w:numPr>
        <w:ilvl w:val="4"/>
        <w:numId w:val="4"/>
      </w:numPr>
      <w:spacing w:before="40" w:after="0" w:line="276" w:lineRule="auto"/>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7E3D4C"/>
    <w:pPr>
      <w:keepNext/>
      <w:keepLines/>
      <w:numPr>
        <w:ilvl w:val="5"/>
        <w:numId w:val="4"/>
      </w:numPr>
      <w:spacing w:before="40" w:after="0" w:line="276" w:lineRule="auto"/>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7E3D4C"/>
    <w:pPr>
      <w:keepNext/>
      <w:keepLines/>
      <w:numPr>
        <w:ilvl w:val="6"/>
        <w:numId w:val="4"/>
      </w:numPr>
      <w:spacing w:before="40" w:after="0" w:line="276" w:lineRule="auto"/>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7E3D4C"/>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7E3D4C"/>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OSM,Bullets,Citation List,Graphic,Ha,Indent Paragraph,LIST OF TABLES.,List  Title,List Paragraph1,Main numbered paragraph,Normal Italics,Numbered List Paragraph,Resume Title,TOC style,Table/Figure Heading,WB Para,heading 4,lp1"/>
    <w:basedOn w:val="Normal"/>
    <w:link w:val="ListParagraphChar"/>
    <w:uiPriority w:val="34"/>
    <w:qFormat/>
    <w:rsid w:val="000C6A58"/>
    <w:pPr>
      <w:ind w:left="720"/>
      <w:contextualSpacing/>
    </w:pPr>
  </w:style>
  <w:style w:type="paragraph" w:styleId="FootnoteText">
    <w:name w:val="footnote text"/>
    <w:aliases w:val="12pt,ADB,FOOTNOTES,Footnote,Footnote Text Char Char,Footnote Text Char Char Char1,Footnote Text Char1,Footnote Text Char1 Char,Footnote Text Char1 Char Char Char1,Footnote Text1,Fußnotentextf,Geneva 9,f,fn,fn1,footnote text,ft,single space"/>
    <w:basedOn w:val="Normal"/>
    <w:link w:val="FootnoteTextChar"/>
    <w:uiPriority w:val="99"/>
    <w:unhideWhenUsed/>
    <w:qFormat/>
    <w:rsid w:val="00102842"/>
    <w:pPr>
      <w:spacing w:after="0" w:line="240" w:lineRule="auto"/>
    </w:pPr>
    <w:rPr>
      <w:sz w:val="20"/>
      <w:szCs w:val="20"/>
    </w:rPr>
  </w:style>
  <w:style w:type="character" w:customStyle="1" w:styleId="FootnoteTextChar">
    <w:name w:val="Footnote Text Char"/>
    <w:aliases w:val="12pt Char1,ADB Char,FOOTNOTES Char1,Footnote Char1,Footnote Text Char Char Char2,Footnote Text Char Char Char1 Char1,Footnote Text Char1 Char2,Footnote Text Char1 Char Char1,Footnote Text Char1 Char Char Char1 Char,Fußnotentextf Char"/>
    <w:basedOn w:val="DefaultParagraphFont"/>
    <w:link w:val="FootnoteText"/>
    <w:uiPriority w:val="99"/>
    <w:rsid w:val="00102842"/>
    <w:rPr>
      <w:sz w:val="20"/>
      <w:szCs w:val="20"/>
    </w:rPr>
  </w:style>
  <w:style w:type="character" w:styleId="FootnoteReference">
    <w:name w:val="footnote reference"/>
    <w:aliases w:val="16 Point,BVI fnr,BVI fnr Char Char Char Char,Carattere Char Char Carattere Carattere Char Char,Carattere Char1,Fußnotenzeichen DISS,Ref,Superscript 6 Point,Superscript 6 Point + 11 pt,footnote ref,fr,ftref,ftref Char Char Char Char,o"/>
    <w:basedOn w:val="DefaultParagraphFont"/>
    <w:link w:val="BVIfnrCharCharChar"/>
    <w:uiPriority w:val="99"/>
    <w:unhideWhenUsed/>
    <w:qFormat/>
    <w:rsid w:val="00102842"/>
    <w:rPr>
      <w:vertAlign w:val="superscript"/>
    </w:rPr>
  </w:style>
  <w:style w:type="character" w:styleId="Hyperlink">
    <w:name w:val="Hyperlink"/>
    <w:basedOn w:val="DefaultParagraphFont"/>
    <w:uiPriority w:val="99"/>
    <w:unhideWhenUsed/>
    <w:rsid w:val="00B87812"/>
    <w:rPr>
      <w:color w:val="0563C1" w:themeColor="hyperlink"/>
      <w:u w:val="single"/>
    </w:rPr>
  </w:style>
  <w:style w:type="character" w:customStyle="1" w:styleId="UnresolvedMention1">
    <w:name w:val="Unresolved Mention1"/>
    <w:basedOn w:val="DefaultParagraphFont"/>
    <w:uiPriority w:val="99"/>
    <w:semiHidden/>
    <w:unhideWhenUsed/>
    <w:rsid w:val="00B87812"/>
    <w:rPr>
      <w:color w:val="605E5C"/>
      <w:shd w:val="clear" w:color="auto" w:fill="E1DFDD"/>
    </w:rPr>
  </w:style>
  <w:style w:type="character" w:customStyle="1" w:styleId="UnresolvedMention2">
    <w:name w:val="Unresolved Mention2"/>
    <w:basedOn w:val="DefaultParagraphFont"/>
    <w:uiPriority w:val="99"/>
    <w:rsid w:val="00EE1850"/>
    <w:rPr>
      <w:color w:val="605E5C"/>
      <w:shd w:val="clear" w:color="auto" w:fill="E1DFDD"/>
    </w:rPr>
  </w:style>
  <w:style w:type="paragraph" w:styleId="Header">
    <w:name w:val="header"/>
    <w:basedOn w:val="Normal"/>
    <w:link w:val="HeaderChar"/>
    <w:uiPriority w:val="99"/>
    <w:unhideWhenUsed/>
    <w:rsid w:val="0062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6F"/>
  </w:style>
  <w:style w:type="paragraph" w:styleId="Footer">
    <w:name w:val="footer"/>
    <w:basedOn w:val="Normal"/>
    <w:link w:val="FooterChar"/>
    <w:uiPriority w:val="99"/>
    <w:unhideWhenUsed/>
    <w:rsid w:val="0062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6F"/>
  </w:style>
  <w:style w:type="character" w:customStyle="1" w:styleId="UnresolvedMention3">
    <w:name w:val="Unresolved Mention3"/>
    <w:basedOn w:val="DefaultParagraphFont"/>
    <w:uiPriority w:val="99"/>
    <w:rsid w:val="00653D9A"/>
    <w:rPr>
      <w:color w:val="605E5C"/>
      <w:shd w:val="clear" w:color="auto" w:fill="E1DFDD"/>
    </w:rPr>
  </w:style>
  <w:style w:type="character" w:styleId="CommentReference">
    <w:name w:val="annotation reference"/>
    <w:basedOn w:val="DefaultParagraphFont"/>
    <w:uiPriority w:val="99"/>
    <w:semiHidden/>
    <w:unhideWhenUsed/>
    <w:rsid w:val="007E3D4C"/>
    <w:rPr>
      <w:sz w:val="16"/>
      <w:szCs w:val="16"/>
    </w:rPr>
  </w:style>
  <w:style w:type="paragraph" w:styleId="CommentText">
    <w:name w:val="annotation text"/>
    <w:basedOn w:val="Normal"/>
    <w:link w:val="CommentTextChar"/>
    <w:uiPriority w:val="99"/>
    <w:semiHidden/>
    <w:unhideWhenUsed/>
    <w:rsid w:val="007E3D4C"/>
    <w:pPr>
      <w:spacing w:line="240" w:lineRule="auto"/>
    </w:pPr>
    <w:rPr>
      <w:sz w:val="20"/>
      <w:szCs w:val="20"/>
    </w:rPr>
  </w:style>
  <w:style w:type="character" w:customStyle="1" w:styleId="CommentTextChar">
    <w:name w:val="Comment Text Char"/>
    <w:basedOn w:val="DefaultParagraphFont"/>
    <w:link w:val="CommentText"/>
    <w:uiPriority w:val="99"/>
    <w:semiHidden/>
    <w:rsid w:val="007E3D4C"/>
    <w:rPr>
      <w:sz w:val="20"/>
      <w:szCs w:val="20"/>
    </w:rPr>
  </w:style>
  <w:style w:type="paragraph" w:styleId="CommentSubject">
    <w:name w:val="annotation subject"/>
    <w:basedOn w:val="CommentText"/>
    <w:next w:val="CommentText"/>
    <w:link w:val="CommentSubjectChar"/>
    <w:uiPriority w:val="99"/>
    <w:semiHidden/>
    <w:unhideWhenUsed/>
    <w:rsid w:val="007E3D4C"/>
    <w:rPr>
      <w:b/>
      <w:bCs/>
    </w:rPr>
  </w:style>
  <w:style w:type="character" w:customStyle="1" w:styleId="CommentSubjectChar">
    <w:name w:val="Comment Subject Char"/>
    <w:basedOn w:val="CommentTextChar"/>
    <w:link w:val="CommentSubject"/>
    <w:uiPriority w:val="99"/>
    <w:semiHidden/>
    <w:rsid w:val="007E3D4C"/>
    <w:rPr>
      <w:b/>
      <w:bCs/>
      <w:sz w:val="20"/>
      <w:szCs w:val="20"/>
    </w:rPr>
  </w:style>
  <w:style w:type="paragraph" w:styleId="BalloonText">
    <w:name w:val="Balloon Text"/>
    <w:basedOn w:val="Normal"/>
    <w:link w:val="BalloonTextChar"/>
    <w:uiPriority w:val="99"/>
    <w:semiHidden/>
    <w:unhideWhenUsed/>
    <w:rsid w:val="007E3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4C"/>
    <w:rPr>
      <w:rFonts w:ascii="Segoe UI" w:hAnsi="Segoe UI" w:cs="Segoe UI"/>
      <w:sz w:val="18"/>
      <w:szCs w:val="18"/>
    </w:rPr>
  </w:style>
  <w:style w:type="character" w:customStyle="1" w:styleId="Heading1Char">
    <w:name w:val="Heading 1 Char"/>
    <w:basedOn w:val="DefaultParagraphFont"/>
    <w:link w:val="Heading1"/>
    <w:uiPriority w:val="1"/>
    <w:rsid w:val="007E3D4C"/>
    <w:rPr>
      <w:rFonts w:ascii="Arial" w:eastAsia="Arial" w:hAnsi="Arial"/>
      <w:sz w:val="52"/>
      <w:szCs w:val="52"/>
    </w:rPr>
  </w:style>
  <w:style w:type="character" w:customStyle="1" w:styleId="Heading2Char">
    <w:name w:val="Heading 2 Char"/>
    <w:basedOn w:val="DefaultParagraphFont"/>
    <w:link w:val="Heading2"/>
    <w:uiPriority w:val="1"/>
    <w:rsid w:val="007E3D4C"/>
    <w:rPr>
      <w:rFonts w:ascii="Calibri" w:eastAsia="Calibri" w:hAnsi="Calibri"/>
      <w:b/>
      <w:bCs/>
    </w:rPr>
  </w:style>
  <w:style w:type="character" w:customStyle="1" w:styleId="Heading3Char">
    <w:name w:val="Heading 3 Char"/>
    <w:basedOn w:val="DefaultParagraphFont"/>
    <w:link w:val="Heading3"/>
    <w:rsid w:val="007E3D4C"/>
    <w:rPr>
      <w:rFonts w:ascii="Times New Roman" w:eastAsia="Calibri" w:hAnsi="Times New Roman" w:cs="Times New Roman"/>
      <w:b/>
      <w:bCs/>
      <w:sz w:val="26"/>
      <w:szCs w:val="26"/>
      <w:lang w:val="en-IN"/>
    </w:rPr>
  </w:style>
  <w:style w:type="character" w:customStyle="1" w:styleId="Heading4Char">
    <w:name w:val="Heading 4 Char"/>
    <w:basedOn w:val="DefaultParagraphFont"/>
    <w:link w:val="Heading4"/>
    <w:uiPriority w:val="9"/>
    <w:semiHidden/>
    <w:rsid w:val="007E3D4C"/>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7E3D4C"/>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7E3D4C"/>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7E3D4C"/>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7E3D4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E3D4C"/>
    <w:rPr>
      <w:rFonts w:asciiTheme="majorHAnsi" w:eastAsiaTheme="majorEastAsia" w:hAnsiTheme="majorHAnsi" w:cstheme="majorBidi"/>
      <w:i/>
      <w:iCs/>
      <w:color w:val="272727" w:themeColor="text1" w:themeTint="D8"/>
      <w:sz w:val="21"/>
      <w:szCs w:val="21"/>
      <w:lang w:val="en-GB"/>
    </w:rPr>
  </w:style>
  <w:style w:type="paragraph" w:customStyle="1" w:styleId="ADRTextBulletL2">
    <w:name w:val="ADR_Text_Bullet_L2"/>
    <w:basedOn w:val="Normal"/>
    <w:link w:val="ADRTextBulletL2Char"/>
    <w:qFormat/>
    <w:rsid w:val="007E3D4C"/>
    <w:pPr>
      <w:spacing w:after="0" w:line="240" w:lineRule="auto"/>
    </w:pPr>
    <w:rPr>
      <w:rFonts w:ascii="Calibri" w:eastAsia="Times New Roman" w:hAnsi="Calibri" w:cs="Times New Roman"/>
      <w:szCs w:val="20"/>
      <w:lang w:val="en-GB"/>
    </w:rPr>
  </w:style>
  <w:style w:type="character" w:customStyle="1" w:styleId="ADRTextBulletL2Char">
    <w:name w:val="ADR_Text_Bullet_L2 Char"/>
    <w:basedOn w:val="DefaultParagraphFont"/>
    <w:link w:val="ADRTextBulletL2"/>
    <w:rsid w:val="007E3D4C"/>
    <w:rPr>
      <w:rFonts w:ascii="Calibri" w:eastAsia="Times New Roman" w:hAnsi="Calibri" w:cs="Times New Roman"/>
      <w:szCs w:val="20"/>
      <w:lang w:val="en-GB"/>
    </w:rPr>
  </w:style>
  <w:style w:type="paragraph" w:styleId="BodyText">
    <w:name w:val="Body Text"/>
    <w:basedOn w:val="Normal"/>
    <w:link w:val="BodyTextChar"/>
    <w:uiPriority w:val="1"/>
    <w:qFormat/>
    <w:rsid w:val="007E3D4C"/>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7E3D4C"/>
    <w:rPr>
      <w:rFonts w:ascii="Calibri" w:eastAsia="Calibri" w:hAnsi="Calibri"/>
    </w:rPr>
  </w:style>
  <w:style w:type="paragraph" w:customStyle="1" w:styleId="BVIfnrCharCharChar">
    <w:name w:val="BVI fnr Char Char Char"/>
    <w:aliases w:val="16 Point Char Char Char,Superscript 6 Point Char Char Char,ftref Char Char Char"/>
    <w:basedOn w:val="Normal"/>
    <w:link w:val="FootnoteReference"/>
    <w:uiPriority w:val="99"/>
    <w:rsid w:val="007E3D4C"/>
    <w:pPr>
      <w:spacing w:before="120" w:line="240" w:lineRule="exact"/>
      <w:jc w:val="both"/>
    </w:pPr>
    <w:rPr>
      <w:vertAlign w:val="superscript"/>
    </w:rPr>
  </w:style>
  <w:style w:type="table" w:styleId="TableGrid">
    <w:name w:val="Table Grid"/>
    <w:basedOn w:val="TableNormal"/>
    <w:uiPriority w:val="59"/>
    <w:rsid w:val="000C0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12pt Char,FOOTNOTES Char,Footnote Char,Footnote Text Char Char Char,Footnote Text Char Char Char1 Char,Footnote Text Char1 Char Char,Footnote Text Char1 Char1,Footnote Text1 Char,f Char,fn Char,footnote text Char,single space Char"/>
    <w:uiPriority w:val="99"/>
    <w:rsid w:val="000C0ABC"/>
    <w:rPr>
      <w:rFonts w:eastAsiaTheme="majorEastAsia"/>
      <w:bCs/>
      <w:color w:val="000000"/>
      <w:sz w:val="18"/>
      <w:szCs w:val="18"/>
      <w:lang w:val="x-none" w:eastAsia="fr-FR"/>
    </w:rPr>
  </w:style>
  <w:style w:type="character" w:customStyle="1" w:styleId="ListParagraphChar">
    <w:name w:val="List Paragraph Char"/>
    <w:aliases w:val="Bullet OSM Char,Bullets Char,Citation List Char,Graphic Char,Ha Char,Indent Paragraph Char,LIST OF TABLES. Char,List  Title Char,List Paragraph1 Char,Main numbered paragraph Char,Normal Italics Char,Numbered List Paragraph Char"/>
    <w:basedOn w:val="DefaultParagraphFont"/>
    <w:link w:val="ListParagraph"/>
    <w:uiPriority w:val="34"/>
    <w:locked/>
    <w:rsid w:val="000C0ABC"/>
  </w:style>
  <w:style w:type="paragraph" w:customStyle="1" w:styleId="ADRText">
    <w:name w:val="ADR_Text"/>
    <w:basedOn w:val="Normal"/>
    <w:qFormat/>
    <w:rsid w:val="000C0ABC"/>
    <w:pPr>
      <w:autoSpaceDE w:val="0"/>
      <w:autoSpaceDN w:val="0"/>
      <w:adjustRightInd w:val="0"/>
      <w:spacing w:after="240" w:line="240" w:lineRule="auto"/>
      <w:ind w:left="-360"/>
    </w:pPr>
    <w:rPr>
      <w:rFonts w:ascii="Calibri" w:eastAsia="Calibri" w:hAnsi="Calibri" w:cs="Calibri"/>
      <w:szCs w:val="20"/>
      <w:lang w:val="en-GB"/>
    </w:rPr>
  </w:style>
  <w:style w:type="character" w:styleId="FollowedHyperlink">
    <w:name w:val="FollowedHyperlink"/>
    <w:basedOn w:val="DefaultParagraphFont"/>
    <w:uiPriority w:val="99"/>
    <w:semiHidden/>
    <w:unhideWhenUsed/>
    <w:rsid w:val="006D71D5"/>
    <w:rPr>
      <w:color w:val="954F72" w:themeColor="followedHyperlink"/>
      <w:u w:val="single"/>
    </w:rPr>
  </w:style>
  <w:style w:type="paragraph" w:customStyle="1" w:styleId="DualTxt">
    <w:name w:val="__Dual Txt"/>
    <w:basedOn w:val="Normal"/>
    <w:rsid w:val="00BE6235"/>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b/>
      <w:bCs/>
      <w:spacing w:val="4"/>
      <w:kern w:val="14"/>
      <w:sz w:val="24"/>
      <w:szCs w:val="24"/>
      <w:lang w:val="en-GB"/>
    </w:rPr>
  </w:style>
  <w:style w:type="character" w:styleId="UnresolvedMention">
    <w:name w:val="Unresolved Mention"/>
    <w:basedOn w:val="DefaultParagraphFont"/>
    <w:uiPriority w:val="99"/>
    <w:rsid w:val="00E6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val.org/document/detail/21%20" TargetMode="External"/><Relationship Id="rId13" Type="http://schemas.openxmlformats.org/officeDocument/2006/relationships/hyperlink" Target="http://erc.undp.org/" TargetMode="External"/><Relationship Id="rId3" Type="http://schemas.openxmlformats.org/officeDocument/2006/relationships/hyperlink" Target="http://hdr.undp.org/en/countries/profiles/MYS" TargetMode="External"/><Relationship Id="rId7" Type="http://schemas.openxmlformats.org/officeDocument/2006/relationships/hyperlink" Target="https://undocs.org/pdf?symbol=en/A/72/329" TargetMode="External"/><Relationship Id="rId12" Type="http://schemas.openxmlformats.org/officeDocument/2006/relationships/hyperlink" Target="http://web.undp.org/evaluation/" TargetMode="External"/><Relationship Id="rId2" Type="http://schemas.openxmlformats.org/officeDocument/2006/relationships/hyperlink" Target="https://newss.statistics.gov.my/newss-portalx/ep/epFreeDownloadContentSearch.seam?cid=8733" TargetMode="External"/><Relationship Id="rId1" Type="http://schemas.openxmlformats.org/officeDocument/2006/relationships/hyperlink" Target="http://www.eiu.com/Handlers/WhitepaperHandler.ashx?fi=Democracy_Index_2018.pdf&amp;mode=wp&amp;campaignid=Democracy2018" TargetMode="External"/><Relationship Id="rId6" Type="http://schemas.openxmlformats.org/officeDocument/2006/relationships/hyperlink" Target="http://sdgindex.org/assets/files/2018/01%20SDGS%20GLOBAL%20EDITION%20WEB%20V9%20180718.pdf" TargetMode="External"/><Relationship Id="rId11" Type="http://schemas.openxmlformats.org/officeDocument/2006/relationships/hyperlink" Target="https://info.undp.org/sites/ieo/adr/_layouts/15/WopiFrame.aspx?sourcedoc=/sites/ieo/adr/Shared%20Documents/4.%20Manuals/ICPE%20METHODOLOGY%20MANUAL-Nov%202015.docx&amp;action=default" TargetMode="External"/><Relationship Id="rId5" Type="http://schemas.openxmlformats.org/officeDocument/2006/relationships/hyperlink" Target="http://www.emdat.be" TargetMode="External"/><Relationship Id="rId10" Type="http://schemas.openxmlformats.org/officeDocument/2006/relationships/hyperlink" Target="https://info.undp.org/sites/ieo/adr/_layouts/15/start.aspx" TargetMode="External"/><Relationship Id="rId4" Type="http://schemas.openxmlformats.org/officeDocument/2006/relationships/hyperlink" Target="http://file.scirp.org/Html/82585_82585.htm" TargetMode="External"/><Relationship Id="rId9" Type="http://schemas.openxmlformats.org/officeDocument/2006/relationships/hyperlink" Target="http://datatopics.worldbank.org/statisticalcapacity/SCIdashboa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71DD-E04A-48CA-BECF-2DF71767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Fanou</dc:creator>
  <cp:lastModifiedBy>Deqa Ibrahim Musa</cp:lastModifiedBy>
  <cp:revision>6</cp:revision>
  <cp:lastPrinted>2019-02-07T22:14:00Z</cp:lastPrinted>
  <dcterms:created xsi:type="dcterms:W3CDTF">2019-05-06T16:50:00Z</dcterms:created>
  <dcterms:modified xsi:type="dcterms:W3CDTF">2019-06-28T14:16:00Z</dcterms:modified>
</cp:coreProperties>
</file>