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CEE05" w14:textId="77777777" w:rsidR="00BC6B41" w:rsidRDefault="00BC6B41" w:rsidP="00BC6B41">
      <w:pPr>
        <w:spacing w:line="200" w:lineRule="exact"/>
      </w:pPr>
    </w:p>
    <w:p w14:paraId="48141068" w14:textId="77777777" w:rsidR="00BC6B41" w:rsidRDefault="00BC6B41" w:rsidP="00BC6B41">
      <w:pPr>
        <w:spacing w:line="200" w:lineRule="exact"/>
      </w:pPr>
    </w:p>
    <w:p w14:paraId="44C63069" w14:textId="77777777" w:rsidR="00BC6B41" w:rsidRDefault="00BC6B41" w:rsidP="00BC6B41">
      <w:pPr>
        <w:spacing w:before="16" w:line="260" w:lineRule="exact"/>
        <w:rPr>
          <w:sz w:val="26"/>
          <w:szCs w:val="26"/>
        </w:rPr>
      </w:pPr>
    </w:p>
    <w:p w14:paraId="023C02B1" w14:textId="77777777" w:rsidR="00BC6B41" w:rsidRDefault="00BC6B41" w:rsidP="00BC6B41">
      <w:pPr>
        <w:ind w:left="117"/>
      </w:pPr>
      <w:r>
        <w:rPr>
          <w:noProof/>
          <w:lang w:val="en-CA" w:eastAsia="en-CA"/>
        </w:rPr>
        <w:drawing>
          <wp:anchor distT="0" distB="0" distL="114300" distR="114300" simplePos="0" relativeHeight="251656704" behindDoc="1" locked="0" layoutInCell="1" allowOverlap="1" wp14:anchorId="357A57EA" wp14:editId="318B749D">
            <wp:simplePos x="0" y="0"/>
            <wp:positionH relativeFrom="page">
              <wp:posOffset>2618105</wp:posOffset>
            </wp:positionH>
            <wp:positionV relativeFrom="paragraph">
              <wp:posOffset>563880</wp:posOffset>
            </wp:positionV>
            <wp:extent cx="1568450" cy="4286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4286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8752" behindDoc="1" locked="0" layoutInCell="1" allowOverlap="1" wp14:anchorId="4E058540" wp14:editId="44D5B666">
            <wp:simplePos x="0" y="0"/>
            <wp:positionH relativeFrom="page">
              <wp:posOffset>4564380</wp:posOffset>
            </wp:positionH>
            <wp:positionV relativeFrom="page">
              <wp:posOffset>1298575</wp:posOffset>
            </wp:positionV>
            <wp:extent cx="768350" cy="9829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9829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55C35233" wp14:editId="413564FD">
            <wp:extent cx="12382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990600"/>
                    </a:xfrm>
                    <a:prstGeom prst="rect">
                      <a:avLst/>
                    </a:prstGeom>
                    <a:noFill/>
                    <a:ln>
                      <a:noFill/>
                    </a:ln>
                  </pic:spPr>
                </pic:pic>
              </a:graphicData>
            </a:graphic>
          </wp:inline>
        </w:drawing>
      </w:r>
    </w:p>
    <w:p w14:paraId="533FEBE9" w14:textId="77777777" w:rsidR="00BC6B41" w:rsidRDefault="00BC6B41" w:rsidP="00BC6B41">
      <w:pPr>
        <w:spacing w:line="200" w:lineRule="exact"/>
      </w:pPr>
    </w:p>
    <w:p w14:paraId="564A188C" w14:textId="77777777" w:rsidR="00BC6B41" w:rsidRDefault="00BC6B41" w:rsidP="00BC6B41">
      <w:pPr>
        <w:spacing w:line="200" w:lineRule="exact"/>
      </w:pPr>
    </w:p>
    <w:p w14:paraId="739C879A" w14:textId="77777777" w:rsidR="00BC6B41" w:rsidRDefault="00BC6B41" w:rsidP="00BC6B41">
      <w:pPr>
        <w:spacing w:line="200" w:lineRule="exact"/>
      </w:pPr>
    </w:p>
    <w:p w14:paraId="570B097E" w14:textId="77777777" w:rsidR="00BC6B41" w:rsidRDefault="00BC6B41" w:rsidP="00BC6B41">
      <w:pPr>
        <w:spacing w:line="200" w:lineRule="exact"/>
      </w:pPr>
    </w:p>
    <w:p w14:paraId="5D780C00" w14:textId="77777777" w:rsidR="00BC6B41" w:rsidRDefault="00BC6B41" w:rsidP="00BC6B41">
      <w:pPr>
        <w:spacing w:line="200" w:lineRule="exact"/>
      </w:pPr>
    </w:p>
    <w:p w14:paraId="6171450C" w14:textId="77777777" w:rsidR="00BC6B41" w:rsidRDefault="00BC6B41" w:rsidP="00BC6B41">
      <w:pPr>
        <w:spacing w:line="200" w:lineRule="exact"/>
      </w:pPr>
    </w:p>
    <w:p w14:paraId="5172D086" w14:textId="77777777" w:rsidR="00BC6B41" w:rsidRDefault="00BC6B41" w:rsidP="00BC6B41">
      <w:pPr>
        <w:spacing w:line="200" w:lineRule="exact"/>
      </w:pPr>
    </w:p>
    <w:p w14:paraId="3CB6857D" w14:textId="77777777" w:rsidR="00BC6B41" w:rsidRDefault="00BC6B41" w:rsidP="00BC6B41">
      <w:pPr>
        <w:spacing w:line="200" w:lineRule="exact"/>
      </w:pPr>
    </w:p>
    <w:p w14:paraId="412BD9F6" w14:textId="77777777" w:rsidR="00BC6B41" w:rsidRDefault="00BC6B41" w:rsidP="00BC6B41">
      <w:pPr>
        <w:spacing w:line="200" w:lineRule="exact"/>
      </w:pPr>
    </w:p>
    <w:p w14:paraId="4A558C22" w14:textId="77777777" w:rsidR="00BC6B41" w:rsidRDefault="00BC6B41" w:rsidP="00BC6B41">
      <w:pPr>
        <w:spacing w:line="200" w:lineRule="exact"/>
      </w:pPr>
    </w:p>
    <w:p w14:paraId="4EEDBF0E" w14:textId="77777777" w:rsidR="00BC6B41" w:rsidRDefault="00BC6B41" w:rsidP="00BC6B41">
      <w:pPr>
        <w:spacing w:before="16" w:line="260" w:lineRule="exact"/>
        <w:rPr>
          <w:sz w:val="26"/>
          <w:szCs w:val="26"/>
        </w:rPr>
      </w:pPr>
    </w:p>
    <w:p w14:paraId="11C75999" w14:textId="77777777" w:rsidR="00BC6B41" w:rsidRPr="00A050EB" w:rsidRDefault="00BC6B41" w:rsidP="00BC6B41">
      <w:pPr>
        <w:spacing w:line="620" w:lineRule="exact"/>
        <w:ind w:left="860" w:right="867"/>
        <w:jc w:val="center"/>
        <w:rPr>
          <w:sz w:val="56"/>
          <w:szCs w:val="56"/>
        </w:rPr>
      </w:pPr>
      <w:r w:rsidRPr="00A050EB">
        <w:rPr>
          <w:b/>
          <w:w w:val="95"/>
          <w:position w:val="-1"/>
          <w:sz w:val="56"/>
          <w:szCs w:val="56"/>
        </w:rPr>
        <w:t>Fiji</w:t>
      </w:r>
      <w:r w:rsidRPr="00A050EB">
        <w:rPr>
          <w:b/>
          <w:spacing w:val="30"/>
          <w:w w:val="95"/>
          <w:position w:val="-1"/>
          <w:sz w:val="56"/>
          <w:szCs w:val="56"/>
        </w:rPr>
        <w:t xml:space="preserve"> </w:t>
      </w:r>
      <w:r w:rsidRPr="00A050EB">
        <w:rPr>
          <w:b/>
          <w:w w:val="99"/>
          <w:position w:val="-1"/>
          <w:sz w:val="56"/>
          <w:szCs w:val="56"/>
        </w:rPr>
        <w:t>A</w:t>
      </w:r>
      <w:r w:rsidRPr="00A050EB">
        <w:rPr>
          <w:b/>
          <w:spacing w:val="1"/>
          <w:w w:val="125"/>
          <w:position w:val="-1"/>
          <w:sz w:val="56"/>
          <w:szCs w:val="56"/>
        </w:rPr>
        <w:t>c</w:t>
      </w:r>
      <w:r w:rsidRPr="00A050EB">
        <w:rPr>
          <w:b/>
          <w:w w:val="125"/>
          <w:position w:val="-1"/>
          <w:sz w:val="56"/>
          <w:szCs w:val="56"/>
        </w:rPr>
        <w:t>c</w:t>
      </w:r>
      <w:r w:rsidRPr="00A050EB">
        <w:rPr>
          <w:b/>
          <w:spacing w:val="2"/>
          <w:w w:val="125"/>
          <w:position w:val="-1"/>
          <w:sz w:val="56"/>
          <w:szCs w:val="56"/>
        </w:rPr>
        <w:t>e</w:t>
      </w:r>
      <w:r w:rsidRPr="00A050EB">
        <w:rPr>
          <w:b/>
          <w:w w:val="142"/>
          <w:position w:val="-1"/>
          <w:sz w:val="56"/>
          <w:szCs w:val="56"/>
        </w:rPr>
        <w:t>ss</w:t>
      </w:r>
      <w:r w:rsidRPr="00A050EB">
        <w:rPr>
          <w:b/>
          <w:spacing w:val="17"/>
          <w:position w:val="-1"/>
          <w:sz w:val="56"/>
          <w:szCs w:val="56"/>
        </w:rPr>
        <w:t xml:space="preserve"> </w:t>
      </w:r>
      <w:r w:rsidRPr="00A050EB">
        <w:rPr>
          <w:b/>
          <w:position w:val="-1"/>
          <w:sz w:val="56"/>
          <w:szCs w:val="56"/>
        </w:rPr>
        <w:t>to</w:t>
      </w:r>
      <w:r w:rsidRPr="00A050EB">
        <w:rPr>
          <w:b/>
          <w:spacing w:val="77"/>
          <w:position w:val="-1"/>
          <w:sz w:val="56"/>
          <w:szCs w:val="56"/>
        </w:rPr>
        <w:t xml:space="preserve"> </w:t>
      </w:r>
      <w:r w:rsidRPr="00A050EB">
        <w:rPr>
          <w:b/>
          <w:spacing w:val="2"/>
          <w:w w:val="116"/>
          <w:position w:val="-1"/>
          <w:sz w:val="56"/>
          <w:szCs w:val="56"/>
        </w:rPr>
        <w:t>J</w:t>
      </w:r>
      <w:r w:rsidRPr="00A050EB">
        <w:rPr>
          <w:b/>
          <w:w w:val="116"/>
          <w:position w:val="-1"/>
          <w:sz w:val="56"/>
          <w:szCs w:val="56"/>
        </w:rPr>
        <w:t>ust</w:t>
      </w:r>
      <w:r w:rsidRPr="00A050EB">
        <w:rPr>
          <w:b/>
          <w:spacing w:val="1"/>
          <w:w w:val="116"/>
          <w:position w:val="-1"/>
          <w:sz w:val="56"/>
          <w:szCs w:val="56"/>
        </w:rPr>
        <w:t>i</w:t>
      </w:r>
      <w:r w:rsidRPr="00A050EB">
        <w:rPr>
          <w:b/>
          <w:w w:val="116"/>
          <w:position w:val="-1"/>
          <w:sz w:val="56"/>
          <w:szCs w:val="56"/>
        </w:rPr>
        <w:t>ce</w:t>
      </w:r>
      <w:r w:rsidRPr="00A050EB">
        <w:rPr>
          <w:b/>
          <w:spacing w:val="2"/>
          <w:w w:val="116"/>
          <w:position w:val="-1"/>
          <w:sz w:val="56"/>
          <w:szCs w:val="56"/>
        </w:rPr>
        <w:t xml:space="preserve"> </w:t>
      </w:r>
      <w:r w:rsidRPr="00A050EB">
        <w:rPr>
          <w:b/>
          <w:w w:val="116"/>
          <w:position w:val="-1"/>
          <w:sz w:val="56"/>
          <w:szCs w:val="56"/>
        </w:rPr>
        <w:t>Pr</w:t>
      </w:r>
      <w:r w:rsidRPr="00A050EB">
        <w:rPr>
          <w:b/>
          <w:w w:val="121"/>
          <w:position w:val="-1"/>
          <w:sz w:val="56"/>
          <w:szCs w:val="56"/>
        </w:rPr>
        <w:t>o</w:t>
      </w:r>
      <w:r w:rsidRPr="00A050EB">
        <w:rPr>
          <w:b/>
          <w:w w:val="83"/>
          <w:position w:val="-1"/>
          <w:sz w:val="56"/>
          <w:szCs w:val="56"/>
        </w:rPr>
        <w:t>j</w:t>
      </w:r>
      <w:r w:rsidRPr="00A050EB">
        <w:rPr>
          <w:b/>
          <w:w w:val="125"/>
          <w:position w:val="-1"/>
          <w:sz w:val="56"/>
          <w:szCs w:val="56"/>
        </w:rPr>
        <w:t>e</w:t>
      </w:r>
      <w:r w:rsidRPr="00A050EB">
        <w:rPr>
          <w:b/>
          <w:spacing w:val="2"/>
          <w:w w:val="125"/>
          <w:position w:val="-1"/>
          <w:sz w:val="56"/>
          <w:szCs w:val="56"/>
        </w:rPr>
        <w:t>c</w:t>
      </w:r>
      <w:r w:rsidRPr="00A050EB">
        <w:rPr>
          <w:b/>
          <w:w w:val="99"/>
          <w:position w:val="-1"/>
          <w:sz w:val="56"/>
          <w:szCs w:val="56"/>
        </w:rPr>
        <w:t>t</w:t>
      </w:r>
    </w:p>
    <w:p w14:paraId="27C5106F" w14:textId="77777777" w:rsidR="00BC6B41" w:rsidRPr="00A050EB" w:rsidRDefault="00BC6B41" w:rsidP="00BC6B41">
      <w:pPr>
        <w:spacing w:before="16" w:line="280" w:lineRule="exact"/>
        <w:rPr>
          <w:sz w:val="28"/>
          <w:szCs w:val="28"/>
        </w:rPr>
      </w:pPr>
    </w:p>
    <w:p w14:paraId="4E144199" w14:textId="18686DDF" w:rsidR="00BC6B41" w:rsidRPr="00A050EB" w:rsidRDefault="00BC6B41" w:rsidP="00EC5703">
      <w:pPr>
        <w:ind w:left="144" w:right="144"/>
        <w:jc w:val="center"/>
        <w:rPr>
          <w:sz w:val="52"/>
          <w:szCs w:val="52"/>
        </w:rPr>
      </w:pPr>
      <w:r w:rsidRPr="00A050EB">
        <w:rPr>
          <w:b/>
          <w:sz w:val="52"/>
          <w:szCs w:val="52"/>
        </w:rPr>
        <w:t>Contract N</w:t>
      </w:r>
      <w:r w:rsidRPr="00A050EB">
        <w:rPr>
          <w:b/>
          <w:spacing w:val="1"/>
          <w:sz w:val="52"/>
          <w:szCs w:val="52"/>
        </w:rPr>
        <w:t>u</w:t>
      </w:r>
      <w:r w:rsidRPr="00A050EB">
        <w:rPr>
          <w:b/>
          <w:spacing w:val="-2"/>
          <w:sz w:val="52"/>
          <w:szCs w:val="52"/>
        </w:rPr>
        <w:t>m</w:t>
      </w:r>
      <w:r w:rsidRPr="00A050EB">
        <w:rPr>
          <w:b/>
          <w:sz w:val="52"/>
          <w:szCs w:val="52"/>
        </w:rPr>
        <w:t>be</w:t>
      </w:r>
      <w:r w:rsidRPr="00A050EB">
        <w:rPr>
          <w:b/>
          <w:spacing w:val="-2"/>
          <w:sz w:val="52"/>
          <w:szCs w:val="52"/>
        </w:rPr>
        <w:t>r</w:t>
      </w:r>
      <w:r w:rsidRPr="00A050EB">
        <w:rPr>
          <w:b/>
          <w:sz w:val="52"/>
          <w:szCs w:val="52"/>
        </w:rPr>
        <w:t>:</w:t>
      </w:r>
      <w:r w:rsidRPr="00A050EB">
        <w:rPr>
          <w:b/>
          <w:spacing w:val="126"/>
          <w:sz w:val="52"/>
          <w:szCs w:val="52"/>
        </w:rPr>
        <w:t xml:space="preserve"> </w:t>
      </w:r>
      <w:r w:rsidRPr="00A050EB">
        <w:rPr>
          <w:b/>
          <w:sz w:val="52"/>
          <w:szCs w:val="52"/>
        </w:rPr>
        <w:t>F</w:t>
      </w:r>
      <w:r w:rsidRPr="00A050EB">
        <w:rPr>
          <w:b/>
          <w:spacing w:val="-2"/>
          <w:sz w:val="52"/>
          <w:szCs w:val="52"/>
        </w:rPr>
        <w:t>E</w:t>
      </w:r>
      <w:r w:rsidRPr="00A050EB">
        <w:rPr>
          <w:b/>
          <w:sz w:val="52"/>
          <w:szCs w:val="52"/>
        </w:rPr>
        <w:t>D/</w:t>
      </w:r>
      <w:r w:rsidRPr="00A050EB">
        <w:rPr>
          <w:b/>
          <w:w w:val="111"/>
          <w:sz w:val="52"/>
          <w:szCs w:val="52"/>
        </w:rPr>
        <w:t>2016</w:t>
      </w:r>
      <w:r w:rsidRPr="00A050EB">
        <w:rPr>
          <w:b/>
          <w:spacing w:val="-2"/>
          <w:sz w:val="52"/>
          <w:szCs w:val="52"/>
        </w:rPr>
        <w:t>/</w:t>
      </w:r>
      <w:r w:rsidRPr="00A050EB">
        <w:rPr>
          <w:b/>
          <w:w w:val="111"/>
          <w:sz w:val="52"/>
          <w:szCs w:val="52"/>
        </w:rPr>
        <w:t>3</w:t>
      </w:r>
      <w:r w:rsidRPr="00A050EB">
        <w:rPr>
          <w:b/>
          <w:spacing w:val="1"/>
          <w:w w:val="111"/>
          <w:sz w:val="52"/>
          <w:szCs w:val="52"/>
        </w:rPr>
        <w:t>7</w:t>
      </w:r>
      <w:r w:rsidRPr="00A050EB">
        <w:rPr>
          <w:b/>
          <w:spacing w:val="3"/>
          <w:w w:val="111"/>
          <w:sz w:val="52"/>
          <w:szCs w:val="52"/>
        </w:rPr>
        <w:t>8</w:t>
      </w:r>
      <w:r w:rsidRPr="00A050EB">
        <w:rPr>
          <w:b/>
          <w:spacing w:val="-3"/>
          <w:sz w:val="52"/>
          <w:szCs w:val="52"/>
        </w:rPr>
        <w:t>-</w:t>
      </w:r>
      <w:r w:rsidRPr="00A050EB">
        <w:rPr>
          <w:b/>
          <w:w w:val="111"/>
          <w:sz w:val="52"/>
          <w:szCs w:val="52"/>
        </w:rPr>
        <w:t>171</w:t>
      </w:r>
    </w:p>
    <w:p w14:paraId="7A256B29" w14:textId="77777777" w:rsidR="00BC6B41" w:rsidRPr="00A050EB" w:rsidRDefault="00BC6B41" w:rsidP="00BC6B41">
      <w:pPr>
        <w:spacing w:before="1" w:line="160" w:lineRule="exact"/>
        <w:rPr>
          <w:sz w:val="17"/>
          <w:szCs w:val="17"/>
        </w:rPr>
      </w:pPr>
    </w:p>
    <w:p w14:paraId="088D0945" w14:textId="77777777" w:rsidR="00BC6B41" w:rsidRPr="00A050EB" w:rsidRDefault="00BC6B41" w:rsidP="00BC6B41">
      <w:pPr>
        <w:spacing w:line="200" w:lineRule="exact"/>
      </w:pPr>
    </w:p>
    <w:p w14:paraId="1C4E7615" w14:textId="77777777" w:rsidR="00BC6B41" w:rsidRPr="00A050EB" w:rsidRDefault="00BC6B41" w:rsidP="00BC6B41">
      <w:pPr>
        <w:spacing w:line="200" w:lineRule="exact"/>
      </w:pPr>
    </w:p>
    <w:p w14:paraId="0914C2A6" w14:textId="77777777" w:rsidR="00BC6B41" w:rsidRPr="00A050EB" w:rsidRDefault="00BC6B41" w:rsidP="00BC6B41">
      <w:pPr>
        <w:spacing w:line="200" w:lineRule="exact"/>
      </w:pPr>
    </w:p>
    <w:p w14:paraId="7C7C0490" w14:textId="77777777" w:rsidR="00BC6B41" w:rsidRPr="00A050EB" w:rsidRDefault="00BC6B41" w:rsidP="00BC6B41">
      <w:pPr>
        <w:spacing w:line="200" w:lineRule="exact"/>
      </w:pPr>
    </w:p>
    <w:p w14:paraId="3CC7F33C" w14:textId="77777777" w:rsidR="00BC6B41" w:rsidRPr="00A050EB" w:rsidRDefault="00BC6B41" w:rsidP="00BC6B41">
      <w:pPr>
        <w:spacing w:line="200" w:lineRule="exact"/>
      </w:pPr>
    </w:p>
    <w:p w14:paraId="5DCB266D" w14:textId="77777777" w:rsidR="00BC6B41" w:rsidRPr="00A050EB" w:rsidRDefault="00BC6B41" w:rsidP="00BC6B41">
      <w:pPr>
        <w:spacing w:line="200" w:lineRule="exact"/>
      </w:pPr>
    </w:p>
    <w:p w14:paraId="558E1770" w14:textId="77777777" w:rsidR="00BC6B41" w:rsidRPr="00A050EB" w:rsidRDefault="00BC6B41" w:rsidP="00BC6B41">
      <w:pPr>
        <w:spacing w:line="200" w:lineRule="exact"/>
      </w:pPr>
    </w:p>
    <w:p w14:paraId="166DC1E0" w14:textId="37E47960" w:rsidR="00BC6B41" w:rsidRPr="00A050EB" w:rsidRDefault="00BC6B41" w:rsidP="00866298">
      <w:pPr>
        <w:ind w:left="1872" w:right="1872"/>
        <w:jc w:val="center"/>
        <w:rPr>
          <w:b/>
          <w:w w:val="99"/>
          <w:position w:val="-1"/>
          <w:sz w:val="56"/>
          <w:szCs w:val="56"/>
        </w:rPr>
      </w:pPr>
      <w:r w:rsidRPr="00A050EB">
        <w:rPr>
          <w:b/>
          <w:noProof/>
          <w:w w:val="99"/>
          <w:position w:val="-1"/>
          <w:sz w:val="56"/>
          <w:szCs w:val="56"/>
          <w:lang w:val="en-CA" w:eastAsia="en-CA"/>
        </w:rPr>
        <w:drawing>
          <wp:anchor distT="0" distB="0" distL="114300" distR="114300" simplePos="0" relativeHeight="251659776" behindDoc="1" locked="0" layoutInCell="1" allowOverlap="1" wp14:anchorId="38701E6B" wp14:editId="404BC6EA">
            <wp:simplePos x="0" y="0"/>
            <wp:positionH relativeFrom="page">
              <wp:posOffset>6053455</wp:posOffset>
            </wp:positionH>
            <wp:positionV relativeFrom="page">
              <wp:posOffset>908050</wp:posOffset>
            </wp:positionV>
            <wp:extent cx="754380" cy="1369060"/>
            <wp:effectExtent l="0" t="0" r="762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 cy="1369060"/>
                    </a:xfrm>
                    <a:prstGeom prst="rect">
                      <a:avLst/>
                    </a:prstGeom>
                    <a:noFill/>
                  </pic:spPr>
                </pic:pic>
              </a:graphicData>
            </a:graphic>
            <wp14:sizeRelH relativeFrom="page">
              <wp14:pctWidth>0</wp14:pctWidth>
            </wp14:sizeRelH>
            <wp14:sizeRelV relativeFrom="page">
              <wp14:pctHeight>0</wp14:pctHeight>
            </wp14:sizeRelV>
          </wp:anchor>
        </w:drawing>
      </w:r>
      <w:r w:rsidRPr="00A050EB">
        <w:rPr>
          <w:b/>
          <w:w w:val="99"/>
          <w:position w:val="-1"/>
          <w:sz w:val="56"/>
          <w:szCs w:val="56"/>
        </w:rPr>
        <w:t xml:space="preserve">Mid-Term </w:t>
      </w:r>
      <w:r w:rsidR="00866298" w:rsidRPr="00A050EB">
        <w:rPr>
          <w:b/>
          <w:w w:val="99"/>
          <w:position w:val="-1"/>
          <w:sz w:val="56"/>
          <w:szCs w:val="56"/>
        </w:rPr>
        <w:t>E</w:t>
      </w:r>
      <w:r w:rsidRPr="00A050EB">
        <w:rPr>
          <w:b/>
          <w:w w:val="99"/>
          <w:position w:val="-1"/>
          <w:sz w:val="56"/>
          <w:szCs w:val="56"/>
        </w:rPr>
        <w:t>valuation</w:t>
      </w:r>
    </w:p>
    <w:p w14:paraId="5311396F" w14:textId="49CDB3CF" w:rsidR="00866298" w:rsidRDefault="00BF45FE" w:rsidP="00866298">
      <w:pPr>
        <w:ind w:left="1872" w:right="1872"/>
        <w:jc w:val="center"/>
        <w:rPr>
          <w:b/>
          <w:i/>
          <w:w w:val="99"/>
          <w:position w:val="-1"/>
          <w:sz w:val="56"/>
          <w:szCs w:val="56"/>
        </w:rPr>
      </w:pPr>
      <w:r>
        <w:rPr>
          <w:b/>
          <w:i/>
          <w:w w:val="99"/>
          <w:position w:val="-1"/>
          <w:sz w:val="56"/>
          <w:szCs w:val="56"/>
        </w:rPr>
        <w:t>Final</w:t>
      </w:r>
      <w:r w:rsidR="00D855F0">
        <w:rPr>
          <w:b/>
          <w:i/>
          <w:w w:val="99"/>
          <w:position w:val="-1"/>
          <w:sz w:val="56"/>
          <w:szCs w:val="56"/>
        </w:rPr>
        <w:t xml:space="preserve"> </w:t>
      </w:r>
      <w:r w:rsidR="00866298" w:rsidRPr="00A050EB">
        <w:rPr>
          <w:b/>
          <w:i/>
          <w:w w:val="99"/>
          <w:position w:val="-1"/>
          <w:sz w:val="56"/>
          <w:szCs w:val="56"/>
        </w:rPr>
        <w:t>Report</w:t>
      </w:r>
    </w:p>
    <w:p w14:paraId="23556C7D" w14:textId="77777777" w:rsidR="00D51FC3" w:rsidRDefault="000407B5" w:rsidP="00866298">
      <w:pPr>
        <w:ind w:left="1872" w:right="1872"/>
        <w:jc w:val="center"/>
        <w:rPr>
          <w:b/>
          <w:i/>
          <w:w w:val="99"/>
          <w:position w:val="-1"/>
          <w:sz w:val="40"/>
          <w:szCs w:val="40"/>
        </w:rPr>
      </w:pPr>
      <w:r w:rsidRPr="000407B5">
        <w:rPr>
          <w:b/>
          <w:i/>
          <w:w w:val="99"/>
          <w:position w:val="-1"/>
          <w:sz w:val="40"/>
          <w:szCs w:val="40"/>
        </w:rPr>
        <w:t xml:space="preserve">Submitted to UNDP </w:t>
      </w:r>
      <w:r w:rsidR="00D51FC3">
        <w:rPr>
          <w:b/>
          <w:i/>
          <w:w w:val="99"/>
          <w:position w:val="-1"/>
          <w:sz w:val="40"/>
          <w:szCs w:val="40"/>
        </w:rPr>
        <w:t xml:space="preserve">Pacific Office in </w:t>
      </w:r>
      <w:bookmarkStart w:id="0" w:name="_GoBack"/>
      <w:bookmarkEnd w:id="0"/>
      <w:r w:rsidRPr="000407B5">
        <w:rPr>
          <w:b/>
          <w:i/>
          <w:w w:val="99"/>
          <w:position w:val="-1"/>
          <w:sz w:val="40"/>
          <w:szCs w:val="40"/>
        </w:rPr>
        <w:t>Fiji</w:t>
      </w:r>
      <w:r w:rsidR="000357A0">
        <w:rPr>
          <w:b/>
          <w:i/>
          <w:w w:val="99"/>
          <w:position w:val="-1"/>
          <w:sz w:val="40"/>
          <w:szCs w:val="40"/>
        </w:rPr>
        <w:t xml:space="preserve"> </w:t>
      </w:r>
    </w:p>
    <w:p w14:paraId="0BB36527" w14:textId="77777777" w:rsidR="00BC6B41" w:rsidRPr="00A050EB" w:rsidRDefault="00BC6B41" w:rsidP="00BC6B41">
      <w:pPr>
        <w:spacing w:before="17" w:line="280" w:lineRule="exact"/>
        <w:rPr>
          <w:sz w:val="28"/>
          <w:szCs w:val="28"/>
        </w:rPr>
      </w:pPr>
    </w:p>
    <w:p w14:paraId="2A4F8D9A" w14:textId="77777777" w:rsidR="00BC6B41" w:rsidRPr="00A050EB" w:rsidRDefault="00BC6B41" w:rsidP="00BC6B41">
      <w:pPr>
        <w:spacing w:line="200" w:lineRule="exact"/>
      </w:pPr>
    </w:p>
    <w:p w14:paraId="48F80D89" w14:textId="77777777" w:rsidR="00BC6B41" w:rsidRPr="00A050EB" w:rsidRDefault="00BC6B41" w:rsidP="00BC6B41">
      <w:pPr>
        <w:spacing w:line="200" w:lineRule="exact"/>
      </w:pPr>
    </w:p>
    <w:p w14:paraId="6F2C0A46" w14:textId="77777777" w:rsidR="00BC6B41" w:rsidRPr="00A050EB" w:rsidRDefault="00BC6B41" w:rsidP="00BC6B41">
      <w:pPr>
        <w:spacing w:before="2" w:line="220" w:lineRule="exact"/>
        <w:rPr>
          <w:szCs w:val="22"/>
        </w:rPr>
      </w:pPr>
    </w:p>
    <w:p w14:paraId="41783366" w14:textId="56576456" w:rsidR="00BC6B41" w:rsidRDefault="007C2DEC" w:rsidP="00BC6B41">
      <w:pPr>
        <w:ind w:left="113" w:right="118"/>
        <w:jc w:val="center"/>
        <w:rPr>
          <w:b/>
          <w:sz w:val="56"/>
          <w:szCs w:val="56"/>
        </w:rPr>
      </w:pPr>
      <w:r>
        <w:rPr>
          <w:b/>
          <w:sz w:val="56"/>
          <w:szCs w:val="56"/>
        </w:rPr>
        <w:t>30</w:t>
      </w:r>
      <w:r w:rsidR="00BF45FE">
        <w:rPr>
          <w:b/>
          <w:sz w:val="56"/>
          <w:szCs w:val="56"/>
        </w:rPr>
        <w:t xml:space="preserve"> June</w:t>
      </w:r>
      <w:r w:rsidR="00D855F0">
        <w:rPr>
          <w:b/>
          <w:sz w:val="56"/>
          <w:szCs w:val="56"/>
        </w:rPr>
        <w:t xml:space="preserve"> </w:t>
      </w:r>
      <w:r w:rsidR="005327F0">
        <w:rPr>
          <w:b/>
          <w:sz w:val="56"/>
          <w:szCs w:val="56"/>
        </w:rPr>
        <w:t>2019</w:t>
      </w:r>
    </w:p>
    <w:p w14:paraId="526C5405" w14:textId="77777777" w:rsidR="00642959" w:rsidRDefault="00642959" w:rsidP="00BC6B41">
      <w:pPr>
        <w:ind w:left="113" w:right="118"/>
        <w:jc w:val="center"/>
        <w:rPr>
          <w:b/>
          <w:sz w:val="56"/>
          <w:szCs w:val="56"/>
        </w:rPr>
      </w:pPr>
    </w:p>
    <w:p w14:paraId="3BE21996" w14:textId="594207D7" w:rsidR="00642959" w:rsidRDefault="00642959" w:rsidP="00642959">
      <w:pPr>
        <w:jc w:val="right"/>
      </w:pPr>
      <w:r>
        <w:t>Produced by: William Pryor, Independent Contractor</w:t>
      </w:r>
    </w:p>
    <w:p w14:paraId="4AB59254" w14:textId="77777777" w:rsidR="00642959" w:rsidRDefault="00642959" w:rsidP="00642959">
      <w:pPr>
        <w:jc w:val="right"/>
      </w:pPr>
    </w:p>
    <w:p w14:paraId="0793008A" w14:textId="3EBB221C" w:rsidR="00642959" w:rsidRPr="00A050EB" w:rsidRDefault="00642959" w:rsidP="00642959">
      <w:pPr>
        <w:jc w:val="right"/>
        <w:sectPr w:rsidR="00642959" w:rsidRPr="00A050EB" w:rsidSect="000357A0">
          <w:footerReference w:type="default" r:id="rId12"/>
          <w:footerReference w:type="first" r:id="rId13"/>
          <w:pgSz w:w="11906" w:h="16838" w:code="9"/>
          <w:pgMar w:top="1340" w:right="1320" w:bottom="280" w:left="1320" w:header="0" w:footer="953" w:gutter="0"/>
          <w:pgNumType w:start="1"/>
          <w:cols w:space="720"/>
          <w:titlePg/>
          <w:docGrid w:linePitch="299"/>
        </w:sectPr>
      </w:pPr>
      <w:r>
        <w:t>whpryor@gmail.com</w:t>
      </w:r>
    </w:p>
    <w:sdt>
      <w:sdtPr>
        <w:rPr>
          <w:rFonts w:ascii="Times New Roman" w:eastAsia="Times New Roman" w:hAnsi="Times New Roman" w:cs="Times New Roman"/>
          <w:color w:val="000000" w:themeColor="text1"/>
          <w:sz w:val="22"/>
          <w:szCs w:val="20"/>
          <w:lang w:val="en-GB"/>
        </w:rPr>
        <w:id w:val="702904309"/>
        <w:docPartObj>
          <w:docPartGallery w:val="Table of Contents"/>
          <w:docPartUnique/>
        </w:docPartObj>
      </w:sdtPr>
      <w:sdtEndPr>
        <w:rPr>
          <w:b/>
          <w:bCs/>
          <w:noProof/>
        </w:rPr>
      </w:sdtEndPr>
      <w:sdtContent>
        <w:p w14:paraId="44549C0E" w14:textId="1B93ECDD" w:rsidR="000407B5" w:rsidRDefault="000407B5">
          <w:pPr>
            <w:pStyle w:val="TOCHeading"/>
          </w:pPr>
          <w:r>
            <w:t>Contents</w:t>
          </w:r>
        </w:p>
        <w:p w14:paraId="47367738" w14:textId="2A1124E2" w:rsidR="00A3420B" w:rsidRDefault="000407B5">
          <w:pPr>
            <w:pStyle w:val="TOC1"/>
            <w:tabs>
              <w:tab w:val="right" w:leader="dot" w:pos="9016"/>
            </w:tabs>
            <w:rPr>
              <w:rFonts w:asciiTheme="minorHAnsi" w:eastAsiaTheme="minorEastAsia" w:hAnsiTheme="minorHAnsi" w:cstheme="minorBidi"/>
              <w:noProof/>
              <w:color w:val="auto"/>
              <w:szCs w:val="22"/>
              <w:lang w:val="en-US"/>
            </w:rPr>
          </w:pPr>
          <w:r>
            <w:fldChar w:fldCharType="begin"/>
          </w:r>
          <w:r>
            <w:instrText xml:space="preserve"> TOC \o "1-3" \h \z \u </w:instrText>
          </w:r>
          <w:r>
            <w:fldChar w:fldCharType="separate"/>
          </w:r>
          <w:hyperlink w:anchor="_Toc12804560" w:history="1">
            <w:r w:rsidR="00A3420B" w:rsidRPr="0082569A">
              <w:rPr>
                <w:rStyle w:val="Hyperlink"/>
                <w:noProof/>
                <w:spacing w:val="-6"/>
              </w:rPr>
              <w:t>A</w:t>
            </w:r>
            <w:r w:rsidR="00A3420B" w:rsidRPr="0082569A">
              <w:rPr>
                <w:rStyle w:val="Hyperlink"/>
                <w:noProof/>
                <w:spacing w:val="2"/>
                <w:w w:val="125"/>
              </w:rPr>
              <w:t>c</w:t>
            </w:r>
            <w:r w:rsidR="00A3420B" w:rsidRPr="0082569A">
              <w:rPr>
                <w:rStyle w:val="Hyperlink"/>
                <w:noProof/>
                <w:w w:val="88"/>
              </w:rPr>
              <w:t>r</w:t>
            </w:r>
            <w:r w:rsidR="00A3420B" w:rsidRPr="0082569A">
              <w:rPr>
                <w:rStyle w:val="Hyperlink"/>
                <w:noProof/>
                <w:w w:val="122"/>
              </w:rPr>
              <w:t>o</w:t>
            </w:r>
            <w:r w:rsidR="00A3420B" w:rsidRPr="0082569A">
              <w:rPr>
                <w:rStyle w:val="Hyperlink"/>
                <w:noProof/>
                <w:spacing w:val="2"/>
                <w:w w:val="110"/>
              </w:rPr>
              <w:t>n</w:t>
            </w:r>
            <w:r w:rsidR="00A3420B" w:rsidRPr="0082569A">
              <w:rPr>
                <w:rStyle w:val="Hyperlink"/>
                <w:noProof/>
                <w:spacing w:val="-5"/>
                <w:w w:val="111"/>
              </w:rPr>
              <w:t>y</w:t>
            </w:r>
            <w:r w:rsidR="00A3420B" w:rsidRPr="0082569A">
              <w:rPr>
                <w:rStyle w:val="Hyperlink"/>
                <w:noProof/>
                <w:w w:val="107"/>
              </w:rPr>
              <w:t>m</w:t>
            </w:r>
            <w:r w:rsidR="00A3420B" w:rsidRPr="0082569A">
              <w:rPr>
                <w:rStyle w:val="Hyperlink"/>
                <w:noProof/>
                <w:w w:val="143"/>
              </w:rPr>
              <w:t>s</w:t>
            </w:r>
            <w:r w:rsidR="00A3420B">
              <w:rPr>
                <w:noProof/>
                <w:webHidden/>
              </w:rPr>
              <w:tab/>
            </w:r>
            <w:r w:rsidR="00A3420B">
              <w:rPr>
                <w:noProof/>
                <w:webHidden/>
              </w:rPr>
              <w:fldChar w:fldCharType="begin"/>
            </w:r>
            <w:r w:rsidR="00A3420B">
              <w:rPr>
                <w:noProof/>
                <w:webHidden/>
              </w:rPr>
              <w:instrText xml:space="preserve"> PAGEREF _Toc12804560 \h </w:instrText>
            </w:r>
            <w:r w:rsidR="00A3420B">
              <w:rPr>
                <w:noProof/>
                <w:webHidden/>
              </w:rPr>
            </w:r>
            <w:r w:rsidR="00A3420B">
              <w:rPr>
                <w:noProof/>
                <w:webHidden/>
              </w:rPr>
              <w:fldChar w:fldCharType="separate"/>
            </w:r>
            <w:r w:rsidR="00A3420B">
              <w:rPr>
                <w:noProof/>
                <w:webHidden/>
              </w:rPr>
              <w:t>3</w:t>
            </w:r>
            <w:r w:rsidR="00A3420B">
              <w:rPr>
                <w:noProof/>
                <w:webHidden/>
              </w:rPr>
              <w:fldChar w:fldCharType="end"/>
            </w:r>
          </w:hyperlink>
        </w:p>
        <w:p w14:paraId="0F88773D" w14:textId="5F0A7CE4"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61" w:history="1">
            <w:r w:rsidR="00A3420B" w:rsidRPr="0082569A">
              <w:rPr>
                <w:rStyle w:val="Hyperlink"/>
                <w:rFonts w:eastAsia="Arial"/>
                <w:noProof/>
              </w:rPr>
              <w:t>Executive Summary</w:t>
            </w:r>
            <w:r w:rsidR="00A3420B">
              <w:rPr>
                <w:noProof/>
                <w:webHidden/>
              </w:rPr>
              <w:tab/>
            </w:r>
            <w:r w:rsidR="00A3420B">
              <w:rPr>
                <w:noProof/>
                <w:webHidden/>
              </w:rPr>
              <w:fldChar w:fldCharType="begin"/>
            </w:r>
            <w:r w:rsidR="00A3420B">
              <w:rPr>
                <w:noProof/>
                <w:webHidden/>
              </w:rPr>
              <w:instrText xml:space="preserve"> PAGEREF _Toc12804561 \h </w:instrText>
            </w:r>
            <w:r w:rsidR="00A3420B">
              <w:rPr>
                <w:noProof/>
                <w:webHidden/>
              </w:rPr>
            </w:r>
            <w:r w:rsidR="00A3420B">
              <w:rPr>
                <w:noProof/>
                <w:webHidden/>
              </w:rPr>
              <w:fldChar w:fldCharType="separate"/>
            </w:r>
            <w:r w:rsidR="00A3420B">
              <w:rPr>
                <w:noProof/>
                <w:webHidden/>
              </w:rPr>
              <w:t>4</w:t>
            </w:r>
            <w:r w:rsidR="00A3420B">
              <w:rPr>
                <w:noProof/>
                <w:webHidden/>
              </w:rPr>
              <w:fldChar w:fldCharType="end"/>
            </w:r>
          </w:hyperlink>
        </w:p>
        <w:p w14:paraId="0153151D" w14:textId="1FDE3E27"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62" w:history="1">
            <w:r w:rsidR="00A3420B" w:rsidRPr="0082569A">
              <w:rPr>
                <w:rStyle w:val="Hyperlink"/>
                <w:rFonts w:eastAsia="Arial"/>
                <w:noProof/>
              </w:rPr>
              <w:t>Conclusions</w:t>
            </w:r>
            <w:r w:rsidR="00A3420B">
              <w:rPr>
                <w:noProof/>
                <w:webHidden/>
              </w:rPr>
              <w:tab/>
            </w:r>
            <w:r w:rsidR="00A3420B">
              <w:rPr>
                <w:noProof/>
                <w:webHidden/>
              </w:rPr>
              <w:fldChar w:fldCharType="begin"/>
            </w:r>
            <w:r w:rsidR="00A3420B">
              <w:rPr>
                <w:noProof/>
                <w:webHidden/>
              </w:rPr>
              <w:instrText xml:space="preserve"> PAGEREF _Toc12804562 \h </w:instrText>
            </w:r>
            <w:r w:rsidR="00A3420B">
              <w:rPr>
                <w:noProof/>
                <w:webHidden/>
              </w:rPr>
            </w:r>
            <w:r w:rsidR="00A3420B">
              <w:rPr>
                <w:noProof/>
                <w:webHidden/>
              </w:rPr>
              <w:fldChar w:fldCharType="separate"/>
            </w:r>
            <w:r w:rsidR="00A3420B">
              <w:rPr>
                <w:noProof/>
                <w:webHidden/>
              </w:rPr>
              <w:t>5</w:t>
            </w:r>
            <w:r w:rsidR="00A3420B">
              <w:rPr>
                <w:noProof/>
                <w:webHidden/>
              </w:rPr>
              <w:fldChar w:fldCharType="end"/>
            </w:r>
          </w:hyperlink>
        </w:p>
        <w:p w14:paraId="6B5DA49E" w14:textId="194C5B74"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63" w:history="1">
            <w:r w:rsidR="00A3420B" w:rsidRPr="0082569A">
              <w:rPr>
                <w:rStyle w:val="Hyperlink"/>
                <w:noProof/>
              </w:rPr>
              <w:t>Recommendations</w:t>
            </w:r>
            <w:r w:rsidR="00A3420B">
              <w:rPr>
                <w:noProof/>
                <w:webHidden/>
              </w:rPr>
              <w:tab/>
            </w:r>
            <w:r w:rsidR="00A3420B">
              <w:rPr>
                <w:noProof/>
                <w:webHidden/>
              </w:rPr>
              <w:fldChar w:fldCharType="begin"/>
            </w:r>
            <w:r w:rsidR="00A3420B">
              <w:rPr>
                <w:noProof/>
                <w:webHidden/>
              </w:rPr>
              <w:instrText xml:space="preserve"> PAGEREF _Toc12804563 \h </w:instrText>
            </w:r>
            <w:r w:rsidR="00A3420B">
              <w:rPr>
                <w:noProof/>
                <w:webHidden/>
              </w:rPr>
            </w:r>
            <w:r w:rsidR="00A3420B">
              <w:rPr>
                <w:noProof/>
                <w:webHidden/>
              </w:rPr>
              <w:fldChar w:fldCharType="separate"/>
            </w:r>
            <w:r w:rsidR="00A3420B">
              <w:rPr>
                <w:noProof/>
                <w:webHidden/>
              </w:rPr>
              <w:t>7</w:t>
            </w:r>
            <w:r w:rsidR="00A3420B">
              <w:rPr>
                <w:noProof/>
                <w:webHidden/>
              </w:rPr>
              <w:fldChar w:fldCharType="end"/>
            </w:r>
          </w:hyperlink>
        </w:p>
        <w:p w14:paraId="02812C40" w14:textId="0FBDFB47"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64" w:history="1">
            <w:r w:rsidR="00A3420B" w:rsidRPr="0082569A">
              <w:rPr>
                <w:rStyle w:val="Hyperlink"/>
                <w:rFonts w:eastAsia="Arial"/>
                <w:noProof/>
              </w:rPr>
              <w:t>Chapter 1: Introduction</w:t>
            </w:r>
            <w:r w:rsidR="00A3420B">
              <w:rPr>
                <w:noProof/>
                <w:webHidden/>
              </w:rPr>
              <w:tab/>
            </w:r>
            <w:r w:rsidR="00A3420B">
              <w:rPr>
                <w:noProof/>
                <w:webHidden/>
              </w:rPr>
              <w:fldChar w:fldCharType="begin"/>
            </w:r>
            <w:r w:rsidR="00A3420B">
              <w:rPr>
                <w:noProof/>
                <w:webHidden/>
              </w:rPr>
              <w:instrText xml:space="preserve"> PAGEREF _Toc12804564 \h </w:instrText>
            </w:r>
            <w:r w:rsidR="00A3420B">
              <w:rPr>
                <w:noProof/>
                <w:webHidden/>
              </w:rPr>
            </w:r>
            <w:r w:rsidR="00A3420B">
              <w:rPr>
                <w:noProof/>
                <w:webHidden/>
              </w:rPr>
              <w:fldChar w:fldCharType="separate"/>
            </w:r>
            <w:r w:rsidR="00A3420B">
              <w:rPr>
                <w:noProof/>
                <w:webHidden/>
              </w:rPr>
              <w:t>10</w:t>
            </w:r>
            <w:r w:rsidR="00A3420B">
              <w:rPr>
                <w:noProof/>
                <w:webHidden/>
              </w:rPr>
              <w:fldChar w:fldCharType="end"/>
            </w:r>
          </w:hyperlink>
        </w:p>
        <w:p w14:paraId="308B5304" w14:textId="2A31FA0E"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65" w:history="1">
            <w:r w:rsidR="00A3420B" w:rsidRPr="0082569A">
              <w:rPr>
                <w:rStyle w:val="Hyperlink"/>
                <w:rFonts w:eastAsia="Arial"/>
                <w:noProof/>
              </w:rPr>
              <w:t>Methodology and Scope</w:t>
            </w:r>
            <w:r w:rsidR="00A3420B">
              <w:rPr>
                <w:noProof/>
                <w:webHidden/>
              </w:rPr>
              <w:tab/>
            </w:r>
            <w:r w:rsidR="00A3420B">
              <w:rPr>
                <w:noProof/>
                <w:webHidden/>
              </w:rPr>
              <w:fldChar w:fldCharType="begin"/>
            </w:r>
            <w:r w:rsidR="00A3420B">
              <w:rPr>
                <w:noProof/>
                <w:webHidden/>
              </w:rPr>
              <w:instrText xml:space="preserve"> PAGEREF _Toc12804565 \h </w:instrText>
            </w:r>
            <w:r w:rsidR="00A3420B">
              <w:rPr>
                <w:noProof/>
                <w:webHidden/>
              </w:rPr>
            </w:r>
            <w:r w:rsidR="00A3420B">
              <w:rPr>
                <w:noProof/>
                <w:webHidden/>
              </w:rPr>
              <w:fldChar w:fldCharType="separate"/>
            </w:r>
            <w:r w:rsidR="00A3420B">
              <w:rPr>
                <w:noProof/>
                <w:webHidden/>
              </w:rPr>
              <w:t>10</w:t>
            </w:r>
            <w:r w:rsidR="00A3420B">
              <w:rPr>
                <w:noProof/>
                <w:webHidden/>
              </w:rPr>
              <w:fldChar w:fldCharType="end"/>
            </w:r>
          </w:hyperlink>
        </w:p>
        <w:p w14:paraId="6BFC8A08" w14:textId="2B679356"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66" w:history="1">
            <w:r w:rsidR="00A3420B" w:rsidRPr="0082569A">
              <w:rPr>
                <w:rStyle w:val="Hyperlink"/>
                <w:rFonts w:eastAsia="Arial"/>
                <w:noProof/>
              </w:rPr>
              <w:t>Chapter 2: The Development Challenge</w:t>
            </w:r>
            <w:r w:rsidR="00A3420B">
              <w:rPr>
                <w:noProof/>
                <w:webHidden/>
              </w:rPr>
              <w:tab/>
            </w:r>
            <w:r w:rsidR="00A3420B">
              <w:rPr>
                <w:noProof/>
                <w:webHidden/>
              </w:rPr>
              <w:fldChar w:fldCharType="begin"/>
            </w:r>
            <w:r w:rsidR="00A3420B">
              <w:rPr>
                <w:noProof/>
                <w:webHidden/>
              </w:rPr>
              <w:instrText xml:space="preserve"> PAGEREF _Toc12804566 \h </w:instrText>
            </w:r>
            <w:r w:rsidR="00A3420B">
              <w:rPr>
                <w:noProof/>
                <w:webHidden/>
              </w:rPr>
            </w:r>
            <w:r w:rsidR="00A3420B">
              <w:rPr>
                <w:noProof/>
                <w:webHidden/>
              </w:rPr>
              <w:fldChar w:fldCharType="separate"/>
            </w:r>
            <w:r w:rsidR="00A3420B">
              <w:rPr>
                <w:noProof/>
                <w:webHidden/>
              </w:rPr>
              <w:t>11</w:t>
            </w:r>
            <w:r w:rsidR="00A3420B">
              <w:rPr>
                <w:noProof/>
                <w:webHidden/>
              </w:rPr>
              <w:fldChar w:fldCharType="end"/>
            </w:r>
          </w:hyperlink>
        </w:p>
        <w:p w14:paraId="524853FC" w14:textId="39A9F10E" w:rsidR="00A3420B" w:rsidRDefault="00592694">
          <w:pPr>
            <w:pStyle w:val="TOC2"/>
            <w:tabs>
              <w:tab w:val="right" w:leader="dot" w:pos="9016"/>
            </w:tabs>
            <w:rPr>
              <w:rFonts w:asciiTheme="minorHAnsi" w:eastAsiaTheme="minorEastAsia" w:hAnsiTheme="minorHAnsi" w:cstheme="minorBidi"/>
              <w:noProof/>
              <w:color w:val="auto"/>
              <w:szCs w:val="22"/>
              <w:lang w:val="en-US"/>
            </w:rPr>
          </w:pPr>
          <w:hyperlink w:anchor="_Toc12804567" w:history="1">
            <w:r w:rsidR="00A3420B" w:rsidRPr="0082569A">
              <w:rPr>
                <w:rStyle w:val="Hyperlink"/>
                <w:rFonts w:eastAsia="Arial"/>
                <w:noProof/>
              </w:rPr>
              <w:t>Government Approach to Access to Justice – National Policies and Strategies</w:t>
            </w:r>
            <w:r w:rsidR="00A3420B">
              <w:rPr>
                <w:noProof/>
                <w:webHidden/>
              </w:rPr>
              <w:tab/>
            </w:r>
            <w:r w:rsidR="00A3420B">
              <w:rPr>
                <w:noProof/>
                <w:webHidden/>
              </w:rPr>
              <w:fldChar w:fldCharType="begin"/>
            </w:r>
            <w:r w:rsidR="00A3420B">
              <w:rPr>
                <w:noProof/>
                <w:webHidden/>
              </w:rPr>
              <w:instrText xml:space="preserve"> PAGEREF _Toc12804567 \h </w:instrText>
            </w:r>
            <w:r w:rsidR="00A3420B">
              <w:rPr>
                <w:noProof/>
                <w:webHidden/>
              </w:rPr>
            </w:r>
            <w:r w:rsidR="00A3420B">
              <w:rPr>
                <w:noProof/>
                <w:webHidden/>
              </w:rPr>
              <w:fldChar w:fldCharType="separate"/>
            </w:r>
            <w:r w:rsidR="00A3420B">
              <w:rPr>
                <w:noProof/>
                <w:webHidden/>
              </w:rPr>
              <w:t>13</w:t>
            </w:r>
            <w:r w:rsidR="00A3420B">
              <w:rPr>
                <w:noProof/>
                <w:webHidden/>
              </w:rPr>
              <w:fldChar w:fldCharType="end"/>
            </w:r>
          </w:hyperlink>
        </w:p>
        <w:p w14:paraId="3BCAC6C9" w14:textId="6779879E" w:rsidR="00A3420B" w:rsidRDefault="00592694">
          <w:pPr>
            <w:pStyle w:val="TOC2"/>
            <w:tabs>
              <w:tab w:val="right" w:leader="dot" w:pos="9016"/>
            </w:tabs>
            <w:rPr>
              <w:rFonts w:asciiTheme="minorHAnsi" w:eastAsiaTheme="minorEastAsia" w:hAnsiTheme="minorHAnsi" w:cstheme="minorBidi"/>
              <w:noProof/>
              <w:color w:val="auto"/>
              <w:szCs w:val="22"/>
              <w:lang w:val="en-US"/>
            </w:rPr>
          </w:pPr>
          <w:hyperlink w:anchor="_Toc12804568" w:history="1">
            <w:r w:rsidR="00A3420B" w:rsidRPr="0082569A">
              <w:rPr>
                <w:rStyle w:val="Hyperlink"/>
                <w:rFonts w:eastAsia="Arial"/>
                <w:noProof/>
              </w:rPr>
              <w:t>Partner Activities Related to Access to Justice</w:t>
            </w:r>
            <w:r w:rsidR="00A3420B">
              <w:rPr>
                <w:noProof/>
                <w:webHidden/>
              </w:rPr>
              <w:tab/>
            </w:r>
            <w:r w:rsidR="00A3420B">
              <w:rPr>
                <w:noProof/>
                <w:webHidden/>
              </w:rPr>
              <w:fldChar w:fldCharType="begin"/>
            </w:r>
            <w:r w:rsidR="00A3420B">
              <w:rPr>
                <w:noProof/>
                <w:webHidden/>
              </w:rPr>
              <w:instrText xml:space="preserve"> PAGEREF _Toc12804568 \h </w:instrText>
            </w:r>
            <w:r w:rsidR="00A3420B">
              <w:rPr>
                <w:noProof/>
                <w:webHidden/>
              </w:rPr>
            </w:r>
            <w:r w:rsidR="00A3420B">
              <w:rPr>
                <w:noProof/>
                <w:webHidden/>
              </w:rPr>
              <w:fldChar w:fldCharType="separate"/>
            </w:r>
            <w:r w:rsidR="00A3420B">
              <w:rPr>
                <w:noProof/>
                <w:webHidden/>
              </w:rPr>
              <w:t>13</w:t>
            </w:r>
            <w:r w:rsidR="00A3420B">
              <w:rPr>
                <w:noProof/>
                <w:webHidden/>
              </w:rPr>
              <w:fldChar w:fldCharType="end"/>
            </w:r>
          </w:hyperlink>
        </w:p>
        <w:p w14:paraId="6D38D77F" w14:textId="5C06FC35"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69" w:history="1">
            <w:r w:rsidR="00A3420B" w:rsidRPr="0082569A">
              <w:rPr>
                <w:rStyle w:val="Hyperlink"/>
                <w:rFonts w:eastAsia="Arial"/>
                <w:noProof/>
              </w:rPr>
              <w:t>UN Women</w:t>
            </w:r>
            <w:r w:rsidR="00A3420B">
              <w:rPr>
                <w:noProof/>
                <w:webHidden/>
              </w:rPr>
              <w:tab/>
            </w:r>
            <w:r w:rsidR="00A3420B">
              <w:rPr>
                <w:noProof/>
                <w:webHidden/>
              </w:rPr>
              <w:fldChar w:fldCharType="begin"/>
            </w:r>
            <w:r w:rsidR="00A3420B">
              <w:rPr>
                <w:noProof/>
                <w:webHidden/>
              </w:rPr>
              <w:instrText xml:space="preserve"> PAGEREF _Toc12804569 \h </w:instrText>
            </w:r>
            <w:r w:rsidR="00A3420B">
              <w:rPr>
                <w:noProof/>
                <w:webHidden/>
              </w:rPr>
            </w:r>
            <w:r w:rsidR="00A3420B">
              <w:rPr>
                <w:noProof/>
                <w:webHidden/>
              </w:rPr>
              <w:fldChar w:fldCharType="separate"/>
            </w:r>
            <w:r w:rsidR="00A3420B">
              <w:rPr>
                <w:noProof/>
                <w:webHidden/>
              </w:rPr>
              <w:t>14</w:t>
            </w:r>
            <w:r w:rsidR="00A3420B">
              <w:rPr>
                <w:noProof/>
                <w:webHidden/>
              </w:rPr>
              <w:fldChar w:fldCharType="end"/>
            </w:r>
          </w:hyperlink>
        </w:p>
        <w:p w14:paraId="38B0121B" w14:textId="5F435BF1"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70" w:history="1">
            <w:r w:rsidR="00A3420B" w:rsidRPr="0082569A">
              <w:rPr>
                <w:rStyle w:val="Hyperlink"/>
                <w:rFonts w:eastAsia="Arial"/>
                <w:noProof/>
              </w:rPr>
              <w:t>UNICEF</w:t>
            </w:r>
            <w:r w:rsidR="00A3420B">
              <w:rPr>
                <w:noProof/>
                <w:webHidden/>
              </w:rPr>
              <w:tab/>
            </w:r>
            <w:r w:rsidR="00A3420B">
              <w:rPr>
                <w:noProof/>
                <w:webHidden/>
              </w:rPr>
              <w:fldChar w:fldCharType="begin"/>
            </w:r>
            <w:r w:rsidR="00A3420B">
              <w:rPr>
                <w:noProof/>
                <w:webHidden/>
              </w:rPr>
              <w:instrText xml:space="preserve"> PAGEREF _Toc12804570 \h </w:instrText>
            </w:r>
            <w:r w:rsidR="00A3420B">
              <w:rPr>
                <w:noProof/>
                <w:webHidden/>
              </w:rPr>
            </w:r>
            <w:r w:rsidR="00A3420B">
              <w:rPr>
                <w:noProof/>
                <w:webHidden/>
              </w:rPr>
              <w:fldChar w:fldCharType="separate"/>
            </w:r>
            <w:r w:rsidR="00A3420B">
              <w:rPr>
                <w:noProof/>
                <w:webHidden/>
              </w:rPr>
              <w:t>14</w:t>
            </w:r>
            <w:r w:rsidR="00A3420B">
              <w:rPr>
                <w:noProof/>
                <w:webHidden/>
              </w:rPr>
              <w:fldChar w:fldCharType="end"/>
            </w:r>
          </w:hyperlink>
        </w:p>
        <w:p w14:paraId="55B37019" w14:textId="1E0E0CDC"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71" w:history="1">
            <w:r w:rsidR="00A3420B" w:rsidRPr="0082569A">
              <w:rPr>
                <w:rStyle w:val="Hyperlink"/>
                <w:rFonts w:eastAsia="Arial"/>
                <w:noProof/>
              </w:rPr>
              <w:t>Medical Services Pacific (MSP)</w:t>
            </w:r>
            <w:r w:rsidR="00A3420B">
              <w:rPr>
                <w:noProof/>
                <w:webHidden/>
              </w:rPr>
              <w:tab/>
            </w:r>
            <w:r w:rsidR="00A3420B">
              <w:rPr>
                <w:noProof/>
                <w:webHidden/>
              </w:rPr>
              <w:fldChar w:fldCharType="begin"/>
            </w:r>
            <w:r w:rsidR="00A3420B">
              <w:rPr>
                <w:noProof/>
                <w:webHidden/>
              </w:rPr>
              <w:instrText xml:space="preserve"> PAGEREF _Toc12804571 \h </w:instrText>
            </w:r>
            <w:r w:rsidR="00A3420B">
              <w:rPr>
                <w:noProof/>
                <w:webHidden/>
              </w:rPr>
            </w:r>
            <w:r w:rsidR="00A3420B">
              <w:rPr>
                <w:noProof/>
                <w:webHidden/>
              </w:rPr>
              <w:fldChar w:fldCharType="separate"/>
            </w:r>
            <w:r w:rsidR="00A3420B">
              <w:rPr>
                <w:noProof/>
                <w:webHidden/>
              </w:rPr>
              <w:t>14</w:t>
            </w:r>
            <w:r w:rsidR="00A3420B">
              <w:rPr>
                <w:noProof/>
                <w:webHidden/>
              </w:rPr>
              <w:fldChar w:fldCharType="end"/>
            </w:r>
          </w:hyperlink>
        </w:p>
        <w:p w14:paraId="5FE04433" w14:textId="39D6DD1D"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72" w:history="1">
            <w:r w:rsidR="00A3420B" w:rsidRPr="0082569A">
              <w:rPr>
                <w:rStyle w:val="Hyperlink"/>
                <w:rFonts w:eastAsia="Arial"/>
                <w:noProof/>
              </w:rPr>
              <w:t>Empower Pacific</w:t>
            </w:r>
            <w:r w:rsidR="00A3420B">
              <w:rPr>
                <w:noProof/>
                <w:webHidden/>
              </w:rPr>
              <w:tab/>
            </w:r>
            <w:r w:rsidR="00A3420B">
              <w:rPr>
                <w:noProof/>
                <w:webHidden/>
              </w:rPr>
              <w:fldChar w:fldCharType="begin"/>
            </w:r>
            <w:r w:rsidR="00A3420B">
              <w:rPr>
                <w:noProof/>
                <w:webHidden/>
              </w:rPr>
              <w:instrText xml:space="preserve"> PAGEREF _Toc12804572 \h </w:instrText>
            </w:r>
            <w:r w:rsidR="00A3420B">
              <w:rPr>
                <w:noProof/>
                <w:webHidden/>
              </w:rPr>
            </w:r>
            <w:r w:rsidR="00A3420B">
              <w:rPr>
                <w:noProof/>
                <w:webHidden/>
              </w:rPr>
              <w:fldChar w:fldCharType="separate"/>
            </w:r>
            <w:r w:rsidR="00A3420B">
              <w:rPr>
                <w:noProof/>
                <w:webHidden/>
              </w:rPr>
              <w:t>14</w:t>
            </w:r>
            <w:r w:rsidR="00A3420B">
              <w:rPr>
                <w:noProof/>
                <w:webHidden/>
              </w:rPr>
              <w:fldChar w:fldCharType="end"/>
            </w:r>
          </w:hyperlink>
        </w:p>
        <w:p w14:paraId="39A53F8E" w14:textId="652EE64D"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73" w:history="1">
            <w:r w:rsidR="00A3420B" w:rsidRPr="0082569A">
              <w:rPr>
                <w:rStyle w:val="Hyperlink"/>
                <w:rFonts w:eastAsia="Arial"/>
                <w:noProof/>
              </w:rPr>
              <w:t>Fiji Disabled People’s Federation (FDPF)</w:t>
            </w:r>
            <w:r w:rsidR="00A3420B">
              <w:rPr>
                <w:noProof/>
                <w:webHidden/>
              </w:rPr>
              <w:tab/>
            </w:r>
            <w:r w:rsidR="00A3420B">
              <w:rPr>
                <w:noProof/>
                <w:webHidden/>
              </w:rPr>
              <w:fldChar w:fldCharType="begin"/>
            </w:r>
            <w:r w:rsidR="00A3420B">
              <w:rPr>
                <w:noProof/>
                <w:webHidden/>
              </w:rPr>
              <w:instrText xml:space="preserve"> PAGEREF _Toc12804573 \h </w:instrText>
            </w:r>
            <w:r w:rsidR="00A3420B">
              <w:rPr>
                <w:noProof/>
                <w:webHidden/>
              </w:rPr>
            </w:r>
            <w:r w:rsidR="00A3420B">
              <w:rPr>
                <w:noProof/>
                <w:webHidden/>
              </w:rPr>
              <w:fldChar w:fldCharType="separate"/>
            </w:r>
            <w:r w:rsidR="00A3420B">
              <w:rPr>
                <w:noProof/>
                <w:webHidden/>
              </w:rPr>
              <w:t>15</w:t>
            </w:r>
            <w:r w:rsidR="00A3420B">
              <w:rPr>
                <w:noProof/>
                <w:webHidden/>
              </w:rPr>
              <w:fldChar w:fldCharType="end"/>
            </w:r>
          </w:hyperlink>
        </w:p>
        <w:p w14:paraId="1383FB10" w14:textId="42E796DF"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74" w:history="1">
            <w:r w:rsidR="00A3420B" w:rsidRPr="0082569A">
              <w:rPr>
                <w:rStyle w:val="Hyperlink"/>
                <w:rFonts w:eastAsia="Arial"/>
                <w:noProof/>
              </w:rPr>
              <w:t>Chapter 3: UNDP Response and Challenges</w:t>
            </w:r>
            <w:r w:rsidR="00A3420B">
              <w:rPr>
                <w:noProof/>
                <w:webHidden/>
              </w:rPr>
              <w:tab/>
            </w:r>
            <w:r w:rsidR="00A3420B">
              <w:rPr>
                <w:noProof/>
                <w:webHidden/>
              </w:rPr>
              <w:fldChar w:fldCharType="begin"/>
            </w:r>
            <w:r w:rsidR="00A3420B">
              <w:rPr>
                <w:noProof/>
                <w:webHidden/>
              </w:rPr>
              <w:instrText xml:space="preserve"> PAGEREF _Toc12804574 \h </w:instrText>
            </w:r>
            <w:r w:rsidR="00A3420B">
              <w:rPr>
                <w:noProof/>
                <w:webHidden/>
              </w:rPr>
            </w:r>
            <w:r w:rsidR="00A3420B">
              <w:rPr>
                <w:noProof/>
                <w:webHidden/>
              </w:rPr>
              <w:fldChar w:fldCharType="separate"/>
            </w:r>
            <w:r w:rsidR="00A3420B">
              <w:rPr>
                <w:noProof/>
                <w:webHidden/>
              </w:rPr>
              <w:t>15</w:t>
            </w:r>
            <w:r w:rsidR="00A3420B">
              <w:rPr>
                <w:noProof/>
                <w:webHidden/>
              </w:rPr>
              <w:fldChar w:fldCharType="end"/>
            </w:r>
          </w:hyperlink>
        </w:p>
        <w:p w14:paraId="49434B6F" w14:textId="1AE2E396"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75" w:history="1">
            <w:r w:rsidR="00A3420B" w:rsidRPr="0082569A">
              <w:rPr>
                <w:rStyle w:val="Hyperlink"/>
                <w:rFonts w:eastAsia="Arial"/>
                <w:noProof/>
              </w:rPr>
              <w:t>Chapter 4: Contribution to Results</w:t>
            </w:r>
            <w:r w:rsidR="00A3420B">
              <w:rPr>
                <w:noProof/>
                <w:webHidden/>
              </w:rPr>
              <w:tab/>
            </w:r>
            <w:r w:rsidR="00A3420B">
              <w:rPr>
                <w:noProof/>
                <w:webHidden/>
              </w:rPr>
              <w:fldChar w:fldCharType="begin"/>
            </w:r>
            <w:r w:rsidR="00A3420B">
              <w:rPr>
                <w:noProof/>
                <w:webHidden/>
              </w:rPr>
              <w:instrText xml:space="preserve"> PAGEREF _Toc12804575 \h </w:instrText>
            </w:r>
            <w:r w:rsidR="00A3420B">
              <w:rPr>
                <w:noProof/>
                <w:webHidden/>
              </w:rPr>
            </w:r>
            <w:r w:rsidR="00A3420B">
              <w:rPr>
                <w:noProof/>
                <w:webHidden/>
              </w:rPr>
              <w:fldChar w:fldCharType="separate"/>
            </w:r>
            <w:r w:rsidR="00A3420B">
              <w:rPr>
                <w:noProof/>
                <w:webHidden/>
              </w:rPr>
              <w:t>15</w:t>
            </w:r>
            <w:r w:rsidR="00A3420B">
              <w:rPr>
                <w:noProof/>
                <w:webHidden/>
              </w:rPr>
              <w:fldChar w:fldCharType="end"/>
            </w:r>
          </w:hyperlink>
        </w:p>
        <w:p w14:paraId="35B1CB20" w14:textId="5D7198CB" w:rsidR="00A3420B" w:rsidRDefault="00592694">
          <w:pPr>
            <w:pStyle w:val="TOC2"/>
            <w:tabs>
              <w:tab w:val="right" w:leader="dot" w:pos="9016"/>
            </w:tabs>
            <w:rPr>
              <w:rFonts w:asciiTheme="minorHAnsi" w:eastAsiaTheme="minorEastAsia" w:hAnsiTheme="minorHAnsi" w:cstheme="minorBidi"/>
              <w:noProof/>
              <w:color w:val="auto"/>
              <w:szCs w:val="22"/>
              <w:lang w:val="en-US"/>
            </w:rPr>
          </w:pPr>
          <w:hyperlink w:anchor="_Toc12804576" w:history="1">
            <w:r w:rsidR="00A3420B" w:rsidRPr="0082569A">
              <w:rPr>
                <w:rStyle w:val="Hyperlink"/>
                <w:rFonts w:eastAsia="Arial"/>
                <w:noProof/>
              </w:rPr>
              <w:t>Evaluation Criteria and questions</w:t>
            </w:r>
            <w:r w:rsidR="00A3420B">
              <w:rPr>
                <w:noProof/>
                <w:webHidden/>
              </w:rPr>
              <w:tab/>
            </w:r>
            <w:r w:rsidR="00A3420B">
              <w:rPr>
                <w:noProof/>
                <w:webHidden/>
              </w:rPr>
              <w:fldChar w:fldCharType="begin"/>
            </w:r>
            <w:r w:rsidR="00A3420B">
              <w:rPr>
                <w:noProof/>
                <w:webHidden/>
              </w:rPr>
              <w:instrText xml:space="preserve"> PAGEREF _Toc12804576 \h </w:instrText>
            </w:r>
            <w:r w:rsidR="00A3420B">
              <w:rPr>
                <w:noProof/>
                <w:webHidden/>
              </w:rPr>
            </w:r>
            <w:r w:rsidR="00A3420B">
              <w:rPr>
                <w:noProof/>
                <w:webHidden/>
              </w:rPr>
              <w:fldChar w:fldCharType="separate"/>
            </w:r>
            <w:r w:rsidR="00A3420B">
              <w:rPr>
                <w:noProof/>
                <w:webHidden/>
              </w:rPr>
              <w:t>15</w:t>
            </w:r>
            <w:r w:rsidR="00A3420B">
              <w:rPr>
                <w:noProof/>
                <w:webHidden/>
              </w:rPr>
              <w:fldChar w:fldCharType="end"/>
            </w:r>
          </w:hyperlink>
        </w:p>
        <w:p w14:paraId="00CA5063" w14:textId="4A0A6D3A"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77" w:history="1">
            <w:r w:rsidR="00A3420B" w:rsidRPr="0082569A">
              <w:rPr>
                <w:rStyle w:val="Hyperlink"/>
                <w:rFonts w:eastAsia="Arial"/>
                <w:noProof/>
              </w:rPr>
              <w:t>1. Relevance</w:t>
            </w:r>
            <w:r w:rsidR="00A3420B">
              <w:rPr>
                <w:noProof/>
                <w:webHidden/>
              </w:rPr>
              <w:tab/>
            </w:r>
            <w:r w:rsidR="00A3420B">
              <w:rPr>
                <w:noProof/>
                <w:webHidden/>
              </w:rPr>
              <w:fldChar w:fldCharType="begin"/>
            </w:r>
            <w:r w:rsidR="00A3420B">
              <w:rPr>
                <w:noProof/>
                <w:webHidden/>
              </w:rPr>
              <w:instrText xml:space="preserve"> PAGEREF _Toc12804577 \h </w:instrText>
            </w:r>
            <w:r w:rsidR="00A3420B">
              <w:rPr>
                <w:noProof/>
                <w:webHidden/>
              </w:rPr>
            </w:r>
            <w:r w:rsidR="00A3420B">
              <w:rPr>
                <w:noProof/>
                <w:webHidden/>
              </w:rPr>
              <w:fldChar w:fldCharType="separate"/>
            </w:r>
            <w:r w:rsidR="00A3420B">
              <w:rPr>
                <w:noProof/>
                <w:webHidden/>
              </w:rPr>
              <w:t>16</w:t>
            </w:r>
            <w:r w:rsidR="00A3420B">
              <w:rPr>
                <w:noProof/>
                <w:webHidden/>
              </w:rPr>
              <w:fldChar w:fldCharType="end"/>
            </w:r>
          </w:hyperlink>
        </w:p>
        <w:p w14:paraId="6C7A9D8F" w14:textId="58C484B3"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78" w:history="1">
            <w:r w:rsidR="00A3420B" w:rsidRPr="0082569A">
              <w:rPr>
                <w:rStyle w:val="Hyperlink"/>
                <w:rFonts w:eastAsia="Arial"/>
                <w:noProof/>
              </w:rPr>
              <w:t>2. Effectiveness</w:t>
            </w:r>
            <w:r w:rsidR="00A3420B">
              <w:rPr>
                <w:noProof/>
                <w:webHidden/>
              </w:rPr>
              <w:tab/>
            </w:r>
            <w:r w:rsidR="00A3420B">
              <w:rPr>
                <w:noProof/>
                <w:webHidden/>
              </w:rPr>
              <w:fldChar w:fldCharType="begin"/>
            </w:r>
            <w:r w:rsidR="00A3420B">
              <w:rPr>
                <w:noProof/>
                <w:webHidden/>
              </w:rPr>
              <w:instrText xml:space="preserve"> PAGEREF _Toc12804578 \h </w:instrText>
            </w:r>
            <w:r w:rsidR="00A3420B">
              <w:rPr>
                <w:noProof/>
                <w:webHidden/>
              </w:rPr>
            </w:r>
            <w:r w:rsidR="00A3420B">
              <w:rPr>
                <w:noProof/>
                <w:webHidden/>
              </w:rPr>
              <w:fldChar w:fldCharType="separate"/>
            </w:r>
            <w:r w:rsidR="00A3420B">
              <w:rPr>
                <w:noProof/>
                <w:webHidden/>
              </w:rPr>
              <w:t>17</w:t>
            </w:r>
            <w:r w:rsidR="00A3420B">
              <w:rPr>
                <w:noProof/>
                <w:webHidden/>
              </w:rPr>
              <w:fldChar w:fldCharType="end"/>
            </w:r>
          </w:hyperlink>
        </w:p>
        <w:p w14:paraId="36FB6E9D" w14:textId="183C63B2"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79" w:history="1">
            <w:r w:rsidR="00A3420B" w:rsidRPr="0082569A">
              <w:rPr>
                <w:rStyle w:val="Hyperlink"/>
                <w:rFonts w:eastAsia="Arial"/>
                <w:noProof/>
              </w:rPr>
              <w:t>3. Efficiency</w:t>
            </w:r>
            <w:r w:rsidR="00A3420B">
              <w:rPr>
                <w:noProof/>
                <w:webHidden/>
              </w:rPr>
              <w:tab/>
            </w:r>
            <w:r w:rsidR="00A3420B">
              <w:rPr>
                <w:noProof/>
                <w:webHidden/>
              </w:rPr>
              <w:fldChar w:fldCharType="begin"/>
            </w:r>
            <w:r w:rsidR="00A3420B">
              <w:rPr>
                <w:noProof/>
                <w:webHidden/>
              </w:rPr>
              <w:instrText xml:space="preserve"> PAGEREF _Toc12804579 \h </w:instrText>
            </w:r>
            <w:r w:rsidR="00A3420B">
              <w:rPr>
                <w:noProof/>
                <w:webHidden/>
              </w:rPr>
            </w:r>
            <w:r w:rsidR="00A3420B">
              <w:rPr>
                <w:noProof/>
                <w:webHidden/>
              </w:rPr>
              <w:fldChar w:fldCharType="separate"/>
            </w:r>
            <w:r w:rsidR="00A3420B">
              <w:rPr>
                <w:noProof/>
                <w:webHidden/>
              </w:rPr>
              <w:t>19</w:t>
            </w:r>
            <w:r w:rsidR="00A3420B">
              <w:rPr>
                <w:noProof/>
                <w:webHidden/>
              </w:rPr>
              <w:fldChar w:fldCharType="end"/>
            </w:r>
          </w:hyperlink>
        </w:p>
        <w:p w14:paraId="66CF3F32" w14:textId="58BDC3B3"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80" w:history="1">
            <w:r w:rsidR="00A3420B" w:rsidRPr="0082569A">
              <w:rPr>
                <w:rStyle w:val="Hyperlink"/>
                <w:rFonts w:eastAsia="Arial"/>
                <w:noProof/>
              </w:rPr>
              <w:t>4. Sustainability</w:t>
            </w:r>
            <w:r w:rsidR="00A3420B">
              <w:rPr>
                <w:noProof/>
                <w:webHidden/>
              </w:rPr>
              <w:tab/>
            </w:r>
            <w:r w:rsidR="00A3420B">
              <w:rPr>
                <w:noProof/>
                <w:webHidden/>
              </w:rPr>
              <w:fldChar w:fldCharType="begin"/>
            </w:r>
            <w:r w:rsidR="00A3420B">
              <w:rPr>
                <w:noProof/>
                <w:webHidden/>
              </w:rPr>
              <w:instrText xml:space="preserve"> PAGEREF _Toc12804580 \h </w:instrText>
            </w:r>
            <w:r w:rsidR="00A3420B">
              <w:rPr>
                <w:noProof/>
                <w:webHidden/>
              </w:rPr>
            </w:r>
            <w:r w:rsidR="00A3420B">
              <w:rPr>
                <w:noProof/>
                <w:webHidden/>
              </w:rPr>
              <w:fldChar w:fldCharType="separate"/>
            </w:r>
            <w:r w:rsidR="00A3420B">
              <w:rPr>
                <w:noProof/>
                <w:webHidden/>
              </w:rPr>
              <w:t>20</w:t>
            </w:r>
            <w:r w:rsidR="00A3420B">
              <w:rPr>
                <w:noProof/>
                <w:webHidden/>
              </w:rPr>
              <w:fldChar w:fldCharType="end"/>
            </w:r>
          </w:hyperlink>
        </w:p>
        <w:p w14:paraId="37B849EA" w14:textId="0CCA4CD1"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81" w:history="1">
            <w:r w:rsidR="00A3420B" w:rsidRPr="0082569A">
              <w:rPr>
                <w:rStyle w:val="Hyperlink"/>
                <w:rFonts w:eastAsia="Arial"/>
                <w:noProof/>
              </w:rPr>
              <w:t>5. Partnership Strategy</w:t>
            </w:r>
            <w:r w:rsidR="00A3420B">
              <w:rPr>
                <w:noProof/>
                <w:webHidden/>
              </w:rPr>
              <w:tab/>
            </w:r>
            <w:r w:rsidR="00A3420B">
              <w:rPr>
                <w:noProof/>
                <w:webHidden/>
              </w:rPr>
              <w:fldChar w:fldCharType="begin"/>
            </w:r>
            <w:r w:rsidR="00A3420B">
              <w:rPr>
                <w:noProof/>
                <w:webHidden/>
              </w:rPr>
              <w:instrText xml:space="preserve"> PAGEREF _Toc12804581 \h </w:instrText>
            </w:r>
            <w:r w:rsidR="00A3420B">
              <w:rPr>
                <w:noProof/>
                <w:webHidden/>
              </w:rPr>
            </w:r>
            <w:r w:rsidR="00A3420B">
              <w:rPr>
                <w:noProof/>
                <w:webHidden/>
              </w:rPr>
              <w:fldChar w:fldCharType="separate"/>
            </w:r>
            <w:r w:rsidR="00A3420B">
              <w:rPr>
                <w:noProof/>
                <w:webHidden/>
              </w:rPr>
              <w:t>21</w:t>
            </w:r>
            <w:r w:rsidR="00A3420B">
              <w:rPr>
                <w:noProof/>
                <w:webHidden/>
              </w:rPr>
              <w:fldChar w:fldCharType="end"/>
            </w:r>
          </w:hyperlink>
        </w:p>
        <w:p w14:paraId="33F86D4D" w14:textId="1DCB1B98"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82" w:history="1">
            <w:r w:rsidR="00A3420B" w:rsidRPr="0082569A">
              <w:rPr>
                <w:rStyle w:val="Hyperlink"/>
                <w:rFonts w:eastAsia="Arial"/>
                <w:noProof/>
              </w:rPr>
              <w:t>6. Impact</w:t>
            </w:r>
            <w:r w:rsidR="00A3420B">
              <w:rPr>
                <w:noProof/>
                <w:webHidden/>
              </w:rPr>
              <w:tab/>
            </w:r>
            <w:r w:rsidR="00A3420B">
              <w:rPr>
                <w:noProof/>
                <w:webHidden/>
              </w:rPr>
              <w:fldChar w:fldCharType="begin"/>
            </w:r>
            <w:r w:rsidR="00A3420B">
              <w:rPr>
                <w:noProof/>
                <w:webHidden/>
              </w:rPr>
              <w:instrText xml:space="preserve"> PAGEREF _Toc12804582 \h </w:instrText>
            </w:r>
            <w:r w:rsidR="00A3420B">
              <w:rPr>
                <w:noProof/>
                <w:webHidden/>
              </w:rPr>
            </w:r>
            <w:r w:rsidR="00A3420B">
              <w:rPr>
                <w:noProof/>
                <w:webHidden/>
              </w:rPr>
              <w:fldChar w:fldCharType="separate"/>
            </w:r>
            <w:r w:rsidR="00A3420B">
              <w:rPr>
                <w:noProof/>
                <w:webHidden/>
              </w:rPr>
              <w:t>22</w:t>
            </w:r>
            <w:r w:rsidR="00A3420B">
              <w:rPr>
                <w:noProof/>
                <w:webHidden/>
              </w:rPr>
              <w:fldChar w:fldCharType="end"/>
            </w:r>
          </w:hyperlink>
        </w:p>
        <w:p w14:paraId="5C85EDE6" w14:textId="7234F31D"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83" w:history="1">
            <w:r w:rsidR="00A3420B" w:rsidRPr="0082569A">
              <w:rPr>
                <w:rStyle w:val="Hyperlink"/>
                <w:rFonts w:eastAsia="Arial"/>
                <w:noProof/>
              </w:rPr>
              <w:t>7. Gender</w:t>
            </w:r>
            <w:r w:rsidR="00A3420B">
              <w:rPr>
                <w:noProof/>
                <w:webHidden/>
              </w:rPr>
              <w:tab/>
            </w:r>
            <w:r w:rsidR="00A3420B">
              <w:rPr>
                <w:noProof/>
                <w:webHidden/>
              </w:rPr>
              <w:fldChar w:fldCharType="begin"/>
            </w:r>
            <w:r w:rsidR="00A3420B">
              <w:rPr>
                <w:noProof/>
                <w:webHidden/>
              </w:rPr>
              <w:instrText xml:space="preserve"> PAGEREF _Toc12804583 \h </w:instrText>
            </w:r>
            <w:r w:rsidR="00A3420B">
              <w:rPr>
                <w:noProof/>
                <w:webHidden/>
              </w:rPr>
            </w:r>
            <w:r w:rsidR="00A3420B">
              <w:rPr>
                <w:noProof/>
                <w:webHidden/>
              </w:rPr>
              <w:fldChar w:fldCharType="separate"/>
            </w:r>
            <w:r w:rsidR="00A3420B">
              <w:rPr>
                <w:noProof/>
                <w:webHidden/>
              </w:rPr>
              <w:t>22</w:t>
            </w:r>
            <w:r w:rsidR="00A3420B">
              <w:rPr>
                <w:noProof/>
                <w:webHidden/>
              </w:rPr>
              <w:fldChar w:fldCharType="end"/>
            </w:r>
          </w:hyperlink>
        </w:p>
        <w:p w14:paraId="190482F9" w14:textId="5CC44FFA"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84" w:history="1">
            <w:r w:rsidR="00A3420B" w:rsidRPr="0082569A">
              <w:rPr>
                <w:rStyle w:val="Hyperlink"/>
                <w:rFonts w:eastAsia="Arial"/>
                <w:noProof/>
              </w:rPr>
              <w:t>8. Social Inclusion</w:t>
            </w:r>
            <w:r w:rsidR="00A3420B">
              <w:rPr>
                <w:noProof/>
                <w:webHidden/>
              </w:rPr>
              <w:tab/>
            </w:r>
            <w:r w:rsidR="00A3420B">
              <w:rPr>
                <w:noProof/>
                <w:webHidden/>
              </w:rPr>
              <w:fldChar w:fldCharType="begin"/>
            </w:r>
            <w:r w:rsidR="00A3420B">
              <w:rPr>
                <w:noProof/>
                <w:webHidden/>
              </w:rPr>
              <w:instrText xml:space="preserve"> PAGEREF _Toc12804584 \h </w:instrText>
            </w:r>
            <w:r w:rsidR="00A3420B">
              <w:rPr>
                <w:noProof/>
                <w:webHidden/>
              </w:rPr>
            </w:r>
            <w:r w:rsidR="00A3420B">
              <w:rPr>
                <w:noProof/>
                <w:webHidden/>
              </w:rPr>
              <w:fldChar w:fldCharType="separate"/>
            </w:r>
            <w:r w:rsidR="00A3420B">
              <w:rPr>
                <w:noProof/>
                <w:webHidden/>
              </w:rPr>
              <w:t>23</w:t>
            </w:r>
            <w:r w:rsidR="00A3420B">
              <w:rPr>
                <w:noProof/>
                <w:webHidden/>
              </w:rPr>
              <w:fldChar w:fldCharType="end"/>
            </w:r>
          </w:hyperlink>
        </w:p>
        <w:p w14:paraId="5D214BF1" w14:textId="0036DE2F"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85" w:history="1">
            <w:r w:rsidR="00A3420B" w:rsidRPr="0082569A">
              <w:rPr>
                <w:rStyle w:val="Hyperlink"/>
                <w:rFonts w:eastAsia="Arial"/>
                <w:noProof/>
              </w:rPr>
              <w:t>Conclusions</w:t>
            </w:r>
            <w:r w:rsidR="00A3420B">
              <w:rPr>
                <w:noProof/>
                <w:webHidden/>
              </w:rPr>
              <w:tab/>
            </w:r>
            <w:r w:rsidR="00A3420B">
              <w:rPr>
                <w:noProof/>
                <w:webHidden/>
              </w:rPr>
              <w:fldChar w:fldCharType="begin"/>
            </w:r>
            <w:r w:rsidR="00A3420B">
              <w:rPr>
                <w:noProof/>
                <w:webHidden/>
              </w:rPr>
              <w:instrText xml:space="preserve"> PAGEREF _Toc12804585 \h </w:instrText>
            </w:r>
            <w:r w:rsidR="00A3420B">
              <w:rPr>
                <w:noProof/>
                <w:webHidden/>
              </w:rPr>
            </w:r>
            <w:r w:rsidR="00A3420B">
              <w:rPr>
                <w:noProof/>
                <w:webHidden/>
              </w:rPr>
              <w:fldChar w:fldCharType="separate"/>
            </w:r>
            <w:r w:rsidR="00A3420B">
              <w:rPr>
                <w:noProof/>
                <w:webHidden/>
              </w:rPr>
              <w:t>24</w:t>
            </w:r>
            <w:r w:rsidR="00A3420B">
              <w:rPr>
                <w:noProof/>
                <w:webHidden/>
              </w:rPr>
              <w:fldChar w:fldCharType="end"/>
            </w:r>
          </w:hyperlink>
        </w:p>
        <w:p w14:paraId="616B534F" w14:textId="60790974" w:rsidR="00A3420B" w:rsidRDefault="00592694">
          <w:pPr>
            <w:pStyle w:val="TOC3"/>
            <w:tabs>
              <w:tab w:val="right" w:leader="dot" w:pos="9016"/>
            </w:tabs>
            <w:rPr>
              <w:rFonts w:asciiTheme="minorHAnsi" w:eastAsiaTheme="minorEastAsia" w:hAnsiTheme="minorHAnsi" w:cstheme="minorBidi"/>
              <w:noProof/>
              <w:color w:val="auto"/>
              <w:szCs w:val="22"/>
              <w:lang w:val="en-US"/>
            </w:rPr>
          </w:pPr>
          <w:hyperlink w:anchor="_Toc12804586" w:history="1">
            <w:r w:rsidR="00A3420B" w:rsidRPr="0082569A">
              <w:rPr>
                <w:rStyle w:val="Hyperlink"/>
                <w:noProof/>
              </w:rPr>
              <w:t>Recommendations</w:t>
            </w:r>
            <w:r w:rsidR="00A3420B">
              <w:rPr>
                <w:noProof/>
                <w:webHidden/>
              </w:rPr>
              <w:tab/>
            </w:r>
            <w:r w:rsidR="00A3420B">
              <w:rPr>
                <w:noProof/>
                <w:webHidden/>
              </w:rPr>
              <w:fldChar w:fldCharType="begin"/>
            </w:r>
            <w:r w:rsidR="00A3420B">
              <w:rPr>
                <w:noProof/>
                <w:webHidden/>
              </w:rPr>
              <w:instrText xml:space="preserve"> PAGEREF _Toc12804586 \h </w:instrText>
            </w:r>
            <w:r w:rsidR="00A3420B">
              <w:rPr>
                <w:noProof/>
                <w:webHidden/>
              </w:rPr>
            </w:r>
            <w:r w:rsidR="00A3420B">
              <w:rPr>
                <w:noProof/>
                <w:webHidden/>
              </w:rPr>
              <w:fldChar w:fldCharType="separate"/>
            </w:r>
            <w:r w:rsidR="00A3420B">
              <w:rPr>
                <w:noProof/>
                <w:webHidden/>
              </w:rPr>
              <w:t>26</w:t>
            </w:r>
            <w:r w:rsidR="00A3420B">
              <w:rPr>
                <w:noProof/>
                <w:webHidden/>
              </w:rPr>
              <w:fldChar w:fldCharType="end"/>
            </w:r>
          </w:hyperlink>
        </w:p>
        <w:p w14:paraId="6D67FA14" w14:textId="7DB6F259"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87" w:history="1">
            <w:r w:rsidR="00A3420B" w:rsidRPr="0082569A">
              <w:rPr>
                <w:rStyle w:val="Hyperlink"/>
                <w:rFonts w:eastAsia="Arial"/>
                <w:noProof/>
              </w:rPr>
              <w:t>Annex 1 – Terms of Reference</w:t>
            </w:r>
            <w:r w:rsidR="00A3420B">
              <w:rPr>
                <w:noProof/>
                <w:webHidden/>
              </w:rPr>
              <w:tab/>
            </w:r>
            <w:r w:rsidR="00A3420B">
              <w:rPr>
                <w:noProof/>
                <w:webHidden/>
              </w:rPr>
              <w:fldChar w:fldCharType="begin"/>
            </w:r>
            <w:r w:rsidR="00A3420B">
              <w:rPr>
                <w:noProof/>
                <w:webHidden/>
              </w:rPr>
              <w:instrText xml:space="preserve"> PAGEREF _Toc12804587 \h </w:instrText>
            </w:r>
            <w:r w:rsidR="00A3420B">
              <w:rPr>
                <w:noProof/>
                <w:webHidden/>
              </w:rPr>
            </w:r>
            <w:r w:rsidR="00A3420B">
              <w:rPr>
                <w:noProof/>
                <w:webHidden/>
              </w:rPr>
              <w:fldChar w:fldCharType="separate"/>
            </w:r>
            <w:r w:rsidR="00A3420B">
              <w:rPr>
                <w:noProof/>
                <w:webHidden/>
              </w:rPr>
              <w:t>29</w:t>
            </w:r>
            <w:r w:rsidR="00A3420B">
              <w:rPr>
                <w:noProof/>
                <w:webHidden/>
              </w:rPr>
              <w:fldChar w:fldCharType="end"/>
            </w:r>
          </w:hyperlink>
        </w:p>
        <w:p w14:paraId="48F1BF2F" w14:textId="100308A6"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88" w:history="1">
            <w:r w:rsidR="00A3420B" w:rsidRPr="0082569A">
              <w:rPr>
                <w:rStyle w:val="Hyperlink"/>
                <w:noProof/>
              </w:rPr>
              <w:t>Annex 2 – Evaluation Matrix</w:t>
            </w:r>
            <w:r w:rsidR="00A3420B">
              <w:rPr>
                <w:noProof/>
                <w:webHidden/>
              </w:rPr>
              <w:tab/>
            </w:r>
            <w:r w:rsidR="00A3420B">
              <w:rPr>
                <w:noProof/>
                <w:webHidden/>
              </w:rPr>
              <w:fldChar w:fldCharType="begin"/>
            </w:r>
            <w:r w:rsidR="00A3420B">
              <w:rPr>
                <w:noProof/>
                <w:webHidden/>
              </w:rPr>
              <w:instrText xml:space="preserve"> PAGEREF _Toc12804588 \h </w:instrText>
            </w:r>
            <w:r w:rsidR="00A3420B">
              <w:rPr>
                <w:noProof/>
                <w:webHidden/>
              </w:rPr>
            </w:r>
            <w:r w:rsidR="00A3420B">
              <w:rPr>
                <w:noProof/>
                <w:webHidden/>
              </w:rPr>
              <w:fldChar w:fldCharType="separate"/>
            </w:r>
            <w:r w:rsidR="00A3420B">
              <w:rPr>
                <w:noProof/>
                <w:webHidden/>
              </w:rPr>
              <w:t>39</w:t>
            </w:r>
            <w:r w:rsidR="00A3420B">
              <w:rPr>
                <w:noProof/>
                <w:webHidden/>
              </w:rPr>
              <w:fldChar w:fldCharType="end"/>
            </w:r>
          </w:hyperlink>
        </w:p>
        <w:p w14:paraId="7D4059E5" w14:textId="6C334AE1"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89" w:history="1">
            <w:r w:rsidR="00A3420B" w:rsidRPr="0082569A">
              <w:rPr>
                <w:rStyle w:val="Hyperlink"/>
                <w:rFonts w:eastAsia="Arial"/>
                <w:noProof/>
              </w:rPr>
              <w:t>Annex 3 – Outcome Model</w:t>
            </w:r>
            <w:r w:rsidR="00A3420B">
              <w:rPr>
                <w:noProof/>
                <w:webHidden/>
              </w:rPr>
              <w:tab/>
            </w:r>
            <w:r w:rsidR="00A3420B">
              <w:rPr>
                <w:noProof/>
                <w:webHidden/>
              </w:rPr>
              <w:fldChar w:fldCharType="begin"/>
            </w:r>
            <w:r w:rsidR="00A3420B">
              <w:rPr>
                <w:noProof/>
                <w:webHidden/>
              </w:rPr>
              <w:instrText xml:space="preserve"> PAGEREF _Toc12804589 \h </w:instrText>
            </w:r>
            <w:r w:rsidR="00A3420B">
              <w:rPr>
                <w:noProof/>
                <w:webHidden/>
              </w:rPr>
            </w:r>
            <w:r w:rsidR="00A3420B">
              <w:rPr>
                <w:noProof/>
                <w:webHidden/>
              </w:rPr>
              <w:fldChar w:fldCharType="separate"/>
            </w:r>
            <w:r w:rsidR="00A3420B">
              <w:rPr>
                <w:noProof/>
                <w:webHidden/>
              </w:rPr>
              <w:t>60</w:t>
            </w:r>
            <w:r w:rsidR="00A3420B">
              <w:rPr>
                <w:noProof/>
                <w:webHidden/>
              </w:rPr>
              <w:fldChar w:fldCharType="end"/>
            </w:r>
          </w:hyperlink>
        </w:p>
        <w:p w14:paraId="28C58EA5" w14:textId="6CFFAD15"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90" w:history="1">
            <w:r w:rsidR="00A3420B" w:rsidRPr="0082569A">
              <w:rPr>
                <w:rStyle w:val="Hyperlink"/>
                <w:rFonts w:eastAsia="Arial"/>
                <w:noProof/>
              </w:rPr>
              <w:t>Annex 4 – Reference Documents</w:t>
            </w:r>
            <w:r w:rsidR="00A3420B">
              <w:rPr>
                <w:noProof/>
                <w:webHidden/>
              </w:rPr>
              <w:tab/>
            </w:r>
            <w:r w:rsidR="00A3420B">
              <w:rPr>
                <w:noProof/>
                <w:webHidden/>
              </w:rPr>
              <w:fldChar w:fldCharType="begin"/>
            </w:r>
            <w:r w:rsidR="00A3420B">
              <w:rPr>
                <w:noProof/>
                <w:webHidden/>
              </w:rPr>
              <w:instrText xml:space="preserve"> PAGEREF _Toc12804590 \h </w:instrText>
            </w:r>
            <w:r w:rsidR="00A3420B">
              <w:rPr>
                <w:noProof/>
                <w:webHidden/>
              </w:rPr>
            </w:r>
            <w:r w:rsidR="00A3420B">
              <w:rPr>
                <w:noProof/>
                <w:webHidden/>
              </w:rPr>
              <w:fldChar w:fldCharType="separate"/>
            </w:r>
            <w:r w:rsidR="00A3420B">
              <w:rPr>
                <w:noProof/>
                <w:webHidden/>
              </w:rPr>
              <w:t>61</w:t>
            </w:r>
            <w:r w:rsidR="00A3420B">
              <w:rPr>
                <w:noProof/>
                <w:webHidden/>
              </w:rPr>
              <w:fldChar w:fldCharType="end"/>
            </w:r>
          </w:hyperlink>
        </w:p>
        <w:p w14:paraId="3DFE0B83" w14:textId="19769265"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91" w:history="1">
            <w:r w:rsidR="00A3420B" w:rsidRPr="0082569A">
              <w:rPr>
                <w:rStyle w:val="Hyperlink"/>
                <w:rFonts w:eastAsia="Arial"/>
                <w:noProof/>
              </w:rPr>
              <w:t>Annex 5 – Interviews</w:t>
            </w:r>
            <w:r w:rsidR="00A3420B">
              <w:rPr>
                <w:noProof/>
                <w:webHidden/>
              </w:rPr>
              <w:tab/>
            </w:r>
            <w:r w:rsidR="00A3420B">
              <w:rPr>
                <w:noProof/>
                <w:webHidden/>
              </w:rPr>
              <w:fldChar w:fldCharType="begin"/>
            </w:r>
            <w:r w:rsidR="00A3420B">
              <w:rPr>
                <w:noProof/>
                <w:webHidden/>
              </w:rPr>
              <w:instrText xml:space="preserve"> PAGEREF _Toc12804591 \h </w:instrText>
            </w:r>
            <w:r w:rsidR="00A3420B">
              <w:rPr>
                <w:noProof/>
                <w:webHidden/>
              </w:rPr>
            </w:r>
            <w:r w:rsidR="00A3420B">
              <w:rPr>
                <w:noProof/>
                <w:webHidden/>
              </w:rPr>
              <w:fldChar w:fldCharType="separate"/>
            </w:r>
            <w:r w:rsidR="00A3420B">
              <w:rPr>
                <w:noProof/>
                <w:webHidden/>
              </w:rPr>
              <w:t>62</w:t>
            </w:r>
            <w:r w:rsidR="00A3420B">
              <w:rPr>
                <w:noProof/>
                <w:webHidden/>
              </w:rPr>
              <w:fldChar w:fldCharType="end"/>
            </w:r>
          </w:hyperlink>
        </w:p>
        <w:p w14:paraId="560C6393" w14:textId="7F03CD0D"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92" w:history="1">
            <w:r w:rsidR="00A3420B" w:rsidRPr="0082569A">
              <w:rPr>
                <w:rStyle w:val="Hyperlink"/>
                <w:rFonts w:eastAsia="Arial"/>
                <w:noProof/>
              </w:rPr>
              <w:t>Annex 6 – Comparative Table: EU and UNDP M&amp;E Frameworks for Fiji Access to Justice Project</w:t>
            </w:r>
            <w:r w:rsidR="00A3420B">
              <w:rPr>
                <w:noProof/>
                <w:webHidden/>
              </w:rPr>
              <w:tab/>
            </w:r>
            <w:r w:rsidR="00A3420B">
              <w:rPr>
                <w:noProof/>
                <w:webHidden/>
              </w:rPr>
              <w:fldChar w:fldCharType="begin"/>
            </w:r>
            <w:r w:rsidR="00A3420B">
              <w:rPr>
                <w:noProof/>
                <w:webHidden/>
              </w:rPr>
              <w:instrText xml:space="preserve"> PAGEREF _Toc12804592 \h </w:instrText>
            </w:r>
            <w:r w:rsidR="00A3420B">
              <w:rPr>
                <w:noProof/>
                <w:webHidden/>
              </w:rPr>
            </w:r>
            <w:r w:rsidR="00A3420B">
              <w:rPr>
                <w:noProof/>
                <w:webHidden/>
              </w:rPr>
              <w:fldChar w:fldCharType="separate"/>
            </w:r>
            <w:r w:rsidR="00A3420B">
              <w:rPr>
                <w:noProof/>
                <w:webHidden/>
              </w:rPr>
              <w:t>64</w:t>
            </w:r>
            <w:r w:rsidR="00A3420B">
              <w:rPr>
                <w:noProof/>
                <w:webHidden/>
              </w:rPr>
              <w:fldChar w:fldCharType="end"/>
            </w:r>
          </w:hyperlink>
        </w:p>
        <w:p w14:paraId="3454E714" w14:textId="352D4836"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93" w:history="1">
            <w:r w:rsidR="00A3420B" w:rsidRPr="0082569A">
              <w:rPr>
                <w:rStyle w:val="Hyperlink"/>
                <w:rFonts w:eastAsia="Arial"/>
                <w:noProof/>
              </w:rPr>
              <w:t>Annex 7 – Proposed Refinements to Project Board Structure</w:t>
            </w:r>
            <w:r w:rsidR="00A3420B">
              <w:rPr>
                <w:noProof/>
                <w:webHidden/>
              </w:rPr>
              <w:tab/>
            </w:r>
            <w:r w:rsidR="00A3420B">
              <w:rPr>
                <w:noProof/>
                <w:webHidden/>
              </w:rPr>
              <w:fldChar w:fldCharType="begin"/>
            </w:r>
            <w:r w:rsidR="00A3420B">
              <w:rPr>
                <w:noProof/>
                <w:webHidden/>
              </w:rPr>
              <w:instrText xml:space="preserve"> PAGEREF _Toc12804593 \h </w:instrText>
            </w:r>
            <w:r w:rsidR="00A3420B">
              <w:rPr>
                <w:noProof/>
                <w:webHidden/>
              </w:rPr>
            </w:r>
            <w:r w:rsidR="00A3420B">
              <w:rPr>
                <w:noProof/>
                <w:webHidden/>
              </w:rPr>
              <w:fldChar w:fldCharType="separate"/>
            </w:r>
            <w:r w:rsidR="00A3420B">
              <w:rPr>
                <w:noProof/>
                <w:webHidden/>
              </w:rPr>
              <w:t>76</w:t>
            </w:r>
            <w:r w:rsidR="00A3420B">
              <w:rPr>
                <w:noProof/>
                <w:webHidden/>
              </w:rPr>
              <w:fldChar w:fldCharType="end"/>
            </w:r>
          </w:hyperlink>
        </w:p>
        <w:p w14:paraId="3831BA97" w14:textId="6068AB1A" w:rsidR="00A3420B" w:rsidRDefault="00592694">
          <w:pPr>
            <w:pStyle w:val="TOC1"/>
            <w:tabs>
              <w:tab w:val="right" w:leader="dot" w:pos="9016"/>
            </w:tabs>
            <w:rPr>
              <w:rFonts w:asciiTheme="minorHAnsi" w:eastAsiaTheme="minorEastAsia" w:hAnsiTheme="minorHAnsi" w:cstheme="minorBidi"/>
              <w:noProof/>
              <w:color w:val="auto"/>
              <w:szCs w:val="22"/>
              <w:lang w:val="en-US"/>
            </w:rPr>
          </w:pPr>
          <w:hyperlink w:anchor="_Toc12804594" w:history="1">
            <w:r w:rsidR="00A3420B" w:rsidRPr="0082569A">
              <w:rPr>
                <w:rStyle w:val="Hyperlink"/>
                <w:rFonts w:eastAsia="Arial"/>
                <w:noProof/>
              </w:rPr>
              <w:t>Annex 8 – FA2J in the Context of UNDP and UN Regional Programming</w:t>
            </w:r>
            <w:r w:rsidR="00A3420B">
              <w:rPr>
                <w:noProof/>
                <w:webHidden/>
              </w:rPr>
              <w:tab/>
            </w:r>
            <w:r w:rsidR="00A3420B">
              <w:rPr>
                <w:noProof/>
                <w:webHidden/>
              </w:rPr>
              <w:fldChar w:fldCharType="begin"/>
            </w:r>
            <w:r w:rsidR="00A3420B">
              <w:rPr>
                <w:noProof/>
                <w:webHidden/>
              </w:rPr>
              <w:instrText xml:space="preserve"> PAGEREF _Toc12804594 \h </w:instrText>
            </w:r>
            <w:r w:rsidR="00A3420B">
              <w:rPr>
                <w:noProof/>
                <w:webHidden/>
              </w:rPr>
            </w:r>
            <w:r w:rsidR="00A3420B">
              <w:rPr>
                <w:noProof/>
                <w:webHidden/>
              </w:rPr>
              <w:fldChar w:fldCharType="separate"/>
            </w:r>
            <w:r w:rsidR="00A3420B">
              <w:rPr>
                <w:noProof/>
                <w:webHidden/>
              </w:rPr>
              <w:t>77</w:t>
            </w:r>
            <w:r w:rsidR="00A3420B">
              <w:rPr>
                <w:noProof/>
                <w:webHidden/>
              </w:rPr>
              <w:fldChar w:fldCharType="end"/>
            </w:r>
          </w:hyperlink>
        </w:p>
        <w:p w14:paraId="7CF3A524" w14:textId="5C8A7850" w:rsidR="000407B5" w:rsidRDefault="000407B5">
          <w:r>
            <w:rPr>
              <w:b/>
              <w:bCs/>
              <w:noProof/>
            </w:rPr>
            <w:fldChar w:fldCharType="end"/>
          </w:r>
        </w:p>
      </w:sdtContent>
    </w:sdt>
    <w:p w14:paraId="578EAF3A" w14:textId="77777777" w:rsidR="000407B5" w:rsidRDefault="000407B5" w:rsidP="00F02FF1">
      <w:pPr>
        <w:pStyle w:val="Heading1"/>
        <w:rPr>
          <w:rFonts w:eastAsia="Times New Roman"/>
          <w:spacing w:val="-6"/>
        </w:rPr>
        <w:sectPr w:rsidR="000407B5" w:rsidSect="005215AF">
          <w:footerReference w:type="first" r:id="rId14"/>
          <w:pgSz w:w="11906" w:h="16838" w:code="9"/>
          <w:pgMar w:top="1440" w:right="1440" w:bottom="1440" w:left="1440" w:header="720" w:footer="720" w:gutter="0"/>
          <w:cols w:space="720"/>
          <w:titlePg/>
          <w:docGrid w:linePitch="360"/>
        </w:sectPr>
      </w:pPr>
    </w:p>
    <w:p w14:paraId="2D887132" w14:textId="1842D915" w:rsidR="00BC6B41" w:rsidRPr="00A050EB" w:rsidRDefault="00BC6B41" w:rsidP="00F02FF1">
      <w:pPr>
        <w:pStyle w:val="Heading1"/>
      </w:pPr>
      <w:bookmarkStart w:id="1" w:name="_Toc12804560"/>
      <w:r w:rsidRPr="00A050EB">
        <w:rPr>
          <w:rFonts w:eastAsia="Times New Roman"/>
          <w:spacing w:val="-6"/>
        </w:rPr>
        <w:lastRenderedPageBreak/>
        <w:t>A</w:t>
      </w:r>
      <w:r w:rsidRPr="00A050EB">
        <w:rPr>
          <w:rFonts w:eastAsia="Times New Roman"/>
          <w:spacing w:val="2"/>
          <w:w w:val="125"/>
        </w:rPr>
        <w:t>c</w:t>
      </w:r>
      <w:r w:rsidRPr="00A050EB">
        <w:rPr>
          <w:rFonts w:eastAsia="Times New Roman"/>
          <w:w w:val="88"/>
        </w:rPr>
        <w:t>r</w:t>
      </w:r>
      <w:r w:rsidRPr="00A050EB">
        <w:rPr>
          <w:rFonts w:eastAsia="Times New Roman"/>
          <w:w w:val="122"/>
        </w:rPr>
        <w:t>o</w:t>
      </w:r>
      <w:r w:rsidRPr="00A050EB">
        <w:rPr>
          <w:rFonts w:eastAsia="Times New Roman"/>
          <w:spacing w:val="2"/>
          <w:w w:val="110"/>
        </w:rPr>
        <w:t>n</w:t>
      </w:r>
      <w:r w:rsidRPr="00A050EB">
        <w:rPr>
          <w:rFonts w:eastAsia="Times New Roman"/>
          <w:spacing w:val="-5"/>
          <w:w w:val="111"/>
        </w:rPr>
        <w:t>y</w:t>
      </w:r>
      <w:r w:rsidRPr="00A050EB">
        <w:rPr>
          <w:rFonts w:eastAsia="Times New Roman"/>
          <w:w w:val="107"/>
        </w:rPr>
        <w:t>m</w:t>
      </w:r>
      <w:r w:rsidRPr="00A050EB">
        <w:rPr>
          <w:rFonts w:eastAsia="Times New Roman"/>
          <w:w w:val="143"/>
        </w:rPr>
        <w:t>s</w:t>
      </w:r>
      <w:bookmarkEnd w:id="1"/>
    </w:p>
    <w:p w14:paraId="666B5471" w14:textId="77777777" w:rsidR="00BC6B41" w:rsidRPr="00A050EB" w:rsidRDefault="00BC6B41" w:rsidP="00BC6B41">
      <w:pPr>
        <w:spacing w:line="200" w:lineRule="exact"/>
      </w:pPr>
    </w:p>
    <w:p w14:paraId="3E93659E" w14:textId="77777777" w:rsidR="00BC6B41" w:rsidRPr="00A050EB" w:rsidRDefault="00BC6B41" w:rsidP="00BC6B41">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71"/>
      </w:tblGrid>
      <w:tr w:rsidR="00FD35BC" w:rsidRPr="00A050EB" w14:paraId="76DEDB55" w14:textId="77777777" w:rsidTr="00866298">
        <w:tc>
          <w:tcPr>
            <w:tcW w:w="2245" w:type="dxa"/>
          </w:tcPr>
          <w:p w14:paraId="21BD38A3" w14:textId="79B7BF24" w:rsidR="00FD35BC" w:rsidRPr="00A050EB" w:rsidRDefault="00FD35BC" w:rsidP="00866298">
            <w:pPr>
              <w:spacing w:before="7" w:line="220" w:lineRule="exact"/>
              <w:rPr>
                <w:rFonts w:eastAsia="Arial"/>
                <w:spacing w:val="-1"/>
                <w:szCs w:val="22"/>
              </w:rPr>
            </w:pPr>
            <w:r w:rsidRPr="00A050EB">
              <w:rPr>
                <w:rFonts w:eastAsia="Arial"/>
                <w:spacing w:val="-1"/>
                <w:szCs w:val="22"/>
              </w:rPr>
              <w:t>ACP</w:t>
            </w:r>
          </w:p>
        </w:tc>
        <w:tc>
          <w:tcPr>
            <w:tcW w:w="6771" w:type="dxa"/>
          </w:tcPr>
          <w:p w14:paraId="7332972F" w14:textId="40CAB796" w:rsidR="00FD35BC" w:rsidRPr="00A050EB" w:rsidRDefault="00FD35BC" w:rsidP="00866298">
            <w:pPr>
              <w:spacing w:before="7" w:line="220" w:lineRule="exact"/>
              <w:rPr>
                <w:rFonts w:eastAsia="Arial"/>
                <w:spacing w:val="-1"/>
                <w:szCs w:val="22"/>
              </w:rPr>
            </w:pPr>
            <w:r w:rsidRPr="00A050EB">
              <w:rPr>
                <w:rFonts w:eastAsia="Arial"/>
                <w:spacing w:val="-1"/>
                <w:szCs w:val="22"/>
              </w:rPr>
              <w:t>Africa, Caribbean and Pacific Countries</w:t>
            </w:r>
          </w:p>
        </w:tc>
      </w:tr>
      <w:tr w:rsidR="00866298" w:rsidRPr="00A050EB" w14:paraId="241EB3E8" w14:textId="77777777" w:rsidTr="00866298">
        <w:tc>
          <w:tcPr>
            <w:tcW w:w="2245" w:type="dxa"/>
          </w:tcPr>
          <w:p w14:paraId="55027B2A" w14:textId="2875D4F1" w:rsidR="00866298" w:rsidRPr="00A050EB" w:rsidRDefault="00866298" w:rsidP="00866298">
            <w:pPr>
              <w:spacing w:before="7" w:line="220" w:lineRule="exact"/>
              <w:rPr>
                <w:szCs w:val="22"/>
              </w:rPr>
            </w:pPr>
            <w:r w:rsidRPr="00A050EB">
              <w:rPr>
                <w:rFonts w:eastAsia="Arial"/>
                <w:spacing w:val="-1"/>
                <w:szCs w:val="22"/>
              </w:rPr>
              <w:t>CS</w:t>
            </w:r>
            <w:r w:rsidRPr="00A050EB">
              <w:rPr>
                <w:rFonts w:eastAsia="Arial"/>
                <w:szCs w:val="22"/>
              </w:rPr>
              <w:t xml:space="preserve">O </w:t>
            </w:r>
          </w:p>
        </w:tc>
        <w:tc>
          <w:tcPr>
            <w:tcW w:w="6771" w:type="dxa"/>
          </w:tcPr>
          <w:p w14:paraId="5B3BE721" w14:textId="375C2B8D" w:rsidR="00866298" w:rsidRPr="00A050EB" w:rsidRDefault="00866298" w:rsidP="00866298">
            <w:pPr>
              <w:spacing w:before="7" w:line="220" w:lineRule="exact"/>
              <w:rPr>
                <w:szCs w:val="22"/>
              </w:rPr>
            </w:pPr>
            <w:r w:rsidRPr="00A050EB">
              <w:rPr>
                <w:rFonts w:eastAsia="Arial"/>
                <w:spacing w:val="-1"/>
                <w:szCs w:val="22"/>
              </w:rPr>
              <w:t>Ci</w:t>
            </w:r>
            <w:r w:rsidRPr="00A050EB">
              <w:rPr>
                <w:rFonts w:eastAsia="Arial"/>
                <w:szCs w:val="22"/>
              </w:rPr>
              <w:t>v</w:t>
            </w:r>
            <w:r w:rsidRPr="00A050EB">
              <w:rPr>
                <w:rFonts w:eastAsia="Arial"/>
                <w:spacing w:val="-1"/>
                <w:szCs w:val="22"/>
              </w:rPr>
              <w:t>i</w:t>
            </w:r>
            <w:r w:rsidRPr="00A050EB">
              <w:rPr>
                <w:rFonts w:eastAsia="Arial"/>
                <w:szCs w:val="22"/>
              </w:rPr>
              <w:t xml:space="preserve">l </w:t>
            </w:r>
            <w:r w:rsidRPr="00A050EB">
              <w:rPr>
                <w:rFonts w:eastAsia="Arial"/>
                <w:spacing w:val="-1"/>
                <w:szCs w:val="22"/>
              </w:rPr>
              <w:t>S</w:t>
            </w:r>
            <w:r w:rsidRPr="00A050EB">
              <w:rPr>
                <w:rFonts w:eastAsia="Arial"/>
                <w:szCs w:val="22"/>
              </w:rPr>
              <w:t>oc</w:t>
            </w:r>
            <w:r w:rsidRPr="00A050EB">
              <w:rPr>
                <w:rFonts w:eastAsia="Arial"/>
                <w:spacing w:val="-1"/>
                <w:szCs w:val="22"/>
              </w:rPr>
              <w:t>i</w:t>
            </w:r>
            <w:r w:rsidRPr="00A050EB">
              <w:rPr>
                <w:rFonts w:eastAsia="Arial"/>
                <w:szCs w:val="22"/>
              </w:rPr>
              <w:t xml:space="preserve">ety </w:t>
            </w:r>
            <w:r w:rsidRPr="00A050EB">
              <w:rPr>
                <w:rFonts w:eastAsia="Arial"/>
                <w:spacing w:val="1"/>
                <w:szCs w:val="22"/>
              </w:rPr>
              <w:t>Or</w:t>
            </w:r>
            <w:r w:rsidRPr="00A050EB">
              <w:rPr>
                <w:rFonts w:eastAsia="Arial"/>
                <w:spacing w:val="2"/>
                <w:szCs w:val="22"/>
              </w:rPr>
              <w:t>g</w:t>
            </w:r>
            <w:r w:rsidRPr="00A050EB">
              <w:rPr>
                <w:rFonts w:eastAsia="Arial"/>
                <w:spacing w:val="-3"/>
                <w:szCs w:val="22"/>
              </w:rPr>
              <w:t>a</w:t>
            </w:r>
            <w:r w:rsidRPr="00A050EB">
              <w:rPr>
                <w:rFonts w:eastAsia="Arial"/>
                <w:szCs w:val="22"/>
              </w:rPr>
              <w:t>n</w:t>
            </w:r>
            <w:r w:rsidRPr="00A050EB">
              <w:rPr>
                <w:rFonts w:eastAsia="Arial"/>
                <w:spacing w:val="-1"/>
                <w:szCs w:val="22"/>
              </w:rPr>
              <w:t>i</w:t>
            </w:r>
            <w:r w:rsidRPr="00A050EB">
              <w:rPr>
                <w:rFonts w:eastAsia="Arial"/>
                <w:spacing w:val="-2"/>
                <w:szCs w:val="22"/>
              </w:rPr>
              <w:t>z</w:t>
            </w:r>
            <w:r w:rsidRPr="00A050EB">
              <w:rPr>
                <w:rFonts w:eastAsia="Arial"/>
                <w:szCs w:val="22"/>
              </w:rPr>
              <w:t>ati</w:t>
            </w:r>
            <w:r w:rsidRPr="00A050EB">
              <w:rPr>
                <w:rFonts w:eastAsia="Arial"/>
                <w:spacing w:val="1"/>
                <w:szCs w:val="22"/>
              </w:rPr>
              <w:t>o</w:t>
            </w:r>
            <w:r w:rsidRPr="00A050EB">
              <w:rPr>
                <w:rFonts w:eastAsia="Arial"/>
                <w:szCs w:val="22"/>
              </w:rPr>
              <w:t>n</w:t>
            </w:r>
          </w:p>
        </w:tc>
      </w:tr>
      <w:tr w:rsidR="00BB3B69" w:rsidRPr="00A050EB" w14:paraId="5203BAB9" w14:textId="77777777" w:rsidTr="00866298">
        <w:tc>
          <w:tcPr>
            <w:tcW w:w="2245" w:type="dxa"/>
          </w:tcPr>
          <w:p w14:paraId="7FA899FA" w14:textId="6C24ABC7" w:rsidR="00BB3B69" w:rsidRPr="00A050EB" w:rsidRDefault="00BB3B69" w:rsidP="00866298">
            <w:pPr>
              <w:spacing w:before="7" w:line="220" w:lineRule="exact"/>
              <w:rPr>
                <w:rFonts w:eastAsia="Arial"/>
                <w:spacing w:val="-1"/>
                <w:szCs w:val="22"/>
              </w:rPr>
            </w:pPr>
            <w:r>
              <w:rPr>
                <w:rFonts w:eastAsia="Arial"/>
                <w:spacing w:val="-1"/>
                <w:szCs w:val="22"/>
              </w:rPr>
              <w:t>EP</w:t>
            </w:r>
          </w:p>
        </w:tc>
        <w:tc>
          <w:tcPr>
            <w:tcW w:w="6771" w:type="dxa"/>
          </w:tcPr>
          <w:p w14:paraId="0227F58C" w14:textId="31923B6E" w:rsidR="00BB3B69" w:rsidRPr="00A050EB" w:rsidRDefault="00BB3B69" w:rsidP="00866298">
            <w:pPr>
              <w:spacing w:before="7" w:line="220" w:lineRule="exact"/>
              <w:rPr>
                <w:rFonts w:eastAsia="Arial"/>
                <w:spacing w:val="-1"/>
                <w:szCs w:val="22"/>
              </w:rPr>
            </w:pPr>
            <w:r>
              <w:rPr>
                <w:rFonts w:eastAsia="Arial"/>
                <w:spacing w:val="-1"/>
                <w:szCs w:val="22"/>
              </w:rPr>
              <w:t xml:space="preserve">Empower Pacific </w:t>
            </w:r>
          </w:p>
        </w:tc>
      </w:tr>
      <w:tr w:rsidR="00866298" w:rsidRPr="00A050EB" w14:paraId="29B835D6" w14:textId="77777777" w:rsidTr="00866298">
        <w:tc>
          <w:tcPr>
            <w:tcW w:w="2245" w:type="dxa"/>
          </w:tcPr>
          <w:p w14:paraId="48E899BB" w14:textId="31FEC73A" w:rsidR="00866298" w:rsidRPr="00A050EB" w:rsidRDefault="00866298" w:rsidP="00BC6B41">
            <w:pPr>
              <w:spacing w:before="7" w:line="220" w:lineRule="exact"/>
              <w:rPr>
                <w:szCs w:val="22"/>
              </w:rPr>
            </w:pPr>
            <w:r w:rsidRPr="00A050EB">
              <w:rPr>
                <w:szCs w:val="22"/>
              </w:rPr>
              <w:t>EU</w:t>
            </w:r>
          </w:p>
        </w:tc>
        <w:tc>
          <w:tcPr>
            <w:tcW w:w="6771" w:type="dxa"/>
          </w:tcPr>
          <w:p w14:paraId="1E5E7B98" w14:textId="0F20E56F" w:rsidR="00866298" w:rsidRPr="00A050EB" w:rsidRDefault="00866298" w:rsidP="00BC6B41">
            <w:pPr>
              <w:spacing w:before="7" w:line="220" w:lineRule="exact"/>
              <w:rPr>
                <w:szCs w:val="22"/>
              </w:rPr>
            </w:pPr>
            <w:r w:rsidRPr="00A050EB">
              <w:rPr>
                <w:rFonts w:eastAsia="Arial"/>
                <w:spacing w:val="-1"/>
                <w:szCs w:val="22"/>
              </w:rPr>
              <w:t>E</w:t>
            </w:r>
            <w:r w:rsidRPr="00A050EB">
              <w:rPr>
                <w:rFonts w:eastAsia="Arial"/>
                <w:szCs w:val="22"/>
              </w:rPr>
              <w:t>urope</w:t>
            </w:r>
            <w:r w:rsidRPr="00A050EB">
              <w:rPr>
                <w:rFonts w:eastAsia="Arial"/>
                <w:spacing w:val="-1"/>
                <w:szCs w:val="22"/>
              </w:rPr>
              <w:t>a</w:t>
            </w:r>
            <w:r w:rsidRPr="00A050EB">
              <w:rPr>
                <w:rFonts w:eastAsia="Arial"/>
                <w:szCs w:val="22"/>
              </w:rPr>
              <w:t>n U</w:t>
            </w:r>
            <w:r w:rsidRPr="00A050EB">
              <w:rPr>
                <w:rFonts w:eastAsia="Arial"/>
                <w:spacing w:val="-1"/>
                <w:szCs w:val="22"/>
              </w:rPr>
              <w:t>ni</w:t>
            </w:r>
            <w:r w:rsidRPr="00A050EB">
              <w:rPr>
                <w:rFonts w:eastAsia="Arial"/>
                <w:szCs w:val="22"/>
              </w:rPr>
              <w:t>on</w:t>
            </w:r>
          </w:p>
        </w:tc>
      </w:tr>
      <w:tr w:rsidR="00707CB6" w:rsidRPr="00A050EB" w14:paraId="051B40D4" w14:textId="77777777" w:rsidTr="00866298">
        <w:tc>
          <w:tcPr>
            <w:tcW w:w="2245" w:type="dxa"/>
          </w:tcPr>
          <w:p w14:paraId="59A693FB" w14:textId="418C67D4" w:rsidR="00707CB6" w:rsidRPr="00A050EB" w:rsidRDefault="00707CB6" w:rsidP="00BC6B41">
            <w:pPr>
              <w:spacing w:before="7" w:line="220" w:lineRule="exact"/>
              <w:rPr>
                <w:szCs w:val="22"/>
              </w:rPr>
            </w:pPr>
            <w:r w:rsidRPr="00A050EB">
              <w:rPr>
                <w:szCs w:val="22"/>
              </w:rPr>
              <w:t>FA2J</w:t>
            </w:r>
          </w:p>
        </w:tc>
        <w:tc>
          <w:tcPr>
            <w:tcW w:w="6771" w:type="dxa"/>
          </w:tcPr>
          <w:p w14:paraId="6687DC4C" w14:textId="39FFB6B7" w:rsidR="00707CB6" w:rsidRPr="00A050EB" w:rsidRDefault="00707CB6" w:rsidP="00BC6B41">
            <w:pPr>
              <w:spacing w:before="7" w:line="220" w:lineRule="exact"/>
              <w:rPr>
                <w:rFonts w:eastAsia="Arial"/>
                <w:spacing w:val="-1"/>
                <w:szCs w:val="22"/>
              </w:rPr>
            </w:pPr>
            <w:r w:rsidRPr="00A050EB">
              <w:rPr>
                <w:rFonts w:eastAsia="Arial"/>
                <w:spacing w:val="-1"/>
                <w:szCs w:val="22"/>
              </w:rPr>
              <w:t>Fiji Access to Justice Project</w:t>
            </w:r>
          </w:p>
        </w:tc>
      </w:tr>
      <w:tr w:rsidR="00BB3B69" w:rsidRPr="00A050EB" w14:paraId="356FA94C" w14:textId="77777777" w:rsidTr="00866298">
        <w:tc>
          <w:tcPr>
            <w:tcW w:w="2245" w:type="dxa"/>
          </w:tcPr>
          <w:p w14:paraId="129818A0" w14:textId="07DE32C5" w:rsidR="00BB3B69" w:rsidRPr="00A050EB" w:rsidRDefault="00BB3B69" w:rsidP="00BC6B41">
            <w:pPr>
              <w:spacing w:before="7" w:line="220" w:lineRule="exact"/>
              <w:rPr>
                <w:szCs w:val="22"/>
              </w:rPr>
            </w:pPr>
            <w:r>
              <w:rPr>
                <w:szCs w:val="22"/>
              </w:rPr>
              <w:t>FDPF</w:t>
            </w:r>
          </w:p>
        </w:tc>
        <w:tc>
          <w:tcPr>
            <w:tcW w:w="6771" w:type="dxa"/>
          </w:tcPr>
          <w:p w14:paraId="6FF56D51" w14:textId="6AD23C27" w:rsidR="00BB3B69" w:rsidRPr="00A050EB" w:rsidRDefault="00BB3B69" w:rsidP="00BC6B41">
            <w:pPr>
              <w:spacing w:before="7" w:line="220" w:lineRule="exact"/>
              <w:rPr>
                <w:rFonts w:eastAsia="Arial"/>
                <w:spacing w:val="-1"/>
                <w:szCs w:val="22"/>
              </w:rPr>
            </w:pPr>
            <w:r>
              <w:rPr>
                <w:rFonts w:eastAsia="Arial"/>
                <w:spacing w:val="-1"/>
                <w:szCs w:val="22"/>
              </w:rPr>
              <w:t>Fiji Disable People’s Federation</w:t>
            </w:r>
          </w:p>
        </w:tc>
      </w:tr>
      <w:tr w:rsidR="00866298" w:rsidRPr="00A050EB" w14:paraId="5359DCED" w14:textId="77777777" w:rsidTr="00866298">
        <w:tc>
          <w:tcPr>
            <w:tcW w:w="2245" w:type="dxa"/>
          </w:tcPr>
          <w:p w14:paraId="1AF60E63" w14:textId="5E1787DB" w:rsidR="00866298" w:rsidRPr="00A050EB" w:rsidRDefault="00866298" w:rsidP="00BC6B41">
            <w:pPr>
              <w:spacing w:before="7" w:line="220" w:lineRule="exact"/>
              <w:rPr>
                <w:szCs w:val="22"/>
              </w:rPr>
            </w:pPr>
            <w:r w:rsidRPr="00A050EB">
              <w:rPr>
                <w:szCs w:val="22"/>
              </w:rPr>
              <w:t>HRADC</w:t>
            </w:r>
          </w:p>
        </w:tc>
        <w:tc>
          <w:tcPr>
            <w:tcW w:w="6771" w:type="dxa"/>
          </w:tcPr>
          <w:p w14:paraId="6C92B5EB" w14:textId="4ED0137A" w:rsidR="00866298" w:rsidRPr="00A050EB" w:rsidRDefault="00866298" w:rsidP="00BC6B41">
            <w:pPr>
              <w:spacing w:before="7" w:line="220" w:lineRule="exact"/>
              <w:rPr>
                <w:szCs w:val="22"/>
              </w:rPr>
            </w:pPr>
            <w:r w:rsidRPr="00A050EB">
              <w:rPr>
                <w:rFonts w:eastAsia="Arial"/>
                <w:spacing w:val="-1"/>
                <w:szCs w:val="22"/>
              </w:rPr>
              <w:t>H</w:t>
            </w:r>
            <w:r w:rsidRPr="00A050EB">
              <w:rPr>
                <w:rFonts w:eastAsia="Arial"/>
                <w:szCs w:val="22"/>
              </w:rPr>
              <w:t>uman</w:t>
            </w:r>
            <w:r w:rsidRPr="00A050EB">
              <w:rPr>
                <w:rFonts w:eastAsia="Arial"/>
                <w:spacing w:val="1"/>
                <w:szCs w:val="22"/>
              </w:rPr>
              <w:t xml:space="preserve"> </w:t>
            </w:r>
            <w:r w:rsidRPr="00A050EB">
              <w:rPr>
                <w:rFonts w:eastAsia="Arial"/>
                <w:spacing w:val="-1"/>
                <w:szCs w:val="22"/>
              </w:rPr>
              <w:t>Ri</w:t>
            </w:r>
            <w:r w:rsidRPr="00A050EB">
              <w:rPr>
                <w:rFonts w:eastAsia="Arial"/>
                <w:spacing w:val="2"/>
                <w:szCs w:val="22"/>
              </w:rPr>
              <w:t>g</w:t>
            </w:r>
            <w:r w:rsidRPr="00A050EB">
              <w:rPr>
                <w:rFonts w:eastAsia="Arial"/>
                <w:spacing w:val="-3"/>
                <w:szCs w:val="22"/>
              </w:rPr>
              <w:t>h</w:t>
            </w:r>
            <w:r w:rsidRPr="00A050EB">
              <w:rPr>
                <w:rFonts w:eastAsia="Arial"/>
                <w:spacing w:val="1"/>
                <w:szCs w:val="22"/>
              </w:rPr>
              <w:t>t</w:t>
            </w:r>
            <w:r w:rsidRPr="00A050EB">
              <w:rPr>
                <w:rFonts w:eastAsia="Arial"/>
                <w:szCs w:val="22"/>
              </w:rPr>
              <w:t>s</w:t>
            </w:r>
            <w:r w:rsidRPr="00A050EB">
              <w:rPr>
                <w:rFonts w:eastAsia="Arial"/>
                <w:spacing w:val="-1"/>
                <w:szCs w:val="22"/>
              </w:rPr>
              <w:t xml:space="preserve"> </w:t>
            </w:r>
            <w:r w:rsidRPr="00A050EB">
              <w:rPr>
                <w:rFonts w:eastAsia="Arial"/>
                <w:szCs w:val="22"/>
              </w:rPr>
              <w:t>a</w:t>
            </w:r>
            <w:r w:rsidRPr="00A050EB">
              <w:rPr>
                <w:rFonts w:eastAsia="Arial"/>
                <w:spacing w:val="-1"/>
                <w:szCs w:val="22"/>
              </w:rPr>
              <w:t>n</w:t>
            </w:r>
            <w:r w:rsidRPr="00A050EB">
              <w:rPr>
                <w:rFonts w:eastAsia="Arial"/>
                <w:szCs w:val="22"/>
              </w:rPr>
              <w:t>d A</w:t>
            </w:r>
            <w:r w:rsidRPr="00A050EB">
              <w:rPr>
                <w:rFonts w:eastAsia="Arial"/>
                <w:spacing w:val="-3"/>
                <w:szCs w:val="22"/>
              </w:rPr>
              <w:t>n</w:t>
            </w:r>
            <w:r w:rsidRPr="00A050EB">
              <w:rPr>
                <w:rFonts w:eastAsia="Arial"/>
                <w:spacing w:val="1"/>
                <w:szCs w:val="22"/>
              </w:rPr>
              <w:t>t</w:t>
            </w:r>
            <w:r w:rsidRPr="00A050EB">
              <w:rPr>
                <w:rFonts w:eastAsia="Arial"/>
                <w:szCs w:val="22"/>
              </w:rPr>
              <w:t>i</w:t>
            </w:r>
            <w:r w:rsidRPr="00A050EB">
              <w:rPr>
                <w:rFonts w:eastAsia="Arial"/>
                <w:spacing w:val="-2"/>
                <w:szCs w:val="22"/>
              </w:rPr>
              <w:t>-</w:t>
            </w:r>
            <w:r w:rsidRPr="00A050EB">
              <w:rPr>
                <w:rFonts w:eastAsia="Arial"/>
                <w:spacing w:val="-1"/>
                <w:szCs w:val="22"/>
              </w:rPr>
              <w:t>Di</w:t>
            </w:r>
            <w:r w:rsidRPr="00A050EB">
              <w:rPr>
                <w:rFonts w:eastAsia="Arial"/>
                <w:szCs w:val="22"/>
              </w:rPr>
              <w:t>sc</w:t>
            </w:r>
            <w:r w:rsidRPr="00A050EB">
              <w:rPr>
                <w:rFonts w:eastAsia="Arial"/>
                <w:spacing w:val="1"/>
                <w:szCs w:val="22"/>
              </w:rPr>
              <w:t>r</w:t>
            </w:r>
            <w:r w:rsidRPr="00A050EB">
              <w:rPr>
                <w:rFonts w:eastAsia="Arial"/>
                <w:spacing w:val="-1"/>
                <w:szCs w:val="22"/>
              </w:rPr>
              <w:t>i</w:t>
            </w:r>
            <w:r w:rsidRPr="00A050EB">
              <w:rPr>
                <w:rFonts w:eastAsia="Arial"/>
                <w:spacing w:val="1"/>
                <w:szCs w:val="22"/>
              </w:rPr>
              <w:t>m</w:t>
            </w:r>
            <w:r w:rsidRPr="00A050EB">
              <w:rPr>
                <w:rFonts w:eastAsia="Arial"/>
                <w:spacing w:val="-1"/>
                <w:szCs w:val="22"/>
              </w:rPr>
              <w:t>i</w:t>
            </w:r>
            <w:r w:rsidRPr="00A050EB">
              <w:rPr>
                <w:rFonts w:eastAsia="Arial"/>
                <w:szCs w:val="22"/>
              </w:rPr>
              <w:t>n</w:t>
            </w:r>
            <w:r w:rsidRPr="00A050EB">
              <w:rPr>
                <w:rFonts w:eastAsia="Arial"/>
                <w:spacing w:val="-1"/>
                <w:szCs w:val="22"/>
              </w:rPr>
              <w:t>a</w:t>
            </w:r>
            <w:r w:rsidRPr="00A050EB">
              <w:rPr>
                <w:rFonts w:eastAsia="Arial"/>
                <w:spacing w:val="1"/>
                <w:szCs w:val="22"/>
              </w:rPr>
              <w:t>t</w:t>
            </w:r>
            <w:r w:rsidRPr="00A050EB">
              <w:rPr>
                <w:rFonts w:eastAsia="Arial"/>
                <w:spacing w:val="-1"/>
                <w:szCs w:val="22"/>
              </w:rPr>
              <w:t>i</w:t>
            </w:r>
            <w:r w:rsidRPr="00A050EB">
              <w:rPr>
                <w:rFonts w:eastAsia="Arial"/>
                <w:szCs w:val="22"/>
              </w:rPr>
              <w:t>on</w:t>
            </w:r>
            <w:r w:rsidRPr="00A050EB">
              <w:rPr>
                <w:rFonts w:eastAsia="Arial"/>
                <w:spacing w:val="1"/>
                <w:szCs w:val="22"/>
              </w:rPr>
              <w:t xml:space="preserve"> </w:t>
            </w:r>
            <w:r w:rsidRPr="00A050EB">
              <w:rPr>
                <w:rFonts w:eastAsia="Arial"/>
                <w:spacing w:val="-1"/>
                <w:szCs w:val="22"/>
              </w:rPr>
              <w:t>C</w:t>
            </w:r>
            <w:r w:rsidRPr="00A050EB">
              <w:rPr>
                <w:rFonts w:eastAsia="Arial"/>
                <w:szCs w:val="22"/>
              </w:rPr>
              <w:t>o</w:t>
            </w:r>
            <w:r w:rsidRPr="00A050EB">
              <w:rPr>
                <w:rFonts w:eastAsia="Arial"/>
                <w:spacing w:val="-2"/>
                <w:szCs w:val="22"/>
              </w:rPr>
              <w:t>m</w:t>
            </w:r>
            <w:r w:rsidRPr="00A050EB">
              <w:rPr>
                <w:rFonts w:eastAsia="Arial"/>
                <w:spacing w:val="1"/>
                <w:szCs w:val="22"/>
              </w:rPr>
              <w:t>m</w:t>
            </w:r>
            <w:r w:rsidRPr="00A050EB">
              <w:rPr>
                <w:rFonts w:eastAsia="Arial"/>
                <w:spacing w:val="-1"/>
                <w:szCs w:val="22"/>
              </w:rPr>
              <w:t>i</w:t>
            </w:r>
            <w:r w:rsidRPr="00A050EB">
              <w:rPr>
                <w:rFonts w:eastAsia="Arial"/>
                <w:szCs w:val="22"/>
              </w:rPr>
              <w:t>ss</w:t>
            </w:r>
            <w:r w:rsidRPr="00A050EB">
              <w:rPr>
                <w:rFonts w:eastAsia="Arial"/>
                <w:spacing w:val="-3"/>
                <w:szCs w:val="22"/>
              </w:rPr>
              <w:t>i</w:t>
            </w:r>
            <w:r w:rsidRPr="00A050EB">
              <w:rPr>
                <w:rFonts w:eastAsia="Arial"/>
                <w:szCs w:val="22"/>
              </w:rPr>
              <w:t>on</w:t>
            </w:r>
          </w:p>
        </w:tc>
      </w:tr>
      <w:tr w:rsidR="00584BD1" w:rsidRPr="00A050EB" w14:paraId="28FDE041" w14:textId="77777777" w:rsidTr="00866298">
        <w:tc>
          <w:tcPr>
            <w:tcW w:w="2245" w:type="dxa"/>
          </w:tcPr>
          <w:p w14:paraId="2E5C177C" w14:textId="09669AD8" w:rsidR="00584BD1" w:rsidRPr="00A050EB" w:rsidRDefault="00584BD1" w:rsidP="00BC6B41">
            <w:pPr>
              <w:spacing w:before="7" w:line="220" w:lineRule="exact"/>
              <w:rPr>
                <w:szCs w:val="22"/>
              </w:rPr>
            </w:pPr>
            <w:r>
              <w:rPr>
                <w:szCs w:val="22"/>
              </w:rPr>
              <w:t>JD</w:t>
            </w:r>
          </w:p>
        </w:tc>
        <w:tc>
          <w:tcPr>
            <w:tcW w:w="6771" w:type="dxa"/>
          </w:tcPr>
          <w:p w14:paraId="1DFDB462" w14:textId="6DB7E014" w:rsidR="00584BD1" w:rsidRPr="00A050EB" w:rsidRDefault="00584BD1" w:rsidP="00BC6B41">
            <w:pPr>
              <w:spacing w:before="7" w:line="220" w:lineRule="exact"/>
              <w:rPr>
                <w:rFonts w:eastAsia="Arial"/>
                <w:spacing w:val="-1"/>
                <w:szCs w:val="22"/>
              </w:rPr>
            </w:pPr>
            <w:r>
              <w:rPr>
                <w:rFonts w:eastAsia="Arial"/>
                <w:spacing w:val="-1"/>
                <w:szCs w:val="22"/>
              </w:rPr>
              <w:t xml:space="preserve">Judicial Department </w:t>
            </w:r>
          </w:p>
        </w:tc>
      </w:tr>
      <w:tr w:rsidR="00866298" w:rsidRPr="00A050EB" w14:paraId="21D8276F" w14:textId="77777777" w:rsidTr="00866298">
        <w:tc>
          <w:tcPr>
            <w:tcW w:w="2245" w:type="dxa"/>
          </w:tcPr>
          <w:p w14:paraId="397D40F2" w14:textId="4BE9A38E" w:rsidR="00866298" w:rsidRPr="00A050EB" w:rsidRDefault="00866298" w:rsidP="00BC6B41">
            <w:pPr>
              <w:spacing w:before="7" w:line="220" w:lineRule="exact"/>
              <w:rPr>
                <w:szCs w:val="22"/>
              </w:rPr>
            </w:pPr>
            <w:r w:rsidRPr="00A050EB">
              <w:rPr>
                <w:szCs w:val="22"/>
              </w:rPr>
              <w:t>LAC</w:t>
            </w:r>
          </w:p>
        </w:tc>
        <w:tc>
          <w:tcPr>
            <w:tcW w:w="6771" w:type="dxa"/>
          </w:tcPr>
          <w:p w14:paraId="15315D62" w14:textId="1D183642" w:rsidR="00866298" w:rsidRPr="00A050EB" w:rsidRDefault="00866298" w:rsidP="00BC6B41">
            <w:pPr>
              <w:spacing w:before="7" w:line="220" w:lineRule="exact"/>
              <w:rPr>
                <w:szCs w:val="22"/>
              </w:rPr>
            </w:pPr>
            <w:r w:rsidRPr="00A050EB">
              <w:rPr>
                <w:rFonts w:eastAsia="Arial"/>
                <w:szCs w:val="22"/>
              </w:rPr>
              <w:t>L</w:t>
            </w:r>
            <w:r w:rsidRPr="00A050EB">
              <w:rPr>
                <w:rFonts w:eastAsia="Arial"/>
                <w:spacing w:val="-1"/>
                <w:szCs w:val="22"/>
              </w:rPr>
              <w:t>e</w:t>
            </w:r>
            <w:r w:rsidRPr="00A050EB">
              <w:rPr>
                <w:rFonts w:eastAsia="Arial"/>
                <w:spacing w:val="2"/>
                <w:szCs w:val="22"/>
              </w:rPr>
              <w:t>g</w:t>
            </w:r>
            <w:r w:rsidRPr="00A050EB">
              <w:rPr>
                <w:rFonts w:eastAsia="Arial"/>
                <w:szCs w:val="22"/>
              </w:rPr>
              <w:t xml:space="preserve">al </w:t>
            </w:r>
            <w:r w:rsidRPr="00A050EB">
              <w:rPr>
                <w:rFonts w:eastAsia="Arial"/>
                <w:spacing w:val="-1"/>
                <w:szCs w:val="22"/>
              </w:rPr>
              <w:t>Ai</w:t>
            </w:r>
            <w:r w:rsidRPr="00A050EB">
              <w:rPr>
                <w:rFonts w:eastAsia="Arial"/>
                <w:szCs w:val="22"/>
              </w:rPr>
              <w:t>d C</w:t>
            </w:r>
            <w:r w:rsidRPr="00A050EB">
              <w:rPr>
                <w:rFonts w:eastAsia="Arial"/>
                <w:spacing w:val="-3"/>
                <w:szCs w:val="22"/>
              </w:rPr>
              <w:t>o</w:t>
            </w:r>
            <w:r w:rsidRPr="00A050EB">
              <w:rPr>
                <w:rFonts w:eastAsia="Arial"/>
                <w:spacing w:val="1"/>
                <w:szCs w:val="22"/>
              </w:rPr>
              <w:t>mm</w:t>
            </w:r>
            <w:r w:rsidRPr="00A050EB">
              <w:rPr>
                <w:rFonts w:eastAsia="Arial"/>
                <w:spacing w:val="-1"/>
                <w:szCs w:val="22"/>
              </w:rPr>
              <w:t>i</w:t>
            </w:r>
            <w:r w:rsidRPr="00A050EB">
              <w:rPr>
                <w:rFonts w:eastAsia="Arial"/>
                <w:szCs w:val="22"/>
              </w:rPr>
              <w:t>ss</w:t>
            </w:r>
            <w:r w:rsidRPr="00A050EB">
              <w:rPr>
                <w:rFonts w:eastAsia="Arial"/>
                <w:spacing w:val="-1"/>
                <w:szCs w:val="22"/>
              </w:rPr>
              <w:t>i</w:t>
            </w:r>
            <w:r w:rsidRPr="00A050EB">
              <w:rPr>
                <w:rFonts w:eastAsia="Arial"/>
                <w:szCs w:val="22"/>
              </w:rPr>
              <w:t>on</w:t>
            </w:r>
          </w:p>
        </w:tc>
      </w:tr>
      <w:tr w:rsidR="00BB3B69" w:rsidRPr="00A050EB" w14:paraId="2FB3967D" w14:textId="77777777" w:rsidTr="00866298">
        <w:tc>
          <w:tcPr>
            <w:tcW w:w="2245" w:type="dxa"/>
          </w:tcPr>
          <w:p w14:paraId="5D2CD7D0" w14:textId="7FBD300B" w:rsidR="00BB3B69" w:rsidRPr="00A050EB" w:rsidRDefault="00BB3B69" w:rsidP="00BC6B41">
            <w:pPr>
              <w:spacing w:before="7" w:line="220" w:lineRule="exact"/>
              <w:rPr>
                <w:szCs w:val="22"/>
              </w:rPr>
            </w:pPr>
            <w:r>
              <w:rPr>
                <w:szCs w:val="22"/>
              </w:rPr>
              <w:t>MSP</w:t>
            </w:r>
          </w:p>
        </w:tc>
        <w:tc>
          <w:tcPr>
            <w:tcW w:w="6771" w:type="dxa"/>
          </w:tcPr>
          <w:p w14:paraId="1C60268C" w14:textId="667F749F" w:rsidR="00BB3B69" w:rsidRPr="00A050EB" w:rsidRDefault="00BB3B69" w:rsidP="00BC6B41">
            <w:pPr>
              <w:spacing w:before="7" w:line="220" w:lineRule="exact"/>
              <w:rPr>
                <w:rFonts w:eastAsia="Arial"/>
                <w:szCs w:val="22"/>
              </w:rPr>
            </w:pPr>
            <w:r>
              <w:rPr>
                <w:rFonts w:eastAsia="Arial"/>
                <w:szCs w:val="22"/>
              </w:rPr>
              <w:t>Medical Services Pacific</w:t>
            </w:r>
          </w:p>
        </w:tc>
      </w:tr>
      <w:tr w:rsidR="00866298" w:rsidRPr="00A050EB" w14:paraId="59D64B7E" w14:textId="77777777" w:rsidTr="00866298">
        <w:tc>
          <w:tcPr>
            <w:tcW w:w="2245" w:type="dxa"/>
          </w:tcPr>
          <w:p w14:paraId="7C6D94F4" w14:textId="392D3364" w:rsidR="00866298" w:rsidRPr="00A050EB" w:rsidRDefault="00866298" w:rsidP="00BC6B41">
            <w:pPr>
              <w:spacing w:before="7" w:line="220" w:lineRule="exact"/>
              <w:rPr>
                <w:szCs w:val="22"/>
              </w:rPr>
            </w:pPr>
            <w:r w:rsidRPr="00A050EB">
              <w:rPr>
                <w:szCs w:val="22"/>
              </w:rPr>
              <w:t>NGO</w:t>
            </w:r>
          </w:p>
        </w:tc>
        <w:tc>
          <w:tcPr>
            <w:tcW w:w="6771" w:type="dxa"/>
          </w:tcPr>
          <w:p w14:paraId="12F8475C" w14:textId="608B9E50" w:rsidR="00866298" w:rsidRPr="00A050EB" w:rsidRDefault="00866298" w:rsidP="00866298">
            <w:pPr>
              <w:rPr>
                <w:rFonts w:eastAsia="Arial"/>
                <w:szCs w:val="22"/>
              </w:rPr>
            </w:pPr>
            <w:r w:rsidRPr="00A050EB">
              <w:rPr>
                <w:rFonts w:eastAsia="Arial"/>
                <w:spacing w:val="-1"/>
                <w:szCs w:val="22"/>
              </w:rPr>
              <w:t>N</w:t>
            </w:r>
            <w:r w:rsidRPr="00A050EB">
              <w:rPr>
                <w:rFonts w:eastAsia="Arial"/>
                <w:szCs w:val="22"/>
              </w:rPr>
              <w:t>o</w:t>
            </w:r>
            <w:r w:rsidRPr="00A050EB">
              <w:rPr>
                <w:rFonts w:eastAsia="Arial"/>
                <w:spacing w:val="-1"/>
                <w:szCs w:val="22"/>
              </w:rPr>
              <w:t>n</w:t>
            </w:r>
            <w:r w:rsidRPr="00A050EB">
              <w:rPr>
                <w:rFonts w:eastAsia="Arial"/>
                <w:spacing w:val="1"/>
                <w:szCs w:val="22"/>
              </w:rPr>
              <w:t>-G</w:t>
            </w:r>
            <w:r w:rsidRPr="00A050EB">
              <w:rPr>
                <w:rFonts w:eastAsia="Arial"/>
                <w:szCs w:val="22"/>
              </w:rPr>
              <w:t>o</w:t>
            </w:r>
            <w:r w:rsidRPr="00A050EB">
              <w:rPr>
                <w:rFonts w:eastAsia="Arial"/>
                <w:spacing w:val="-3"/>
                <w:szCs w:val="22"/>
              </w:rPr>
              <w:t>v</w:t>
            </w:r>
            <w:r w:rsidRPr="00A050EB">
              <w:rPr>
                <w:rFonts w:eastAsia="Arial"/>
                <w:szCs w:val="22"/>
              </w:rPr>
              <w:t>ern</w:t>
            </w:r>
            <w:r w:rsidRPr="00A050EB">
              <w:rPr>
                <w:rFonts w:eastAsia="Arial"/>
                <w:spacing w:val="1"/>
                <w:szCs w:val="22"/>
              </w:rPr>
              <w:t>m</w:t>
            </w:r>
            <w:r w:rsidRPr="00A050EB">
              <w:rPr>
                <w:rFonts w:eastAsia="Arial"/>
                <w:szCs w:val="22"/>
              </w:rPr>
              <w:t>e</w:t>
            </w:r>
            <w:r w:rsidRPr="00A050EB">
              <w:rPr>
                <w:rFonts w:eastAsia="Arial"/>
                <w:spacing w:val="-3"/>
                <w:szCs w:val="22"/>
              </w:rPr>
              <w:t>n</w:t>
            </w:r>
            <w:r w:rsidRPr="00A050EB">
              <w:rPr>
                <w:rFonts w:eastAsia="Arial"/>
                <w:spacing w:val="1"/>
                <w:szCs w:val="22"/>
              </w:rPr>
              <w:t>t</w:t>
            </w:r>
            <w:r w:rsidRPr="00A050EB">
              <w:rPr>
                <w:rFonts w:eastAsia="Arial"/>
                <w:szCs w:val="22"/>
              </w:rPr>
              <w:t>al</w:t>
            </w:r>
            <w:r w:rsidRPr="00A050EB">
              <w:rPr>
                <w:rFonts w:eastAsia="Arial"/>
                <w:spacing w:val="-2"/>
                <w:szCs w:val="22"/>
              </w:rPr>
              <w:t xml:space="preserve"> </w:t>
            </w:r>
            <w:r w:rsidRPr="00A050EB">
              <w:rPr>
                <w:rFonts w:eastAsia="Arial"/>
                <w:spacing w:val="1"/>
                <w:szCs w:val="22"/>
              </w:rPr>
              <w:t>O</w:t>
            </w:r>
            <w:r w:rsidRPr="00A050EB">
              <w:rPr>
                <w:rFonts w:eastAsia="Arial"/>
                <w:spacing w:val="-2"/>
                <w:szCs w:val="22"/>
              </w:rPr>
              <w:t>r</w:t>
            </w:r>
            <w:r w:rsidRPr="00A050EB">
              <w:rPr>
                <w:rFonts w:eastAsia="Arial"/>
                <w:spacing w:val="2"/>
                <w:szCs w:val="22"/>
              </w:rPr>
              <w:t>g</w:t>
            </w:r>
            <w:r w:rsidRPr="00A050EB">
              <w:rPr>
                <w:rFonts w:eastAsia="Arial"/>
                <w:spacing w:val="-3"/>
                <w:szCs w:val="22"/>
              </w:rPr>
              <w:t>a</w:t>
            </w:r>
            <w:r w:rsidRPr="00A050EB">
              <w:rPr>
                <w:rFonts w:eastAsia="Arial"/>
                <w:szCs w:val="22"/>
              </w:rPr>
              <w:t>n</w:t>
            </w:r>
            <w:r w:rsidRPr="00A050EB">
              <w:rPr>
                <w:rFonts w:eastAsia="Arial"/>
                <w:spacing w:val="-1"/>
                <w:szCs w:val="22"/>
              </w:rPr>
              <w:t>i</w:t>
            </w:r>
            <w:r w:rsidRPr="00A050EB">
              <w:rPr>
                <w:rFonts w:eastAsia="Arial"/>
                <w:spacing w:val="-2"/>
                <w:szCs w:val="22"/>
              </w:rPr>
              <w:t>z</w:t>
            </w:r>
            <w:r w:rsidRPr="00A050EB">
              <w:rPr>
                <w:rFonts w:eastAsia="Arial"/>
                <w:szCs w:val="22"/>
              </w:rPr>
              <w:t>ati</w:t>
            </w:r>
            <w:r w:rsidRPr="00A050EB">
              <w:rPr>
                <w:rFonts w:eastAsia="Arial"/>
                <w:spacing w:val="-1"/>
                <w:szCs w:val="22"/>
              </w:rPr>
              <w:t>o</w:t>
            </w:r>
            <w:r w:rsidRPr="00A050EB">
              <w:rPr>
                <w:rFonts w:eastAsia="Arial"/>
                <w:szCs w:val="22"/>
              </w:rPr>
              <w:t>n</w:t>
            </w:r>
          </w:p>
        </w:tc>
      </w:tr>
      <w:tr w:rsidR="00866298" w:rsidRPr="00A050EB" w14:paraId="28695CD4" w14:textId="77777777" w:rsidTr="00866298">
        <w:tc>
          <w:tcPr>
            <w:tcW w:w="2245" w:type="dxa"/>
          </w:tcPr>
          <w:p w14:paraId="0D1B0E06" w14:textId="51B3A55D" w:rsidR="00866298" w:rsidRPr="00A050EB" w:rsidRDefault="00866298" w:rsidP="00BC6B41">
            <w:pPr>
              <w:spacing w:before="7" w:line="220" w:lineRule="exact"/>
              <w:rPr>
                <w:szCs w:val="22"/>
              </w:rPr>
            </w:pPr>
            <w:r w:rsidRPr="00A050EB">
              <w:rPr>
                <w:szCs w:val="22"/>
              </w:rPr>
              <w:t>SDGs</w:t>
            </w:r>
          </w:p>
        </w:tc>
        <w:tc>
          <w:tcPr>
            <w:tcW w:w="6771" w:type="dxa"/>
          </w:tcPr>
          <w:p w14:paraId="61F5A936" w14:textId="684F23CB" w:rsidR="00866298" w:rsidRPr="00A050EB" w:rsidRDefault="00866298" w:rsidP="00BC6B41">
            <w:pPr>
              <w:spacing w:before="7" w:line="220" w:lineRule="exact"/>
              <w:rPr>
                <w:szCs w:val="22"/>
              </w:rPr>
            </w:pPr>
            <w:r w:rsidRPr="00A050EB">
              <w:rPr>
                <w:rFonts w:eastAsia="Arial"/>
                <w:spacing w:val="-1"/>
                <w:szCs w:val="22"/>
              </w:rPr>
              <w:t>S</w:t>
            </w:r>
            <w:r w:rsidRPr="00A050EB">
              <w:rPr>
                <w:rFonts w:eastAsia="Arial"/>
                <w:szCs w:val="22"/>
              </w:rPr>
              <w:t>usta</w:t>
            </w:r>
            <w:r w:rsidRPr="00A050EB">
              <w:rPr>
                <w:rFonts w:eastAsia="Arial"/>
                <w:spacing w:val="-1"/>
                <w:szCs w:val="22"/>
              </w:rPr>
              <w:t>i</w:t>
            </w:r>
            <w:r w:rsidRPr="00A050EB">
              <w:rPr>
                <w:rFonts w:eastAsia="Arial"/>
                <w:szCs w:val="22"/>
              </w:rPr>
              <w:t>n</w:t>
            </w:r>
            <w:r w:rsidRPr="00A050EB">
              <w:rPr>
                <w:rFonts w:eastAsia="Arial"/>
                <w:spacing w:val="-1"/>
                <w:szCs w:val="22"/>
              </w:rPr>
              <w:t>a</w:t>
            </w:r>
            <w:r w:rsidRPr="00A050EB">
              <w:rPr>
                <w:rFonts w:eastAsia="Arial"/>
                <w:szCs w:val="22"/>
              </w:rPr>
              <w:t>b</w:t>
            </w:r>
            <w:r w:rsidRPr="00A050EB">
              <w:rPr>
                <w:rFonts w:eastAsia="Arial"/>
                <w:spacing w:val="-1"/>
                <w:szCs w:val="22"/>
              </w:rPr>
              <w:t>l</w:t>
            </w:r>
            <w:r w:rsidRPr="00A050EB">
              <w:rPr>
                <w:rFonts w:eastAsia="Arial"/>
                <w:szCs w:val="22"/>
              </w:rPr>
              <w:t>e D</w:t>
            </w:r>
            <w:r w:rsidRPr="00A050EB">
              <w:rPr>
                <w:rFonts w:eastAsia="Arial"/>
                <w:spacing w:val="-1"/>
                <w:szCs w:val="22"/>
              </w:rPr>
              <w:t>e</w:t>
            </w:r>
            <w:r w:rsidRPr="00A050EB">
              <w:rPr>
                <w:rFonts w:eastAsia="Arial"/>
                <w:spacing w:val="-2"/>
                <w:szCs w:val="22"/>
              </w:rPr>
              <w:t>v</w:t>
            </w:r>
            <w:r w:rsidRPr="00A050EB">
              <w:rPr>
                <w:rFonts w:eastAsia="Arial"/>
                <w:szCs w:val="22"/>
              </w:rPr>
              <w:t>e</w:t>
            </w:r>
            <w:r w:rsidRPr="00A050EB">
              <w:rPr>
                <w:rFonts w:eastAsia="Arial"/>
                <w:spacing w:val="-1"/>
                <w:szCs w:val="22"/>
              </w:rPr>
              <w:t>l</w:t>
            </w:r>
            <w:r w:rsidRPr="00A050EB">
              <w:rPr>
                <w:rFonts w:eastAsia="Arial"/>
                <w:szCs w:val="22"/>
              </w:rPr>
              <w:t>o</w:t>
            </w:r>
            <w:r w:rsidRPr="00A050EB">
              <w:rPr>
                <w:rFonts w:eastAsia="Arial"/>
                <w:spacing w:val="-1"/>
                <w:szCs w:val="22"/>
              </w:rPr>
              <w:t>p</w:t>
            </w:r>
            <w:r w:rsidRPr="00A050EB">
              <w:rPr>
                <w:rFonts w:eastAsia="Arial"/>
                <w:spacing w:val="1"/>
                <w:szCs w:val="22"/>
              </w:rPr>
              <w:t>m</w:t>
            </w:r>
            <w:r w:rsidRPr="00A050EB">
              <w:rPr>
                <w:rFonts w:eastAsia="Arial"/>
                <w:szCs w:val="22"/>
              </w:rPr>
              <w:t>e</w:t>
            </w:r>
            <w:r w:rsidRPr="00A050EB">
              <w:rPr>
                <w:rFonts w:eastAsia="Arial"/>
                <w:spacing w:val="-1"/>
                <w:szCs w:val="22"/>
              </w:rPr>
              <w:t>n</w:t>
            </w:r>
            <w:r w:rsidRPr="00A050EB">
              <w:rPr>
                <w:rFonts w:eastAsia="Arial"/>
                <w:szCs w:val="22"/>
              </w:rPr>
              <w:t xml:space="preserve">t </w:t>
            </w:r>
            <w:r w:rsidRPr="00A050EB">
              <w:rPr>
                <w:rFonts w:eastAsia="Arial"/>
                <w:spacing w:val="1"/>
                <w:szCs w:val="22"/>
              </w:rPr>
              <w:t>G</w:t>
            </w:r>
            <w:r w:rsidRPr="00A050EB">
              <w:rPr>
                <w:rFonts w:eastAsia="Arial"/>
                <w:szCs w:val="22"/>
              </w:rPr>
              <w:t>o</w:t>
            </w:r>
            <w:r w:rsidRPr="00A050EB">
              <w:rPr>
                <w:rFonts w:eastAsia="Arial"/>
                <w:spacing w:val="-1"/>
                <w:szCs w:val="22"/>
              </w:rPr>
              <w:t>al</w:t>
            </w:r>
            <w:r w:rsidRPr="00A050EB">
              <w:rPr>
                <w:rFonts w:eastAsia="Arial"/>
                <w:szCs w:val="22"/>
              </w:rPr>
              <w:t>s</w:t>
            </w:r>
          </w:p>
        </w:tc>
      </w:tr>
      <w:tr w:rsidR="00866298" w:rsidRPr="00A050EB" w14:paraId="428CF545" w14:textId="77777777" w:rsidTr="00866298">
        <w:tc>
          <w:tcPr>
            <w:tcW w:w="2245" w:type="dxa"/>
          </w:tcPr>
          <w:p w14:paraId="6D1AED2E" w14:textId="4EF162F9" w:rsidR="00866298" w:rsidRPr="00A050EB" w:rsidRDefault="00866298" w:rsidP="00BC6B41">
            <w:pPr>
              <w:spacing w:before="7" w:line="220" w:lineRule="exact"/>
              <w:rPr>
                <w:szCs w:val="22"/>
              </w:rPr>
            </w:pPr>
            <w:r w:rsidRPr="00A050EB">
              <w:rPr>
                <w:szCs w:val="22"/>
              </w:rPr>
              <w:t>UNDP</w:t>
            </w:r>
          </w:p>
        </w:tc>
        <w:tc>
          <w:tcPr>
            <w:tcW w:w="6771" w:type="dxa"/>
          </w:tcPr>
          <w:p w14:paraId="3D09F872" w14:textId="4756C42F" w:rsidR="00866298" w:rsidRPr="00A050EB" w:rsidRDefault="00866298" w:rsidP="00BC6B41">
            <w:pPr>
              <w:spacing w:before="7" w:line="220" w:lineRule="exact"/>
              <w:rPr>
                <w:szCs w:val="22"/>
              </w:rPr>
            </w:pPr>
            <w:r w:rsidRPr="00A050EB">
              <w:rPr>
                <w:rFonts w:eastAsia="Arial"/>
                <w:spacing w:val="-1"/>
                <w:szCs w:val="22"/>
              </w:rPr>
              <w:t>U</w:t>
            </w:r>
            <w:r w:rsidRPr="00A050EB">
              <w:rPr>
                <w:rFonts w:eastAsia="Arial"/>
                <w:szCs w:val="22"/>
              </w:rPr>
              <w:t>n</w:t>
            </w:r>
            <w:r w:rsidRPr="00A050EB">
              <w:rPr>
                <w:rFonts w:eastAsia="Arial"/>
                <w:spacing w:val="-1"/>
                <w:szCs w:val="22"/>
              </w:rPr>
              <w:t>i</w:t>
            </w:r>
            <w:r w:rsidRPr="00A050EB">
              <w:rPr>
                <w:rFonts w:eastAsia="Arial"/>
                <w:spacing w:val="1"/>
                <w:szCs w:val="22"/>
              </w:rPr>
              <w:t>t</w:t>
            </w:r>
            <w:r w:rsidRPr="00A050EB">
              <w:rPr>
                <w:rFonts w:eastAsia="Arial"/>
                <w:szCs w:val="22"/>
              </w:rPr>
              <w:t>ed</w:t>
            </w:r>
            <w:r w:rsidRPr="00A050EB">
              <w:rPr>
                <w:rFonts w:eastAsia="Arial"/>
                <w:spacing w:val="1"/>
                <w:szCs w:val="22"/>
              </w:rPr>
              <w:t xml:space="preserve"> </w:t>
            </w:r>
            <w:r w:rsidRPr="00A050EB">
              <w:rPr>
                <w:rFonts w:eastAsia="Arial"/>
                <w:spacing w:val="-1"/>
                <w:szCs w:val="22"/>
              </w:rPr>
              <w:t>N</w:t>
            </w:r>
            <w:r w:rsidRPr="00A050EB">
              <w:rPr>
                <w:rFonts w:eastAsia="Arial"/>
                <w:szCs w:val="22"/>
              </w:rPr>
              <w:t>ati</w:t>
            </w:r>
            <w:r w:rsidRPr="00A050EB">
              <w:rPr>
                <w:rFonts w:eastAsia="Arial"/>
                <w:spacing w:val="-1"/>
                <w:szCs w:val="22"/>
              </w:rPr>
              <w:t>o</w:t>
            </w:r>
            <w:r w:rsidRPr="00A050EB">
              <w:rPr>
                <w:rFonts w:eastAsia="Arial"/>
                <w:szCs w:val="22"/>
              </w:rPr>
              <w:t>ns D</w:t>
            </w:r>
            <w:r w:rsidRPr="00A050EB">
              <w:rPr>
                <w:rFonts w:eastAsia="Arial"/>
                <w:spacing w:val="-1"/>
                <w:szCs w:val="22"/>
              </w:rPr>
              <w:t>e</w:t>
            </w:r>
            <w:r w:rsidRPr="00A050EB">
              <w:rPr>
                <w:rFonts w:eastAsia="Arial"/>
                <w:spacing w:val="-2"/>
                <w:szCs w:val="22"/>
              </w:rPr>
              <w:t>v</w:t>
            </w:r>
            <w:r w:rsidRPr="00A050EB">
              <w:rPr>
                <w:rFonts w:eastAsia="Arial"/>
                <w:szCs w:val="22"/>
              </w:rPr>
              <w:t>e</w:t>
            </w:r>
            <w:r w:rsidRPr="00A050EB">
              <w:rPr>
                <w:rFonts w:eastAsia="Arial"/>
                <w:spacing w:val="-1"/>
                <w:szCs w:val="22"/>
              </w:rPr>
              <w:t>l</w:t>
            </w:r>
            <w:r w:rsidRPr="00A050EB">
              <w:rPr>
                <w:rFonts w:eastAsia="Arial"/>
                <w:szCs w:val="22"/>
              </w:rPr>
              <w:t>o</w:t>
            </w:r>
            <w:r w:rsidRPr="00A050EB">
              <w:rPr>
                <w:rFonts w:eastAsia="Arial"/>
                <w:spacing w:val="-1"/>
                <w:szCs w:val="22"/>
              </w:rPr>
              <w:t>p</w:t>
            </w:r>
            <w:r w:rsidRPr="00A050EB">
              <w:rPr>
                <w:rFonts w:eastAsia="Arial"/>
                <w:spacing w:val="1"/>
                <w:szCs w:val="22"/>
              </w:rPr>
              <w:t>m</w:t>
            </w:r>
            <w:r w:rsidRPr="00A050EB">
              <w:rPr>
                <w:rFonts w:eastAsia="Arial"/>
                <w:szCs w:val="22"/>
              </w:rPr>
              <w:t>e</w:t>
            </w:r>
            <w:r w:rsidRPr="00A050EB">
              <w:rPr>
                <w:rFonts w:eastAsia="Arial"/>
                <w:spacing w:val="-1"/>
                <w:szCs w:val="22"/>
              </w:rPr>
              <w:t>n</w:t>
            </w:r>
            <w:r w:rsidRPr="00A050EB">
              <w:rPr>
                <w:rFonts w:eastAsia="Arial"/>
                <w:szCs w:val="22"/>
              </w:rPr>
              <w:t xml:space="preserve">t </w:t>
            </w:r>
            <w:r w:rsidRPr="00A050EB">
              <w:rPr>
                <w:rFonts w:eastAsia="Arial"/>
                <w:spacing w:val="-1"/>
                <w:szCs w:val="22"/>
              </w:rPr>
              <w:t>P</w:t>
            </w:r>
            <w:r w:rsidRPr="00A050EB">
              <w:rPr>
                <w:rFonts w:eastAsia="Arial"/>
                <w:spacing w:val="1"/>
                <w:szCs w:val="22"/>
              </w:rPr>
              <w:t>r</w:t>
            </w:r>
            <w:r w:rsidRPr="00A050EB">
              <w:rPr>
                <w:rFonts w:eastAsia="Arial"/>
                <w:spacing w:val="-3"/>
                <w:szCs w:val="22"/>
              </w:rPr>
              <w:t>o</w:t>
            </w:r>
            <w:r w:rsidRPr="00A050EB">
              <w:rPr>
                <w:rFonts w:eastAsia="Arial"/>
                <w:szCs w:val="22"/>
              </w:rPr>
              <w:t>gra</w:t>
            </w:r>
            <w:r w:rsidRPr="00A050EB">
              <w:rPr>
                <w:rFonts w:eastAsia="Arial"/>
                <w:spacing w:val="-1"/>
                <w:szCs w:val="22"/>
              </w:rPr>
              <w:t>m</w:t>
            </w:r>
            <w:r w:rsidRPr="00A050EB">
              <w:rPr>
                <w:rFonts w:eastAsia="Arial"/>
                <w:spacing w:val="1"/>
                <w:szCs w:val="22"/>
              </w:rPr>
              <w:t>m</w:t>
            </w:r>
            <w:r w:rsidRPr="00A050EB">
              <w:rPr>
                <w:rFonts w:eastAsia="Arial"/>
                <w:szCs w:val="22"/>
              </w:rPr>
              <w:t>e</w:t>
            </w:r>
          </w:p>
        </w:tc>
      </w:tr>
      <w:tr w:rsidR="00866298" w:rsidRPr="00A050EB" w14:paraId="3FA0F735" w14:textId="77777777" w:rsidTr="00866298">
        <w:tc>
          <w:tcPr>
            <w:tcW w:w="2245" w:type="dxa"/>
          </w:tcPr>
          <w:p w14:paraId="34AA3953" w14:textId="77777777" w:rsidR="00866298" w:rsidRPr="00A050EB" w:rsidRDefault="00866298" w:rsidP="00BC6B41">
            <w:pPr>
              <w:spacing w:before="7" w:line="220" w:lineRule="exact"/>
              <w:rPr>
                <w:szCs w:val="22"/>
              </w:rPr>
            </w:pPr>
          </w:p>
        </w:tc>
        <w:tc>
          <w:tcPr>
            <w:tcW w:w="6771" w:type="dxa"/>
          </w:tcPr>
          <w:p w14:paraId="0165F627" w14:textId="77777777" w:rsidR="00866298" w:rsidRPr="00A050EB" w:rsidRDefault="00866298" w:rsidP="00BC6B41">
            <w:pPr>
              <w:spacing w:before="7" w:line="220" w:lineRule="exact"/>
              <w:rPr>
                <w:szCs w:val="22"/>
              </w:rPr>
            </w:pPr>
          </w:p>
        </w:tc>
      </w:tr>
      <w:tr w:rsidR="00866298" w:rsidRPr="00A050EB" w14:paraId="66459C47" w14:textId="77777777" w:rsidTr="00866298">
        <w:tc>
          <w:tcPr>
            <w:tcW w:w="2245" w:type="dxa"/>
          </w:tcPr>
          <w:p w14:paraId="500FE295" w14:textId="77777777" w:rsidR="00866298" w:rsidRPr="00A050EB" w:rsidRDefault="00866298" w:rsidP="00BC6B41">
            <w:pPr>
              <w:spacing w:before="7" w:line="220" w:lineRule="exact"/>
              <w:rPr>
                <w:szCs w:val="22"/>
              </w:rPr>
            </w:pPr>
          </w:p>
        </w:tc>
        <w:tc>
          <w:tcPr>
            <w:tcW w:w="6771" w:type="dxa"/>
          </w:tcPr>
          <w:p w14:paraId="0C74574B" w14:textId="77777777" w:rsidR="00866298" w:rsidRPr="00A050EB" w:rsidRDefault="00866298" w:rsidP="00BC6B41">
            <w:pPr>
              <w:spacing w:before="7" w:line="220" w:lineRule="exact"/>
              <w:rPr>
                <w:szCs w:val="22"/>
              </w:rPr>
            </w:pPr>
          </w:p>
        </w:tc>
      </w:tr>
      <w:tr w:rsidR="00866298" w:rsidRPr="00A050EB" w14:paraId="590DBB06" w14:textId="77777777" w:rsidTr="00866298">
        <w:tc>
          <w:tcPr>
            <w:tcW w:w="2245" w:type="dxa"/>
          </w:tcPr>
          <w:p w14:paraId="17894D4D" w14:textId="77777777" w:rsidR="00866298" w:rsidRPr="00A050EB" w:rsidRDefault="00866298" w:rsidP="00BC6B41">
            <w:pPr>
              <w:spacing w:before="7" w:line="220" w:lineRule="exact"/>
              <w:rPr>
                <w:szCs w:val="22"/>
              </w:rPr>
            </w:pPr>
          </w:p>
        </w:tc>
        <w:tc>
          <w:tcPr>
            <w:tcW w:w="6771" w:type="dxa"/>
          </w:tcPr>
          <w:p w14:paraId="09673FF8" w14:textId="77777777" w:rsidR="00866298" w:rsidRPr="00A050EB" w:rsidRDefault="00866298" w:rsidP="00BC6B41">
            <w:pPr>
              <w:spacing w:before="7" w:line="220" w:lineRule="exact"/>
              <w:rPr>
                <w:szCs w:val="22"/>
              </w:rPr>
            </w:pPr>
          </w:p>
        </w:tc>
      </w:tr>
      <w:tr w:rsidR="00866298" w:rsidRPr="00A050EB" w14:paraId="6E2ADF85" w14:textId="77777777" w:rsidTr="00866298">
        <w:tc>
          <w:tcPr>
            <w:tcW w:w="2245" w:type="dxa"/>
          </w:tcPr>
          <w:p w14:paraId="7ECCBC47" w14:textId="77777777" w:rsidR="00866298" w:rsidRPr="00A050EB" w:rsidRDefault="00866298" w:rsidP="00BC6B41">
            <w:pPr>
              <w:spacing w:before="7" w:line="220" w:lineRule="exact"/>
              <w:rPr>
                <w:szCs w:val="22"/>
              </w:rPr>
            </w:pPr>
          </w:p>
        </w:tc>
        <w:tc>
          <w:tcPr>
            <w:tcW w:w="6771" w:type="dxa"/>
          </w:tcPr>
          <w:p w14:paraId="0F5FED9A" w14:textId="77777777" w:rsidR="00866298" w:rsidRPr="00A050EB" w:rsidRDefault="00866298" w:rsidP="00BC6B41">
            <w:pPr>
              <w:spacing w:before="7" w:line="220" w:lineRule="exact"/>
              <w:rPr>
                <w:szCs w:val="22"/>
              </w:rPr>
            </w:pPr>
          </w:p>
        </w:tc>
      </w:tr>
      <w:tr w:rsidR="00866298" w:rsidRPr="00A050EB" w14:paraId="5DCDFB17" w14:textId="77777777" w:rsidTr="00866298">
        <w:tc>
          <w:tcPr>
            <w:tcW w:w="2245" w:type="dxa"/>
          </w:tcPr>
          <w:p w14:paraId="7DCDE274" w14:textId="77777777" w:rsidR="00866298" w:rsidRPr="00A050EB" w:rsidRDefault="00866298" w:rsidP="00BC6B41">
            <w:pPr>
              <w:spacing w:before="7" w:line="220" w:lineRule="exact"/>
              <w:rPr>
                <w:szCs w:val="22"/>
              </w:rPr>
            </w:pPr>
          </w:p>
        </w:tc>
        <w:tc>
          <w:tcPr>
            <w:tcW w:w="6771" w:type="dxa"/>
          </w:tcPr>
          <w:p w14:paraId="5E758722" w14:textId="77777777" w:rsidR="00866298" w:rsidRPr="00A050EB" w:rsidRDefault="00866298" w:rsidP="00BC6B41">
            <w:pPr>
              <w:spacing w:before="7" w:line="220" w:lineRule="exact"/>
              <w:rPr>
                <w:szCs w:val="22"/>
              </w:rPr>
            </w:pPr>
          </w:p>
        </w:tc>
      </w:tr>
      <w:tr w:rsidR="00866298" w:rsidRPr="00A050EB" w14:paraId="380BAFE1" w14:textId="77777777" w:rsidTr="00866298">
        <w:tc>
          <w:tcPr>
            <w:tcW w:w="2245" w:type="dxa"/>
          </w:tcPr>
          <w:p w14:paraId="42269618" w14:textId="77777777" w:rsidR="00866298" w:rsidRPr="00A050EB" w:rsidRDefault="00866298" w:rsidP="00BC6B41">
            <w:pPr>
              <w:spacing w:before="7" w:line="220" w:lineRule="exact"/>
              <w:rPr>
                <w:szCs w:val="22"/>
              </w:rPr>
            </w:pPr>
          </w:p>
        </w:tc>
        <w:tc>
          <w:tcPr>
            <w:tcW w:w="6771" w:type="dxa"/>
          </w:tcPr>
          <w:p w14:paraId="5D58F068" w14:textId="77777777" w:rsidR="00866298" w:rsidRPr="00A050EB" w:rsidRDefault="00866298" w:rsidP="00BC6B41">
            <w:pPr>
              <w:spacing w:before="7" w:line="220" w:lineRule="exact"/>
              <w:rPr>
                <w:szCs w:val="22"/>
              </w:rPr>
            </w:pPr>
          </w:p>
        </w:tc>
      </w:tr>
      <w:tr w:rsidR="00866298" w:rsidRPr="00A050EB" w14:paraId="52D88DB5" w14:textId="77777777" w:rsidTr="00866298">
        <w:tc>
          <w:tcPr>
            <w:tcW w:w="2245" w:type="dxa"/>
          </w:tcPr>
          <w:p w14:paraId="33672C5F" w14:textId="77777777" w:rsidR="00866298" w:rsidRPr="00A050EB" w:rsidRDefault="00866298" w:rsidP="00BC6B41">
            <w:pPr>
              <w:spacing w:before="7" w:line="220" w:lineRule="exact"/>
              <w:rPr>
                <w:szCs w:val="22"/>
              </w:rPr>
            </w:pPr>
          </w:p>
        </w:tc>
        <w:tc>
          <w:tcPr>
            <w:tcW w:w="6771" w:type="dxa"/>
          </w:tcPr>
          <w:p w14:paraId="181E05FE" w14:textId="77777777" w:rsidR="00866298" w:rsidRPr="00A050EB" w:rsidRDefault="00866298" w:rsidP="00BC6B41">
            <w:pPr>
              <w:spacing w:before="7" w:line="220" w:lineRule="exact"/>
              <w:rPr>
                <w:szCs w:val="22"/>
              </w:rPr>
            </w:pPr>
          </w:p>
        </w:tc>
      </w:tr>
      <w:tr w:rsidR="00866298" w:rsidRPr="00A050EB" w14:paraId="0CD8B04B" w14:textId="77777777" w:rsidTr="00866298">
        <w:tc>
          <w:tcPr>
            <w:tcW w:w="2245" w:type="dxa"/>
          </w:tcPr>
          <w:p w14:paraId="58C12794" w14:textId="77777777" w:rsidR="00866298" w:rsidRPr="00A050EB" w:rsidRDefault="00866298" w:rsidP="00BC6B41">
            <w:pPr>
              <w:spacing w:before="7" w:line="220" w:lineRule="exact"/>
              <w:rPr>
                <w:szCs w:val="22"/>
              </w:rPr>
            </w:pPr>
          </w:p>
        </w:tc>
        <w:tc>
          <w:tcPr>
            <w:tcW w:w="6771" w:type="dxa"/>
          </w:tcPr>
          <w:p w14:paraId="051835E8" w14:textId="77777777" w:rsidR="00866298" w:rsidRPr="00A050EB" w:rsidRDefault="00866298" w:rsidP="00BC6B41">
            <w:pPr>
              <w:spacing w:before="7" w:line="220" w:lineRule="exact"/>
              <w:rPr>
                <w:szCs w:val="22"/>
              </w:rPr>
            </w:pPr>
          </w:p>
        </w:tc>
      </w:tr>
      <w:tr w:rsidR="00866298" w:rsidRPr="00A050EB" w14:paraId="51F7007A" w14:textId="77777777" w:rsidTr="00866298">
        <w:tc>
          <w:tcPr>
            <w:tcW w:w="2245" w:type="dxa"/>
          </w:tcPr>
          <w:p w14:paraId="6FEFEAC2" w14:textId="77777777" w:rsidR="00866298" w:rsidRPr="00A050EB" w:rsidRDefault="00866298" w:rsidP="00BC6B41">
            <w:pPr>
              <w:spacing w:before="7" w:line="220" w:lineRule="exact"/>
              <w:rPr>
                <w:szCs w:val="22"/>
              </w:rPr>
            </w:pPr>
          </w:p>
        </w:tc>
        <w:tc>
          <w:tcPr>
            <w:tcW w:w="6771" w:type="dxa"/>
          </w:tcPr>
          <w:p w14:paraId="620E198C" w14:textId="77777777" w:rsidR="00866298" w:rsidRPr="00A050EB" w:rsidRDefault="00866298" w:rsidP="00BC6B41">
            <w:pPr>
              <w:spacing w:before="7" w:line="220" w:lineRule="exact"/>
              <w:rPr>
                <w:szCs w:val="22"/>
              </w:rPr>
            </w:pPr>
          </w:p>
        </w:tc>
      </w:tr>
      <w:tr w:rsidR="00866298" w:rsidRPr="00A050EB" w14:paraId="56AB3747" w14:textId="77777777" w:rsidTr="00866298">
        <w:tc>
          <w:tcPr>
            <w:tcW w:w="2245" w:type="dxa"/>
          </w:tcPr>
          <w:p w14:paraId="43BBE1BD" w14:textId="77777777" w:rsidR="00866298" w:rsidRPr="00A050EB" w:rsidRDefault="00866298" w:rsidP="00BC6B41">
            <w:pPr>
              <w:spacing w:before="7" w:line="220" w:lineRule="exact"/>
              <w:rPr>
                <w:szCs w:val="22"/>
              </w:rPr>
            </w:pPr>
          </w:p>
        </w:tc>
        <w:tc>
          <w:tcPr>
            <w:tcW w:w="6771" w:type="dxa"/>
          </w:tcPr>
          <w:p w14:paraId="19CFDF03" w14:textId="77777777" w:rsidR="00866298" w:rsidRPr="00A050EB" w:rsidRDefault="00866298" w:rsidP="00BC6B41">
            <w:pPr>
              <w:spacing w:before="7" w:line="220" w:lineRule="exact"/>
              <w:rPr>
                <w:szCs w:val="22"/>
              </w:rPr>
            </w:pPr>
          </w:p>
        </w:tc>
      </w:tr>
      <w:tr w:rsidR="00866298" w:rsidRPr="00A050EB" w14:paraId="2A0EA88B" w14:textId="77777777" w:rsidTr="00866298">
        <w:tc>
          <w:tcPr>
            <w:tcW w:w="2245" w:type="dxa"/>
          </w:tcPr>
          <w:p w14:paraId="017479AF" w14:textId="77777777" w:rsidR="00866298" w:rsidRPr="00A050EB" w:rsidRDefault="00866298" w:rsidP="00BC6B41">
            <w:pPr>
              <w:spacing w:before="7" w:line="220" w:lineRule="exact"/>
              <w:rPr>
                <w:szCs w:val="22"/>
              </w:rPr>
            </w:pPr>
          </w:p>
        </w:tc>
        <w:tc>
          <w:tcPr>
            <w:tcW w:w="6771" w:type="dxa"/>
          </w:tcPr>
          <w:p w14:paraId="6C6CEEB6" w14:textId="77777777" w:rsidR="00866298" w:rsidRPr="00A050EB" w:rsidRDefault="00866298" w:rsidP="00BC6B41">
            <w:pPr>
              <w:spacing w:before="7" w:line="220" w:lineRule="exact"/>
              <w:rPr>
                <w:szCs w:val="22"/>
              </w:rPr>
            </w:pPr>
          </w:p>
        </w:tc>
      </w:tr>
      <w:tr w:rsidR="00866298" w:rsidRPr="00A050EB" w14:paraId="191C60BA" w14:textId="77777777" w:rsidTr="00866298">
        <w:tc>
          <w:tcPr>
            <w:tcW w:w="2245" w:type="dxa"/>
          </w:tcPr>
          <w:p w14:paraId="0F649538" w14:textId="77777777" w:rsidR="00866298" w:rsidRPr="00A050EB" w:rsidRDefault="00866298" w:rsidP="00BC6B41">
            <w:pPr>
              <w:spacing w:before="7" w:line="220" w:lineRule="exact"/>
              <w:rPr>
                <w:szCs w:val="22"/>
              </w:rPr>
            </w:pPr>
          </w:p>
        </w:tc>
        <w:tc>
          <w:tcPr>
            <w:tcW w:w="6771" w:type="dxa"/>
          </w:tcPr>
          <w:p w14:paraId="20BD4C14" w14:textId="77777777" w:rsidR="00866298" w:rsidRPr="00A050EB" w:rsidRDefault="00866298" w:rsidP="00BC6B41">
            <w:pPr>
              <w:spacing w:before="7" w:line="220" w:lineRule="exact"/>
              <w:rPr>
                <w:szCs w:val="22"/>
              </w:rPr>
            </w:pPr>
          </w:p>
        </w:tc>
      </w:tr>
      <w:tr w:rsidR="00866298" w:rsidRPr="00A050EB" w14:paraId="5764660D" w14:textId="77777777" w:rsidTr="00866298">
        <w:tc>
          <w:tcPr>
            <w:tcW w:w="2245" w:type="dxa"/>
          </w:tcPr>
          <w:p w14:paraId="70B781A8" w14:textId="77777777" w:rsidR="00866298" w:rsidRPr="00A050EB" w:rsidRDefault="00866298" w:rsidP="00BC6B41">
            <w:pPr>
              <w:spacing w:before="7" w:line="220" w:lineRule="exact"/>
              <w:rPr>
                <w:szCs w:val="22"/>
              </w:rPr>
            </w:pPr>
          </w:p>
        </w:tc>
        <w:tc>
          <w:tcPr>
            <w:tcW w:w="6771" w:type="dxa"/>
          </w:tcPr>
          <w:p w14:paraId="4AF5EBD0" w14:textId="77777777" w:rsidR="00866298" w:rsidRPr="00A050EB" w:rsidRDefault="00866298" w:rsidP="00BC6B41">
            <w:pPr>
              <w:spacing w:before="7" w:line="220" w:lineRule="exact"/>
              <w:rPr>
                <w:szCs w:val="22"/>
              </w:rPr>
            </w:pPr>
          </w:p>
        </w:tc>
      </w:tr>
      <w:tr w:rsidR="00866298" w:rsidRPr="00A050EB" w14:paraId="57078E12" w14:textId="77777777" w:rsidTr="00866298">
        <w:tc>
          <w:tcPr>
            <w:tcW w:w="2245" w:type="dxa"/>
          </w:tcPr>
          <w:p w14:paraId="41ABD23F" w14:textId="77777777" w:rsidR="00866298" w:rsidRPr="00A050EB" w:rsidRDefault="00866298" w:rsidP="00BC6B41">
            <w:pPr>
              <w:spacing w:before="7" w:line="220" w:lineRule="exact"/>
              <w:rPr>
                <w:szCs w:val="22"/>
              </w:rPr>
            </w:pPr>
          </w:p>
        </w:tc>
        <w:tc>
          <w:tcPr>
            <w:tcW w:w="6771" w:type="dxa"/>
          </w:tcPr>
          <w:p w14:paraId="77AD8656" w14:textId="77777777" w:rsidR="00866298" w:rsidRPr="00A050EB" w:rsidRDefault="00866298" w:rsidP="00BC6B41">
            <w:pPr>
              <w:spacing w:before="7" w:line="220" w:lineRule="exact"/>
              <w:rPr>
                <w:szCs w:val="22"/>
              </w:rPr>
            </w:pPr>
          </w:p>
        </w:tc>
      </w:tr>
      <w:tr w:rsidR="00866298" w:rsidRPr="00A050EB" w14:paraId="740CDD7B" w14:textId="77777777" w:rsidTr="00866298">
        <w:tc>
          <w:tcPr>
            <w:tcW w:w="2245" w:type="dxa"/>
          </w:tcPr>
          <w:p w14:paraId="57E23A0E" w14:textId="77777777" w:rsidR="00866298" w:rsidRPr="00A050EB" w:rsidRDefault="00866298" w:rsidP="00BC6B41">
            <w:pPr>
              <w:spacing w:before="7" w:line="220" w:lineRule="exact"/>
              <w:rPr>
                <w:szCs w:val="22"/>
              </w:rPr>
            </w:pPr>
          </w:p>
        </w:tc>
        <w:tc>
          <w:tcPr>
            <w:tcW w:w="6771" w:type="dxa"/>
          </w:tcPr>
          <w:p w14:paraId="1CDA0C0C" w14:textId="77777777" w:rsidR="00866298" w:rsidRPr="00A050EB" w:rsidRDefault="00866298" w:rsidP="00BC6B41">
            <w:pPr>
              <w:spacing w:before="7" w:line="220" w:lineRule="exact"/>
              <w:rPr>
                <w:szCs w:val="22"/>
              </w:rPr>
            </w:pPr>
          </w:p>
        </w:tc>
      </w:tr>
      <w:tr w:rsidR="00866298" w:rsidRPr="00A050EB" w14:paraId="281D9B3E" w14:textId="77777777" w:rsidTr="00866298">
        <w:tc>
          <w:tcPr>
            <w:tcW w:w="2245" w:type="dxa"/>
          </w:tcPr>
          <w:p w14:paraId="2C99AF92" w14:textId="77777777" w:rsidR="00866298" w:rsidRPr="00A050EB" w:rsidRDefault="00866298" w:rsidP="00BC6B41">
            <w:pPr>
              <w:spacing w:before="7" w:line="220" w:lineRule="exact"/>
              <w:rPr>
                <w:szCs w:val="22"/>
              </w:rPr>
            </w:pPr>
          </w:p>
        </w:tc>
        <w:tc>
          <w:tcPr>
            <w:tcW w:w="6771" w:type="dxa"/>
          </w:tcPr>
          <w:p w14:paraId="1EF13F7F" w14:textId="77777777" w:rsidR="00866298" w:rsidRPr="00A050EB" w:rsidRDefault="00866298" w:rsidP="00BC6B41">
            <w:pPr>
              <w:spacing w:before="7" w:line="220" w:lineRule="exact"/>
              <w:rPr>
                <w:szCs w:val="22"/>
              </w:rPr>
            </w:pPr>
          </w:p>
        </w:tc>
      </w:tr>
      <w:tr w:rsidR="00866298" w:rsidRPr="00A050EB" w14:paraId="45A8E38B" w14:textId="77777777" w:rsidTr="00866298">
        <w:tc>
          <w:tcPr>
            <w:tcW w:w="2245" w:type="dxa"/>
          </w:tcPr>
          <w:p w14:paraId="12D96488" w14:textId="77777777" w:rsidR="00866298" w:rsidRPr="00A050EB" w:rsidRDefault="00866298" w:rsidP="00BC6B41">
            <w:pPr>
              <w:spacing w:before="7" w:line="220" w:lineRule="exact"/>
              <w:rPr>
                <w:szCs w:val="22"/>
              </w:rPr>
            </w:pPr>
          </w:p>
        </w:tc>
        <w:tc>
          <w:tcPr>
            <w:tcW w:w="6771" w:type="dxa"/>
          </w:tcPr>
          <w:p w14:paraId="38F26210" w14:textId="77777777" w:rsidR="00866298" w:rsidRPr="00A050EB" w:rsidRDefault="00866298" w:rsidP="00BC6B41">
            <w:pPr>
              <w:spacing w:before="7" w:line="220" w:lineRule="exact"/>
              <w:rPr>
                <w:szCs w:val="22"/>
              </w:rPr>
            </w:pPr>
          </w:p>
        </w:tc>
      </w:tr>
    </w:tbl>
    <w:p w14:paraId="37AE2DD3" w14:textId="77777777" w:rsidR="00BC6B41" w:rsidRPr="00A050EB" w:rsidRDefault="00BC6B41" w:rsidP="00BC6B41">
      <w:pPr>
        <w:spacing w:before="7" w:line="220" w:lineRule="exact"/>
        <w:rPr>
          <w:szCs w:val="22"/>
        </w:rPr>
      </w:pPr>
    </w:p>
    <w:p w14:paraId="6D55AF63" w14:textId="77777777" w:rsidR="00866298" w:rsidRPr="00A050EB" w:rsidRDefault="00866298" w:rsidP="00BC6B41">
      <w:pPr>
        <w:ind w:left="333"/>
        <w:rPr>
          <w:rFonts w:eastAsia="Arial"/>
          <w:spacing w:val="-1"/>
          <w:szCs w:val="22"/>
        </w:rPr>
      </w:pPr>
    </w:p>
    <w:p w14:paraId="3E682B3B" w14:textId="77777777" w:rsidR="00866298" w:rsidRPr="00A050EB" w:rsidRDefault="00866298" w:rsidP="00BC6B41">
      <w:pPr>
        <w:ind w:left="333"/>
        <w:rPr>
          <w:rFonts w:eastAsia="Arial"/>
          <w:spacing w:val="-1"/>
          <w:szCs w:val="22"/>
        </w:rPr>
      </w:pPr>
    </w:p>
    <w:p w14:paraId="28346EAE" w14:textId="77777777" w:rsidR="00866298" w:rsidRPr="00A050EB" w:rsidRDefault="00866298" w:rsidP="00BC6B41">
      <w:pPr>
        <w:ind w:left="333"/>
        <w:rPr>
          <w:rFonts w:eastAsia="Arial"/>
          <w:spacing w:val="-1"/>
          <w:szCs w:val="22"/>
        </w:rPr>
      </w:pPr>
    </w:p>
    <w:p w14:paraId="0574CA38" w14:textId="48B2D28E" w:rsidR="00F02FF1" w:rsidRPr="00A050EB" w:rsidRDefault="00F02FF1" w:rsidP="00BC6B41">
      <w:pPr>
        <w:ind w:left="333"/>
        <w:rPr>
          <w:rFonts w:eastAsia="Arial"/>
          <w:spacing w:val="-1"/>
          <w:szCs w:val="22"/>
        </w:rPr>
      </w:pPr>
      <w:r w:rsidRPr="00A050EB">
        <w:rPr>
          <w:rFonts w:eastAsia="Arial"/>
          <w:spacing w:val="-1"/>
          <w:szCs w:val="22"/>
        </w:rPr>
        <w:br w:type="page"/>
      </w:r>
    </w:p>
    <w:p w14:paraId="665E2BE1" w14:textId="71D967B7" w:rsidR="000407B5" w:rsidRDefault="000407B5" w:rsidP="00D86FF0">
      <w:pPr>
        <w:pStyle w:val="Heading1"/>
        <w:rPr>
          <w:rFonts w:eastAsia="Arial"/>
        </w:rPr>
      </w:pPr>
      <w:bookmarkStart w:id="2" w:name="_Toc12804561"/>
      <w:r>
        <w:rPr>
          <w:rFonts w:eastAsia="Arial"/>
        </w:rPr>
        <w:lastRenderedPageBreak/>
        <w:t>Executive Summary</w:t>
      </w:r>
      <w:bookmarkEnd w:id="2"/>
    </w:p>
    <w:p w14:paraId="3C6CCE18" w14:textId="77777777" w:rsidR="00B26B8E" w:rsidRPr="00B26B8E" w:rsidRDefault="00B26B8E" w:rsidP="00B26B8E">
      <w:pPr>
        <w:rPr>
          <w:rFonts w:eastAsia="Arial"/>
        </w:rPr>
      </w:pPr>
    </w:p>
    <w:p w14:paraId="39972EF9" w14:textId="77777777" w:rsidR="00B21C13" w:rsidRDefault="00076376" w:rsidP="00B21C13">
      <w:pPr>
        <w:rPr>
          <w:rFonts w:eastAsia="Arial"/>
        </w:rPr>
      </w:pPr>
      <w:r>
        <w:rPr>
          <w:rFonts w:eastAsia="Arial"/>
        </w:rPr>
        <w:t xml:space="preserve">The Fiji Access to Justice Project </w:t>
      </w:r>
      <w:r w:rsidR="00B26B8E">
        <w:rPr>
          <w:rFonts w:eastAsia="Arial"/>
        </w:rPr>
        <w:t xml:space="preserve">(FA2J) </w:t>
      </w:r>
      <w:r>
        <w:rPr>
          <w:rFonts w:eastAsia="Arial"/>
        </w:rPr>
        <w:t xml:space="preserve">started on </w:t>
      </w:r>
      <w:r w:rsidR="00A55DAF">
        <w:rPr>
          <w:rFonts w:eastAsia="Arial"/>
        </w:rPr>
        <w:t>4 July 2016</w:t>
      </w:r>
      <w:r w:rsidR="00CD131C">
        <w:rPr>
          <w:rFonts w:eastAsia="Arial"/>
        </w:rPr>
        <w:t xml:space="preserve"> with the </w:t>
      </w:r>
      <w:r w:rsidR="00621540">
        <w:rPr>
          <w:rFonts w:eastAsia="Arial"/>
        </w:rPr>
        <w:t>two-part goal of: 1) empowering impoverished and vulnerable populations to access their rights</w:t>
      </w:r>
      <w:r w:rsidR="00F76CB5">
        <w:rPr>
          <w:rFonts w:eastAsia="Arial"/>
        </w:rPr>
        <w:t xml:space="preserve">, and 2) </w:t>
      </w:r>
      <w:r w:rsidR="00E00B02">
        <w:rPr>
          <w:rFonts w:eastAsia="Arial"/>
        </w:rPr>
        <w:t>improving the institutional capacity of “key duty-bearers” to deliver justice services.</w:t>
      </w:r>
      <w:r w:rsidR="00B26B8E">
        <w:rPr>
          <w:rStyle w:val="FootnoteReference"/>
          <w:rFonts w:eastAsia="Arial"/>
        </w:rPr>
        <w:footnoteReference w:id="1"/>
      </w:r>
      <w:r w:rsidR="009B4638">
        <w:rPr>
          <w:rFonts w:eastAsia="Arial"/>
        </w:rPr>
        <w:t xml:space="preserve"> This goal was interpreted through four defined outputs </w:t>
      </w:r>
      <w:r w:rsidR="006418EC">
        <w:rPr>
          <w:rFonts w:eastAsia="Arial"/>
        </w:rPr>
        <w:t xml:space="preserve">covering technical capacity in the Legal Aid Commission (LAC) and Judicial Department (JD), </w:t>
      </w:r>
      <w:r w:rsidR="00286485">
        <w:rPr>
          <w:rFonts w:eastAsia="Arial"/>
        </w:rPr>
        <w:t xml:space="preserve">planning and administrative capacity in the LAC and JD, and the capacity </w:t>
      </w:r>
      <w:r w:rsidR="00E63BD2">
        <w:rPr>
          <w:rFonts w:eastAsia="Arial"/>
        </w:rPr>
        <w:t>of CSOs to deliver accompaniment services.</w:t>
      </w:r>
      <w:r w:rsidR="003854EF">
        <w:rPr>
          <w:rStyle w:val="FootnoteReference"/>
          <w:rFonts w:eastAsia="Arial"/>
        </w:rPr>
        <w:footnoteReference w:id="2"/>
      </w:r>
      <w:r w:rsidR="00E63BD2">
        <w:rPr>
          <w:rFonts w:eastAsia="Arial"/>
        </w:rPr>
        <w:t xml:space="preserve"> </w:t>
      </w:r>
      <w:r w:rsidR="00B21C13">
        <w:rPr>
          <w:rFonts w:eastAsia="Arial"/>
        </w:rPr>
        <w:t xml:space="preserve">The definition of impoverished and vulnerable populations in the context of Fiji was left for clarification following an initial period of programming that would include an assessment.  </w:t>
      </w:r>
    </w:p>
    <w:p w14:paraId="5D3736BA" w14:textId="2A3B58D6" w:rsidR="00B21C13" w:rsidRDefault="00B21C13" w:rsidP="00B104D3">
      <w:pPr>
        <w:rPr>
          <w:rFonts w:eastAsia="Arial"/>
        </w:rPr>
      </w:pPr>
    </w:p>
    <w:p w14:paraId="41858F3D" w14:textId="6586A6C1" w:rsidR="00B21C13" w:rsidRDefault="00B21C13" w:rsidP="00B21C13">
      <w:pPr>
        <w:rPr>
          <w:rFonts w:eastAsia="Arial"/>
          <w:szCs w:val="22"/>
        </w:rPr>
      </w:pPr>
      <w:r w:rsidRPr="00A050EB">
        <w:rPr>
          <w:rFonts w:eastAsia="Arial"/>
          <w:szCs w:val="22"/>
        </w:rPr>
        <w:t xml:space="preserve">This Mid-Term Evaluation </w:t>
      </w:r>
      <w:r>
        <w:rPr>
          <w:rFonts w:eastAsia="Arial"/>
          <w:szCs w:val="22"/>
        </w:rPr>
        <w:t xml:space="preserve">(MTE) </w:t>
      </w:r>
      <w:r w:rsidRPr="00A050EB">
        <w:rPr>
          <w:rFonts w:eastAsia="Arial"/>
          <w:szCs w:val="22"/>
        </w:rPr>
        <w:t xml:space="preserve">covers the period from 11 July 2016 to 31 March 2019, at which point approximately USD 4,269,116 </w:t>
      </w:r>
      <w:r>
        <w:rPr>
          <w:rFonts w:eastAsia="Arial"/>
          <w:szCs w:val="22"/>
        </w:rPr>
        <w:t xml:space="preserve">had been </w:t>
      </w:r>
      <w:r w:rsidRPr="00A050EB">
        <w:rPr>
          <w:rFonts w:eastAsia="Arial"/>
          <w:szCs w:val="22"/>
        </w:rPr>
        <w:t>expended from the project budget. T</w:t>
      </w:r>
      <w:r>
        <w:rPr>
          <w:rFonts w:eastAsia="Arial"/>
          <w:szCs w:val="22"/>
        </w:rPr>
        <w:t xml:space="preserve">he MTE </w:t>
      </w:r>
      <w:r w:rsidRPr="00A050EB">
        <w:rPr>
          <w:rFonts w:eastAsia="Arial"/>
          <w:szCs w:val="22"/>
        </w:rPr>
        <w:t>is a scheduled contribution to the project’s Monitoring and Evaluation (M&amp;E) plan</w:t>
      </w:r>
      <w:r w:rsidR="007931A2">
        <w:rPr>
          <w:rFonts w:eastAsia="Arial"/>
          <w:szCs w:val="22"/>
        </w:rPr>
        <w:t xml:space="preserve">. The methodology included desk research </w:t>
      </w:r>
      <w:r>
        <w:rPr>
          <w:rFonts w:eastAsia="Arial"/>
          <w:szCs w:val="22"/>
        </w:rPr>
        <w:t>and meetings with 25 people from nine organizations in Suva and Labasa, Fiji consulted between 24 April – 9 May 2019 (</w:t>
      </w:r>
      <w:r w:rsidRPr="006B1A26">
        <w:rPr>
          <w:rFonts w:eastAsia="Arial"/>
          <w:szCs w:val="22"/>
        </w:rPr>
        <w:t xml:space="preserve">Annex </w:t>
      </w:r>
      <w:r>
        <w:rPr>
          <w:rFonts w:eastAsia="Arial"/>
          <w:szCs w:val="22"/>
        </w:rPr>
        <w:t xml:space="preserve">5). </w:t>
      </w:r>
    </w:p>
    <w:p w14:paraId="5C7B4392" w14:textId="77777777" w:rsidR="003854EF" w:rsidRDefault="003854EF" w:rsidP="00B104D3">
      <w:pPr>
        <w:rPr>
          <w:rFonts w:eastAsia="Arial"/>
        </w:rPr>
      </w:pPr>
    </w:p>
    <w:p w14:paraId="4BA19511" w14:textId="50017B8D" w:rsidR="00DD424E" w:rsidRDefault="00DD424E" w:rsidP="00DD424E">
      <w:pPr>
        <w:rPr>
          <w:rFonts w:eastAsia="Arial"/>
        </w:rPr>
      </w:pPr>
      <w:r>
        <w:rPr>
          <w:rFonts w:eastAsia="Arial"/>
        </w:rPr>
        <w:t>FA2J has been implemented in a period with strong governmental policy and financial support</w:t>
      </w:r>
      <w:r w:rsidR="00B21C13">
        <w:rPr>
          <w:rFonts w:eastAsia="Arial"/>
        </w:rPr>
        <w:t xml:space="preserve">, and both </w:t>
      </w:r>
      <w:r>
        <w:rPr>
          <w:rFonts w:eastAsia="Arial"/>
        </w:rPr>
        <w:t>the LAC and JD have expanded the reach and nature of their services dramatically. In 2015, the Legal Aid Commission (LAC) provided advisory services to 16,813 clients.</w:t>
      </w:r>
      <w:r>
        <w:rPr>
          <w:rStyle w:val="FootnoteReference"/>
          <w:rFonts w:eastAsia="Arial"/>
        </w:rPr>
        <w:footnoteReference w:id="3"/>
      </w:r>
      <w:r>
        <w:rPr>
          <w:rFonts w:eastAsia="Arial"/>
        </w:rPr>
        <w:t xml:space="preserve"> By 2018, the number of clients had increased to 26,725 for advisory services, and 1823 for “First Hour” support.</w:t>
      </w:r>
      <w:r>
        <w:rPr>
          <w:rStyle w:val="FootnoteReference"/>
          <w:rFonts w:eastAsia="Arial"/>
        </w:rPr>
        <w:footnoteReference w:id="4"/>
      </w:r>
      <w:r>
        <w:rPr>
          <w:rFonts w:eastAsia="Arial"/>
        </w:rPr>
        <w:t xml:space="preserve"> As of 2016, only 2% of those applying for free legal services from the LAC were declined support based on either the means (earning less than FJD 15,000) or merit tests.</w:t>
      </w:r>
      <w:r>
        <w:rPr>
          <w:rStyle w:val="FootnoteReference"/>
          <w:rFonts w:eastAsia="Arial"/>
        </w:rPr>
        <w:footnoteReference w:id="5"/>
      </w:r>
      <w:r>
        <w:rPr>
          <w:rFonts w:eastAsia="Arial"/>
        </w:rPr>
        <w:t xml:space="preserve"> During the same period, concerted efforts by government and civil society actors in line with </w:t>
      </w:r>
      <w:r w:rsidR="00B45BD7">
        <w:rPr>
          <w:rFonts w:eastAsia="Arial"/>
        </w:rPr>
        <w:t xml:space="preserve">recent </w:t>
      </w:r>
      <w:r>
        <w:rPr>
          <w:rFonts w:eastAsia="Arial"/>
        </w:rPr>
        <w:t>legislation led to an 83% increase in Domestic Violence Restraining Orders (DVRO) filings in Family and Criminal Courts.</w:t>
      </w:r>
      <w:r>
        <w:rPr>
          <w:rStyle w:val="FootnoteReference"/>
          <w:rFonts w:eastAsia="Arial"/>
        </w:rPr>
        <w:footnoteReference w:id="6"/>
      </w:r>
      <w:r>
        <w:rPr>
          <w:rFonts w:eastAsia="Arial"/>
        </w:rPr>
        <w:t xml:space="preserve"> The Judicial Department has also increased support to alternative dispute mechanisms through the opening of a Mediation Centre in Suva (2015) and the provision of counselling services, which increased delivery of services from 1141 cases in 2012 to 2070 cases in 2017.</w:t>
      </w:r>
      <w:r>
        <w:rPr>
          <w:rStyle w:val="FootnoteReference"/>
          <w:rFonts w:eastAsia="Arial"/>
        </w:rPr>
        <w:footnoteReference w:id="7"/>
      </w:r>
      <w:r>
        <w:rPr>
          <w:rFonts w:eastAsia="Arial"/>
        </w:rPr>
        <w:t xml:space="preserve"> By 2018 the number of Magistrate Courts had increased to 36, with LAC ensuring the availability of legal representation at all sittings.</w:t>
      </w:r>
      <w:r>
        <w:rPr>
          <w:rStyle w:val="FootnoteReference"/>
          <w:rFonts w:eastAsia="Arial"/>
        </w:rPr>
        <w:footnoteReference w:id="8"/>
      </w:r>
    </w:p>
    <w:p w14:paraId="2336FB25" w14:textId="77777777" w:rsidR="00DD424E" w:rsidRDefault="00DD424E" w:rsidP="00B104D3">
      <w:pPr>
        <w:rPr>
          <w:rFonts w:eastAsia="Arial"/>
        </w:rPr>
      </w:pPr>
    </w:p>
    <w:p w14:paraId="113A2B08" w14:textId="1363EB45" w:rsidR="001D5D3C" w:rsidRDefault="00DD424E" w:rsidP="00B104D3">
      <w:pPr>
        <w:rPr>
          <w:rFonts w:eastAsia="Arial"/>
        </w:rPr>
      </w:pPr>
      <w:r>
        <w:rPr>
          <w:rFonts w:eastAsia="Arial"/>
        </w:rPr>
        <w:t xml:space="preserve">Output milestones established for the FA2J, however, have not been met during the first half of the project’s planned implementation. There were </w:t>
      </w:r>
      <w:r w:rsidR="00B27C05">
        <w:rPr>
          <w:rFonts w:eastAsia="Arial"/>
        </w:rPr>
        <w:t xml:space="preserve">several </w:t>
      </w:r>
      <w:r w:rsidR="00AE5873">
        <w:rPr>
          <w:rFonts w:eastAsia="Arial"/>
        </w:rPr>
        <w:t>underlying factors found to contribute to</w:t>
      </w:r>
      <w:r w:rsidR="00B45BD7">
        <w:rPr>
          <w:rFonts w:eastAsia="Arial"/>
        </w:rPr>
        <w:t xml:space="preserve"> challenges with realizing FA2J targets. First, initial time frames for complex deliverables were overly ambitious. Deliverables such as case management systems are typically multi-year endeavours, and others, such as the digitization of case records, have been a challenge in the Pacific for decades. As progress with these deliverables moved slower than projected, there was a cascading effect on dependent products and tools. Secondly, while progress </w:t>
      </w:r>
      <w:r w:rsidR="007931A2">
        <w:rPr>
          <w:rFonts w:eastAsia="Arial"/>
        </w:rPr>
        <w:t xml:space="preserve">and challenges </w:t>
      </w:r>
      <w:r w:rsidR="00B45BD7">
        <w:rPr>
          <w:rFonts w:eastAsia="Arial"/>
        </w:rPr>
        <w:t>at the activity level w</w:t>
      </w:r>
      <w:r w:rsidR="007931A2">
        <w:rPr>
          <w:rFonts w:eastAsia="Arial"/>
        </w:rPr>
        <w:t xml:space="preserve">ere </w:t>
      </w:r>
      <w:r w:rsidR="00B45BD7">
        <w:rPr>
          <w:rFonts w:eastAsia="Arial"/>
        </w:rPr>
        <w:t xml:space="preserve">well documented, the challenges were not addressed through approved contingency arrangements </w:t>
      </w:r>
      <w:r w:rsidR="00B45BD7">
        <w:rPr>
          <w:rFonts w:eastAsia="Arial"/>
        </w:rPr>
        <w:lastRenderedPageBreak/>
        <w:t>documented in</w:t>
      </w:r>
      <w:r w:rsidR="00C82DA0">
        <w:rPr>
          <w:rFonts w:eastAsia="Arial"/>
        </w:rPr>
        <w:t xml:space="preserve"> workplans and reflected in</w:t>
      </w:r>
      <w:r w:rsidR="00B45BD7">
        <w:rPr>
          <w:rFonts w:eastAsia="Arial"/>
        </w:rPr>
        <w:t xml:space="preserve"> updated monitoring and evaluation (M&amp;E) frameworks</w:t>
      </w:r>
      <w:r w:rsidR="00B27C05">
        <w:rPr>
          <w:rFonts w:eastAsia="Arial"/>
        </w:rPr>
        <w:t>. Third, initial arrangements for the PB accommodated a political environment that did not allow for a clear engagement with CSOs, a key target defined in project documentation.</w:t>
      </w:r>
      <w:r w:rsidR="007931A2">
        <w:rPr>
          <w:rFonts w:eastAsia="Arial"/>
        </w:rPr>
        <w:t xml:space="preserve"> </w:t>
      </w:r>
      <w:r w:rsidR="00C7728B">
        <w:rPr>
          <w:rFonts w:eastAsia="Arial"/>
        </w:rPr>
        <w:t>This arrangement</w:t>
      </w:r>
      <w:r w:rsidR="00483831">
        <w:rPr>
          <w:rFonts w:eastAsia="Arial"/>
        </w:rPr>
        <w:t xml:space="preserve"> limited the focus on rights holders during the MTE period</w:t>
      </w:r>
      <w:r w:rsidR="00A762CF">
        <w:rPr>
          <w:rFonts w:eastAsia="Arial"/>
        </w:rPr>
        <w:t xml:space="preserve">, however relationships </w:t>
      </w:r>
      <w:r w:rsidR="007D4AF3">
        <w:rPr>
          <w:rFonts w:eastAsia="Arial"/>
        </w:rPr>
        <w:t xml:space="preserve">established in 2018 </w:t>
      </w:r>
      <w:r w:rsidR="00A762CF">
        <w:rPr>
          <w:rFonts w:eastAsia="Arial"/>
        </w:rPr>
        <w:t xml:space="preserve">with </w:t>
      </w:r>
      <w:r w:rsidR="007D4AF3">
        <w:rPr>
          <w:rFonts w:eastAsia="Arial"/>
        </w:rPr>
        <w:t>CSO</w:t>
      </w:r>
      <w:r w:rsidR="00A762CF">
        <w:rPr>
          <w:rFonts w:eastAsia="Arial"/>
        </w:rPr>
        <w:t xml:space="preserve"> grantees</w:t>
      </w:r>
      <w:r w:rsidR="007D4AF3">
        <w:rPr>
          <w:rFonts w:eastAsia="Arial"/>
        </w:rPr>
        <w:t xml:space="preserve"> can </w:t>
      </w:r>
      <w:r w:rsidR="00A762CF">
        <w:rPr>
          <w:rFonts w:eastAsia="Arial"/>
        </w:rPr>
        <w:t xml:space="preserve">provide a foundation for </w:t>
      </w:r>
      <w:r w:rsidR="006C0B74">
        <w:rPr>
          <w:rFonts w:eastAsia="Arial"/>
        </w:rPr>
        <w:t xml:space="preserve">strong progress in the second half of the project. </w:t>
      </w:r>
      <w:r w:rsidR="007931A2">
        <w:rPr>
          <w:rFonts w:eastAsia="Arial"/>
        </w:rPr>
        <w:t>Details on these underlying factors and how they impacted progress are provided in the MTE Conclusions</w:t>
      </w:r>
      <w:r w:rsidR="001D5D3C">
        <w:rPr>
          <w:rFonts w:eastAsia="Arial"/>
        </w:rPr>
        <w:t xml:space="preserve">. Options for building on progress and addressing challenges are provided in the MTE Recommendations and related Annexes. </w:t>
      </w:r>
    </w:p>
    <w:p w14:paraId="101DCB17" w14:textId="77777777" w:rsidR="001D5D3C" w:rsidRDefault="001D5D3C" w:rsidP="00B104D3">
      <w:pPr>
        <w:rPr>
          <w:rFonts w:eastAsia="Arial"/>
        </w:rPr>
      </w:pPr>
    </w:p>
    <w:p w14:paraId="23C0A345" w14:textId="77777777" w:rsidR="001D5D3C" w:rsidRDefault="00B27C05" w:rsidP="001D5D3C">
      <w:pPr>
        <w:pStyle w:val="Heading3"/>
        <w:rPr>
          <w:rFonts w:eastAsia="Arial"/>
        </w:rPr>
      </w:pPr>
      <w:r>
        <w:rPr>
          <w:rFonts w:eastAsia="Arial"/>
        </w:rPr>
        <w:t xml:space="preserve"> </w:t>
      </w:r>
      <w:bookmarkStart w:id="3" w:name="_Toc12804562"/>
      <w:r w:rsidR="001D5D3C">
        <w:rPr>
          <w:rFonts w:eastAsia="Arial"/>
        </w:rPr>
        <w:t>Conclusions</w:t>
      </w:r>
      <w:bookmarkEnd w:id="3"/>
    </w:p>
    <w:p w14:paraId="30445BD8" w14:textId="77777777" w:rsidR="001D5D3C" w:rsidRPr="00411668" w:rsidRDefault="001D5D3C" w:rsidP="001D5D3C">
      <w:pPr>
        <w:rPr>
          <w:rFonts w:eastAsia="Arial"/>
        </w:rPr>
      </w:pPr>
    </w:p>
    <w:p w14:paraId="498435C6" w14:textId="583A5AB2" w:rsidR="001D5D3C" w:rsidRPr="0031544E" w:rsidRDefault="001D5D3C" w:rsidP="001D5D3C">
      <w:pPr>
        <w:pStyle w:val="ListParagraph"/>
        <w:numPr>
          <w:ilvl w:val="0"/>
          <w:numId w:val="19"/>
        </w:numPr>
        <w:rPr>
          <w:rFonts w:eastAsia="Arial"/>
        </w:rPr>
      </w:pPr>
      <w:r w:rsidRPr="0031544E">
        <w:rPr>
          <w:rFonts w:eastAsia="Arial"/>
        </w:rPr>
        <w:t>While government support is strong, as demonstrated by the N</w:t>
      </w:r>
      <w:r w:rsidR="00F02BFC">
        <w:rPr>
          <w:rFonts w:eastAsia="Arial"/>
        </w:rPr>
        <w:t>ational Development Plan</w:t>
      </w:r>
      <w:r w:rsidRPr="0031544E">
        <w:rPr>
          <w:rFonts w:eastAsia="Arial"/>
        </w:rPr>
        <w:t xml:space="preserve"> and partner affirmations of consistent budget support, external assistance is warranted and timely as the level of demand challenges historic systems and structures in both scope and complexity.</w:t>
      </w:r>
      <w:r>
        <w:rPr>
          <w:rStyle w:val="FootnoteReference"/>
          <w:rFonts w:eastAsia="Arial"/>
        </w:rPr>
        <w:footnoteReference w:id="9"/>
      </w:r>
      <w:r w:rsidRPr="0031544E">
        <w:rPr>
          <w:rFonts w:eastAsia="Arial"/>
        </w:rPr>
        <w:t xml:space="preserve"> </w:t>
      </w:r>
      <w:r>
        <w:rPr>
          <w:rFonts w:eastAsia="Arial"/>
        </w:rPr>
        <w:t xml:space="preserve">International support to </w:t>
      </w:r>
      <w:r w:rsidRPr="0031544E">
        <w:rPr>
          <w:rFonts w:eastAsia="Arial"/>
        </w:rPr>
        <w:t>access to justice issues can assist partners in identifying and addressing gaps collaboratively. External reviewers</w:t>
      </w:r>
      <w:r>
        <w:rPr>
          <w:rFonts w:eastAsia="Arial"/>
        </w:rPr>
        <w:t xml:space="preserve"> also</w:t>
      </w:r>
      <w:r w:rsidRPr="0031544E">
        <w:rPr>
          <w:rFonts w:eastAsia="Arial"/>
        </w:rPr>
        <w:t xml:space="preserve"> endorsed the thematic relevance of programming to improve access to justice in Fiji.</w:t>
      </w:r>
      <w:r>
        <w:rPr>
          <w:rStyle w:val="FootnoteReference"/>
          <w:rFonts w:eastAsia="Arial"/>
        </w:rPr>
        <w:footnoteReference w:id="10"/>
      </w:r>
    </w:p>
    <w:p w14:paraId="700FD1A1" w14:textId="77777777" w:rsidR="001D5D3C" w:rsidRDefault="001D5D3C" w:rsidP="001D5D3C">
      <w:pPr>
        <w:rPr>
          <w:rFonts w:eastAsia="Arial"/>
        </w:rPr>
      </w:pPr>
    </w:p>
    <w:p w14:paraId="29EA127D" w14:textId="77777777" w:rsidR="001D5D3C" w:rsidRDefault="001D5D3C" w:rsidP="001D5D3C">
      <w:pPr>
        <w:pStyle w:val="ListParagraph"/>
        <w:numPr>
          <w:ilvl w:val="0"/>
          <w:numId w:val="19"/>
        </w:numPr>
        <w:rPr>
          <w:rFonts w:eastAsia="Arial"/>
        </w:rPr>
      </w:pPr>
      <w:r>
        <w:rPr>
          <w:rFonts w:eastAsia="Arial"/>
        </w:rPr>
        <w:t xml:space="preserve">Partners use different terminology </w:t>
      </w:r>
      <w:r w:rsidRPr="0031544E">
        <w:rPr>
          <w:rFonts w:eastAsia="Arial"/>
        </w:rPr>
        <w:t>in the</w:t>
      </w:r>
      <w:r>
        <w:rPr>
          <w:rFonts w:eastAsia="Arial"/>
        </w:rPr>
        <w:t xml:space="preserve"> foundation</w:t>
      </w:r>
      <w:r w:rsidRPr="0031544E">
        <w:rPr>
          <w:rFonts w:eastAsia="Arial"/>
        </w:rPr>
        <w:t xml:space="preserve"> M&amp;E frameworks </w:t>
      </w:r>
      <w:r>
        <w:rPr>
          <w:rFonts w:eastAsia="Arial"/>
        </w:rPr>
        <w:t>for FA2J. I</w:t>
      </w:r>
      <w:r w:rsidRPr="0031544E">
        <w:rPr>
          <w:rFonts w:eastAsia="Arial"/>
        </w:rPr>
        <w:t>n order to explore th</w:t>
      </w:r>
      <w:r>
        <w:rPr>
          <w:rFonts w:eastAsia="Arial"/>
        </w:rPr>
        <w:t xml:space="preserve">is issue </w:t>
      </w:r>
      <w:r w:rsidRPr="0031544E">
        <w:rPr>
          <w:rFonts w:eastAsia="Arial"/>
        </w:rPr>
        <w:t>for th</w:t>
      </w:r>
      <w:r>
        <w:rPr>
          <w:rFonts w:eastAsia="Arial"/>
        </w:rPr>
        <w:t>e</w:t>
      </w:r>
      <w:r w:rsidRPr="0031544E">
        <w:rPr>
          <w:rFonts w:eastAsia="Arial"/>
        </w:rPr>
        <w:t xml:space="preserve"> MTE, the comparative table attached as Annex 6 was prepared. For the most part, recognizing that UNDP’s “Activity Results” are equivalent to outputs, e.g. the result of an activity, and that the “Outputs” in UNDP’s framework are in fact medium-term outcomes resolves most of the confusion without disrupting the logic or implied timeframes of the Theory of Change. </w:t>
      </w:r>
    </w:p>
    <w:p w14:paraId="13D408C6" w14:textId="77777777" w:rsidR="001D5D3C" w:rsidRPr="001E17D2" w:rsidRDefault="001D5D3C" w:rsidP="001D5D3C">
      <w:pPr>
        <w:pStyle w:val="ListParagraph"/>
        <w:rPr>
          <w:rFonts w:eastAsia="Arial"/>
        </w:rPr>
      </w:pPr>
    </w:p>
    <w:p w14:paraId="486152B8" w14:textId="77777777" w:rsidR="001D5D3C" w:rsidRPr="0031544E" w:rsidRDefault="001D5D3C" w:rsidP="001D5D3C">
      <w:pPr>
        <w:pStyle w:val="ListParagraph"/>
        <w:numPr>
          <w:ilvl w:val="0"/>
          <w:numId w:val="19"/>
        </w:numPr>
        <w:rPr>
          <w:rFonts w:eastAsia="Arial"/>
        </w:rPr>
      </w:pPr>
      <w:r>
        <w:rPr>
          <w:rFonts w:eastAsia="Arial"/>
        </w:rPr>
        <w:t xml:space="preserve">Partner and project needs require a collaborative refinement of FA2J </w:t>
      </w:r>
      <w:r w:rsidRPr="001E17D2">
        <w:rPr>
          <w:rFonts w:eastAsia="Arial"/>
        </w:rPr>
        <w:t>indicators; this process was anticipated by both the Financing Agreement and the Project Document, but delays to key products</w:t>
      </w:r>
      <w:r>
        <w:rPr>
          <w:rFonts w:eastAsia="Arial"/>
        </w:rPr>
        <w:t xml:space="preserve"> appear to have contributed to delays to </w:t>
      </w:r>
      <w:r w:rsidRPr="001E17D2">
        <w:rPr>
          <w:rFonts w:eastAsia="Arial"/>
        </w:rPr>
        <w:t>the periodic review of indicators for relevance and accuracy.</w:t>
      </w:r>
      <w:r w:rsidRPr="001E17D2">
        <w:rPr>
          <w:rStyle w:val="FootnoteReference"/>
          <w:rFonts w:eastAsia="Arial"/>
        </w:rPr>
        <w:footnoteReference w:id="11"/>
      </w:r>
      <w:r>
        <w:rPr>
          <w:rFonts w:eastAsia="Arial"/>
        </w:rPr>
        <w:t xml:space="preserve"> The work of FA2J, including the substantial engagement of </w:t>
      </w:r>
      <w:proofErr w:type="spellStart"/>
      <w:r>
        <w:rPr>
          <w:rFonts w:eastAsia="Arial"/>
        </w:rPr>
        <w:t>HiiL</w:t>
      </w:r>
      <w:proofErr w:type="spellEnd"/>
      <w:r>
        <w:rPr>
          <w:rFonts w:eastAsia="Arial"/>
        </w:rPr>
        <w:t xml:space="preserve"> in the drafting of the Assessment of Access to Justice in Fiji report, government partners that have developed internal data collection systems which informed recent reports, and civil society partners provides a foundation for clarifying FA2J target vulnerable populations as people with disabilities, women, and the poor living in informal settlements and rural areas.</w:t>
      </w:r>
      <w:r>
        <w:rPr>
          <w:rStyle w:val="FootnoteReference"/>
          <w:rFonts w:eastAsia="Arial"/>
        </w:rPr>
        <w:footnoteReference w:id="12"/>
      </w:r>
      <w:r>
        <w:rPr>
          <w:rFonts w:eastAsia="Arial"/>
        </w:rPr>
        <w:t xml:space="preserve"> New relationships with CSOs allows for targets to be considered in coordination with representatives of beneficiaries as well as duty-bearers and other partners. </w:t>
      </w:r>
    </w:p>
    <w:p w14:paraId="58AF3EEC" w14:textId="77777777" w:rsidR="001D5D3C" w:rsidRDefault="001D5D3C" w:rsidP="001D5D3C">
      <w:pPr>
        <w:rPr>
          <w:rFonts w:eastAsia="Arial"/>
        </w:rPr>
      </w:pPr>
    </w:p>
    <w:p w14:paraId="560DDB05" w14:textId="77777777" w:rsidR="001D5D3C" w:rsidRDefault="001D5D3C" w:rsidP="001D5D3C">
      <w:pPr>
        <w:pStyle w:val="ListParagraph"/>
        <w:numPr>
          <w:ilvl w:val="0"/>
          <w:numId w:val="19"/>
        </w:numPr>
        <w:rPr>
          <w:rFonts w:eastAsia="Arial"/>
        </w:rPr>
      </w:pPr>
      <w:r w:rsidRPr="001E372A">
        <w:rPr>
          <w:rFonts w:eastAsia="Arial"/>
        </w:rPr>
        <w:t>The MTE suggests that the PB has not evolved sufficiently to manage the complex substantive, administrative, and collaboration needs of the project in a manner that will contribute to sustainability. Exemplary leadership and personal commitments at the policy level have generated institutional progress during the MTE period. This commitment needs to be supported by working level structures that maintain momentum</w:t>
      </w:r>
      <w:r>
        <w:rPr>
          <w:rFonts w:eastAsia="Arial"/>
        </w:rPr>
        <w:t xml:space="preserve"> for project activities</w:t>
      </w:r>
      <w:r w:rsidRPr="001E372A">
        <w:rPr>
          <w:rFonts w:eastAsia="Arial"/>
        </w:rPr>
        <w:t xml:space="preserve"> in between policy-level meetings by jointly implementing against PB targets and maintaining the flow of information to senior board members within each member institution. </w:t>
      </w:r>
    </w:p>
    <w:p w14:paraId="6C982F3F" w14:textId="77777777" w:rsidR="001D5D3C" w:rsidRPr="001E372A" w:rsidRDefault="001D5D3C" w:rsidP="001D5D3C">
      <w:pPr>
        <w:rPr>
          <w:rFonts w:eastAsia="Arial"/>
        </w:rPr>
      </w:pPr>
    </w:p>
    <w:p w14:paraId="25597B53" w14:textId="77777777" w:rsidR="001D5D3C" w:rsidRPr="0031544E" w:rsidRDefault="001D5D3C" w:rsidP="001D5D3C">
      <w:pPr>
        <w:pStyle w:val="ListParagraph"/>
        <w:numPr>
          <w:ilvl w:val="0"/>
          <w:numId w:val="19"/>
        </w:numPr>
        <w:rPr>
          <w:rFonts w:eastAsia="Arial"/>
        </w:rPr>
      </w:pPr>
      <w:r w:rsidRPr="0031544E">
        <w:rPr>
          <w:rFonts w:eastAsia="Arial"/>
        </w:rPr>
        <w:t xml:space="preserve">The products necessary to support partner strategic planning cycles, including strategic plans linked to the government national development plan, annual plans and budgets, and </w:t>
      </w:r>
      <w:r>
        <w:rPr>
          <w:rFonts w:eastAsia="Arial"/>
        </w:rPr>
        <w:t xml:space="preserve">mandatory </w:t>
      </w:r>
      <w:r w:rsidRPr="0031544E">
        <w:rPr>
          <w:rFonts w:eastAsia="Arial"/>
        </w:rPr>
        <w:t>public reporting require urgent attention in order to foster sustainability, support partners in evolving into expanded roles and geographic reach, and contribute to sector collaboration through the provision of publicly available data in a manner that accommodates partner resources.</w:t>
      </w:r>
      <w:r>
        <w:rPr>
          <w:rFonts w:eastAsia="Arial"/>
        </w:rPr>
        <w:t xml:space="preserve"> </w:t>
      </w:r>
    </w:p>
    <w:p w14:paraId="74DCE74E" w14:textId="77777777" w:rsidR="001D5D3C" w:rsidRDefault="001D5D3C" w:rsidP="001D5D3C">
      <w:pPr>
        <w:rPr>
          <w:rFonts w:eastAsia="Arial"/>
        </w:rPr>
      </w:pPr>
    </w:p>
    <w:p w14:paraId="59A29877" w14:textId="77777777" w:rsidR="001D5D3C" w:rsidRPr="0031544E" w:rsidRDefault="001D5D3C" w:rsidP="001D5D3C">
      <w:pPr>
        <w:pStyle w:val="ListParagraph"/>
        <w:numPr>
          <w:ilvl w:val="0"/>
          <w:numId w:val="19"/>
        </w:numPr>
        <w:rPr>
          <w:rFonts w:eastAsia="Arial"/>
        </w:rPr>
      </w:pPr>
      <w:r w:rsidRPr="0031544E">
        <w:rPr>
          <w:rFonts w:eastAsia="Arial"/>
        </w:rPr>
        <w:t>The FA2J management output includes communication and visibility targets. Activities under this output have focused on awareness of project activities and have been the primary focus of the FA2J staff dedicated to communication issues. MTE interviews with the LAC, Judicial Department and three CSOs selected for grants in 2018 confirmed that all partners are developing outreach materials. In light of the confirmation of the importance of aligning outreach messaging on rights and services by assessments completed in 2018, it is timely for FA2J to dedicate communication resources to supporting jointly agreed materials between partners.</w:t>
      </w:r>
      <w:r>
        <w:rPr>
          <w:rStyle w:val="FootnoteReference"/>
          <w:rFonts w:eastAsia="Arial"/>
        </w:rPr>
        <w:footnoteReference w:id="13"/>
      </w:r>
    </w:p>
    <w:p w14:paraId="4DBFF442" w14:textId="77777777" w:rsidR="001D5D3C" w:rsidRDefault="001D5D3C" w:rsidP="001D5D3C">
      <w:pPr>
        <w:rPr>
          <w:rFonts w:eastAsia="Arial"/>
          <w:iCs/>
          <w:sz w:val="26"/>
        </w:rPr>
      </w:pPr>
    </w:p>
    <w:p w14:paraId="580A5873" w14:textId="77777777" w:rsidR="001D5D3C" w:rsidRDefault="001D5D3C" w:rsidP="001D5D3C">
      <w:pPr>
        <w:pStyle w:val="ListParagraph"/>
        <w:numPr>
          <w:ilvl w:val="0"/>
          <w:numId w:val="19"/>
        </w:numPr>
        <w:rPr>
          <w:rFonts w:eastAsia="Arial"/>
        </w:rPr>
      </w:pPr>
      <w:r>
        <w:rPr>
          <w:rFonts w:eastAsia="Arial"/>
        </w:rPr>
        <w:t xml:space="preserve">The MTE identified </w:t>
      </w:r>
      <w:r w:rsidRPr="0031544E">
        <w:rPr>
          <w:rFonts w:eastAsia="Arial"/>
        </w:rPr>
        <w:t xml:space="preserve">interest in </w:t>
      </w:r>
      <w:r>
        <w:rPr>
          <w:rFonts w:eastAsia="Arial"/>
        </w:rPr>
        <w:t xml:space="preserve">a </w:t>
      </w:r>
      <w:r w:rsidRPr="0031544E">
        <w:rPr>
          <w:rFonts w:eastAsia="Arial"/>
        </w:rPr>
        <w:t>wider rule of law or sector coordination mechanism</w:t>
      </w:r>
      <w:r>
        <w:rPr>
          <w:rFonts w:eastAsia="Arial"/>
        </w:rPr>
        <w:t xml:space="preserve"> that builds on the healthy and productive ad hoc linkages between justice sector actors in Fiji</w:t>
      </w:r>
      <w:r w:rsidRPr="0031544E">
        <w:rPr>
          <w:rFonts w:eastAsia="Arial"/>
        </w:rPr>
        <w:t>.</w:t>
      </w:r>
      <w:r w:rsidRPr="00556282">
        <w:rPr>
          <w:rStyle w:val="FootnoteReference"/>
          <w:rFonts w:eastAsia="Arial"/>
        </w:rPr>
        <w:t xml:space="preserve"> </w:t>
      </w:r>
      <w:r>
        <w:rPr>
          <w:rStyle w:val="FootnoteReference"/>
          <w:rFonts w:eastAsia="Arial"/>
        </w:rPr>
        <w:footnoteReference w:id="14"/>
      </w:r>
      <w:r w:rsidRPr="0031544E">
        <w:rPr>
          <w:rFonts w:eastAsia="Arial"/>
        </w:rPr>
        <w:t xml:space="preserve"> Both the Financing Agreement and Project Document identify the growth of</w:t>
      </w:r>
      <w:r>
        <w:rPr>
          <w:rFonts w:eastAsia="Arial"/>
        </w:rPr>
        <w:t xml:space="preserve"> a</w:t>
      </w:r>
      <w:r w:rsidRPr="0031544E">
        <w:rPr>
          <w:rFonts w:eastAsia="Arial"/>
        </w:rPr>
        <w:t xml:space="preserve"> sector-wide coordination network as a potential result of FA2J. Such a coordination mechanism has ad hoc precursors reported within the sector, and it may be a timely consideration for partners to include</w:t>
      </w:r>
      <w:r>
        <w:rPr>
          <w:rFonts w:eastAsia="Arial"/>
        </w:rPr>
        <w:t xml:space="preserve"> such engagement</w:t>
      </w:r>
      <w:r w:rsidRPr="0031544E">
        <w:rPr>
          <w:rFonts w:eastAsia="Arial"/>
        </w:rPr>
        <w:t xml:space="preserve"> in their finalisation of strategic plans. Such a coordination mechanism should </w:t>
      </w:r>
      <w:r>
        <w:rPr>
          <w:rFonts w:eastAsia="Arial"/>
        </w:rPr>
        <w:t xml:space="preserve">carefully consider the importance of maintaining the independence of the judiciary and Fiji’s independent institutions, such as the LAC and the HRADC. The coordination mechanism should also </w:t>
      </w:r>
      <w:r w:rsidRPr="0031544E">
        <w:rPr>
          <w:rFonts w:eastAsia="Arial"/>
        </w:rPr>
        <w:t xml:space="preserve">be considered </w:t>
      </w:r>
      <w:r>
        <w:rPr>
          <w:rFonts w:eastAsia="Arial"/>
        </w:rPr>
        <w:t xml:space="preserve">as an output </w:t>
      </w:r>
      <w:r w:rsidRPr="0031544E">
        <w:rPr>
          <w:rFonts w:eastAsia="Arial"/>
        </w:rPr>
        <w:t xml:space="preserve">separate from the FA2J Project Board functions in order to ensure that FA2J maintains its focus on defined targets. </w:t>
      </w:r>
    </w:p>
    <w:p w14:paraId="1FF010C4" w14:textId="77777777" w:rsidR="001D5D3C" w:rsidRPr="00E420C5" w:rsidRDefault="001D5D3C" w:rsidP="001D5D3C">
      <w:pPr>
        <w:pStyle w:val="ListParagraph"/>
        <w:rPr>
          <w:rFonts w:eastAsia="Arial"/>
        </w:rPr>
      </w:pPr>
    </w:p>
    <w:p w14:paraId="57BFF2A3" w14:textId="77777777" w:rsidR="001D5D3C" w:rsidRDefault="001D5D3C" w:rsidP="001D5D3C">
      <w:pPr>
        <w:pStyle w:val="ListParagraph"/>
        <w:numPr>
          <w:ilvl w:val="0"/>
          <w:numId w:val="19"/>
        </w:numPr>
        <w:rPr>
          <w:rFonts w:eastAsia="Arial"/>
        </w:rPr>
      </w:pPr>
      <w:r w:rsidRPr="002A7F2C">
        <w:rPr>
          <w:rFonts w:eastAsia="Arial"/>
        </w:rPr>
        <w:t xml:space="preserve">The MTE identified a desire amongst partners for increased coordination between UN agencies, and between UN agencies and external partners. The UN launched a mechanism to support these levels of coordination in 2018 following the release of the United Nations Pacific Strategy 2018-2022. </w:t>
      </w:r>
      <w:r>
        <w:rPr>
          <w:rFonts w:eastAsia="Arial"/>
        </w:rPr>
        <w:t xml:space="preserve">In addition, interviews highlighted a need for further clarification of the distinct FA2J role within the UNDP rule of law portfolio. FA2J benefitted from the solid foundation provided by other projects and shared staffing arrangements, however moving forward the distinct target populations identified for FA2J and technical services, such as accompaniment, will require a more narrow focus to outreach and CSO support efforts while still supporting collaboration within the portfolio when possible. </w:t>
      </w:r>
    </w:p>
    <w:p w14:paraId="79CC4355" w14:textId="77777777" w:rsidR="001D5D3C" w:rsidRPr="002A7F2C" w:rsidRDefault="001D5D3C" w:rsidP="001D5D3C">
      <w:pPr>
        <w:rPr>
          <w:rFonts w:eastAsia="Arial"/>
        </w:rPr>
      </w:pPr>
    </w:p>
    <w:p w14:paraId="2C401834" w14:textId="77777777" w:rsidR="001D5D3C" w:rsidRPr="0031544E" w:rsidRDefault="001D5D3C" w:rsidP="001D5D3C">
      <w:pPr>
        <w:pStyle w:val="ListParagraph"/>
        <w:numPr>
          <w:ilvl w:val="0"/>
          <w:numId w:val="19"/>
        </w:numPr>
        <w:rPr>
          <w:rFonts w:eastAsia="Arial"/>
        </w:rPr>
      </w:pPr>
      <w:r w:rsidRPr="0031544E">
        <w:rPr>
          <w:rFonts w:eastAsia="Arial"/>
        </w:rPr>
        <w:t xml:space="preserve">Several factors identified during the MTE suggest that renewed attention to gender elements of FA2J will be beneficial: duty bearers on the PB have </w:t>
      </w:r>
      <w:r>
        <w:rPr>
          <w:rFonts w:eastAsia="Arial"/>
        </w:rPr>
        <w:t xml:space="preserve">developed or supported </w:t>
      </w:r>
      <w:r w:rsidRPr="0031544E">
        <w:rPr>
          <w:rFonts w:eastAsia="Arial"/>
        </w:rPr>
        <w:t>gender</w:t>
      </w:r>
      <w:r>
        <w:rPr>
          <w:rFonts w:eastAsia="Arial"/>
        </w:rPr>
        <w:t>-focused</w:t>
      </w:r>
      <w:r w:rsidRPr="0031544E">
        <w:rPr>
          <w:rFonts w:eastAsia="Arial"/>
        </w:rPr>
        <w:t xml:space="preserve"> elements within their institutions; the National Development Plan directly targets the role of women in development and the challenge of GBV; the UN’s Regional Strategy provides an avenue for FA2J to benefit from contributions from other UN agencies via the Outcome 2 (Gender Equality) group; FA2J has engaged as grantees two CSOs with a gender focus and one CSO that has expressed a gender element to their work with people with disabilities; the FWRM’s EU-funded Balancing the Scales assessment of women’s access to justice in Fiji was completed in 2018; and project partners expressed an openness to CSO engagement in the PB during MTE interviews. </w:t>
      </w:r>
    </w:p>
    <w:p w14:paraId="31ED5457" w14:textId="77777777" w:rsidR="001D5D3C" w:rsidRDefault="001D5D3C" w:rsidP="001D5D3C">
      <w:pPr>
        <w:rPr>
          <w:rFonts w:eastAsia="Arial"/>
        </w:rPr>
      </w:pPr>
    </w:p>
    <w:p w14:paraId="78C95216" w14:textId="77777777" w:rsidR="001D5D3C" w:rsidRDefault="001D5D3C" w:rsidP="001D5D3C">
      <w:pPr>
        <w:rPr>
          <w:rFonts w:eastAsia="Arial"/>
          <w:iCs/>
          <w:sz w:val="26"/>
        </w:rPr>
      </w:pPr>
    </w:p>
    <w:p w14:paraId="01000C9F" w14:textId="77777777" w:rsidR="001D5D3C" w:rsidRDefault="001D5D3C" w:rsidP="001D5D3C">
      <w:pPr>
        <w:pStyle w:val="Heading3"/>
      </w:pPr>
      <w:bookmarkStart w:id="4" w:name="_Toc12804563"/>
      <w:r>
        <w:t>Recommendations</w:t>
      </w:r>
      <w:bookmarkEnd w:id="4"/>
    </w:p>
    <w:p w14:paraId="79F0E6E8" w14:textId="77777777" w:rsidR="001D5D3C" w:rsidRDefault="001D5D3C" w:rsidP="001D5D3C">
      <w:pPr>
        <w:rPr>
          <w:rFonts w:eastAsia="Arial"/>
        </w:rPr>
      </w:pPr>
    </w:p>
    <w:p w14:paraId="29D7467F" w14:textId="77777777" w:rsidR="001D5D3C" w:rsidRDefault="001D5D3C" w:rsidP="001D5D3C">
      <w:pPr>
        <w:pStyle w:val="ListParagraph"/>
        <w:numPr>
          <w:ilvl w:val="0"/>
          <w:numId w:val="21"/>
        </w:numPr>
        <w:rPr>
          <w:rFonts w:eastAsia="Arial"/>
        </w:rPr>
      </w:pPr>
      <w:r>
        <w:rPr>
          <w:rFonts w:eastAsia="Arial"/>
        </w:rPr>
        <w:t xml:space="preserve">The FA2J Project Board should approve the inclusion of three grantee CSOs (FDPF, MSP, and Empower Pacific) as representatives of end-user beneficiaries on the project board as provided in Annex 7 as soon as possible. </w:t>
      </w:r>
    </w:p>
    <w:p w14:paraId="42B85106" w14:textId="77777777" w:rsidR="001D5D3C" w:rsidRDefault="001D5D3C" w:rsidP="001D5D3C">
      <w:pPr>
        <w:pStyle w:val="ListParagraph"/>
        <w:numPr>
          <w:ilvl w:val="1"/>
          <w:numId w:val="21"/>
        </w:numPr>
        <w:rPr>
          <w:rFonts w:eastAsia="Arial"/>
        </w:rPr>
      </w:pPr>
      <w:r>
        <w:rPr>
          <w:rFonts w:eastAsia="Arial"/>
        </w:rPr>
        <w:t>As an alternative option, the grantee CSOs can be invited to guide the project board as a distinct advisory group representing end-user beneficiaries in FA2J efforts</w:t>
      </w:r>
    </w:p>
    <w:p w14:paraId="340939AF" w14:textId="77777777" w:rsidR="001D5D3C" w:rsidRDefault="001D5D3C" w:rsidP="001D5D3C">
      <w:pPr>
        <w:pStyle w:val="ListParagraph"/>
        <w:ind w:left="1440"/>
        <w:rPr>
          <w:rFonts w:eastAsia="Arial"/>
        </w:rPr>
      </w:pPr>
    </w:p>
    <w:p w14:paraId="737C7E52" w14:textId="0EC4205D" w:rsidR="001D5D3C" w:rsidRDefault="00616E8B" w:rsidP="00DE577B">
      <w:pPr>
        <w:pStyle w:val="ListParagraph"/>
        <w:numPr>
          <w:ilvl w:val="0"/>
          <w:numId w:val="21"/>
        </w:numPr>
        <w:rPr>
          <w:rFonts w:eastAsia="Arial"/>
        </w:rPr>
      </w:pPr>
      <w:r w:rsidRPr="00FD1056">
        <w:rPr>
          <w:rFonts w:eastAsia="Arial"/>
        </w:rPr>
        <w:t xml:space="preserve">The FA2J Project Board should approve the clarification of target vulnerable populations as: people with disabilities, women, and the poor living in informal settlements and rural areas as soon as possible. </w:t>
      </w:r>
      <w:r w:rsidR="00581BE1">
        <w:rPr>
          <w:rFonts w:eastAsia="Arial"/>
        </w:rPr>
        <w:t xml:space="preserve">Once target groups are clarified, FA2J should revise its M&amp;E framework </w:t>
      </w:r>
      <w:r w:rsidRPr="00FD1056">
        <w:rPr>
          <w:rFonts w:eastAsia="Arial"/>
        </w:rPr>
        <w:t>in partnership with</w:t>
      </w:r>
      <w:r w:rsidR="00581BE1">
        <w:rPr>
          <w:rFonts w:eastAsia="Arial"/>
        </w:rPr>
        <w:t xml:space="preserve"> duty bearers and rights holders (represented by </w:t>
      </w:r>
      <w:r w:rsidRPr="00FD1056">
        <w:rPr>
          <w:rFonts w:eastAsia="Arial"/>
        </w:rPr>
        <w:t>CSOs</w:t>
      </w:r>
      <w:r w:rsidR="00581BE1">
        <w:rPr>
          <w:rFonts w:eastAsia="Arial"/>
        </w:rPr>
        <w:t xml:space="preserve">) to both </w:t>
      </w:r>
      <w:r w:rsidRPr="00FD1056">
        <w:rPr>
          <w:rFonts w:eastAsia="Arial"/>
        </w:rPr>
        <w:t xml:space="preserve">reflect </w:t>
      </w:r>
      <w:r w:rsidR="00FD1056" w:rsidRPr="00FD1056">
        <w:rPr>
          <w:rFonts w:eastAsia="Arial"/>
        </w:rPr>
        <w:t xml:space="preserve">a </w:t>
      </w:r>
      <w:r w:rsidRPr="00FD1056">
        <w:rPr>
          <w:rFonts w:eastAsia="Arial"/>
        </w:rPr>
        <w:t>shared understanding of terminology used</w:t>
      </w:r>
      <w:r w:rsidR="00FD1056">
        <w:rPr>
          <w:rFonts w:eastAsia="Arial"/>
        </w:rPr>
        <w:t xml:space="preserve"> and</w:t>
      </w:r>
      <w:r w:rsidRPr="00FD1056">
        <w:rPr>
          <w:rFonts w:eastAsia="Arial"/>
        </w:rPr>
        <w:t xml:space="preserve"> to accommodate </w:t>
      </w:r>
      <w:r w:rsidR="00FD1056">
        <w:rPr>
          <w:rFonts w:eastAsia="Arial"/>
        </w:rPr>
        <w:t xml:space="preserve">progress and </w:t>
      </w:r>
      <w:r w:rsidRPr="00FD1056">
        <w:rPr>
          <w:rFonts w:eastAsia="Arial"/>
        </w:rPr>
        <w:t>challenges to date</w:t>
      </w:r>
      <w:r w:rsidR="00FD1056">
        <w:rPr>
          <w:rFonts w:eastAsia="Arial"/>
        </w:rPr>
        <w:t>.</w:t>
      </w:r>
      <w:r w:rsidRPr="00FD1056">
        <w:rPr>
          <w:rFonts w:eastAsia="Arial"/>
        </w:rPr>
        <w:t xml:space="preserve"> </w:t>
      </w:r>
      <w:r w:rsidR="00F02BFC">
        <w:rPr>
          <w:rFonts w:eastAsia="Arial"/>
        </w:rPr>
        <w:t>The M&amp;E framework should be revisited at least annually as part of the reporting cycle.</w:t>
      </w:r>
    </w:p>
    <w:p w14:paraId="3AC4FE2F" w14:textId="77777777" w:rsidR="00FD1056" w:rsidRPr="00FD1056" w:rsidRDefault="00FD1056" w:rsidP="00FD1056">
      <w:pPr>
        <w:pStyle w:val="ListParagraph"/>
        <w:rPr>
          <w:rFonts w:eastAsia="Arial"/>
        </w:rPr>
      </w:pPr>
    </w:p>
    <w:p w14:paraId="0A06F6F8" w14:textId="77777777" w:rsidR="001D5D3C" w:rsidRDefault="001D5D3C" w:rsidP="001D5D3C">
      <w:pPr>
        <w:pStyle w:val="ListParagraph"/>
        <w:numPr>
          <w:ilvl w:val="0"/>
          <w:numId w:val="21"/>
        </w:numPr>
        <w:rPr>
          <w:rFonts w:eastAsia="Arial"/>
        </w:rPr>
      </w:pPr>
      <w:r>
        <w:rPr>
          <w:rFonts w:eastAsia="Arial"/>
        </w:rPr>
        <w:t>The FA2J Project Board should approve the creation of, to start with, four Working Groups in line with the structure provided in Annex 7 to concentrate joint resources on complex or missing elements identified by partners during the MTE as critical to progress:</w:t>
      </w:r>
    </w:p>
    <w:p w14:paraId="483D4037" w14:textId="77777777" w:rsidR="001D5D3C" w:rsidRPr="006A5E7E" w:rsidRDefault="001D5D3C" w:rsidP="001D5D3C">
      <w:pPr>
        <w:pStyle w:val="ListParagraph"/>
        <w:rPr>
          <w:rFonts w:eastAsia="Arial"/>
        </w:rPr>
      </w:pPr>
    </w:p>
    <w:p w14:paraId="70D559B1" w14:textId="77777777" w:rsidR="001D5D3C" w:rsidRPr="008C2A57" w:rsidRDefault="001D5D3C" w:rsidP="001D5D3C">
      <w:pPr>
        <w:pStyle w:val="ListParagraph"/>
        <w:numPr>
          <w:ilvl w:val="1"/>
          <w:numId w:val="21"/>
        </w:numPr>
        <w:rPr>
          <w:rFonts w:eastAsia="Arial"/>
        </w:rPr>
      </w:pPr>
      <w:r>
        <w:rPr>
          <w:rFonts w:eastAsia="Arial"/>
        </w:rPr>
        <w:t>A working group directed to complete the procurement and roll-out of the case management system and hotline in the LAC, to include overseeing the development of the final systems (including the creation of reports necessary to inform internal and external data needs) in partnership with the selected suppliers, staff training, and roll-out to intended locations. Membership should include beneficiary representatives authorized to engage with the process within time and cost tolerances while keeping senior management fully informed, case management and hotline supplier representatives (by remote connection or in person as deployment progresses), EU delegation representatives as deemed useful by the delegation, other necessary government officials (such as Ministry of Economy representative), and UNDP staff to provide management support to decision making. (Target: procurement by 15 July, roll-out through September)</w:t>
      </w:r>
    </w:p>
    <w:p w14:paraId="43DEC1BA" w14:textId="77777777" w:rsidR="001D5D3C" w:rsidRDefault="001D5D3C" w:rsidP="001D5D3C">
      <w:pPr>
        <w:pStyle w:val="ListParagraph"/>
        <w:ind w:left="1440"/>
        <w:rPr>
          <w:rFonts w:eastAsia="Arial"/>
        </w:rPr>
      </w:pPr>
    </w:p>
    <w:p w14:paraId="53BAE219" w14:textId="77777777" w:rsidR="001D5D3C" w:rsidRPr="008C2A57" w:rsidRDefault="001D5D3C" w:rsidP="001D5D3C">
      <w:pPr>
        <w:pStyle w:val="ListParagraph"/>
        <w:numPr>
          <w:ilvl w:val="1"/>
          <w:numId w:val="21"/>
        </w:numPr>
        <w:rPr>
          <w:rFonts w:eastAsia="Arial"/>
        </w:rPr>
      </w:pPr>
      <w:r>
        <w:rPr>
          <w:rFonts w:eastAsia="Arial"/>
        </w:rPr>
        <w:t>A working group directed to complete the procurement and roll-out of the case management system in the Judicial Department, to include overseeing the development of the final system (including reports necessary to inform internal and external data needs) in partnership with the selected supplier, staff training, and roll-out to intended locations. Membership should include beneficiary representatives authorized to engage with the process within time and cost tolerances while keeping senior management fully informed, case management supplier representatives (by remote connection or in person as deployment progresses), EU delegation representatives as deemed useful by the delegation, other necessary government officials (such as Ministry of Economy representative), and UNDP staff to provide management support to decision making. (Target: procurement by 15 July, roll-out through September)</w:t>
      </w:r>
    </w:p>
    <w:p w14:paraId="4380B7A4" w14:textId="77777777" w:rsidR="001D5D3C" w:rsidRPr="00D1693D" w:rsidRDefault="001D5D3C" w:rsidP="001D5D3C">
      <w:pPr>
        <w:pStyle w:val="ListParagraph"/>
        <w:rPr>
          <w:rFonts w:eastAsia="Arial"/>
        </w:rPr>
      </w:pPr>
    </w:p>
    <w:p w14:paraId="3C11F142" w14:textId="77777777" w:rsidR="001D5D3C" w:rsidRDefault="001D5D3C" w:rsidP="001D5D3C">
      <w:pPr>
        <w:pStyle w:val="ListParagraph"/>
        <w:numPr>
          <w:ilvl w:val="1"/>
          <w:numId w:val="21"/>
        </w:numPr>
        <w:rPr>
          <w:rFonts w:eastAsia="Arial"/>
        </w:rPr>
      </w:pPr>
      <w:r>
        <w:rPr>
          <w:rFonts w:eastAsia="Arial"/>
        </w:rPr>
        <w:t xml:space="preserve">A working group directed to focus on the development of strategic planning, M&amp;E / reporting and related institutional strengthening efforts for duty-bearers engaged with FA2J. Membership should include beneficiary representatives with key responsibilities for planning, budgeting and reporting in their institutions, EU delegation representatives as deemed useful by the delegation, other government officials as needed (such as Ministry of Economy representative to support discussions on integrating planning, budgeting and reporting timeframes and tools to align with government financial management systems), CSO representatives where </w:t>
      </w:r>
      <w:r>
        <w:rPr>
          <w:rFonts w:eastAsia="Arial"/>
        </w:rPr>
        <w:lastRenderedPageBreak/>
        <w:t>end-user perspectives are needed, external advisors as needed, and UNDP staff to provide management support to decision making. This working group should:</w:t>
      </w:r>
    </w:p>
    <w:p w14:paraId="17615349" w14:textId="77777777" w:rsidR="001D5D3C" w:rsidRPr="0062469B" w:rsidRDefault="001D5D3C" w:rsidP="001D5D3C">
      <w:pPr>
        <w:pStyle w:val="ListParagraph"/>
        <w:rPr>
          <w:rFonts w:eastAsia="Arial"/>
        </w:rPr>
      </w:pPr>
    </w:p>
    <w:p w14:paraId="0BC4D6FD" w14:textId="77777777" w:rsidR="001D5D3C" w:rsidRDefault="001D5D3C" w:rsidP="001D5D3C">
      <w:pPr>
        <w:pStyle w:val="ListParagraph"/>
        <w:numPr>
          <w:ilvl w:val="2"/>
          <w:numId w:val="21"/>
        </w:numPr>
        <w:rPr>
          <w:rFonts w:eastAsia="Arial"/>
        </w:rPr>
      </w:pPr>
      <w:r>
        <w:rPr>
          <w:rFonts w:eastAsia="Arial"/>
        </w:rPr>
        <w:t>Complete the revision of, and obtain formal approval for, the Strategic Plans drafted for the LAC and Judicial Department (Target: by 1 July 2019);</w:t>
      </w:r>
    </w:p>
    <w:p w14:paraId="1978559E" w14:textId="77777777" w:rsidR="001D5D3C" w:rsidRPr="008C2A57" w:rsidRDefault="001D5D3C" w:rsidP="001D5D3C">
      <w:pPr>
        <w:pStyle w:val="ListParagraph"/>
        <w:numPr>
          <w:ilvl w:val="2"/>
          <w:numId w:val="21"/>
        </w:numPr>
        <w:rPr>
          <w:rFonts w:eastAsia="Arial"/>
        </w:rPr>
      </w:pPr>
      <w:r>
        <w:rPr>
          <w:rFonts w:eastAsia="Arial"/>
        </w:rPr>
        <w:t>Review the FA2J M&amp;E Framework to clarify targets for the target populations identified in Recommendation 2 with participation of CSO representatives (Target: by 15 July 2019);</w:t>
      </w:r>
    </w:p>
    <w:p w14:paraId="38796098" w14:textId="77777777" w:rsidR="001D5D3C" w:rsidRDefault="001D5D3C" w:rsidP="001D5D3C">
      <w:pPr>
        <w:pStyle w:val="ListParagraph"/>
        <w:numPr>
          <w:ilvl w:val="2"/>
          <w:numId w:val="21"/>
        </w:numPr>
        <w:rPr>
          <w:rFonts w:eastAsia="Arial"/>
        </w:rPr>
      </w:pPr>
      <w:r>
        <w:rPr>
          <w:rFonts w:eastAsia="Arial"/>
        </w:rPr>
        <w:t>Complete, with external assistance if the need is identified and including coordination with project assurance products such as the Assessment of Access to Justice in Fiji Assessment (Draft) and Balancing the Scales, Annual Plans for beneficiary institutions that align with targets in the Strategic Plan as well as shared FA2J targets (Target: by 1 August 2019);</w:t>
      </w:r>
    </w:p>
    <w:p w14:paraId="237B8B06" w14:textId="77777777" w:rsidR="001D5D3C" w:rsidRDefault="001D5D3C" w:rsidP="001D5D3C">
      <w:pPr>
        <w:pStyle w:val="ListParagraph"/>
        <w:numPr>
          <w:ilvl w:val="2"/>
          <w:numId w:val="21"/>
        </w:numPr>
        <w:rPr>
          <w:rFonts w:eastAsia="Arial"/>
        </w:rPr>
      </w:pPr>
      <w:r>
        <w:rPr>
          <w:rFonts w:eastAsia="Arial"/>
        </w:rPr>
        <w:t>Develop, with external assistance if the need is identified, Annual Report templates based on the Strategic and Annual Plans and related M&amp;E frameworks, address any gaps in mandatory reporting using the new templates, and ensure that reports are posted on institutional websites (Target: for report template by 15 August 2019, for outstanding reports TBD).</w:t>
      </w:r>
    </w:p>
    <w:p w14:paraId="55913CEB" w14:textId="77777777" w:rsidR="001D5D3C" w:rsidRDefault="001D5D3C" w:rsidP="001D5D3C">
      <w:pPr>
        <w:ind w:left="1440"/>
        <w:rPr>
          <w:rFonts w:eastAsia="Arial"/>
          <w:b/>
        </w:rPr>
      </w:pPr>
    </w:p>
    <w:p w14:paraId="3FDAF81C" w14:textId="77777777" w:rsidR="001D5D3C" w:rsidRPr="00486C2F" w:rsidRDefault="001D5D3C" w:rsidP="001D5D3C">
      <w:pPr>
        <w:ind w:left="1440"/>
        <w:rPr>
          <w:rFonts w:eastAsia="Arial"/>
          <w:b/>
        </w:rPr>
      </w:pPr>
      <w:r>
        <w:rPr>
          <w:rFonts w:eastAsia="Arial"/>
          <w:b/>
        </w:rPr>
        <w:t xml:space="preserve">N.B. The products of this working group should integrate institutional priorities, such as the Judicial Training Institute and other training plans, into the foundational plans and resulting budgets for each institution.  </w:t>
      </w:r>
    </w:p>
    <w:p w14:paraId="4E6D23DC" w14:textId="77777777" w:rsidR="001D5D3C" w:rsidRPr="00486C2F" w:rsidRDefault="001D5D3C" w:rsidP="001D5D3C">
      <w:pPr>
        <w:ind w:left="1440"/>
        <w:rPr>
          <w:rFonts w:eastAsia="Arial"/>
        </w:rPr>
      </w:pPr>
    </w:p>
    <w:p w14:paraId="4C059905" w14:textId="77777777" w:rsidR="001D5D3C" w:rsidRDefault="001D5D3C" w:rsidP="001D5D3C">
      <w:pPr>
        <w:pStyle w:val="ListParagraph"/>
        <w:numPr>
          <w:ilvl w:val="1"/>
          <w:numId w:val="21"/>
        </w:numPr>
        <w:rPr>
          <w:rFonts w:eastAsia="Arial"/>
        </w:rPr>
      </w:pPr>
      <w:r>
        <w:rPr>
          <w:rFonts w:eastAsia="Arial"/>
        </w:rPr>
        <w:t>A working group directed to focus on the development of outreach materials designed to address informational needs of specific vulnerable populations identified as targets for FA2J. Membership should include beneficiary representatives (from CSOs and duty bearers) with key responsibilities for developing and using outreach materials for their institutions, EU delegation representatives as deemed useful by the delegation, other government officials as needed (such as Ministry of Women, Children and Poverty Alleviation to support integration of efforts with national protocol on GBV), external advisors as needed, suppliers for print and media products, and UNDP communication staff to provide management support to decision making. (Target: for coordinated outreach materials targeting women by 15 July 2019 (national protocol and partner resources already available), targeting people with disabilities by 15 August 2019 (pending completion of FDPF research under grant), targeting poor living in informal settlements and rural areas by 15 September).</w:t>
      </w:r>
    </w:p>
    <w:p w14:paraId="0DCC3674" w14:textId="77777777" w:rsidR="001D5D3C" w:rsidRDefault="001D5D3C" w:rsidP="001D5D3C">
      <w:pPr>
        <w:pStyle w:val="ListParagraph"/>
        <w:ind w:left="1440"/>
        <w:rPr>
          <w:rFonts w:eastAsia="Arial"/>
        </w:rPr>
      </w:pPr>
    </w:p>
    <w:p w14:paraId="33E36775" w14:textId="77777777" w:rsidR="00F34E26" w:rsidRDefault="00F34E26" w:rsidP="00F34E26">
      <w:pPr>
        <w:pStyle w:val="ListParagraph"/>
        <w:numPr>
          <w:ilvl w:val="0"/>
          <w:numId w:val="21"/>
        </w:numPr>
        <w:rPr>
          <w:rFonts w:eastAsia="Arial"/>
        </w:rPr>
      </w:pPr>
      <w:r>
        <w:rPr>
          <w:rFonts w:eastAsia="Arial"/>
        </w:rPr>
        <w:t>UNDP should assess partner support for the development of a Secretariat function to support justice sector coordination efforts and specific initiatives, such as the completion of mandatory international reporting. While the FA2J Project Document identifies a process based framework in addition to rights based considerations, the current FA2J footprint supports outreach and then court processing. In Fiji, the police are responsible for laying around 90% of initial charges, and many other actors contribute to victim support, evidence collection, evidence processing, and post-trial rehabilitation and reintegration later. The MTE identified benefits that a coordination mechanism that extends to actors engaged in these other stages of the process could provide for FA2J. Longer term, a sector coordination mechanism would align with UNDP’s broader rule of law program within which FA2J is managed. Various models for such a coordination mechanism exist.</w:t>
      </w:r>
      <w:r>
        <w:rPr>
          <w:rStyle w:val="FootnoteReference"/>
          <w:rFonts w:eastAsia="Arial"/>
        </w:rPr>
        <w:footnoteReference w:id="15"/>
      </w:r>
      <w:r>
        <w:rPr>
          <w:rFonts w:eastAsia="Arial"/>
        </w:rPr>
        <w:t xml:space="preserve"> If both FA2J and external partners such as the FPF support the formalization of a coordination mechanism, these models should be reviewed carefully to ensure that independent functions of justice are properly supported while coordination can be advanced efficiently. In the shorter term, discrete coordination </w:t>
      </w:r>
      <w:r>
        <w:rPr>
          <w:rFonts w:eastAsia="Arial"/>
        </w:rPr>
        <w:lastRenderedPageBreak/>
        <w:t>mechanisms involving FA2J and external partners, such as task forces, targeting specific shared targets within the current FA2J framework can be developed modelled on the successful UN Human Rights Council initiative to complete the Universal Periodic Review. These initiatives can build on FA2J’s successful Rule of Law conferences, however they would provide a durable structure for coordinating efforts that is not available in a conference format. As a secretariat to the task forces, FA2J can assess the unique Fiji legal and social environment for possible formalization of a coordination mechanism. The MTE identified potential targets for task forces within the current FA2J mandate:</w:t>
      </w:r>
    </w:p>
    <w:p w14:paraId="3604CA46" w14:textId="77777777" w:rsidR="00F34E26" w:rsidRDefault="00F34E26" w:rsidP="00F34E26">
      <w:pPr>
        <w:pStyle w:val="ListParagraph"/>
        <w:rPr>
          <w:rFonts w:eastAsia="Arial"/>
        </w:rPr>
      </w:pPr>
    </w:p>
    <w:p w14:paraId="70D09FF1" w14:textId="77777777" w:rsidR="00F34E26" w:rsidRDefault="00F34E26" w:rsidP="00F34E26">
      <w:pPr>
        <w:pStyle w:val="ListParagraph"/>
        <w:numPr>
          <w:ilvl w:val="1"/>
          <w:numId w:val="23"/>
        </w:numPr>
        <w:rPr>
          <w:rFonts w:eastAsia="Arial"/>
        </w:rPr>
      </w:pPr>
      <w:r>
        <w:rPr>
          <w:rFonts w:eastAsia="Arial"/>
        </w:rPr>
        <w:t>Island Courts: Recent reports indicate that the national-level growth in capacity in processing criminal cases and DVRO applications needs to be extended to the Island Court level.</w:t>
      </w:r>
      <w:r>
        <w:rPr>
          <w:rStyle w:val="FootnoteReference"/>
          <w:rFonts w:eastAsia="Arial"/>
        </w:rPr>
        <w:footnoteReference w:id="16"/>
      </w:r>
      <w:r>
        <w:rPr>
          <w:rFonts w:eastAsia="Arial"/>
        </w:rPr>
        <w:t xml:space="preserve"> In addition to FA2J duty bearers, the FPF and Office of the Director of Public Prosecutions, traditional leaders, civil society and other stakeholders are necessary partners in extending outreach and service provision to rural populations. A task force with FA2J secretariat support can be convened to strategically review resources available, gaps for possible external support, and opportunities for coordinated support to the operation of Island Courts.  </w:t>
      </w:r>
    </w:p>
    <w:p w14:paraId="0E94C974" w14:textId="77777777" w:rsidR="00F34E26" w:rsidRDefault="00F34E26" w:rsidP="00F34E26">
      <w:pPr>
        <w:pStyle w:val="ListParagraph"/>
        <w:ind w:left="1440"/>
        <w:rPr>
          <w:rFonts w:eastAsia="Arial"/>
        </w:rPr>
      </w:pPr>
    </w:p>
    <w:p w14:paraId="7D012601" w14:textId="77777777" w:rsidR="00F34E26" w:rsidRDefault="00F34E26" w:rsidP="00F34E26">
      <w:pPr>
        <w:pStyle w:val="ListParagraph"/>
        <w:numPr>
          <w:ilvl w:val="1"/>
          <w:numId w:val="23"/>
        </w:numPr>
        <w:rPr>
          <w:rFonts w:eastAsia="Arial"/>
        </w:rPr>
      </w:pPr>
      <w:r>
        <w:rPr>
          <w:rFonts w:eastAsia="Arial"/>
        </w:rPr>
        <w:t xml:space="preserve">Urban Informal Settlements: Similarly, service delivery to urban informal settlements requires partnerships across the justice and social service sectors to address persistent challenges. Recommendation 3.d. highlights the opportunity for increasing outreach to settlement areas, however as the population becomes more aware of their rights the need for service delivery can be expected to increase. </w:t>
      </w:r>
    </w:p>
    <w:p w14:paraId="301BDD6A" w14:textId="77777777" w:rsidR="00F34E26" w:rsidRDefault="00F34E26" w:rsidP="00F34E26">
      <w:pPr>
        <w:pStyle w:val="ListParagraph"/>
        <w:ind w:left="1440"/>
        <w:rPr>
          <w:rFonts w:eastAsia="Arial"/>
        </w:rPr>
      </w:pPr>
    </w:p>
    <w:p w14:paraId="3809F876" w14:textId="77777777" w:rsidR="00F34E26" w:rsidRDefault="00F34E26" w:rsidP="00F34E26">
      <w:pPr>
        <w:pStyle w:val="ListParagraph"/>
        <w:rPr>
          <w:rFonts w:eastAsia="Arial"/>
        </w:rPr>
      </w:pPr>
      <w:r>
        <w:rPr>
          <w:rFonts w:eastAsia="Arial"/>
        </w:rPr>
        <w:t xml:space="preserve">(Target: Terms of reference for task forces to be developed by Q4 2019 and one task force to be launched in Q4 2019; UNDP to review support and modalities for a formal coordination structure during annual review cycle 2020). </w:t>
      </w:r>
    </w:p>
    <w:p w14:paraId="718D8F3F" w14:textId="77777777" w:rsidR="00F34E26" w:rsidRDefault="00F34E26" w:rsidP="00F34E26">
      <w:pPr>
        <w:pStyle w:val="ListParagraph"/>
        <w:rPr>
          <w:rFonts w:eastAsia="Arial"/>
        </w:rPr>
      </w:pPr>
      <w:r>
        <w:rPr>
          <w:rFonts w:eastAsia="Arial"/>
        </w:rPr>
        <w:t xml:space="preserve">  </w:t>
      </w:r>
    </w:p>
    <w:p w14:paraId="5EBD4F8F" w14:textId="77777777" w:rsidR="00F34E26" w:rsidRPr="00024460" w:rsidRDefault="00F34E26" w:rsidP="00F34E26">
      <w:pPr>
        <w:pStyle w:val="ListParagraph"/>
        <w:numPr>
          <w:ilvl w:val="0"/>
          <w:numId w:val="21"/>
        </w:numPr>
        <w:rPr>
          <w:rFonts w:eastAsia="Arial"/>
        </w:rPr>
      </w:pPr>
      <w:r w:rsidRPr="00024460">
        <w:rPr>
          <w:rFonts w:eastAsia="Arial"/>
        </w:rPr>
        <w:t xml:space="preserve">UNDP should clarify FA2J’s distinct role within its rule of law portfolio and work with other agencies to invigorate the UN Pacific Regional Strategy Coordination Group and related Outcome Groups as the conduit for engagement with the FA2J Working Groups / Project Board as depicted in Annex 8. Such engagement is specifically recommended to engage UN agencies focused on gender with the FA2J working group focused on the development of strategic planning and M&amp;E / reporting products in line with the timeframe outlined under Recommendation 3.c. The </w:t>
      </w:r>
      <w:r>
        <w:rPr>
          <w:rFonts w:eastAsia="Arial"/>
        </w:rPr>
        <w:t>MTE</w:t>
      </w:r>
      <w:r w:rsidRPr="00024460">
        <w:rPr>
          <w:rFonts w:eastAsia="Arial"/>
        </w:rPr>
        <w:t xml:space="preserve"> identified a specific opportunity for increased discussion and coordination within the UN agencies around the collection and processing of “Rape Kits”. </w:t>
      </w:r>
      <w:r>
        <w:rPr>
          <w:rFonts w:eastAsia="Arial"/>
        </w:rPr>
        <w:t>CSOs report that UNICEF may be increasing support for the provision of rape kits to the FPF, and UN Women are working with GBV coordination systems linked to the Ministry of Women, Children &amp; Poverty Alleviation and CSOs providing support to survivors. However, recent reports noted that the benefits of Rape Kits have not been fully realized due to challenges with coordination between actors involved in the collection, processing, and ultimate use of the Rape Kit evidence in court proceedings. FA2J is engaged with several key partners necessary for defining and using legal protocols throughout this process. The valuable engagement of UN agencies across the psycho-social, medical, and legal range of issues critical for the use of these kits can be leveraged to increase the effectiveness of the Rape Kits in providing justice to survivors of GBV. Opportunities for extending access to Rape Kits to rural populations may also be identified by linkage of UN agency work to the task forces described in Recommendation 4. (Target: UNDP to work with UN Women to incorporate Rape Kit efficacy as an agenda item at the next Outcome 2 meeting).</w:t>
      </w:r>
    </w:p>
    <w:p w14:paraId="1FA1FB8A" w14:textId="77777777" w:rsidR="00F34E26" w:rsidRPr="00BD3E50" w:rsidRDefault="00F34E26" w:rsidP="00F34E26">
      <w:pPr>
        <w:rPr>
          <w:rFonts w:eastAsia="Arial"/>
        </w:rPr>
      </w:pPr>
    </w:p>
    <w:p w14:paraId="243BA7C3" w14:textId="77777777" w:rsidR="00F34E26" w:rsidRPr="00E420C5" w:rsidRDefault="00F34E26" w:rsidP="00F34E26">
      <w:pPr>
        <w:rPr>
          <w:rFonts w:eastAsia="Arial"/>
        </w:rPr>
      </w:pPr>
    </w:p>
    <w:p w14:paraId="1F9FBA62" w14:textId="77777777" w:rsidR="00F34E26" w:rsidRPr="00385CE6" w:rsidRDefault="00F34E26" w:rsidP="00F34E26">
      <w:pPr>
        <w:rPr>
          <w:rFonts w:eastAsia="Arial"/>
        </w:rPr>
      </w:pPr>
    </w:p>
    <w:p w14:paraId="3E38D78E" w14:textId="7F919C15" w:rsidR="00B27C05" w:rsidRDefault="00B27C05" w:rsidP="00B104D3">
      <w:pPr>
        <w:rPr>
          <w:rFonts w:eastAsia="Arial"/>
        </w:rPr>
      </w:pPr>
    </w:p>
    <w:p w14:paraId="0F446B47" w14:textId="4DBDC74C" w:rsidR="00866298" w:rsidRPr="00A050EB" w:rsidRDefault="00D86FF0" w:rsidP="00FF60E0">
      <w:pPr>
        <w:pStyle w:val="Heading1"/>
        <w:rPr>
          <w:rFonts w:eastAsia="Arial"/>
        </w:rPr>
      </w:pPr>
      <w:bookmarkStart w:id="5" w:name="_Toc12804564"/>
      <w:r>
        <w:rPr>
          <w:rFonts w:eastAsia="Arial"/>
        </w:rPr>
        <w:lastRenderedPageBreak/>
        <w:t xml:space="preserve">Chapter 1: </w:t>
      </w:r>
      <w:r w:rsidR="00F02FF1" w:rsidRPr="00A050EB">
        <w:rPr>
          <w:rFonts w:eastAsia="Arial"/>
        </w:rPr>
        <w:t>Introduction</w:t>
      </w:r>
      <w:bookmarkEnd w:id="5"/>
    </w:p>
    <w:p w14:paraId="0E5D8536" w14:textId="77777777" w:rsidR="00A27567" w:rsidRPr="00A050EB" w:rsidRDefault="00A27567" w:rsidP="00A27567">
      <w:pPr>
        <w:rPr>
          <w:rFonts w:eastAsia="Arial"/>
        </w:rPr>
      </w:pPr>
    </w:p>
    <w:p w14:paraId="5FD3CA8B" w14:textId="0F764750" w:rsidR="004E1E8B" w:rsidRPr="00A050EB" w:rsidRDefault="00A72744" w:rsidP="004E1E8B">
      <w:pPr>
        <w:rPr>
          <w:rFonts w:eastAsia="Arial"/>
          <w:szCs w:val="22"/>
        </w:rPr>
      </w:pPr>
      <w:r w:rsidRPr="00A050EB">
        <w:rPr>
          <w:rFonts w:eastAsia="Arial"/>
          <w:szCs w:val="22"/>
        </w:rPr>
        <w:t xml:space="preserve">The Terms of Reference (TOR) for this </w:t>
      </w:r>
      <w:r w:rsidR="00675CB4">
        <w:rPr>
          <w:rFonts w:eastAsia="Arial"/>
          <w:szCs w:val="22"/>
        </w:rPr>
        <w:t xml:space="preserve">Mid-Term Evaluation (MTE) </w:t>
      </w:r>
      <w:r w:rsidRPr="00A050EB">
        <w:rPr>
          <w:rFonts w:eastAsia="Arial"/>
          <w:szCs w:val="22"/>
        </w:rPr>
        <w:t>clarify that the purpose of the evaluation is to “serve an important accountability function, providing national stakeholders and partners in Fiji with an impartial assessment of the results including gender equality results of this project.”</w:t>
      </w:r>
      <w:r w:rsidR="002209D9">
        <w:rPr>
          <w:rStyle w:val="FootnoteReference"/>
          <w:rFonts w:eastAsia="Arial"/>
          <w:szCs w:val="22"/>
        </w:rPr>
        <w:footnoteReference w:id="17"/>
      </w:r>
      <w:r w:rsidRPr="00A050EB">
        <w:rPr>
          <w:rFonts w:eastAsia="Arial"/>
          <w:szCs w:val="22"/>
        </w:rPr>
        <w:t xml:space="preserve"> The </w:t>
      </w:r>
      <w:r w:rsidR="00675CB4">
        <w:rPr>
          <w:rFonts w:eastAsia="Arial"/>
          <w:szCs w:val="22"/>
        </w:rPr>
        <w:t xml:space="preserve">TOR </w:t>
      </w:r>
      <w:r w:rsidR="00AD3B05">
        <w:rPr>
          <w:rFonts w:eastAsia="Arial"/>
          <w:szCs w:val="22"/>
        </w:rPr>
        <w:t xml:space="preserve">states that the </w:t>
      </w:r>
      <w:r w:rsidRPr="00A050EB">
        <w:rPr>
          <w:rFonts w:eastAsia="Arial"/>
          <w:szCs w:val="22"/>
        </w:rPr>
        <w:t xml:space="preserve">audience for the evaluation will include key stakeholders, including implementing partners, civil society organizations (CSOs), the donor, UNDP, and other UN agencies. </w:t>
      </w:r>
    </w:p>
    <w:p w14:paraId="026EC7D3" w14:textId="6EF48CDE" w:rsidR="00A72744" w:rsidRPr="00A050EB" w:rsidRDefault="00A72744" w:rsidP="004E1E8B">
      <w:pPr>
        <w:rPr>
          <w:rFonts w:eastAsia="Arial"/>
          <w:szCs w:val="22"/>
        </w:rPr>
      </w:pPr>
    </w:p>
    <w:p w14:paraId="36CD08BA" w14:textId="2F4AA277" w:rsidR="00A72744" w:rsidRPr="00A050EB" w:rsidRDefault="00A72744" w:rsidP="004E1E8B">
      <w:pPr>
        <w:rPr>
          <w:rFonts w:eastAsia="Arial"/>
          <w:szCs w:val="22"/>
        </w:rPr>
      </w:pPr>
      <w:r w:rsidRPr="00A050EB">
        <w:rPr>
          <w:rFonts w:eastAsia="Arial"/>
          <w:szCs w:val="22"/>
        </w:rPr>
        <w:t>The four objectives of this evaluation</w:t>
      </w:r>
      <w:r w:rsidR="000357A0">
        <w:rPr>
          <w:rStyle w:val="FootnoteReference"/>
          <w:rFonts w:eastAsia="Arial"/>
          <w:szCs w:val="22"/>
        </w:rPr>
        <w:footnoteReference w:id="18"/>
      </w:r>
      <w:r w:rsidRPr="00A050EB">
        <w:rPr>
          <w:rFonts w:eastAsia="Arial"/>
          <w:szCs w:val="22"/>
        </w:rPr>
        <w:t xml:space="preserve"> are:</w:t>
      </w:r>
    </w:p>
    <w:p w14:paraId="2D5EC0B2" w14:textId="2C168444" w:rsidR="00A72744" w:rsidRPr="00A050EB" w:rsidRDefault="00A72744" w:rsidP="00A72744">
      <w:pPr>
        <w:pStyle w:val="ListParagraph"/>
        <w:numPr>
          <w:ilvl w:val="0"/>
          <w:numId w:val="4"/>
        </w:numPr>
        <w:rPr>
          <w:rFonts w:eastAsia="Arial"/>
          <w:szCs w:val="22"/>
        </w:rPr>
      </w:pPr>
      <w:r w:rsidRPr="00A050EB">
        <w:rPr>
          <w:rFonts w:eastAsia="Arial"/>
          <w:szCs w:val="22"/>
        </w:rPr>
        <w:t xml:space="preserve">To determine the relevance and strategic positioning of UNDP support to Fiji Access to Justice and </w:t>
      </w:r>
      <w:r w:rsidR="00707CB6" w:rsidRPr="00A050EB">
        <w:rPr>
          <w:rFonts w:eastAsia="Arial"/>
          <w:szCs w:val="22"/>
        </w:rPr>
        <w:t xml:space="preserve">assess </w:t>
      </w:r>
      <w:r w:rsidRPr="00A050EB">
        <w:rPr>
          <w:rFonts w:eastAsia="Arial"/>
          <w:szCs w:val="22"/>
        </w:rPr>
        <w:t>whether the initial assumptions remain relevant for this project;</w:t>
      </w:r>
    </w:p>
    <w:p w14:paraId="33FDDFFB" w14:textId="523D3CF1" w:rsidR="00A72744" w:rsidRPr="00A050EB" w:rsidRDefault="00707CB6" w:rsidP="00A72744">
      <w:pPr>
        <w:pStyle w:val="ListParagraph"/>
        <w:numPr>
          <w:ilvl w:val="0"/>
          <w:numId w:val="4"/>
        </w:numPr>
        <w:rPr>
          <w:rFonts w:eastAsia="Arial"/>
          <w:szCs w:val="22"/>
        </w:rPr>
      </w:pPr>
      <w:r w:rsidRPr="00A050EB">
        <w:rPr>
          <w:rFonts w:eastAsia="Arial"/>
          <w:szCs w:val="22"/>
        </w:rPr>
        <w:t>To review t</w:t>
      </w:r>
      <w:r w:rsidR="00A72744" w:rsidRPr="00A050EB">
        <w:rPr>
          <w:rFonts w:eastAsia="Arial"/>
          <w:szCs w:val="22"/>
        </w:rPr>
        <w:t xml:space="preserve">he progress to date under each output </w:t>
      </w:r>
      <w:r w:rsidRPr="00A050EB">
        <w:rPr>
          <w:rFonts w:eastAsia="Arial"/>
          <w:szCs w:val="22"/>
        </w:rPr>
        <w:t xml:space="preserve">against planned targets </w:t>
      </w:r>
      <w:r w:rsidR="001619F0" w:rsidRPr="00A050EB">
        <w:rPr>
          <w:rFonts w:eastAsia="Arial"/>
          <w:i/>
          <w:szCs w:val="22"/>
        </w:rPr>
        <w:t>in order to</w:t>
      </w:r>
      <w:r w:rsidR="001619F0" w:rsidRPr="00A050EB">
        <w:rPr>
          <w:rStyle w:val="FootnoteReference"/>
          <w:rFonts w:eastAsia="Arial"/>
          <w:i/>
          <w:szCs w:val="22"/>
        </w:rPr>
        <w:footnoteReference w:id="19"/>
      </w:r>
      <w:r w:rsidR="001619F0" w:rsidRPr="00A050EB">
        <w:rPr>
          <w:rFonts w:eastAsia="Arial"/>
          <w:i/>
          <w:szCs w:val="22"/>
        </w:rPr>
        <w:t xml:space="preserve"> </w:t>
      </w:r>
      <w:r w:rsidRPr="00A050EB">
        <w:rPr>
          <w:rFonts w:eastAsia="Arial"/>
          <w:szCs w:val="22"/>
        </w:rPr>
        <w:t xml:space="preserve">identify </w:t>
      </w:r>
      <w:r w:rsidR="00A72744" w:rsidRPr="00A050EB">
        <w:rPr>
          <w:rFonts w:eastAsia="Arial"/>
          <w:szCs w:val="22"/>
        </w:rPr>
        <w:t xml:space="preserve">lessons learned </w:t>
      </w:r>
      <w:r w:rsidRPr="00A050EB">
        <w:rPr>
          <w:rFonts w:eastAsia="Arial"/>
          <w:szCs w:val="22"/>
        </w:rPr>
        <w:t xml:space="preserve">that can inform </w:t>
      </w:r>
      <w:r w:rsidR="00A72744" w:rsidRPr="00A050EB">
        <w:rPr>
          <w:rFonts w:eastAsia="Arial"/>
          <w:szCs w:val="22"/>
        </w:rPr>
        <w:t>future UNDP support towards capacity building and service delivery in Fiji Access to Justice;</w:t>
      </w:r>
    </w:p>
    <w:p w14:paraId="5D236A7E" w14:textId="1B9852CF" w:rsidR="00A72744" w:rsidRPr="00A050EB" w:rsidRDefault="00707CB6" w:rsidP="00A72744">
      <w:pPr>
        <w:pStyle w:val="ListParagraph"/>
        <w:numPr>
          <w:ilvl w:val="0"/>
          <w:numId w:val="4"/>
        </w:numPr>
        <w:rPr>
          <w:rFonts w:eastAsia="Arial"/>
          <w:szCs w:val="22"/>
        </w:rPr>
      </w:pPr>
      <w:r w:rsidRPr="00A050EB">
        <w:rPr>
          <w:rFonts w:eastAsia="Arial"/>
          <w:szCs w:val="22"/>
        </w:rPr>
        <w:t>To review h</w:t>
      </w:r>
      <w:r w:rsidR="00A72744" w:rsidRPr="00A050EB">
        <w:rPr>
          <w:rFonts w:eastAsia="Arial"/>
          <w:szCs w:val="22"/>
        </w:rPr>
        <w:t xml:space="preserve">ow the interventions succeeded to strengthen </w:t>
      </w:r>
      <w:r w:rsidRPr="00A050EB">
        <w:rPr>
          <w:rFonts w:eastAsia="Arial"/>
          <w:szCs w:val="22"/>
        </w:rPr>
        <w:t xml:space="preserve">the </w:t>
      </w:r>
      <w:r w:rsidR="00A72744" w:rsidRPr="00A050EB">
        <w:rPr>
          <w:rFonts w:eastAsia="Arial"/>
          <w:szCs w:val="22"/>
        </w:rPr>
        <w:t>application of rights-based approach</w:t>
      </w:r>
      <w:r w:rsidRPr="00A050EB">
        <w:rPr>
          <w:rFonts w:eastAsia="Arial"/>
          <w:szCs w:val="22"/>
        </w:rPr>
        <w:t>es</w:t>
      </w:r>
      <w:r w:rsidR="00A72744" w:rsidRPr="00A050EB">
        <w:rPr>
          <w:rFonts w:eastAsia="Arial"/>
          <w:szCs w:val="22"/>
        </w:rPr>
        <w:t xml:space="preserve">, gender mainstreaming, and participation of </w:t>
      </w:r>
      <w:r w:rsidRPr="00A050EB">
        <w:rPr>
          <w:rFonts w:eastAsia="Arial"/>
          <w:szCs w:val="22"/>
        </w:rPr>
        <w:t xml:space="preserve">other </w:t>
      </w:r>
      <w:r w:rsidR="00A72744" w:rsidRPr="00A050EB">
        <w:rPr>
          <w:rFonts w:eastAsia="Arial"/>
          <w:szCs w:val="22"/>
        </w:rPr>
        <w:t>socially vulnerable groups such as children and the disabled</w:t>
      </w:r>
      <w:r w:rsidRPr="00A050EB">
        <w:rPr>
          <w:rFonts w:eastAsia="Arial"/>
          <w:szCs w:val="22"/>
        </w:rPr>
        <w:t xml:space="preserve"> amongst key project partners</w:t>
      </w:r>
      <w:r w:rsidR="00A72744" w:rsidRPr="00A050EB">
        <w:rPr>
          <w:rFonts w:eastAsia="Arial"/>
          <w:szCs w:val="22"/>
        </w:rPr>
        <w:t>;</w:t>
      </w:r>
    </w:p>
    <w:p w14:paraId="6C85E0B7" w14:textId="681678D6" w:rsidR="00A72744" w:rsidRPr="00A050EB" w:rsidRDefault="00A72744" w:rsidP="00A72744">
      <w:pPr>
        <w:pStyle w:val="ListParagraph"/>
        <w:numPr>
          <w:ilvl w:val="0"/>
          <w:numId w:val="4"/>
        </w:numPr>
        <w:rPr>
          <w:rFonts w:eastAsia="Arial"/>
          <w:szCs w:val="22"/>
        </w:rPr>
      </w:pPr>
      <w:r w:rsidRPr="00A050EB">
        <w:rPr>
          <w:rFonts w:eastAsia="Arial"/>
          <w:szCs w:val="22"/>
        </w:rPr>
        <w:t>Assess the overall contribution of the project to the state of good governance, rule of law and human rights observance in the country.</w:t>
      </w:r>
    </w:p>
    <w:p w14:paraId="04AE8A46" w14:textId="7A210063" w:rsidR="00F02FF1" w:rsidRPr="00A050EB" w:rsidRDefault="00F02FF1" w:rsidP="00F02FF1">
      <w:pPr>
        <w:rPr>
          <w:rFonts w:eastAsia="Arial"/>
        </w:rPr>
      </w:pPr>
    </w:p>
    <w:p w14:paraId="7C6FF391" w14:textId="22E91902" w:rsidR="008C5D14" w:rsidRDefault="00FD35BC" w:rsidP="00F02FF1">
      <w:pPr>
        <w:rPr>
          <w:rFonts w:eastAsia="Arial"/>
        </w:rPr>
      </w:pPr>
      <w:r w:rsidRPr="00A050EB">
        <w:rPr>
          <w:rFonts w:eastAsia="Arial"/>
        </w:rPr>
        <w:t xml:space="preserve">This mid-term evaluation is a strategic review of progress intended to support project efforts to adapt to </w:t>
      </w:r>
      <w:r w:rsidR="001619F0" w:rsidRPr="00A050EB">
        <w:rPr>
          <w:rFonts w:eastAsia="Arial"/>
        </w:rPr>
        <w:t>lessons learned. As a strategic document with clear limitations on scope and length, this review will not duplicate information contained in progress reports to date unless that information is relevant to the evaluation criteria and questions detailed below in section 2.1</w:t>
      </w:r>
      <w:r w:rsidR="008C5D14">
        <w:rPr>
          <w:rFonts w:eastAsia="Arial"/>
        </w:rPr>
        <w:t xml:space="preserve"> or </w:t>
      </w:r>
      <w:r w:rsidR="00AD3B05">
        <w:rPr>
          <w:rFonts w:eastAsia="Arial"/>
        </w:rPr>
        <w:t xml:space="preserve">is relevant to </w:t>
      </w:r>
      <w:r w:rsidR="008C5D14">
        <w:rPr>
          <w:rFonts w:eastAsia="Arial"/>
        </w:rPr>
        <w:t xml:space="preserve">further guidance received during an </w:t>
      </w:r>
      <w:proofErr w:type="spellStart"/>
      <w:r w:rsidR="008C5D14">
        <w:rPr>
          <w:rFonts w:eastAsia="Arial"/>
        </w:rPr>
        <w:t>outbrief</w:t>
      </w:r>
      <w:proofErr w:type="spellEnd"/>
      <w:r w:rsidR="008C5D14">
        <w:rPr>
          <w:rFonts w:eastAsia="Arial"/>
        </w:rPr>
        <w:t xml:space="preserve"> held with the European Union and UNDP on 7 May 2019.</w:t>
      </w:r>
      <w:r w:rsidR="008C5D14">
        <w:rPr>
          <w:rStyle w:val="FootnoteReference"/>
          <w:rFonts w:eastAsia="Arial"/>
        </w:rPr>
        <w:footnoteReference w:id="20"/>
      </w:r>
      <w:r w:rsidR="008C5D14">
        <w:rPr>
          <w:rFonts w:eastAsia="Arial"/>
        </w:rPr>
        <w:t xml:space="preserve"> </w:t>
      </w:r>
      <w:r w:rsidR="003332A6" w:rsidRPr="006B1A26">
        <w:rPr>
          <w:rFonts w:eastAsia="Arial"/>
        </w:rPr>
        <w:t xml:space="preserve">Annex </w:t>
      </w:r>
      <w:r w:rsidR="006B1A26" w:rsidRPr="006B1A26">
        <w:rPr>
          <w:rFonts w:eastAsia="Arial"/>
        </w:rPr>
        <w:t>6</w:t>
      </w:r>
      <w:r w:rsidR="003332A6">
        <w:rPr>
          <w:rFonts w:eastAsia="Arial"/>
        </w:rPr>
        <w:t xml:space="preserve"> contains a comparative table linking the M&amp;E frameworks in the Fiji Access to Justice Financing Agreement and Project Document. The two documents used different terminology to capture targets at each level of programming.</w:t>
      </w:r>
      <w:r w:rsidR="003332A6">
        <w:rPr>
          <w:rStyle w:val="FootnoteReference"/>
          <w:rFonts w:eastAsia="Arial"/>
        </w:rPr>
        <w:footnoteReference w:id="21"/>
      </w:r>
      <w:r w:rsidR="003332A6">
        <w:rPr>
          <w:rFonts w:eastAsia="Arial"/>
        </w:rPr>
        <w:t xml:space="preserve"> </w:t>
      </w:r>
    </w:p>
    <w:p w14:paraId="45F143B2" w14:textId="7D41B28D" w:rsidR="008C5D14" w:rsidRDefault="008C5D14" w:rsidP="00F02FF1">
      <w:pPr>
        <w:rPr>
          <w:rFonts w:eastAsia="Arial"/>
        </w:rPr>
      </w:pPr>
    </w:p>
    <w:p w14:paraId="5C6BC714" w14:textId="130C2636" w:rsidR="00DE577B" w:rsidRDefault="00DE577B" w:rsidP="00DE577B">
      <w:pPr>
        <w:pStyle w:val="Heading3"/>
        <w:rPr>
          <w:rFonts w:eastAsia="Arial"/>
        </w:rPr>
      </w:pPr>
      <w:bookmarkStart w:id="6" w:name="_Toc12804565"/>
      <w:r>
        <w:rPr>
          <w:rFonts w:eastAsia="Arial"/>
        </w:rPr>
        <w:t>Methodology and Scope</w:t>
      </w:r>
      <w:bookmarkEnd w:id="6"/>
      <w:r>
        <w:rPr>
          <w:rFonts w:eastAsia="Arial"/>
        </w:rPr>
        <w:t xml:space="preserve"> </w:t>
      </w:r>
    </w:p>
    <w:p w14:paraId="5422A4C8" w14:textId="77777777" w:rsidR="00DE577B" w:rsidRPr="00DE577B" w:rsidRDefault="00DE577B" w:rsidP="00DE577B">
      <w:pPr>
        <w:rPr>
          <w:rFonts w:eastAsia="Arial"/>
        </w:rPr>
      </w:pPr>
    </w:p>
    <w:p w14:paraId="5F18E23B" w14:textId="6A1AF52B" w:rsidR="00FD35BC" w:rsidRDefault="00DE577B" w:rsidP="00F02FF1">
      <w:pPr>
        <w:rPr>
          <w:rFonts w:eastAsia="Arial"/>
        </w:rPr>
      </w:pPr>
      <w:r>
        <w:rPr>
          <w:rFonts w:eastAsia="Arial"/>
        </w:rPr>
        <w:t>T</w:t>
      </w:r>
      <w:r w:rsidR="008C5D14">
        <w:rPr>
          <w:rFonts w:eastAsia="Arial"/>
        </w:rPr>
        <w:t xml:space="preserve">he </w:t>
      </w:r>
      <w:r w:rsidR="00111B37">
        <w:rPr>
          <w:rFonts w:eastAsia="Arial"/>
        </w:rPr>
        <w:t>MTE</w:t>
      </w:r>
      <w:r w:rsidR="008C5D14">
        <w:rPr>
          <w:rFonts w:eastAsia="Arial"/>
        </w:rPr>
        <w:t xml:space="preserve"> called for both </w:t>
      </w:r>
      <w:r w:rsidR="008C5D14" w:rsidRPr="00BB1500">
        <w:rPr>
          <w:rFonts w:eastAsia="Arial"/>
        </w:rPr>
        <w:t xml:space="preserve">a theory-based evaluation </w:t>
      </w:r>
      <w:r w:rsidR="008C5D14">
        <w:rPr>
          <w:rFonts w:eastAsia="Arial"/>
        </w:rPr>
        <w:t>covering delivery against the theory of change</w:t>
      </w:r>
      <w:r>
        <w:rPr>
          <w:rFonts w:eastAsia="Arial"/>
        </w:rPr>
        <w:t xml:space="preserve"> </w:t>
      </w:r>
      <w:r w:rsidR="008C5D14" w:rsidRPr="00BB1500">
        <w:rPr>
          <w:rFonts w:eastAsia="Arial"/>
        </w:rPr>
        <w:t>and a process evaluation</w:t>
      </w:r>
      <w:r w:rsidR="008C5D14">
        <w:rPr>
          <w:rFonts w:eastAsia="Arial"/>
        </w:rPr>
        <w:t xml:space="preserve"> covering aspects of delivery and management.</w:t>
      </w:r>
      <w:r w:rsidRPr="00DE577B">
        <w:rPr>
          <w:rStyle w:val="FootnoteReference"/>
          <w:rFonts w:eastAsia="Arial"/>
        </w:rPr>
        <w:t xml:space="preserve"> </w:t>
      </w:r>
      <w:r>
        <w:rPr>
          <w:rStyle w:val="FootnoteReference"/>
          <w:rFonts w:eastAsia="Arial"/>
        </w:rPr>
        <w:footnoteReference w:id="22"/>
      </w:r>
      <w:r>
        <w:rPr>
          <w:rFonts w:eastAsia="Arial"/>
        </w:rPr>
        <w:t xml:space="preserve"> </w:t>
      </w:r>
      <w:r w:rsidR="008C5D14">
        <w:rPr>
          <w:rFonts w:eastAsia="Arial"/>
        </w:rPr>
        <w:t xml:space="preserve"> </w:t>
      </w:r>
      <w:r w:rsidR="005B20F5">
        <w:rPr>
          <w:rFonts w:eastAsia="Arial"/>
        </w:rPr>
        <w:t>The evaluator developed a detailed evaluation matrix in the Inception Report</w:t>
      </w:r>
      <w:r>
        <w:rPr>
          <w:rFonts w:eastAsia="Arial"/>
        </w:rPr>
        <w:t>;</w:t>
      </w:r>
      <w:r w:rsidR="00BB3B69" w:rsidRPr="00BB3B69">
        <w:rPr>
          <w:rStyle w:val="FootnoteReference"/>
          <w:rFonts w:eastAsia="Arial"/>
        </w:rPr>
        <w:t xml:space="preserve"> </w:t>
      </w:r>
      <w:r w:rsidR="00BB3B69">
        <w:rPr>
          <w:rStyle w:val="FootnoteReference"/>
          <w:rFonts w:eastAsia="Arial"/>
        </w:rPr>
        <w:footnoteReference w:id="23"/>
      </w:r>
      <w:r w:rsidR="005B20F5">
        <w:rPr>
          <w:rFonts w:eastAsia="Arial"/>
        </w:rPr>
        <w:t xml:space="preserve"> data available to inform the completion of the matrix was used to assess progress against the criteria established in the MT</w:t>
      </w:r>
      <w:r w:rsidR="00675CB4">
        <w:rPr>
          <w:rFonts w:eastAsia="Arial"/>
        </w:rPr>
        <w:t>E</w:t>
      </w:r>
      <w:r w:rsidR="005B20F5">
        <w:rPr>
          <w:rFonts w:eastAsia="Arial"/>
        </w:rPr>
        <w:t xml:space="preserve">’s Terms of Reference, attached as Annex 1. The assessment also considers the programmatic implications of gaps in data. </w:t>
      </w:r>
      <w:r w:rsidR="0030735A">
        <w:rPr>
          <w:rFonts w:eastAsia="Arial"/>
        </w:rPr>
        <w:t>16 small group and individual interviews were conducted with 25 people between 24 April 2019 and 9 May 2019 in accordance with UN Evaluation Group guidelines.</w:t>
      </w:r>
      <w:r w:rsidR="0030735A">
        <w:rPr>
          <w:rStyle w:val="FootnoteReference"/>
          <w:rFonts w:eastAsia="Arial"/>
        </w:rPr>
        <w:footnoteReference w:id="24"/>
      </w:r>
      <w:r w:rsidR="0030735A">
        <w:rPr>
          <w:rFonts w:eastAsia="Arial"/>
        </w:rPr>
        <w:t xml:space="preserve"> Following the interviews, </w:t>
      </w:r>
      <w:r>
        <w:rPr>
          <w:rFonts w:eastAsia="Arial"/>
        </w:rPr>
        <w:t xml:space="preserve">the evaluator circulated </w:t>
      </w:r>
      <w:r w:rsidR="0030735A">
        <w:rPr>
          <w:rFonts w:eastAsia="Arial"/>
        </w:rPr>
        <w:t xml:space="preserve">minutes to </w:t>
      </w:r>
      <w:r>
        <w:rPr>
          <w:rFonts w:eastAsia="Arial"/>
        </w:rPr>
        <w:t xml:space="preserve">all </w:t>
      </w:r>
      <w:r w:rsidR="0030735A">
        <w:rPr>
          <w:rFonts w:eastAsia="Arial"/>
        </w:rPr>
        <w:t>interviewees to confirm the accuracy of notes</w:t>
      </w:r>
      <w:r>
        <w:rPr>
          <w:rFonts w:eastAsia="Arial"/>
        </w:rPr>
        <w:t xml:space="preserve">. In some cases </w:t>
      </w:r>
      <w:r w:rsidR="0030735A">
        <w:rPr>
          <w:rFonts w:eastAsia="Arial"/>
        </w:rPr>
        <w:t>discussions were continued by e-mail</w:t>
      </w:r>
      <w:r>
        <w:rPr>
          <w:rFonts w:eastAsia="Arial"/>
        </w:rPr>
        <w:t xml:space="preserve"> as indicated in relevant footnotes</w:t>
      </w:r>
      <w:r w:rsidR="0030735A">
        <w:rPr>
          <w:rFonts w:eastAsia="Arial"/>
        </w:rPr>
        <w:t xml:space="preserve">.  </w:t>
      </w:r>
    </w:p>
    <w:p w14:paraId="2CBAD340" w14:textId="16471180" w:rsidR="00D86FF0" w:rsidRDefault="00D86FF0" w:rsidP="00F02FF1">
      <w:pPr>
        <w:rPr>
          <w:rFonts w:eastAsia="Arial"/>
        </w:rPr>
      </w:pPr>
    </w:p>
    <w:p w14:paraId="7366D8E1" w14:textId="78BB5B59" w:rsidR="00F10160" w:rsidRDefault="00D86FF0" w:rsidP="00D86FF0">
      <w:pPr>
        <w:rPr>
          <w:rFonts w:eastAsia="Arial"/>
          <w:szCs w:val="22"/>
        </w:rPr>
      </w:pPr>
      <w:r w:rsidRPr="00A050EB">
        <w:rPr>
          <w:rFonts w:eastAsia="Arial"/>
          <w:szCs w:val="22"/>
        </w:rPr>
        <w:lastRenderedPageBreak/>
        <w:t xml:space="preserve">This Mid-Term Evaluation </w:t>
      </w:r>
      <w:r w:rsidR="003854EF">
        <w:rPr>
          <w:rFonts w:eastAsia="Arial"/>
          <w:szCs w:val="22"/>
        </w:rPr>
        <w:t xml:space="preserve">(MTE) </w:t>
      </w:r>
      <w:r w:rsidRPr="00A050EB">
        <w:rPr>
          <w:rFonts w:eastAsia="Arial"/>
          <w:szCs w:val="22"/>
        </w:rPr>
        <w:t xml:space="preserve">covers the period from 11 July 2016 to 31 March 2019, at which point approximately USD 4,269,116 </w:t>
      </w:r>
      <w:r w:rsidR="00675CB4">
        <w:rPr>
          <w:rFonts w:eastAsia="Arial"/>
          <w:szCs w:val="22"/>
        </w:rPr>
        <w:t xml:space="preserve">had been </w:t>
      </w:r>
      <w:r w:rsidRPr="00A050EB">
        <w:rPr>
          <w:rFonts w:eastAsia="Arial"/>
          <w:szCs w:val="22"/>
        </w:rPr>
        <w:t>expended from the project budget. Th</w:t>
      </w:r>
      <w:r w:rsidR="003854EF">
        <w:rPr>
          <w:rFonts w:eastAsia="Arial"/>
          <w:szCs w:val="22"/>
        </w:rPr>
        <w:t xml:space="preserve">e MTE </w:t>
      </w:r>
      <w:r w:rsidRPr="00A050EB">
        <w:rPr>
          <w:rFonts w:eastAsia="Arial"/>
          <w:szCs w:val="22"/>
        </w:rPr>
        <w:t xml:space="preserve">is a scheduled contribution to the project’s Monitoring and Evaluation (M&amp;E) </w:t>
      </w:r>
      <w:r w:rsidR="00675CB4" w:rsidRPr="00A050EB">
        <w:rPr>
          <w:rFonts w:eastAsia="Arial"/>
          <w:szCs w:val="22"/>
        </w:rPr>
        <w:t>plan</w:t>
      </w:r>
      <w:r w:rsidR="00675CB4">
        <w:rPr>
          <w:rFonts w:eastAsia="Arial"/>
          <w:szCs w:val="22"/>
        </w:rPr>
        <w:t xml:space="preserve"> and</w:t>
      </w:r>
      <w:r w:rsidR="008C5D14">
        <w:rPr>
          <w:rFonts w:eastAsia="Arial"/>
          <w:szCs w:val="22"/>
        </w:rPr>
        <w:t xml:space="preserve"> </w:t>
      </w:r>
      <w:r w:rsidR="00F10160">
        <w:rPr>
          <w:rFonts w:eastAsia="Arial"/>
          <w:szCs w:val="22"/>
        </w:rPr>
        <w:t>included meetings with 25 people from nine organizations in Suva and Labasa, Fiji consulted between 24 April – 9 May 2019 (</w:t>
      </w:r>
      <w:r w:rsidR="00F10160" w:rsidRPr="006B1A26">
        <w:rPr>
          <w:rFonts w:eastAsia="Arial"/>
          <w:szCs w:val="22"/>
        </w:rPr>
        <w:t xml:space="preserve">Annex </w:t>
      </w:r>
      <w:r w:rsidR="006B1A26">
        <w:rPr>
          <w:rFonts w:eastAsia="Arial"/>
          <w:szCs w:val="22"/>
        </w:rPr>
        <w:t>5</w:t>
      </w:r>
      <w:r w:rsidR="00F10160">
        <w:rPr>
          <w:rFonts w:eastAsia="Arial"/>
          <w:szCs w:val="22"/>
        </w:rPr>
        <w:t xml:space="preserve">). </w:t>
      </w:r>
    </w:p>
    <w:p w14:paraId="1C4BE6EF" w14:textId="26E723FC" w:rsidR="00AD3B05" w:rsidRDefault="00AD3B05" w:rsidP="00D86FF0">
      <w:pPr>
        <w:rPr>
          <w:rFonts w:eastAsia="Arial"/>
          <w:szCs w:val="22"/>
        </w:rPr>
      </w:pPr>
    </w:p>
    <w:p w14:paraId="0C5C4721" w14:textId="185E1E62" w:rsidR="00AD3B05" w:rsidRDefault="00AD3B05" w:rsidP="00D86FF0">
      <w:pPr>
        <w:rPr>
          <w:rFonts w:eastAsia="Arial"/>
          <w:szCs w:val="22"/>
        </w:rPr>
      </w:pPr>
      <w:r w:rsidRPr="00A050EB">
        <w:rPr>
          <w:rFonts w:eastAsia="Arial"/>
        </w:rPr>
        <w:t>The evaluability of the FA2J project is defined as the degree to which the project is justified, feasible, and likely to produc</w:t>
      </w:r>
      <w:r>
        <w:rPr>
          <w:rFonts w:eastAsia="Arial"/>
        </w:rPr>
        <w:t>e</w:t>
      </w:r>
      <w:r w:rsidRPr="00A050EB">
        <w:rPr>
          <w:rFonts w:eastAsia="Arial"/>
        </w:rPr>
        <w:t xml:space="preserve"> useful information for meaningful evaluations later. </w:t>
      </w:r>
      <w:r>
        <w:rPr>
          <w:rFonts w:eastAsia="Arial"/>
        </w:rPr>
        <w:t xml:space="preserve">The first two factors will be addressed during discussions on the </w:t>
      </w:r>
      <w:r w:rsidR="00FF60E0">
        <w:rPr>
          <w:rFonts w:eastAsia="Arial"/>
        </w:rPr>
        <w:t xml:space="preserve">mandated MTE criteria of </w:t>
      </w:r>
      <w:r>
        <w:rPr>
          <w:rFonts w:eastAsia="Arial"/>
        </w:rPr>
        <w:t xml:space="preserve">Relevance and Effectiveness. At its mid-point, several factors are undermining the projects potential for producing useful information for evaluation later. </w:t>
      </w:r>
      <w:r w:rsidR="00FF60E0">
        <w:rPr>
          <w:rFonts w:eastAsia="Arial"/>
        </w:rPr>
        <w:t xml:space="preserve">These factors are addressed during discussion on the Management criteria.  </w:t>
      </w:r>
    </w:p>
    <w:p w14:paraId="5A258C75" w14:textId="533758CB" w:rsidR="004E1E8B" w:rsidRDefault="00FF60E0" w:rsidP="00FF60E0">
      <w:pPr>
        <w:pStyle w:val="Heading1"/>
        <w:rPr>
          <w:rFonts w:eastAsia="Arial"/>
        </w:rPr>
      </w:pPr>
      <w:bookmarkStart w:id="7" w:name="_Toc12804566"/>
      <w:r>
        <w:rPr>
          <w:rFonts w:eastAsia="Arial"/>
        </w:rPr>
        <w:t xml:space="preserve">Chapter 2: </w:t>
      </w:r>
      <w:r w:rsidR="000357A0">
        <w:rPr>
          <w:rFonts w:eastAsia="Arial"/>
        </w:rPr>
        <w:t>The Development Challenge</w:t>
      </w:r>
      <w:bookmarkEnd w:id="7"/>
    </w:p>
    <w:p w14:paraId="400A40D9" w14:textId="77777777" w:rsidR="004027F2" w:rsidRPr="004027F2" w:rsidRDefault="004027F2" w:rsidP="004027F2">
      <w:pPr>
        <w:rPr>
          <w:rFonts w:eastAsia="Arial"/>
        </w:rPr>
      </w:pPr>
    </w:p>
    <w:p w14:paraId="16D42D87" w14:textId="10F79CAF" w:rsidR="004027F2" w:rsidRDefault="004027F2" w:rsidP="004027F2">
      <w:pPr>
        <w:rPr>
          <w:rFonts w:eastAsia="Arial"/>
          <w:szCs w:val="22"/>
        </w:rPr>
      </w:pPr>
      <w:r w:rsidRPr="00A050EB">
        <w:rPr>
          <w:rFonts w:eastAsia="Arial"/>
          <w:szCs w:val="22"/>
        </w:rPr>
        <w:t>The TOR provides that:</w:t>
      </w:r>
    </w:p>
    <w:p w14:paraId="06429F93" w14:textId="77777777" w:rsidR="00FF60E0" w:rsidRPr="00A050EB" w:rsidRDefault="00FF60E0" w:rsidP="004027F2">
      <w:pPr>
        <w:rPr>
          <w:rFonts w:eastAsia="Arial"/>
          <w:szCs w:val="22"/>
        </w:rPr>
      </w:pPr>
    </w:p>
    <w:p w14:paraId="64E348B7" w14:textId="77777777" w:rsidR="004027F2" w:rsidRPr="00A050EB" w:rsidRDefault="004027F2" w:rsidP="00FF60E0">
      <w:pPr>
        <w:ind w:left="576" w:right="576"/>
        <w:rPr>
          <w:rFonts w:eastAsia="Arial"/>
          <w:szCs w:val="22"/>
        </w:rPr>
      </w:pPr>
      <w:r w:rsidRPr="00A050EB">
        <w:rPr>
          <w:rFonts w:eastAsia="Arial"/>
          <w:szCs w:val="22"/>
        </w:rPr>
        <w:t>The Fiji Access to Justice Project, funded by the European Union (EU) and implemented by the United Nations Development Programme (UNDP), supports access to justice for impoverished and vulnerable groups through empowering people to access legal rights and services through the relevant key justice institutions, in conjunction with strengthening those key justice institutions to undertake improved service delivery. The project seeks to “Empower Fijians to access justice and strengthen Fijian key justice sector institutions to deliver access to justice, particularly for impoverished and vulnerable groups”. The Legal Aid Commission and the Judicial Department are the two key justice institutions entry points for access to justice, along with links to other institutions, and are being strengthened under this project.</w:t>
      </w:r>
    </w:p>
    <w:p w14:paraId="7E6988EA" w14:textId="77777777" w:rsidR="004027F2" w:rsidRPr="00A050EB" w:rsidRDefault="004027F2" w:rsidP="00FF60E0">
      <w:pPr>
        <w:ind w:left="576" w:right="576"/>
        <w:rPr>
          <w:rFonts w:eastAsia="Arial"/>
          <w:szCs w:val="22"/>
        </w:rPr>
      </w:pPr>
    </w:p>
    <w:p w14:paraId="31B6838D" w14:textId="77777777" w:rsidR="004027F2" w:rsidRPr="00A050EB" w:rsidRDefault="004027F2" w:rsidP="00FF60E0">
      <w:pPr>
        <w:ind w:left="576" w:right="576"/>
        <w:rPr>
          <w:rFonts w:eastAsia="Arial"/>
          <w:szCs w:val="22"/>
        </w:rPr>
      </w:pPr>
      <w:r w:rsidRPr="00A050EB">
        <w:rPr>
          <w:rFonts w:eastAsia="Arial"/>
          <w:szCs w:val="22"/>
        </w:rPr>
        <w:t xml:space="preserve">The development challenge that the Fiji Access to Justice Project seeks to address comprises two symbiotic components. First, the need to enhance the empowerment of impoverished and vulnerable rights holders to access legal rights and services through the relevant key justice institutions to obtain access to justice. Second, the need to strengthen key justice institution duty bearers to realize and protect legal rights and provide service delivery to impoverished and vulnerable groups to deliver access to justice.   </w:t>
      </w:r>
    </w:p>
    <w:p w14:paraId="41E18C84" w14:textId="77777777" w:rsidR="004027F2" w:rsidRPr="00A050EB" w:rsidRDefault="004027F2" w:rsidP="004027F2">
      <w:pPr>
        <w:rPr>
          <w:rFonts w:eastAsia="Arial"/>
        </w:rPr>
      </w:pPr>
    </w:p>
    <w:p w14:paraId="04D88B0F" w14:textId="77777777" w:rsidR="004027F2" w:rsidRDefault="004027F2" w:rsidP="004027F2">
      <w:pPr>
        <w:rPr>
          <w:rFonts w:eastAsia="Arial"/>
        </w:rPr>
      </w:pPr>
      <w:r w:rsidRPr="00A050EB">
        <w:rPr>
          <w:rFonts w:eastAsia="Arial"/>
        </w:rPr>
        <w:t xml:space="preserve">The project was designed and implemented following a period where Fiji diverged from international standards and norms following a military coup in 2006. </w:t>
      </w:r>
      <w:r>
        <w:rPr>
          <w:rFonts w:eastAsia="Arial"/>
        </w:rPr>
        <w:t>D</w:t>
      </w:r>
      <w:r w:rsidRPr="00A050EB">
        <w:rPr>
          <w:rFonts w:eastAsia="Arial"/>
        </w:rPr>
        <w:t xml:space="preserve">emocratic norms were re-established </w:t>
      </w:r>
      <w:r>
        <w:rPr>
          <w:rFonts w:eastAsia="Arial"/>
        </w:rPr>
        <w:t xml:space="preserve">in </w:t>
      </w:r>
      <w:r w:rsidRPr="00A050EB">
        <w:rPr>
          <w:rFonts w:eastAsia="Arial"/>
        </w:rPr>
        <w:t>2014. Leading up to the democratic elections in 2014, Fiji passed a new constitution with a renewed commitment to personal rights in 2013.</w:t>
      </w:r>
      <w:r w:rsidRPr="00A050EB">
        <w:rPr>
          <w:rStyle w:val="FootnoteReference"/>
          <w:rFonts w:eastAsia="Arial"/>
        </w:rPr>
        <w:footnoteReference w:id="25"/>
      </w:r>
      <w:r w:rsidRPr="00A050EB">
        <w:rPr>
          <w:rFonts w:eastAsia="Arial"/>
        </w:rPr>
        <w:t xml:space="preserve"> In support of further </w:t>
      </w:r>
      <w:r>
        <w:rPr>
          <w:rFonts w:eastAsia="Arial"/>
        </w:rPr>
        <w:t xml:space="preserve">progress </w:t>
      </w:r>
      <w:r w:rsidRPr="00A050EB">
        <w:rPr>
          <w:rFonts w:eastAsia="Arial"/>
        </w:rPr>
        <w:t>following the election, the European Union (EU) defined a new partnership with the Government of Fiji that included support through the European Development Fund in two main sectors: rural sustainable livelihoods; and public administration reform and governance.</w:t>
      </w:r>
      <w:r w:rsidRPr="00A050EB">
        <w:rPr>
          <w:rStyle w:val="FootnoteReference"/>
          <w:rFonts w:eastAsia="Arial"/>
        </w:rPr>
        <w:footnoteReference w:id="26"/>
      </w:r>
      <w:r w:rsidRPr="00A050EB">
        <w:rPr>
          <w:rFonts w:eastAsia="Arial"/>
        </w:rPr>
        <w:t xml:space="preserve"> This partnership, dated 2014-2020, reconnected Fiji with the broader agreements between the EU and Africa, Caribbean and Pacific (ACP) countries defined by the Cotonou Agreement, which extends through 2020.  </w:t>
      </w:r>
      <w:r>
        <w:rPr>
          <w:rFonts w:eastAsia="Arial"/>
        </w:rPr>
        <w:t>T</w:t>
      </w:r>
      <w:r w:rsidRPr="00A050EB">
        <w:rPr>
          <w:rFonts w:eastAsia="Arial"/>
        </w:rPr>
        <w:t xml:space="preserve">he EU signed a Financing Agreement with the Government of Fiji in June 2016 covering support to UNDP implementation of the Fiji Access to Justice Project with </w:t>
      </w:r>
      <w:r>
        <w:rPr>
          <w:rFonts w:eastAsia="Arial"/>
        </w:rPr>
        <w:t>a</w:t>
      </w:r>
      <w:r w:rsidRPr="00A050EB">
        <w:rPr>
          <w:rFonts w:eastAsia="Arial"/>
        </w:rPr>
        <w:t xml:space="preserve"> target of contributing to</w:t>
      </w:r>
      <w:r>
        <w:rPr>
          <w:rFonts w:eastAsia="Arial"/>
        </w:rPr>
        <w:t xml:space="preserve"> the</w:t>
      </w:r>
      <w:r w:rsidRPr="00A050EB">
        <w:rPr>
          <w:rFonts w:eastAsia="Arial"/>
        </w:rPr>
        <w:t xml:space="preserve"> “fostering of democracy, governance, and political stability.”</w:t>
      </w:r>
      <w:r w:rsidRPr="00A050EB">
        <w:rPr>
          <w:rStyle w:val="FootnoteReference"/>
          <w:rFonts w:eastAsia="Arial"/>
        </w:rPr>
        <w:footnoteReference w:id="27"/>
      </w:r>
      <w:r w:rsidRPr="00A050EB">
        <w:rPr>
          <w:rFonts w:eastAsia="Arial"/>
        </w:rPr>
        <w:t xml:space="preserve"> </w:t>
      </w:r>
    </w:p>
    <w:p w14:paraId="025B6F88" w14:textId="77777777" w:rsidR="004027F2" w:rsidRDefault="004027F2" w:rsidP="004027F2">
      <w:pPr>
        <w:rPr>
          <w:rFonts w:eastAsia="Arial"/>
        </w:rPr>
      </w:pPr>
    </w:p>
    <w:p w14:paraId="08D266E9" w14:textId="504C7497" w:rsidR="004027F2" w:rsidRDefault="004027F2" w:rsidP="004027F2">
      <w:pPr>
        <w:rPr>
          <w:rFonts w:eastAsia="Arial"/>
        </w:rPr>
      </w:pPr>
      <w:r>
        <w:rPr>
          <w:rFonts w:eastAsia="Arial"/>
        </w:rPr>
        <w:lastRenderedPageBreak/>
        <w:t>In preparation for the project, UNDP completed p</w:t>
      </w:r>
      <w:r w:rsidRPr="00DC16EE">
        <w:rPr>
          <w:rFonts w:eastAsia="Arial"/>
        </w:rPr>
        <w:t xml:space="preserve">roject </w:t>
      </w:r>
      <w:r>
        <w:rPr>
          <w:rFonts w:eastAsia="Arial"/>
        </w:rPr>
        <w:t>d</w:t>
      </w:r>
      <w:r w:rsidRPr="00DC16EE">
        <w:rPr>
          <w:rFonts w:eastAsia="Arial"/>
        </w:rPr>
        <w:t xml:space="preserve">esign </w:t>
      </w:r>
      <w:r>
        <w:rPr>
          <w:rFonts w:eastAsia="Arial"/>
        </w:rPr>
        <w:t xml:space="preserve">for the FA2J from October 2015 </w:t>
      </w:r>
      <w:r w:rsidRPr="00DC16EE">
        <w:rPr>
          <w:rFonts w:eastAsia="Arial"/>
        </w:rPr>
        <w:t>to April 2016</w:t>
      </w:r>
      <w:r>
        <w:rPr>
          <w:rFonts w:eastAsia="Arial"/>
        </w:rPr>
        <w:t>.</w:t>
      </w:r>
      <w:r>
        <w:rPr>
          <w:rStyle w:val="FootnoteReference"/>
          <w:rFonts w:eastAsia="Arial"/>
        </w:rPr>
        <w:footnoteReference w:id="28"/>
      </w:r>
      <w:r>
        <w:rPr>
          <w:rFonts w:eastAsia="Arial"/>
        </w:rPr>
        <w:t xml:space="preserve"> This process included outreach activities involving 1,490 people (51% women, 38% men, 11% children) to refine an understanding of the needs of potential </w:t>
      </w:r>
      <w:r w:rsidRPr="00DC16EE">
        <w:rPr>
          <w:rFonts w:eastAsia="Arial"/>
        </w:rPr>
        <w:t>target groups</w:t>
      </w:r>
      <w:r>
        <w:rPr>
          <w:rFonts w:eastAsia="Arial"/>
        </w:rPr>
        <w:t>; workshops to identify gaps in the capacity of the LAC, JD, and other organizations as duty bearers were held over nice days between December 2015 and April 2016.</w:t>
      </w:r>
      <w:r w:rsidRPr="00DC16EE">
        <w:rPr>
          <w:rFonts w:eastAsia="Arial"/>
        </w:rPr>
        <w:t xml:space="preserve">  </w:t>
      </w:r>
      <w:r>
        <w:rPr>
          <w:rFonts w:eastAsia="Arial"/>
        </w:rPr>
        <w:t>The theory of change developed for the FA2J was nominally based on four complementary approaches: a human rights based approach to development; a process and problem solving focussed approach; a gender based approach assessing the particular needs of women in accessing justice; and a political economy approach to change.</w:t>
      </w:r>
      <w:r>
        <w:rPr>
          <w:rStyle w:val="FootnoteReference"/>
          <w:rFonts w:eastAsia="Arial"/>
        </w:rPr>
        <w:footnoteReference w:id="29"/>
      </w:r>
      <w:r>
        <w:rPr>
          <w:rFonts w:eastAsia="Arial"/>
        </w:rPr>
        <w:t xml:space="preserve"> </w:t>
      </w:r>
      <w:r w:rsidRPr="00A050EB">
        <w:rPr>
          <w:rFonts w:eastAsia="Arial"/>
        </w:rPr>
        <w:t xml:space="preserve">UNDP and the EU agreed to </w:t>
      </w:r>
      <w:r>
        <w:rPr>
          <w:rFonts w:eastAsia="Arial"/>
        </w:rPr>
        <w:t xml:space="preserve">the </w:t>
      </w:r>
      <w:r w:rsidRPr="00A050EB">
        <w:rPr>
          <w:rFonts w:eastAsia="Arial"/>
        </w:rPr>
        <w:t xml:space="preserve">Description of Action </w:t>
      </w:r>
      <w:r>
        <w:rPr>
          <w:rFonts w:eastAsia="Arial"/>
        </w:rPr>
        <w:t xml:space="preserve">for </w:t>
      </w:r>
      <w:r w:rsidRPr="00A050EB">
        <w:rPr>
          <w:rFonts w:eastAsia="Arial"/>
        </w:rPr>
        <w:t xml:space="preserve">the Fiji Access to Justice Project in July 2016. </w:t>
      </w:r>
    </w:p>
    <w:p w14:paraId="2021A896" w14:textId="7EC4978A" w:rsidR="00430D2A" w:rsidRDefault="00430D2A" w:rsidP="004027F2">
      <w:pPr>
        <w:rPr>
          <w:rFonts w:eastAsia="Arial"/>
        </w:rPr>
      </w:pPr>
    </w:p>
    <w:p w14:paraId="56F67A93" w14:textId="7B945F75" w:rsidR="00BD010C" w:rsidRDefault="00B4359F" w:rsidP="004027F2">
      <w:pPr>
        <w:rPr>
          <w:rFonts w:eastAsia="Arial"/>
        </w:rPr>
      </w:pPr>
      <w:r>
        <w:rPr>
          <w:rFonts w:eastAsia="Arial"/>
        </w:rPr>
        <w:t>In 2015, the Legal Aid Commission (LAC) provided advisory services to 16,813 clients.</w:t>
      </w:r>
      <w:r w:rsidR="00B435A7">
        <w:rPr>
          <w:rStyle w:val="FootnoteReference"/>
          <w:rFonts w:eastAsia="Arial"/>
        </w:rPr>
        <w:footnoteReference w:id="30"/>
      </w:r>
      <w:r>
        <w:rPr>
          <w:rFonts w:eastAsia="Arial"/>
        </w:rPr>
        <w:t xml:space="preserve"> By 2018, the number of clients had increased to 26,725 for advisory services, and 1823 for “First Hour” support.</w:t>
      </w:r>
      <w:r>
        <w:rPr>
          <w:rStyle w:val="FootnoteReference"/>
          <w:rFonts w:eastAsia="Arial"/>
        </w:rPr>
        <w:footnoteReference w:id="31"/>
      </w:r>
      <w:r>
        <w:rPr>
          <w:rFonts w:eastAsia="Arial"/>
        </w:rPr>
        <w:t xml:space="preserve"> </w:t>
      </w:r>
      <w:r w:rsidR="0048539A">
        <w:rPr>
          <w:rFonts w:eastAsia="Arial"/>
        </w:rPr>
        <w:t>As of 2016, only 2% of those applying for free legal services from the LAC were declined support based on either the means (earning less than FJD 15,000) or merit tests.</w:t>
      </w:r>
      <w:r w:rsidR="0048539A">
        <w:rPr>
          <w:rStyle w:val="FootnoteReference"/>
          <w:rFonts w:eastAsia="Arial"/>
        </w:rPr>
        <w:footnoteReference w:id="32"/>
      </w:r>
      <w:r w:rsidR="006C52AD">
        <w:rPr>
          <w:rFonts w:eastAsia="Arial"/>
        </w:rPr>
        <w:t xml:space="preserve"> </w:t>
      </w:r>
    </w:p>
    <w:p w14:paraId="107817F9" w14:textId="77777777" w:rsidR="00B4359F" w:rsidRDefault="00B4359F" w:rsidP="004027F2">
      <w:pPr>
        <w:rPr>
          <w:rFonts w:eastAsia="Arial"/>
        </w:rPr>
      </w:pPr>
    </w:p>
    <w:p w14:paraId="4C257C52" w14:textId="77777777" w:rsidR="00BD010C" w:rsidRDefault="00BD010C" w:rsidP="00BD010C">
      <w:pPr>
        <w:keepNext/>
      </w:pPr>
      <w:r>
        <w:rPr>
          <w:noProof/>
        </w:rPr>
        <w:drawing>
          <wp:inline distT="0" distB="0" distL="0" distR="0" wp14:anchorId="2BAC000C" wp14:editId="0E661F1F">
            <wp:extent cx="4857750" cy="2200910"/>
            <wp:effectExtent l="0" t="0" r="0" b="8890"/>
            <wp:docPr id="7" name="Chart 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1F4522" w14:textId="77777777" w:rsidR="00BD010C" w:rsidRDefault="00BD010C" w:rsidP="00BD010C">
      <w:pPr>
        <w:pStyle w:val="Caption"/>
        <w:rPr>
          <w:rFonts w:eastAsia="Arial"/>
        </w:rPr>
      </w:pPr>
      <w:r>
        <w:rPr>
          <w:i w:val="0"/>
        </w:rPr>
        <w:t>Data provided by LAC 20 May 2019</w:t>
      </w:r>
    </w:p>
    <w:p w14:paraId="1F802A34" w14:textId="6BB011B1" w:rsidR="00430D2A" w:rsidRDefault="003574EE" w:rsidP="004027F2">
      <w:pPr>
        <w:rPr>
          <w:rFonts w:eastAsia="Arial"/>
        </w:rPr>
      </w:pPr>
      <w:r>
        <w:rPr>
          <w:rFonts w:eastAsia="Arial"/>
        </w:rPr>
        <w:t>Demands on court services have similarly expanded and evolved</w:t>
      </w:r>
      <w:r w:rsidR="00D03EC8">
        <w:rPr>
          <w:rFonts w:eastAsia="Arial"/>
        </w:rPr>
        <w:t xml:space="preserve"> in recent years.</w:t>
      </w:r>
      <w:r>
        <w:rPr>
          <w:rFonts w:eastAsia="Arial"/>
        </w:rPr>
        <w:t xml:space="preserve"> </w:t>
      </w:r>
      <w:r w:rsidR="00251D55">
        <w:rPr>
          <w:rFonts w:eastAsia="Arial"/>
        </w:rPr>
        <w:t xml:space="preserve">Fiji police reported </w:t>
      </w:r>
      <w:r>
        <w:rPr>
          <w:rFonts w:eastAsia="Arial"/>
        </w:rPr>
        <w:t xml:space="preserve">sexual attacks classified as rape or attempted rape </w:t>
      </w:r>
      <w:r w:rsidR="00251D55">
        <w:rPr>
          <w:rFonts w:eastAsia="Arial"/>
        </w:rPr>
        <w:t xml:space="preserve">declining </w:t>
      </w:r>
      <w:r>
        <w:rPr>
          <w:rFonts w:eastAsia="Arial"/>
        </w:rPr>
        <w:t>to 210 cases by 2017 from a high of 448 in 2012.</w:t>
      </w:r>
      <w:r>
        <w:rPr>
          <w:rStyle w:val="FootnoteReference"/>
          <w:rFonts w:eastAsia="Arial"/>
        </w:rPr>
        <w:footnoteReference w:id="33"/>
      </w:r>
      <w:r>
        <w:rPr>
          <w:rFonts w:eastAsia="Arial"/>
        </w:rPr>
        <w:t xml:space="preserve"> </w:t>
      </w:r>
      <w:r w:rsidR="00251D55">
        <w:rPr>
          <w:rFonts w:eastAsia="Arial"/>
        </w:rPr>
        <w:t>Cases of rape opened in Magistrates Court declined to 141 cases in 2017 down from a high of 198 in 2012.</w:t>
      </w:r>
      <w:r w:rsidR="00251D55">
        <w:rPr>
          <w:rStyle w:val="FootnoteReference"/>
          <w:rFonts w:eastAsia="Arial"/>
        </w:rPr>
        <w:footnoteReference w:id="34"/>
      </w:r>
      <w:r w:rsidR="00251D55">
        <w:rPr>
          <w:rFonts w:eastAsia="Arial"/>
        </w:rPr>
        <w:t xml:space="preserve"> While the total number of cases dropped over this period, the percentage of reported cases being brought to trial rose from around 44% in 2012 to over 67% in 2017. During the same period, concerted efforts by government and civil society actors in line with new legislation led to an 83% increase in Domestic Violence Restraining Orders (DVRO)</w:t>
      </w:r>
      <w:r w:rsidR="00B435A7">
        <w:rPr>
          <w:rFonts w:eastAsia="Arial"/>
        </w:rPr>
        <w:t xml:space="preserve"> filings in Family and Criminal Courts.</w:t>
      </w:r>
      <w:r w:rsidR="00B435A7">
        <w:rPr>
          <w:rStyle w:val="FootnoteReference"/>
          <w:rFonts w:eastAsia="Arial"/>
        </w:rPr>
        <w:footnoteReference w:id="35"/>
      </w:r>
      <w:r w:rsidR="00B435A7">
        <w:rPr>
          <w:rFonts w:eastAsia="Arial"/>
        </w:rPr>
        <w:t xml:space="preserve"> The Judicial Department has also increased support to alternative dispute mechanisms through the opening of a Mediation Centre in Suva (2015) and the provision of counselling services, </w:t>
      </w:r>
      <w:r w:rsidR="00B435A7">
        <w:rPr>
          <w:rFonts w:eastAsia="Arial"/>
        </w:rPr>
        <w:lastRenderedPageBreak/>
        <w:t xml:space="preserve">which increased from 1141 cases in 2012 to </w:t>
      </w:r>
      <w:r w:rsidR="0048539A">
        <w:rPr>
          <w:rFonts w:eastAsia="Arial"/>
        </w:rPr>
        <w:t>2070 cases in 2017.</w:t>
      </w:r>
      <w:r w:rsidR="0048539A">
        <w:rPr>
          <w:rStyle w:val="FootnoteReference"/>
          <w:rFonts w:eastAsia="Arial"/>
        </w:rPr>
        <w:footnoteReference w:id="36"/>
      </w:r>
      <w:r w:rsidR="00B435A7">
        <w:rPr>
          <w:rFonts w:eastAsia="Arial"/>
        </w:rPr>
        <w:t xml:space="preserve"> </w:t>
      </w:r>
      <w:r w:rsidR="006C52AD">
        <w:rPr>
          <w:rFonts w:eastAsia="Arial"/>
        </w:rPr>
        <w:t>By 2018 the number of Magistrate Courts had increased to 36</w:t>
      </w:r>
      <w:r w:rsidR="00A30781">
        <w:rPr>
          <w:rFonts w:eastAsia="Arial"/>
        </w:rPr>
        <w:t>, with LAC ensuring the availability of legal representation at all sittings.</w:t>
      </w:r>
      <w:r w:rsidR="00A30781">
        <w:rPr>
          <w:rStyle w:val="FootnoteReference"/>
          <w:rFonts w:eastAsia="Arial"/>
        </w:rPr>
        <w:footnoteReference w:id="37"/>
      </w:r>
    </w:p>
    <w:p w14:paraId="0FB35BB5" w14:textId="6ED1F7BB" w:rsidR="006B2A65" w:rsidRDefault="006B2A65" w:rsidP="004027F2">
      <w:pPr>
        <w:rPr>
          <w:rFonts w:eastAsia="Arial"/>
        </w:rPr>
      </w:pPr>
    </w:p>
    <w:p w14:paraId="48BA913A" w14:textId="38623C7B" w:rsidR="000357A0" w:rsidRDefault="000357A0" w:rsidP="000357A0">
      <w:pPr>
        <w:rPr>
          <w:rFonts w:eastAsia="Arial"/>
        </w:rPr>
      </w:pPr>
    </w:p>
    <w:p w14:paraId="695DAA63" w14:textId="0E81F6B6" w:rsidR="000357A0" w:rsidRDefault="000357A0" w:rsidP="007D71E9">
      <w:pPr>
        <w:pStyle w:val="Heading2"/>
        <w:ind w:left="360"/>
        <w:rPr>
          <w:rFonts w:eastAsia="Arial"/>
        </w:rPr>
      </w:pPr>
      <w:bookmarkStart w:id="8" w:name="_Toc12804567"/>
      <w:r>
        <w:rPr>
          <w:rFonts w:eastAsia="Arial"/>
        </w:rPr>
        <w:t>Government Approach to Access to Justice – National Policies and Strategies</w:t>
      </w:r>
      <w:bookmarkEnd w:id="8"/>
    </w:p>
    <w:p w14:paraId="4BD84F36" w14:textId="77777777" w:rsidR="00E732C1" w:rsidRDefault="00E732C1" w:rsidP="00CD542A">
      <w:pPr>
        <w:rPr>
          <w:rFonts w:eastAsia="Arial"/>
        </w:rPr>
      </w:pPr>
    </w:p>
    <w:p w14:paraId="3789A750" w14:textId="2C72E2CB" w:rsidR="00CD542A" w:rsidRDefault="00A525FE" w:rsidP="00CD542A">
      <w:pPr>
        <w:rPr>
          <w:rFonts w:eastAsia="Arial"/>
        </w:rPr>
      </w:pPr>
      <w:r>
        <w:rPr>
          <w:rFonts w:eastAsia="Arial"/>
        </w:rPr>
        <w:t>The FA2J was designed and implemented during a period of transition for the government of Fiji. The new constitution in 2013 and elections in 2014 created a number of expectations and opportunities, however significant challenges to the legal system remained during this period.</w:t>
      </w:r>
      <w:r>
        <w:rPr>
          <w:rStyle w:val="FootnoteReference"/>
          <w:rFonts w:eastAsia="Arial"/>
        </w:rPr>
        <w:footnoteReference w:id="38"/>
      </w:r>
      <w:r>
        <w:rPr>
          <w:rFonts w:eastAsia="Arial"/>
        </w:rPr>
        <w:t xml:space="preserve"> In November 2017, the Government of Fiji published its National Development Plan (NDP) covering both five and 20 year projections.</w:t>
      </w:r>
      <w:r>
        <w:rPr>
          <w:rStyle w:val="FootnoteReference"/>
          <w:rFonts w:eastAsia="Arial"/>
        </w:rPr>
        <w:footnoteReference w:id="39"/>
      </w:r>
      <w:r>
        <w:rPr>
          <w:rFonts w:eastAsia="Arial"/>
        </w:rPr>
        <w:t xml:space="preserve"> </w:t>
      </w:r>
      <w:r w:rsidR="007D71E9">
        <w:rPr>
          <w:rFonts w:eastAsia="Arial"/>
        </w:rPr>
        <w:t>The NDP is “aligned with global commitments including the 2030 Agenda for Sustainable Development”, and “cross-cutting issues such as climate change, … gender equality, disability and governance are mainstreamed</w:t>
      </w:r>
      <w:r w:rsidR="004F46A2">
        <w:rPr>
          <w:rFonts w:eastAsia="Arial"/>
        </w:rPr>
        <w:t>…</w:t>
      </w:r>
      <w:r w:rsidR="007D71E9">
        <w:rPr>
          <w:rFonts w:eastAsia="Arial"/>
        </w:rPr>
        <w:t xml:space="preserve">” into </w:t>
      </w:r>
      <w:r w:rsidR="00CD542A">
        <w:rPr>
          <w:rFonts w:eastAsia="Arial"/>
        </w:rPr>
        <w:t>the plan.</w:t>
      </w:r>
      <w:r w:rsidR="00CD542A">
        <w:rPr>
          <w:rStyle w:val="FootnoteReference"/>
          <w:rFonts w:eastAsia="Arial"/>
        </w:rPr>
        <w:footnoteReference w:id="40"/>
      </w:r>
      <w:r w:rsidR="00CD542A">
        <w:rPr>
          <w:rFonts w:eastAsia="Arial"/>
        </w:rPr>
        <w:t xml:space="preserve"> Within the plan for National Security and the Rule of Law, the NDP makes several commitments related to the scope of FA2J, including continued “…efforts to further improve access to justice …, [e]</w:t>
      </w:r>
      <w:proofErr w:type="spellStart"/>
      <w:r w:rsidR="00CD542A">
        <w:rPr>
          <w:rFonts w:eastAsia="Arial"/>
        </w:rPr>
        <w:t>xpanding</w:t>
      </w:r>
      <w:proofErr w:type="spellEnd"/>
      <w:r w:rsidR="00CD542A">
        <w:rPr>
          <w:rFonts w:eastAsia="Arial"/>
        </w:rPr>
        <w:t xml:space="preserve"> legal services to improve access to justice for all Fijians…,” and providing resources for “legal aid services, court sittings in rural and outer islands, and the greater decentralization of services.”</w:t>
      </w:r>
      <w:r w:rsidR="00CD542A">
        <w:rPr>
          <w:rStyle w:val="FootnoteReference"/>
          <w:rFonts w:eastAsia="Arial"/>
        </w:rPr>
        <w:footnoteReference w:id="41"/>
      </w:r>
      <w:r w:rsidR="008A08E2">
        <w:rPr>
          <w:rFonts w:eastAsia="Arial"/>
        </w:rPr>
        <w:t xml:space="preserve"> </w:t>
      </w:r>
    </w:p>
    <w:p w14:paraId="41EE2DDE" w14:textId="696268B9" w:rsidR="008A08E2" w:rsidRDefault="008A08E2" w:rsidP="00CD542A">
      <w:pPr>
        <w:rPr>
          <w:rFonts w:eastAsia="Arial"/>
        </w:rPr>
      </w:pPr>
    </w:p>
    <w:p w14:paraId="397F2C4B" w14:textId="77777777" w:rsidR="00E821C6" w:rsidRDefault="008A08E2" w:rsidP="00CD542A">
      <w:pPr>
        <w:rPr>
          <w:rFonts w:eastAsia="Arial"/>
        </w:rPr>
      </w:pPr>
      <w:r>
        <w:rPr>
          <w:rFonts w:eastAsia="Arial"/>
        </w:rPr>
        <w:t>Based on recent interviews with the Legal Aid Commission (LAC) and Judicial Department, the government has maintained respect for the independence of the two institutions while also meeting its commitments to increased support. In 2016-17, the LAC received FJD 5 million in funding, or US$ 2.87 per capita, which supported 178 employees.</w:t>
      </w:r>
      <w:r>
        <w:rPr>
          <w:rStyle w:val="FootnoteReference"/>
          <w:rFonts w:eastAsia="Arial"/>
        </w:rPr>
        <w:footnoteReference w:id="42"/>
      </w:r>
      <w:r>
        <w:rPr>
          <w:rFonts w:eastAsia="Arial"/>
        </w:rPr>
        <w:t xml:space="preserve"> </w:t>
      </w:r>
      <w:r w:rsidR="00E732C1">
        <w:rPr>
          <w:rFonts w:eastAsia="Arial"/>
        </w:rPr>
        <w:t>The LAC and Judicial Department are the focus of the eight programmes/projects delineated in the Strengthening Access to Justice component of the NDP</w:t>
      </w:r>
      <w:r w:rsidR="00E6597B">
        <w:rPr>
          <w:rFonts w:eastAsia="Arial"/>
        </w:rPr>
        <w:t>,</w:t>
      </w:r>
      <w:r w:rsidR="00E732C1">
        <w:rPr>
          <w:rStyle w:val="FootnoteReference"/>
          <w:rFonts w:eastAsia="Arial"/>
        </w:rPr>
        <w:footnoteReference w:id="43"/>
      </w:r>
      <w:r w:rsidR="00E6597B">
        <w:rPr>
          <w:rFonts w:eastAsia="Arial"/>
        </w:rPr>
        <w:t xml:space="preserve"> however executive branch elements, including the military and Fiji Police Force, receive the bulk of attention in the rule of law section. Under “Women in Development”, the NDP further commits national attention to </w:t>
      </w:r>
      <w:r w:rsidR="002C2443">
        <w:rPr>
          <w:rFonts w:eastAsia="Arial"/>
        </w:rPr>
        <w:t>“appropriately attend to gender-based violence in all its forms” with an intent to achieve 100 percent reporting of GBV crimes.</w:t>
      </w:r>
      <w:r w:rsidR="00B17194" w:rsidRPr="00B17194">
        <w:rPr>
          <w:rStyle w:val="FootnoteReference"/>
          <w:rFonts w:eastAsia="Arial"/>
        </w:rPr>
        <w:t xml:space="preserve"> </w:t>
      </w:r>
      <w:r w:rsidR="00B17194">
        <w:rPr>
          <w:rStyle w:val="FootnoteReference"/>
          <w:rFonts w:eastAsia="Arial"/>
        </w:rPr>
        <w:footnoteReference w:id="44"/>
      </w:r>
      <w:r w:rsidR="0012422F">
        <w:rPr>
          <w:rFonts w:eastAsia="Arial"/>
        </w:rPr>
        <w:t xml:space="preserve"> </w:t>
      </w:r>
    </w:p>
    <w:p w14:paraId="611A557A" w14:textId="77777777" w:rsidR="00E821C6" w:rsidRDefault="00E821C6" w:rsidP="00CD542A">
      <w:pPr>
        <w:rPr>
          <w:rFonts w:eastAsia="Arial"/>
        </w:rPr>
      </w:pPr>
    </w:p>
    <w:p w14:paraId="7F58818E" w14:textId="53ADE9B6" w:rsidR="008A08E2" w:rsidRPr="00CD542A" w:rsidRDefault="0012422F" w:rsidP="00CD542A">
      <w:pPr>
        <w:rPr>
          <w:rFonts w:eastAsia="Arial"/>
        </w:rPr>
      </w:pPr>
      <w:r>
        <w:rPr>
          <w:rFonts w:eastAsia="Arial"/>
        </w:rPr>
        <w:t xml:space="preserve">Interviews with FA2J CSO partners confirmed that the Government of Fiji is engaging actively with </w:t>
      </w:r>
      <w:r w:rsidR="00E821C6">
        <w:rPr>
          <w:rFonts w:eastAsia="Arial"/>
        </w:rPr>
        <w:t xml:space="preserve">civil society </w:t>
      </w:r>
      <w:r>
        <w:rPr>
          <w:rFonts w:eastAsia="Arial"/>
        </w:rPr>
        <w:t xml:space="preserve">partners on issues relating to FA2J, including support for victims of </w:t>
      </w:r>
      <w:r w:rsidR="00E821C6">
        <w:rPr>
          <w:rFonts w:eastAsia="Arial"/>
        </w:rPr>
        <w:t>gender based violence and people with disabilities. Several interviews noted a turning point around 2016 for the increase in support.</w:t>
      </w:r>
      <w:r w:rsidR="00E821C6">
        <w:rPr>
          <w:rStyle w:val="FootnoteReference"/>
          <w:rFonts w:eastAsia="Arial"/>
        </w:rPr>
        <w:footnoteReference w:id="45"/>
      </w:r>
    </w:p>
    <w:p w14:paraId="2910AE6A" w14:textId="77777777" w:rsidR="00FF60E0" w:rsidRPr="00FF60E0" w:rsidRDefault="00FF60E0" w:rsidP="00FF60E0">
      <w:pPr>
        <w:rPr>
          <w:rFonts w:eastAsia="Arial"/>
        </w:rPr>
      </w:pPr>
    </w:p>
    <w:p w14:paraId="47E77602" w14:textId="15A6FB47" w:rsidR="000357A0" w:rsidRDefault="000357A0" w:rsidP="000357A0">
      <w:pPr>
        <w:rPr>
          <w:rFonts w:eastAsia="Arial"/>
        </w:rPr>
      </w:pPr>
    </w:p>
    <w:p w14:paraId="42029062" w14:textId="725D8265" w:rsidR="000357A0" w:rsidRDefault="000357A0" w:rsidP="00FF60E0">
      <w:pPr>
        <w:pStyle w:val="Heading2"/>
        <w:ind w:left="360"/>
        <w:rPr>
          <w:rFonts w:eastAsia="Arial"/>
        </w:rPr>
      </w:pPr>
      <w:bookmarkStart w:id="9" w:name="_Toc12804568"/>
      <w:r>
        <w:rPr>
          <w:rFonts w:eastAsia="Arial"/>
        </w:rPr>
        <w:t xml:space="preserve">Partner Activities </w:t>
      </w:r>
      <w:r w:rsidR="00814E64">
        <w:rPr>
          <w:rFonts w:eastAsia="Arial"/>
        </w:rPr>
        <w:t>Related to Access to Justice</w:t>
      </w:r>
      <w:bookmarkEnd w:id="9"/>
    </w:p>
    <w:p w14:paraId="0860436C" w14:textId="51EBC5DB" w:rsidR="00814E64" w:rsidRDefault="00814E64" w:rsidP="00814E64">
      <w:pPr>
        <w:rPr>
          <w:rFonts w:eastAsia="Arial"/>
        </w:rPr>
      </w:pPr>
    </w:p>
    <w:p w14:paraId="54AEDC24" w14:textId="2867648D" w:rsidR="0069104D" w:rsidRDefault="00E821C6" w:rsidP="00814E64">
      <w:pPr>
        <w:rPr>
          <w:rFonts w:eastAsia="Arial"/>
        </w:rPr>
      </w:pPr>
      <w:r>
        <w:rPr>
          <w:rFonts w:eastAsia="Arial"/>
        </w:rPr>
        <w:t xml:space="preserve">As a regional hub, many international and regional agencies and CSOs are based in Fiji. For the MTE, the activities of partners that were directly associated with FA2J through grants or who were identified as active in access to justice programming during interviews were reviewed. </w:t>
      </w:r>
      <w:r w:rsidR="0069104D">
        <w:rPr>
          <w:rFonts w:eastAsia="Arial"/>
        </w:rPr>
        <w:t xml:space="preserve">All grantees reported receiving support from multiple government and international partners. </w:t>
      </w:r>
    </w:p>
    <w:p w14:paraId="21894386" w14:textId="77777777" w:rsidR="0069104D" w:rsidRPr="00814E64" w:rsidRDefault="0069104D" w:rsidP="00814E64">
      <w:pPr>
        <w:rPr>
          <w:rFonts w:eastAsia="Arial"/>
        </w:rPr>
      </w:pPr>
    </w:p>
    <w:p w14:paraId="2302F5EC" w14:textId="7EE5B2B9" w:rsidR="002C2443" w:rsidRDefault="002C2443" w:rsidP="0069104D">
      <w:pPr>
        <w:pStyle w:val="Heading3"/>
        <w:rPr>
          <w:rFonts w:eastAsia="Arial"/>
        </w:rPr>
      </w:pPr>
      <w:bookmarkStart w:id="10" w:name="_Toc12804569"/>
      <w:r>
        <w:rPr>
          <w:rFonts w:eastAsia="Arial"/>
        </w:rPr>
        <w:lastRenderedPageBreak/>
        <w:t>UN Women</w:t>
      </w:r>
      <w:bookmarkEnd w:id="10"/>
    </w:p>
    <w:p w14:paraId="35A985B9" w14:textId="77777777" w:rsidR="000B0802" w:rsidRDefault="002C2443" w:rsidP="000357A0">
      <w:pPr>
        <w:rPr>
          <w:rFonts w:eastAsia="Arial"/>
        </w:rPr>
      </w:pPr>
      <w:r>
        <w:rPr>
          <w:rFonts w:eastAsia="Arial"/>
        </w:rPr>
        <w:t>UN Women has several regional programs that touch on access to justice for women. During discussions, the Ending Violence Against Women (EVAW) Programme was highlighted as particularly relevant to the work of FA2J. EVAW focuses on “the prevention and response to violence, exploitation and abuse of women and girls in Fiji”</w:t>
      </w:r>
      <w:r>
        <w:rPr>
          <w:rStyle w:val="FootnoteReference"/>
          <w:rFonts w:eastAsia="Arial"/>
        </w:rPr>
        <w:footnoteReference w:id="46"/>
      </w:r>
      <w:r>
        <w:rPr>
          <w:rFonts w:eastAsia="Arial"/>
        </w:rPr>
        <w:t xml:space="preserve"> One aspect of this </w:t>
      </w:r>
      <w:r w:rsidR="000B0802">
        <w:rPr>
          <w:rFonts w:eastAsia="Arial"/>
        </w:rPr>
        <w:t>work is support to the Fiji Ministry of Women, Children &amp; Poverty Alleviation, which facilitates a coordination between government, civil society and other partners addressing GBV. The ministry and its partners started producing the “Fiji National Service Delivery Protocol for Responding to Cases of Gender Based Violence” in 2017.</w:t>
      </w:r>
      <w:r w:rsidR="000B0802">
        <w:rPr>
          <w:rStyle w:val="FootnoteReference"/>
          <w:rFonts w:eastAsia="Arial"/>
        </w:rPr>
        <w:footnoteReference w:id="47"/>
      </w:r>
      <w:r w:rsidR="000B0802">
        <w:rPr>
          <w:rFonts w:eastAsia="Arial"/>
        </w:rPr>
        <w:t xml:space="preserve"> UN Women chairs the UN’s Outcome 2 (Gender Equality) Committee to support agency coordination under the United Nations Pacific Strategy 2018-2022.</w:t>
      </w:r>
    </w:p>
    <w:p w14:paraId="7F285D39" w14:textId="77777777" w:rsidR="000B0802" w:rsidRDefault="000B0802" w:rsidP="000357A0">
      <w:pPr>
        <w:rPr>
          <w:rFonts w:eastAsia="Arial"/>
        </w:rPr>
      </w:pPr>
    </w:p>
    <w:p w14:paraId="4B3418CA" w14:textId="1C491176" w:rsidR="002C2443" w:rsidRDefault="000B0802" w:rsidP="000B0802">
      <w:pPr>
        <w:pStyle w:val="Heading3"/>
        <w:rPr>
          <w:rFonts w:eastAsia="Arial"/>
        </w:rPr>
      </w:pPr>
      <w:bookmarkStart w:id="11" w:name="_Toc12804570"/>
      <w:r>
        <w:rPr>
          <w:rFonts w:eastAsia="Arial"/>
        </w:rPr>
        <w:t>UNICEF</w:t>
      </w:r>
      <w:bookmarkEnd w:id="11"/>
      <w:r>
        <w:rPr>
          <w:rFonts w:eastAsia="Arial"/>
        </w:rPr>
        <w:t xml:space="preserve">  </w:t>
      </w:r>
    </w:p>
    <w:p w14:paraId="3A2F9723" w14:textId="085A2E65" w:rsidR="000B0802" w:rsidRDefault="000B0802" w:rsidP="000B0802">
      <w:pPr>
        <w:rPr>
          <w:rFonts w:eastAsia="Arial"/>
        </w:rPr>
      </w:pPr>
      <w:r>
        <w:rPr>
          <w:rFonts w:eastAsia="Arial"/>
        </w:rPr>
        <w:t>In 2018 UNICEF implemented programming to improve the protection of children’s rights in the justice system in partnership with the Judicial Department.</w:t>
      </w:r>
      <w:r>
        <w:rPr>
          <w:rStyle w:val="FootnoteReference"/>
          <w:rFonts w:eastAsia="Arial"/>
        </w:rPr>
        <w:footnoteReference w:id="48"/>
      </w:r>
      <w:r>
        <w:rPr>
          <w:rFonts w:eastAsia="Arial"/>
        </w:rPr>
        <w:t xml:space="preserve"> UNICEF</w:t>
      </w:r>
      <w:r w:rsidR="007913F8">
        <w:rPr>
          <w:rFonts w:eastAsia="Arial"/>
        </w:rPr>
        <w:t>, with funding from Australia’s Department of Foreign Affairs and Trade (DFAT),</w:t>
      </w:r>
      <w:r>
        <w:rPr>
          <w:rFonts w:eastAsia="Arial"/>
        </w:rPr>
        <w:t xml:space="preserve"> has supported training for judges and magistrates as well as court improvements</w:t>
      </w:r>
      <w:r w:rsidR="007913F8">
        <w:rPr>
          <w:rFonts w:eastAsia="Arial"/>
        </w:rPr>
        <w:t xml:space="preserve">. </w:t>
      </w:r>
      <w:r w:rsidR="00591B5A">
        <w:rPr>
          <w:rFonts w:eastAsia="Arial"/>
        </w:rPr>
        <w:t>According to MSP, UNICEF will be supplying funding to the Fiji Police Force</w:t>
      </w:r>
      <w:r w:rsidR="00782566">
        <w:rPr>
          <w:rFonts w:eastAsia="Arial"/>
        </w:rPr>
        <w:t xml:space="preserve"> (FPF) </w:t>
      </w:r>
      <w:r w:rsidR="00591B5A">
        <w:rPr>
          <w:rFonts w:eastAsia="Arial"/>
        </w:rPr>
        <w:t xml:space="preserve"> Forensics Unit for the Rape Test Kits that the police provide to MSP for the collection of evidence following an alleged attack.</w:t>
      </w:r>
      <w:r w:rsidR="00591B5A">
        <w:rPr>
          <w:rStyle w:val="FootnoteReference"/>
          <w:rFonts w:eastAsia="Arial"/>
        </w:rPr>
        <w:footnoteReference w:id="49"/>
      </w:r>
    </w:p>
    <w:p w14:paraId="38504B89" w14:textId="7B6E8A34" w:rsidR="007913F8" w:rsidRDefault="007913F8" w:rsidP="000B0802">
      <w:pPr>
        <w:rPr>
          <w:rFonts w:eastAsia="Arial"/>
        </w:rPr>
      </w:pPr>
    </w:p>
    <w:p w14:paraId="5AB8D903" w14:textId="0A6008A2" w:rsidR="007913F8" w:rsidRDefault="00814E64" w:rsidP="00814E64">
      <w:pPr>
        <w:pStyle w:val="Heading3"/>
        <w:rPr>
          <w:rFonts w:eastAsia="Arial"/>
        </w:rPr>
      </w:pPr>
      <w:bookmarkStart w:id="12" w:name="_Toc12804571"/>
      <w:r>
        <w:rPr>
          <w:rFonts w:eastAsia="Arial"/>
        </w:rPr>
        <w:t>Medical Services Pacific (MSP)</w:t>
      </w:r>
      <w:bookmarkEnd w:id="12"/>
    </w:p>
    <w:p w14:paraId="30415E75" w14:textId="7DF02862" w:rsidR="00782566" w:rsidRDefault="00814E64" w:rsidP="00814E64">
      <w:pPr>
        <w:rPr>
          <w:rFonts w:eastAsia="Arial"/>
        </w:rPr>
      </w:pPr>
      <w:r>
        <w:rPr>
          <w:rFonts w:eastAsia="Arial"/>
        </w:rPr>
        <w:t>Medical Services Pacific (MSP) was launched in Fiji in 2010</w:t>
      </w:r>
      <w:r w:rsidR="00591B5A">
        <w:rPr>
          <w:rFonts w:eastAsia="Arial"/>
        </w:rPr>
        <w:t xml:space="preserve"> “…to enable Pacific women and adolescents to have greater access to quality health care services and to build resilience in vulnerable groups…”</w:t>
      </w:r>
      <w:r w:rsidR="00591B5A">
        <w:rPr>
          <w:rStyle w:val="FootnoteReference"/>
          <w:rFonts w:eastAsia="Arial"/>
        </w:rPr>
        <w:footnoteReference w:id="50"/>
      </w:r>
      <w:r w:rsidR="00591B5A">
        <w:rPr>
          <w:rFonts w:eastAsia="Arial"/>
        </w:rPr>
        <w:t xml:space="preserve"> MSP has received funding from DFAT, UN Women, the EU and other partners covering a range of psychosocial, medical, educational, and justice initiatives. FWRM notes the advent of MSP as a turning point in the treatment of victims of GBV in Fiji as they dramatically scaled up the type and accessibility of quality health care, including </w:t>
      </w:r>
      <w:r w:rsidR="00D03EC8">
        <w:rPr>
          <w:rFonts w:eastAsia="Arial"/>
        </w:rPr>
        <w:t>Pre-Exposure Prophylaxis (</w:t>
      </w:r>
      <w:proofErr w:type="spellStart"/>
      <w:r w:rsidR="00591B5A">
        <w:rPr>
          <w:rFonts w:eastAsia="Arial"/>
        </w:rPr>
        <w:t>Pr</w:t>
      </w:r>
      <w:r w:rsidR="00D03EC8">
        <w:rPr>
          <w:rFonts w:eastAsia="Arial"/>
        </w:rPr>
        <w:t>E</w:t>
      </w:r>
      <w:r w:rsidR="00591B5A">
        <w:rPr>
          <w:rFonts w:eastAsia="Arial"/>
        </w:rPr>
        <w:t>P</w:t>
      </w:r>
      <w:proofErr w:type="spellEnd"/>
      <w:r w:rsidR="00D03EC8">
        <w:rPr>
          <w:rFonts w:eastAsia="Arial"/>
        </w:rPr>
        <w:t>)</w:t>
      </w:r>
      <w:r w:rsidR="00591B5A">
        <w:rPr>
          <w:rFonts w:eastAsia="Arial"/>
        </w:rPr>
        <w:t>, available to victims due their on-staff doctors, professional counsellors, and legal professionals.</w:t>
      </w:r>
      <w:r w:rsidR="00591B5A">
        <w:rPr>
          <w:rStyle w:val="FootnoteReference"/>
          <w:rFonts w:eastAsia="Arial"/>
        </w:rPr>
        <w:footnoteReference w:id="51"/>
      </w:r>
      <w:r w:rsidR="00591B5A">
        <w:rPr>
          <w:rFonts w:eastAsia="Arial"/>
        </w:rPr>
        <w:t xml:space="preserve"> MSP credits their scope to support from the EU around 2013 that “jumpstarted” their ability to deliver services. </w:t>
      </w:r>
      <w:r w:rsidR="00782566">
        <w:rPr>
          <w:rFonts w:eastAsia="Arial"/>
        </w:rPr>
        <w:t>MSP is the only service provider in Fiji with an MOU with the FPF to collect evidence for the Rape Test Kits, which must be processed by a doctor within a limited time window under Fiji law. MSP has worked with FWRM and others to obtain additional support for legal professionals on the prosecution and defence sides on how the evidence produced by the Rape Test Kits can be used in court in Fiji. MSP’s offices are in Suva and Labasa; they are seeking support to open additional offices. MSP’s “</w:t>
      </w:r>
      <w:r w:rsidR="00957C42">
        <w:rPr>
          <w:rFonts w:eastAsia="Arial"/>
        </w:rPr>
        <w:t xml:space="preserve">Girl </w:t>
      </w:r>
      <w:r w:rsidR="00782566">
        <w:rPr>
          <w:rFonts w:eastAsia="Arial"/>
        </w:rPr>
        <w:t>Empower</w:t>
      </w:r>
      <w:r w:rsidR="00957C42">
        <w:rPr>
          <w:rFonts w:eastAsia="Arial"/>
        </w:rPr>
        <w:t xml:space="preserve">ed” booklet targeting the sexual health of young women is endorsed by the Ministry of Education as a training resource.  </w:t>
      </w:r>
      <w:r w:rsidR="00782566">
        <w:rPr>
          <w:rFonts w:eastAsia="Arial"/>
        </w:rPr>
        <w:t xml:space="preserve"> </w:t>
      </w:r>
    </w:p>
    <w:p w14:paraId="3DF87A32" w14:textId="77777777" w:rsidR="00782566" w:rsidRDefault="00782566" w:rsidP="00814E64">
      <w:pPr>
        <w:rPr>
          <w:rFonts w:eastAsia="Arial"/>
        </w:rPr>
      </w:pPr>
    </w:p>
    <w:p w14:paraId="20A1362B" w14:textId="7E980632" w:rsidR="00814E64" w:rsidRDefault="00591B5A" w:rsidP="00814E64">
      <w:pPr>
        <w:rPr>
          <w:rFonts w:eastAsia="Arial"/>
        </w:rPr>
      </w:pPr>
      <w:r>
        <w:rPr>
          <w:rFonts w:eastAsia="Arial"/>
        </w:rPr>
        <w:t>MSP received a grant from FA2J in December 2018 to extend outreach on justice and GBV issues</w:t>
      </w:r>
      <w:r w:rsidR="00782566">
        <w:rPr>
          <w:rFonts w:eastAsia="Arial"/>
        </w:rPr>
        <w:t xml:space="preserve">. </w:t>
      </w:r>
      <w:r w:rsidR="00957C42">
        <w:rPr>
          <w:rFonts w:eastAsia="Arial"/>
        </w:rPr>
        <w:t xml:space="preserve">Initial planning for outreach materials starting April 2019. </w:t>
      </w:r>
    </w:p>
    <w:p w14:paraId="2E2116F3" w14:textId="467A250B" w:rsidR="00782566" w:rsidRDefault="00782566" w:rsidP="00814E64">
      <w:pPr>
        <w:rPr>
          <w:rFonts w:eastAsia="Arial"/>
        </w:rPr>
      </w:pPr>
    </w:p>
    <w:p w14:paraId="344B317E" w14:textId="5F0F278D" w:rsidR="00782566" w:rsidRDefault="00782566" w:rsidP="0069104D">
      <w:pPr>
        <w:pStyle w:val="Heading3"/>
        <w:rPr>
          <w:rFonts w:eastAsia="Arial"/>
        </w:rPr>
      </w:pPr>
      <w:bookmarkStart w:id="13" w:name="_Toc12804572"/>
      <w:r>
        <w:rPr>
          <w:rFonts w:eastAsia="Arial"/>
        </w:rPr>
        <w:t>Empower Pacific</w:t>
      </w:r>
      <w:bookmarkEnd w:id="13"/>
      <w:r>
        <w:rPr>
          <w:rFonts w:eastAsia="Arial"/>
        </w:rPr>
        <w:t xml:space="preserve"> </w:t>
      </w:r>
    </w:p>
    <w:p w14:paraId="48F7CAFF" w14:textId="0FA05556" w:rsidR="00782566" w:rsidRPr="00814E64" w:rsidRDefault="00782566" w:rsidP="00814E64">
      <w:pPr>
        <w:rPr>
          <w:rFonts w:eastAsia="Arial"/>
        </w:rPr>
      </w:pPr>
      <w:r>
        <w:rPr>
          <w:rFonts w:eastAsia="Arial"/>
        </w:rPr>
        <w:t>Empower Pacific (EP) maintains its focus as a service provider and works “… in partnership with government and other community agencies to ensure a holistic model of professional service”. EP has both MOUs and Memorandum of Agreement (MOA, which differ from MOU in that they allow for monetary support) with Government of Fiji bodies to provide professional counselling, social work support, training and other services.</w:t>
      </w:r>
      <w:r>
        <w:rPr>
          <w:rStyle w:val="FootnoteReference"/>
          <w:rFonts w:eastAsia="Arial"/>
        </w:rPr>
        <w:footnoteReference w:id="52"/>
      </w:r>
      <w:r>
        <w:rPr>
          <w:rFonts w:eastAsia="Arial"/>
        </w:rPr>
        <w:t xml:space="preserve"> </w:t>
      </w:r>
      <w:r w:rsidR="00957C42">
        <w:rPr>
          <w:rFonts w:eastAsia="Arial"/>
        </w:rPr>
        <w:t xml:space="preserve">EP maintains a staff of internationally qualified counsellors and social workers, as well as lawyers, trainers and volunteers at offices in Suva, Lautoka, Nadi, and </w:t>
      </w:r>
      <w:r w:rsidR="00957C42">
        <w:rPr>
          <w:rFonts w:eastAsia="Arial"/>
        </w:rPr>
        <w:lastRenderedPageBreak/>
        <w:t xml:space="preserve">Labasa. EP has satellite offices in </w:t>
      </w:r>
      <w:proofErr w:type="spellStart"/>
      <w:r w:rsidR="00957C42">
        <w:rPr>
          <w:rFonts w:eastAsia="Arial"/>
        </w:rPr>
        <w:t>Nausori</w:t>
      </w:r>
      <w:proofErr w:type="spellEnd"/>
      <w:r w:rsidR="00957C42">
        <w:rPr>
          <w:rFonts w:eastAsia="Arial"/>
        </w:rPr>
        <w:t xml:space="preserve">, </w:t>
      </w:r>
      <w:proofErr w:type="spellStart"/>
      <w:r w:rsidR="00957C42">
        <w:rPr>
          <w:rFonts w:eastAsia="Arial"/>
        </w:rPr>
        <w:t>Valelevu</w:t>
      </w:r>
      <w:proofErr w:type="spellEnd"/>
      <w:r w:rsidR="00957C42">
        <w:rPr>
          <w:rFonts w:eastAsia="Arial"/>
        </w:rPr>
        <w:t xml:space="preserve">, </w:t>
      </w:r>
      <w:proofErr w:type="spellStart"/>
      <w:r w:rsidR="00957C42">
        <w:rPr>
          <w:rFonts w:eastAsia="Arial"/>
        </w:rPr>
        <w:t>Tavua</w:t>
      </w:r>
      <w:proofErr w:type="spellEnd"/>
      <w:r w:rsidR="00957C42">
        <w:rPr>
          <w:rFonts w:eastAsia="Arial"/>
        </w:rPr>
        <w:t xml:space="preserve"> Hospital and Ba Mission Hospital. In addition to supporting victims of sexual violence, EP assists people living with HIV/AIDS, provides counselling to individuals and families, and provides other services.</w:t>
      </w:r>
      <w:r w:rsidR="00957C42">
        <w:rPr>
          <w:rStyle w:val="FootnoteReference"/>
          <w:rFonts w:eastAsia="Arial"/>
        </w:rPr>
        <w:footnoteReference w:id="53"/>
      </w:r>
    </w:p>
    <w:p w14:paraId="74408028" w14:textId="6DC8D678" w:rsidR="00814E64" w:rsidRDefault="00814E64" w:rsidP="000B0802">
      <w:pPr>
        <w:rPr>
          <w:rFonts w:eastAsia="Arial"/>
        </w:rPr>
      </w:pPr>
    </w:p>
    <w:p w14:paraId="07C835B3" w14:textId="46F98091" w:rsidR="00957C42" w:rsidRDefault="00957C42" w:rsidP="0069104D">
      <w:pPr>
        <w:pStyle w:val="Heading3"/>
        <w:rPr>
          <w:rFonts w:eastAsia="Arial"/>
        </w:rPr>
      </w:pPr>
      <w:bookmarkStart w:id="14" w:name="_Toc12804573"/>
      <w:r w:rsidRPr="00957C42">
        <w:rPr>
          <w:rFonts w:eastAsia="Arial"/>
        </w:rPr>
        <w:t>Fiji Disabled People’s Federation (FDPF)</w:t>
      </w:r>
      <w:bookmarkEnd w:id="14"/>
    </w:p>
    <w:p w14:paraId="4F27F536" w14:textId="69111F01" w:rsidR="00957C42" w:rsidRDefault="00F93DE3" w:rsidP="00957C42">
      <w:pPr>
        <w:rPr>
          <w:rFonts w:eastAsia="Arial"/>
        </w:rPr>
      </w:pPr>
      <w:r>
        <w:rPr>
          <w:rFonts w:eastAsia="Arial"/>
        </w:rPr>
        <w:t>Fiji Disabled People’s Federation is a non-profit organization representing four affiliated organizations: Spinal Injuries Association, Fiji Association of the Deaf, United Blind Persons of Fiji and Psychiatric Survivors Association. Following review of early versions of the Assessment of Access to Justice in Fiji, which identified people with disabilities as a discrete vulnerable population in need of support for access to justice, FA2J reached out to FDPF to assist with circulating the call for grant proposals in late 2018.</w:t>
      </w:r>
      <w:r>
        <w:rPr>
          <w:rStyle w:val="FootnoteReference"/>
          <w:rFonts w:eastAsia="Arial"/>
        </w:rPr>
        <w:footnoteReference w:id="54"/>
      </w:r>
      <w:r>
        <w:rPr>
          <w:rFonts w:eastAsia="Arial"/>
        </w:rPr>
        <w:t xml:space="preserve"> FDPF was awarded a grant in December 2018 supporting outreach to people with disabilities with regard to their justice needs. As of May 2019, FDPF has worked with FA2J to refine their workplan into a phased approach over two years, incorporating an initial research and engagement phase prior to the design of outreach materials. FDPF has been working with FWRM to learn from FWRM’s work with women’s access to justice issues over the past several decades.</w:t>
      </w:r>
      <w:r>
        <w:rPr>
          <w:rStyle w:val="FootnoteReference"/>
          <w:rFonts w:eastAsia="Arial"/>
        </w:rPr>
        <w:footnoteReference w:id="55"/>
      </w:r>
      <w:r>
        <w:rPr>
          <w:rFonts w:eastAsia="Arial"/>
        </w:rPr>
        <w:t xml:space="preserve"> FDPF expects to add five staff members to support the FA2J grant, and will be developing outreach materials around June of 2019. </w:t>
      </w:r>
    </w:p>
    <w:p w14:paraId="50DF5C61" w14:textId="23E7C81C" w:rsidR="00A1619C" w:rsidRDefault="00A1619C" w:rsidP="00957C42">
      <w:pPr>
        <w:rPr>
          <w:rFonts w:eastAsia="Arial"/>
        </w:rPr>
      </w:pPr>
    </w:p>
    <w:p w14:paraId="433E2561" w14:textId="57230AF2" w:rsidR="00780BF2" w:rsidRDefault="00413190" w:rsidP="008454A2">
      <w:pPr>
        <w:pStyle w:val="Heading1"/>
        <w:rPr>
          <w:rFonts w:eastAsia="Arial"/>
        </w:rPr>
      </w:pPr>
      <w:bookmarkStart w:id="15" w:name="_Toc12804574"/>
      <w:r>
        <w:rPr>
          <w:rFonts w:eastAsia="Arial"/>
        </w:rPr>
        <w:t xml:space="preserve">Chapter 3: </w:t>
      </w:r>
      <w:r w:rsidR="00D26447" w:rsidRPr="00413190">
        <w:rPr>
          <w:rFonts w:eastAsia="Arial"/>
        </w:rPr>
        <w:t>UNDP Response and Challenges</w:t>
      </w:r>
      <w:bookmarkEnd w:id="15"/>
    </w:p>
    <w:p w14:paraId="7667D4E1" w14:textId="71CA0FDD" w:rsidR="00780BF2" w:rsidRDefault="00780BF2" w:rsidP="00780BF2">
      <w:pPr>
        <w:rPr>
          <w:rFonts w:eastAsia="Arial"/>
        </w:rPr>
      </w:pPr>
    </w:p>
    <w:p w14:paraId="3017B649" w14:textId="002D8C1D" w:rsidR="00ED061C" w:rsidRDefault="00ED061C" w:rsidP="00780BF2">
      <w:pPr>
        <w:rPr>
          <w:rFonts w:eastAsia="Arial"/>
        </w:rPr>
      </w:pPr>
      <w:r>
        <w:rPr>
          <w:rFonts w:eastAsia="Arial"/>
        </w:rPr>
        <w:t xml:space="preserve">Research and interviews confirmed UNDP responses as presented in </w:t>
      </w:r>
      <w:r w:rsidR="004F46A2">
        <w:rPr>
          <w:rFonts w:eastAsia="Arial"/>
        </w:rPr>
        <w:t>the FA2J</w:t>
      </w:r>
      <w:r>
        <w:rPr>
          <w:rFonts w:eastAsia="Arial"/>
        </w:rPr>
        <w:t xml:space="preserve"> Inception Report and two Annual Reports. </w:t>
      </w:r>
      <w:r w:rsidR="006B1A26">
        <w:rPr>
          <w:rFonts w:eastAsia="Arial"/>
        </w:rPr>
        <w:t>Where relevant, and where data was available, t</w:t>
      </w:r>
      <w:r w:rsidR="007679CE">
        <w:rPr>
          <w:rFonts w:eastAsia="Arial"/>
        </w:rPr>
        <w:t xml:space="preserve">he contribution of activities </w:t>
      </w:r>
      <w:r w:rsidR="006B1A26">
        <w:rPr>
          <w:rFonts w:eastAsia="Arial"/>
        </w:rPr>
        <w:t xml:space="preserve">towards results </w:t>
      </w:r>
      <w:r w:rsidR="004F46A2">
        <w:rPr>
          <w:rFonts w:eastAsia="Arial"/>
        </w:rPr>
        <w:t>were</w:t>
      </w:r>
      <w:r w:rsidR="006B1A26">
        <w:rPr>
          <w:rFonts w:eastAsia="Arial"/>
        </w:rPr>
        <w:t xml:space="preserve"> captured in Annex 2 and Annex 6. The relationship between specific challenges and intended results has been consolidated within Chapter 4 in order to avoid duplication.</w:t>
      </w:r>
    </w:p>
    <w:p w14:paraId="063B9FAE" w14:textId="77777777" w:rsidR="00ED061C" w:rsidRDefault="00ED061C" w:rsidP="00780BF2">
      <w:pPr>
        <w:rPr>
          <w:rFonts w:eastAsia="Arial"/>
        </w:rPr>
      </w:pPr>
    </w:p>
    <w:p w14:paraId="503113CE" w14:textId="5EB3E3A8" w:rsidR="00ED061C" w:rsidRDefault="00ED061C" w:rsidP="00780BF2">
      <w:pPr>
        <w:rPr>
          <w:rFonts w:eastAsia="Arial"/>
        </w:rPr>
      </w:pPr>
      <w:r>
        <w:rPr>
          <w:rFonts w:eastAsia="Arial"/>
        </w:rPr>
        <w:t xml:space="preserve">A number of </w:t>
      </w:r>
      <w:r w:rsidR="006B1A26">
        <w:rPr>
          <w:rFonts w:eastAsia="Arial"/>
        </w:rPr>
        <w:t xml:space="preserve">general </w:t>
      </w:r>
      <w:r>
        <w:rPr>
          <w:rFonts w:eastAsia="Arial"/>
        </w:rPr>
        <w:t>challenges affected implementation during the review period:</w:t>
      </w:r>
    </w:p>
    <w:p w14:paraId="558F2155" w14:textId="6EFE95F7" w:rsidR="00ED061C" w:rsidRDefault="00ED061C" w:rsidP="00780BF2">
      <w:pPr>
        <w:rPr>
          <w:rFonts w:eastAsia="Arial"/>
        </w:rPr>
      </w:pPr>
    </w:p>
    <w:p w14:paraId="37CC07A3" w14:textId="357BFD91" w:rsidR="00ED061C" w:rsidRDefault="00ED061C" w:rsidP="00ED061C">
      <w:pPr>
        <w:pStyle w:val="ListParagraph"/>
        <w:numPr>
          <w:ilvl w:val="0"/>
          <w:numId w:val="18"/>
        </w:numPr>
        <w:rPr>
          <w:rFonts w:eastAsia="Arial"/>
        </w:rPr>
      </w:pPr>
      <w:r>
        <w:rPr>
          <w:rFonts w:eastAsia="Arial"/>
        </w:rPr>
        <w:t>Cyclones in 2016 and, to a lesser extent, in 2018 impacted on FA2J</w:t>
      </w:r>
      <w:r w:rsidR="006B1A26">
        <w:rPr>
          <w:rFonts w:eastAsia="Arial"/>
        </w:rPr>
        <w:t>’</w:t>
      </w:r>
      <w:r>
        <w:rPr>
          <w:rFonts w:eastAsia="Arial"/>
        </w:rPr>
        <w:t>s ability to engage with target populations, particularly in rural areas</w:t>
      </w:r>
      <w:r w:rsidR="006B1A26">
        <w:rPr>
          <w:rFonts w:eastAsia="Arial"/>
        </w:rPr>
        <w:t xml:space="preserve"> where affected target populations required extended periods to recover essential services prior to engagement with FA2J activities. The cyclones highlight the </w:t>
      </w:r>
      <w:r w:rsidR="004F46A2">
        <w:rPr>
          <w:rFonts w:eastAsia="Arial"/>
        </w:rPr>
        <w:t xml:space="preserve">potential </w:t>
      </w:r>
      <w:r w:rsidR="006B1A26">
        <w:rPr>
          <w:rFonts w:eastAsia="Arial"/>
        </w:rPr>
        <w:t>role of climate change in exacerbating or creating vulnerable populations in Fiji</w:t>
      </w:r>
      <w:r w:rsidR="004F46A2">
        <w:rPr>
          <w:rFonts w:eastAsia="Arial"/>
        </w:rPr>
        <w:t xml:space="preserve">; this issue has not been directly explored to date, however the anticipated flow of data from case management systems expected in 2019 will inform partner engagement with FA2J and </w:t>
      </w:r>
      <w:r w:rsidR="004A0C45">
        <w:rPr>
          <w:rFonts w:eastAsia="Arial"/>
        </w:rPr>
        <w:t>other partners</w:t>
      </w:r>
      <w:r w:rsidR="004F46A2">
        <w:rPr>
          <w:rFonts w:eastAsia="Arial"/>
        </w:rPr>
        <w:t>.</w:t>
      </w:r>
    </w:p>
    <w:p w14:paraId="2A03F957" w14:textId="77777777" w:rsidR="00ED061C" w:rsidRDefault="00ED061C" w:rsidP="00ED061C">
      <w:pPr>
        <w:pStyle w:val="ListParagraph"/>
        <w:rPr>
          <w:rFonts w:eastAsia="Arial"/>
        </w:rPr>
      </w:pPr>
    </w:p>
    <w:p w14:paraId="40B3DEE6" w14:textId="7EECD56F" w:rsidR="00ED061C" w:rsidRDefault="00ED061C" w:rsidP="00780BF2">
      <w:pPr>
        <w:pStyle w:val="ListParagraph"/>
        <w:numPr>
          <w:ilvl w:val="0"/>
          <w:numId w:val="18"/>
        </w:numPr>
        <w:rPr>
          <w:rFonts w:eastAsia="Arial"/>
        </w:rPr>
      </w:pPr>
      <w:r>
        <w:rPr>
          <w:rFonts w:eastAsia="Arial"/>
        </w:rPr>
        <w:t xml:space="preserve">Elections in 2018 disrupted partner availability and the planning of key activities pending the confirmation of the date for the elections in November. </w:t>
      </w:r>
    </w:p>
    <w:p w14:paraId="38E985E5" w14:textId="69C3DC72" w:rsidR="00D26447" w:rsidRPr="00D26447" w:rsidRDefault="00D26447" w:rsidP="000357A0">
      <w:pPr>
        <w:rPr>
          <w:rFonts w:asciiTheme="majorHAnsi" w:eastAsia="Arial" w:hAnsiTheme="majorHAnsi" w:cstheme="majorBidi"/>
          <w:color w:val="2F5496" w:themeColor="accent1" w:themeShade="BF"/>
          <w:sz w:val="32"/>
          <w:szCs w:val="32"/>
        </w:rPr>
      </w:pPr>
    </w:p>
    <w:p w14:paraId="4D568DFE" w14:textId="5B9D6FC4" w:rsidR="00D26447" w:rsidRPr="00413190" w:rsidRDefault="00413190" w:rsidP="008454A2">
      <w:pPr>
        <w:pStyle w:val="Heading1"/>
        <w:rPr>
          <w:rFonts w:eastAsia="Arial"/>
        </w:rPr>
      </w:pPr>
      <w:bookmarkStart w:id="16" w:name="_Toc12804575"/>
      <w:r>
        <w:rPr>
          <w:rFonts w:eastAsia="Arial"/>
        </w:rPr>
        <w:t xml:space="preserve">Chapter 4: </w:t>
      </w:r>
      <w:r w:rsidR="00D26447" w:rsidRPr="00413190">
        <w:rPr>
          <w:rFonts w:eastAsia="Arial"/>
        </w:rPr>
        <w:t>Contribution to Results</w:t>
      </w:r>
      <w:bookmarkEnd w:id="16"/>
    </w:p>
    <w:p w14:paraId="14487E44" w14:textId="3C20A29D" w:rsidR="00D26447" w:rsidRPr="00D26447" w:rsidRDefault="00D26447" w:rsidP="000357A0">
      <w:pPr>
        <w:rPr>
          <w:rFonts w:asciiTheme="majorHAnsi" w:eastAsia="Arial" w:hAnsiTheme="majorHAnsi" w:cstheme="majorBidi"/>
          <w:color w:val="2F5496" w:themeColor="accent1" w:themeShade="BF"/>
          <w:sz w:val="32"/>
          <w:szCs w:val="32"/>
        </w:rPr>
      </w:pPr>
    </w:p>
    <w:p w14:paraId="430FCFB5" w14:textId="77777777" w:rsidR="00413190" w:rsidRPr="00A050EB" w:rsidRDefault="00413190" w:rsidP="00413190">
      <w:pPr>
        <w:pStyle w:val="Heading2"/>
        <w:ind w:left="360"/>
        <w:rPr>
          <w:rFonts w:eastAsia="Arial"/>
        </w:rPr>
      </w:pPr>
      <w:bookmarkStart w:id="17" w:name="_Toc12804576"/>
      <w:r w:rsidRPr="00A050EB">
        <w:rPr>
          <w:rFonts w:eastAsia="Arial"/>
        </w:rPr>
        <w:t>Evaluation Criteria and questions</w:t>
      </w:r>
      <w:bookmarkEnd w:id="17"/>
    </w:p>
    <w:p w14:paraId="03E4B946" w14:textId="77777777" w:rsidR="004F46A2" w:rsidRDefault="004F46A2" w:rsidP="00413190">
      <w:pPr>
        <w:rPr>
          <w:rFonts w:eastAsia="Arial"/>
        </w:rPr>
      </w:pPr>
    </w:p>
    <w:p w14:paraId="50A02AF2" w14:textId="5F0CAA0E" w:rsidR="00413190" w:rsidRPr="00A050EB" w:rsidRDefault="00413190" w:rsidP="00413190">
      <w:pPr>
        <w:rPr>
          <w:rFonts w:eastAsia="Arial"/>
        </w:rPr>
      </w:pPr>
      <w:r w:rsidRPr="00A050EB">
        <w:rPr>
          <w:rFonts w:eastAsia="Arial"/>
        </w:rPr>
        <w:t xml:space="preserve">The TOR establishes a broad framework of six anchor evaluation criteria: </w:t>
      </w:r>
      <w:r w:rsidRPr="00A050EB">
        <w:rPr>
          <w:rFonts w:eastAsia="Arial"/>
          <w:b/>
        </w:rPr>
        <w:t>relevance</w:t>
      </w:r>
      <w:r w:rsidRPr="00A050EB">
        <w:rPr>
          <w:rFonts w:eastAsia="Arial"/>
        </w:rPr>
        <w:t xml:space="preserve">, </w:t>
      </w:r>
      <w:r w:rsidRPr="00A050EB">
        <w:rPr>
          <w:rFonts w:eastAsia="Arial"/>
          <w:b/>
        </w:rPr>
        <w:t>effectiveness</w:t>
      </w:r>
      <w:r w:rsidRPr="00A050EB">
        <w:rPr>
          <w:rFonts w:eastAsia="Arial"/>
        </w:rPr>
        <w:t xml:space="preserve">, </w:t>
      </w:r>
      <w:r w:rsidRPr="00A050EB">
        <w:rPr>
          <w:rFonts w:eastAsia="Arial"/>
          <w:b/>
        </w:rPr>
        <w:t>efficiency</w:t>
      </w:r>
      <w:r w:rsidRPr="00A050EB">
        <w:rPr>
          <w:rFonts w:eastAsia="Arial"/>
        </w:rPr>
        <w:t xml:space="preserve">, </w:t>
      </w:r>
      <w:r w:rsidRPr="00A050EB">
        <w:rPr>
          <w:rFonts w:eastAsia="Arial"/>
          <w:b/>
        </w:rPr>
        <w:t>sustainability, partnership strategy</w:t>
      </w:r>
      <w:r w:rsidRPr="00A050EB">
        <w:rPr>
          <w:rFonts w:eastAsia="Arial"/>
        </w:rPr>
        <w:t xml:space="preserve">, and </w:t>
      </w:r>
      <w:r w:rsidRPr="00A050EB">
        <w:rPr>
          <w:rFonts w:eastAsia="Arial"/>
          <w:b/>
        </w:rPr>
        <w:t>impact</w:t>
      </w:r>
      <w:r w:rsidRPr="00A050EB">
        <w:rPr>
          <w:rFonts w:eastAsia="Arial"/>
        </w:rPr>
        <w:t xml:space="preserve">. Two additional dimensions that cut across these anchor considerations, </w:t>
      </w:r>
      <w:r w:rsidRPr="00A050EB">
        <w:rPr>
          <w:rFonts w:eastAsia="Arial"/>
          <w:b/>
        </w:rPr>
        <w:t>gender</w:t>
      </w:r>
      <w:r w:rsidRPr="00A050EB">
        <w:rPr>
          <w:rFonts w:eastAsia="Arial"/>
        </w:rPr>
        <w:t xml:space="preserve"> and </w:t>
      </w:r>
      <w:r w:rsidRPr="00A050EB">
        <w:rPr>
          <w:rFonts w:eastAsia="Arial"/>
          <w:b/>
        </w:rPr>
        <w:t>social inclusion</w:t>
      </w:r>
      <w:r w:rsidRPr="00A050EB">
        <w:rPr>
          <w:rFonts w:eastAsia="Arial"/>
        </w:rPr>
        <w:t xml:space="preserve">, will be </w:t>
      </w:r>
      <w:r>
        <w:rPr>
          <w:rFonts w:eastAsia="Arial"/>
        </w:rPr>
        <w:t xml:space="preserve">also be </w:t>
      </w:r>
      <w:r w:rsidRPr="00A050EB">
        <w:rPr>
          <w:rFonts w:eastAsia="Arial"/>
        </w:rPr>
        <w:t>assessed</w:t>
      </w:r>
      <w:r>
        <w:rPr>
          <w:rFonts w:eastAsia="Arial"/>
        </w:rPr>
        <w:t xml:space="preserve">. The criteria and related questions are expanded further in the Evaluation Matrix in </w:t>
      </w:r>
      <w:r w:rsidRPr="004F46A2">
        <w:rPr>
          <w:rFonts w:eastAsia="Arial"/>
        </w:rPr>
        <w:t>Annex 2.</w:t>
      </w:r>
      <w:r>
        <w:rPr>
          <w:rFonts w:eastAsia="Arial"/>
        </w:rPr>
        <w:t xml:space="preserve"> </w:t>
      </w:r>
    </w:p>
    <w:p w14:paraId="24DDF61C" w14:textId="77777777" w:rsidR="00413190" w:rsidRPr="00A050EB" w:rsidRDefault="00413190" w:rsidP="00413190">
      <w:pPr>
        <w:rPr>
          <w:rFonts w:eastAsia="Arial"/>
        </w:rPr>
      </w:pPr>
    </w:p>
    <w:p w14:paraId="72375CAC" w14:textId="48DFCAB5" w:rsidR="00413190" w:rsidRPr="00A050EB" w:rsidRDefault="00816A4F" w:rsidP="00413190">
      <w:pPr>
        <w:pStyle w:val="Heading3"/>
        <w:ind w:left="720"/>
        <w:rPr>
          <w:rFonts w:eastAsia="Arial"/>
        </w:rPr>
      </w:pPr>
      <w:bookmarkStart w:id="18" w:name="_Toc12804577"/>
      <w:r>
        <w:rPr>
          <w:rFonts w:eastAsia="Arial"/>
        </w:rPr>
        <w:t xml:space="preserve">1. </w:t>
      </w:r>
      <w:r w:rsidR="00413190" w:rsidRPr="00A050EB">
        <w:rPr>
          <w:rFonts w:eastAsia="Arial"/>
        </w:rPr>
        <w:t>Relevance</w:t>
      </w:r>
      <w:bookmarkEnd w:id="18"/>
      <w:r w:rsidR="00413190" w:rsidRPr="00A050EB">
        <w:rPr>
          <w:rFonts w:eastAsia="Arial"/>
        </w:rPr>
        <w:tab/>
      </w:r>
    </w:p>
    <w:p w14:paraId="50EB1DC8" w14:textId="29FF7D33" w:rsidR="00413190" w:rsidRPr="004B2432" w:rsidRDefault="00413190" w:rsidP="00413190">
      <w:pPr>
        <w:rPr>
          <w:rFonts w:eastAsia="Arial"/>
          <w:b/>
        </w:rPr>
      </w:pPr>
      <w:r w:rsidRPr="004B2432">
        <w:rPr>
          <w:rFonts w:eastAsia="Arial"/>
          <w:b/>
        </w:rPr>
        <w:t xml:space="preserve">To what extent is UNDP’s engagement in Access to Justice a reflection of strategic considerations, including UNDP’s role in the particular development context in Fiji and its comparative advantage vis-à-vis other partners? </w:t>
      </w:r>
    </w:p>
    <w:p w14:paraId="4672C86F" w14:textId="3E3ADAE1" w:rsidR="00413190" w:rsidRDefault="00413190" w:rsidP="00413190">
      <w:pPr>
        <w:rPr>
          <w:rFonts w:eastAsia="Arial"/>
        </w:rPr>
      </w:pPr>
    </w:p>
    <w:p w14:paraId="72EBB0EB" w14:textId="655D2C53" w:rsidR="001B49E9" w:rsidRDefault="001B49E9" w:rsidP="00413190">
      <w:pPr>
        <w:rPr>
          <w:rFonts w:eastAsia="Arial"/>
        </w:rPr>
      </w:pPr>
      <w:r>
        <w:rPr>
          <w:rFonts w:eastAsia="Arial"/>
        </w:rPr>
        <w:t>Partners interviewed confirmed initial assessments on the relevance of work on access to justice in Fiji</w:t>
      </w:r>
      <w:r w:rsidR="00DD037E">
        <w:rPr>
          <w:rFonts w:eastAsia="Arial"/>
        </w:rPr>
        <w:t>. FWRM noted that even with support women affected by violence require an average of 2.5 years and 6 contacts with the justice system to achieve justice.</w:t>
      </w:r>
      <w:r w:rsidR="00DD037E">
        <w:rPr>
          <w:rStyle w:val="FootnoteReference"/>
          <w:rFonts w:eastAsia="Arial"/>
        </w:rPr>
        <w:footnoteReference w:id="56"/>
      </w:r>
      <w:r w:rsidR="00DD037E">
        <w:rPr>
          <w:rFonts w:eastAsia="Arial"/>
        </w:rPr>
        <w:t xml:space="preserve">  In line with the Assessment of Access to Justice in Fiji draft report, FDPF highlighted that people with disabilities did not receive “participant” status in discussions with government until 2016; those discussions did not include issues relating to justice until FDPF </w:t>
      </w:r>
      <w:r w:rsidR="00C875F4">
        <w:rPr>
          <w:rFonts w:eastAsia="Arial"/>
        </w:rPr>
        <w:t xml:space="preserve">successfully advocated for </w:t>
      </w:r>
      <w:r w:rsidR="00DD037E">
        <w:rPr>
          <w:rFonts w:eastAsia="Arial"/>
        </w:rPr>
        <w:t xml:space="preserve">to </w:t>
      </w:r>
      <w:r w:rsidR="00C875F4">
        <w:rPr>
          <w:rFonts w:eastAsia="Arial"/>
        </w:rPr>
        <w:t xml:space="preserve">a </w:t>
      </w:r>
      <w:r w:rsidR="00DD037E">
        <w:rPr>
          <w:rFonts w:eastAsia="Arial"/>
        </w:rPr>
        <w:t xml:space="preserve">conference </w:t>
      </w:r>
      <w:r w:rsidR="00C875F4">
        <w:rPr>
          <w:rFonts w:eastAsia="Arial"/>
        </w:rPr>
        <w:t xml:space="preserve">sponsored by the Attorney General </w:t>
      </w:r>
      <w:r w:rsidR="00DD037E">
        <w:rPr>
          <w:rFonts w:eastAsia="Arial"/>
        </w:rPr>
        <w:t>in 2018.</w:t>
      </w:r>
      <w:r w:rsidR="00DD037E">
        <w:rPr>
          <w:rStyle w:val="FootnoteReference"/>
          <w:rFonts w:eastAsia="Arial"/>
        </w:rPr>
        <w:footnoteReference w:id="57"/>
      </w:r>
      <w:r w:rsidR="00DD037E">
        <w:rPr>
          <w:rFonts w:eastAsia="Arial"/>
        </w:rPr>
        <w:t xml:space="preserve"> Initial research by FDPF in furtherance of their grant with FA2J</w:t>
      </w:r>
      <w:r w:rsidR="00C875F4">
        <w:rPr>
          <w:rFonts w:eastAsia="Arial"/>
        </w:rPr>
        <w:t xml:space="preserve"> </w:t>
      </w:r>
      <w:r w:rsidR="00DD037E">
        <w:rPr>
          <w:rFonts w:eastAsia="Arial"/>
        </w:rPr>
        <w:t>indicates that people with disabilities are facing challenges similar to other victims of violence in Fiji. However</w:t>
      </w:r>
      <w:r w:rsidR="004B53D3">
        <w:rPr>
          <w:rFonts w:eastAsia="Arial"/>
        </w:rPr>
        <w:t>,</w:t>
      </w:r>
      <w:r w:rsidR="00DD037E">
        <w:rPr>
          <w:rFonts w:eastAsia="Arial"/>
        </w:rPr>
        <w:t xml:space="preserve"> people with disabilities also have to address physical or mental barriers to understanding and accessing their rights along with other </w:t>
      </w:r>
      <w:r w:rsidR="004B53D3">
        <w:rPr>
          <w:rFonts w:eastAsia="Arial"/>
        </w:rPr>
        <w:t xml:space="preserve">considerations </w:t>
      </w:r>
      <w:r w:rsidR="00DD037E">
        <w:rPr>
          <w:rFonts w:eastAsia="Arial"/>
        </w:rPr>
        <w:t>such as gender, sexual orientation, poverty or geographic isolation facing other vulnerable populations.</w:t>
      </w:r>
      <w:r w:rsidR="00DD037E">
        <w:rPr>
          <w:rStyle w:val="FootnoteReference"/>
          <w:rFonts w:eastAsia="Arial"/>
        </w:rPr>
        <w:footnoteReference w:id="58"/>
      </w:r>
      <w:r w:rsidR="00DD037E">
        <w:rPr>
          <w:rFonts w:eastAsia="Arial"/>
        </w:rPr>
        <w:t xml:space="preserve"> </w:t>
      </w:r>
    </w:p>
    <w:p w14:paraId="46EFF320" w14:textId="7E4EF561" w:rsidR="00DD037E" w:rsidRDefault="00DD037E" w:rsidP="00413190">
      <w:pPr>
        <w:rPr>
          <w:rFonts w:eastAsia="Arial"/>
        </w:rPr>
      </w:pPr>
    </w:p>
    <w:p w14:paraId="36287383" w14:textId="137BAF01" w:rsidR="00DD037E" w:rsidRDefault="00DD037E" w:rsidP="00413190">
      <w:pPr>
        <w:rPr>
          <w:rFonts w:eastAsia="Arial"/>
        </w:rPr>
      </w:pPr>
      <w:r>
        <w:rPr>
          <w:rFonts w:eastAsia="Arial"/>
        </w:rPr>
        <w:t xml:space="preserve">Several interviewees noted that government support appeared to increase in 2016 and has remained consistent to date. The </w:t>
      </w:r>
      <w:r w:rsidR="001966E3">
        <w:rPr>
          <w:rFonts w:eastAsia="Arial"/>
        </w:rPr>
        <w:t>needs identified by interviewees, as expanded in external reports such as FWRM’s Balancing the Scales, are better understood and government agencies are better resourced than they were in 201</w:t>
      </w:r>
      <w:r w:rsidR="00B27D05">
        <w:rPr>
          <w:rFonts w:eastAsia="Arial"/>
        </w:rPr>
        <w:t>5-2016</w:t>
      </w:r>
      <w:r w:rsidR="001966E3">
        <w:rPr>
          <w:rFonts w:eastAsia="Arial"/>
        </w:rPr>
        <w:t xml:space="preserve"> when FA2J was designed. However, as access to information and services has grown through the expansion of LAC, CSO outreach efforts, and other service providers, the number of cases “gets greater and greater.”</w:t>
      </w:r>
      <w:r w:rsidR="001966E3">
        <w:rPr>
          <w:rStyle w:val="FootnoteReference"/>
          <w:rFonts w:eastAsia="Arial"/>
        </w:rPr>
        <w:footnoteReference w:id="59"/>
      </w:r>
      <w:r w:rsidR="001966E3">
        <w:rPr>
          <w:rFonts w:eastAsia="Arial"/>
        </w:rPr>
        <w:t xml:space="preserve"> This pattern suggests that the work to date has successfully released latent need and given formerly silent populations hope that the formal system can effectively address their needs. </w:t>
      </w:r>
    </w:p>
    <w:p w14:paraId="57A1D8EF" w14:textId="770C2C7A" w:rsidR="00723F1C" w:rsidRDefault="00723F1C" w:rsidP="00413190">
      <w:pPr>
        <w:rPr>
          <w:rFonts w:eastAsia="Arial"/>
        </w:rPr>
      </w:pPr>
    </w:p>
    <w:p w14:paraId="62909C5C" w14:textId="77777777" w:rsidR="00430D2A" w:rsidRDefault="001966E3" w:rsidP="00413190">
      <w:pPr>
        <w:rPr>
          <w:rFonts w:eastAsia="Arial"/>
        </w:rPr>
      </w:pPr>
      <w:r w:rsidRPr="00C875F4">
        <w:rPr>
          <w:rFonts w:eastAsia="Arial"/>
        </w:rPr>
        <w:t>At the same</w:t>
      </w:r>
      <w:r>
        <w:rPr>
          <w:rFonts w:eastAsia="Arial"/>
        </w:rPr>
        <w:t xml:space="preserve"> time, the capacity of government services is facing growing pains. The rapid increase of staff and geographic scope of services for partners such as LAC has largely been done using systems that evolved </w:t>
      </w:r>
      <w:r w:rsidR="00723F1C">
        <w:rPr>
          <w:rFonts w:eastAsia="Arial"/>
        </w:rPr>
        <w:t>when organizations were smaller</w:t>
      </w:r>
      <w:r>
        <w:rPr>
          <w:rFonts w:eastAsia="Arial"/>
        </w:rPr>
        <w:t>.</w:t>
      </w:r>
      <w:r w:rsidR="00723F1C">
        <w:rPr>
          <w:rFonts w:eastAsia="Arial"/>
        </w:rPr>
        <w:t xml:space="preserve"> </w:t>
      </w:r>
      <w:r w:rsidR="00B27D05">
        <w:rPr>
          <w:rFonts w:eastAsia="Arial"/>
        </w:rPr>
        <w:t xml:space="preserve">This success of this approach to date is attributed to the efforts of highly dedicated individuals working in a supportive fiscal and policy environment. </w:t>
      </w:r>
      <w:r w:rsidR="00723F1C">
        <w:rPr>
          <w:rFonts w:eastAsia="Arial"/>
        </w:rPr>
        <w:t>The FA2J Project Document recognize</w:t>
      </w:r>
      <w:r w:rsidR="00430D2A">
        <w:rPr>
          <w:rFonts w:eastAsia="Arial"/>
        </w:rPr>
        <w:t>d</w:t>
      </w:r>
      <w:r w:rsidR="00723F1C">
        <w:rPr>
          <w:rFonts w:eastAsia="Arial"/>
        </w:rPr>
        <w:t xml:space="preserve"> th</w:t>
      </w:r>
      <w:r w:rsidR="00B27D05">
        <w:rPr>
          <w:rFonts w:eastAsia="Arial"/>
        </w:rPr>
        <w:t xml:space="preserve">e </w:t>
      </w:r>
      <w:r w:rsidR="00430D2A">
        <w:rPr>
          <w:rFonts w:eastAsia="Arial"/>
        </w:rPr>
        <w:t xml:space="preserve">need for </w:t>
      </w:r>
      <w:r w:rsidR="00B27D05">
        <w:rPr>
          <w:rFonts w:eastAsia="Arial"/>
        </w:rPr>
        <w:t xml:space="preserve">increasing the institutional strength of </w:t>
      </w:r>
      <w:r w:rsidR="00723F1C">
        <w:rPr>
          <w:rFonts w:eastAsia="Arial"/>
        </w:rPr>
        <w:t xml:space="preserve">key duty bearers by targeting strategic planning, reporting, and administrative systems in Output 1 and Output 2. The LAC noted that FA2J’s assistance in developing its draft Strategic Plan, which was being revised to accommodate a longer time frame as of the MTE, as </w:t>
      </w:r>
      <w:r w:rsidR="009D47BE">
        <w:rPr>
          <w:rFonts w:eastAsia="Arial"/>
        </w:rPr>
        <w:t>the most important contribution of FA2J to its work to date.</w:t>
      </w:r>
      <w:r w:rsidR="009D47BE">
        <w:rPr>
          <w:rStyle w:val="FootnoteReference"/>
          <w:rFonts w:eastAsia="Arial"/>
        </w:rPr>
        <w:footnoteReference w:id="60"/>
      </w:r>
      <w:r w:rsidR="009D47BE">
        <w:rPr>
          <w:rFonts w:eastAsia="Arial"/>
        </w:rPr>
        <w:t xml:space="preserve"> At the time of this report, the Judicial Department’s </w:t>
      </w:r>
      <w:r w:rsidR="00430D2A">
        <w:rPr>
          <w:rFonts w:eastAsia="Arial"/>
        </w:rPr>
        <w:t xml:space="preserve">strategic plan is also in draft form, however there is a </w:t>
      </w:r>
      <w:r w:rsidR="009D47BE">
        <w:rPr>
          <w:rFonts w:eastAsia="Arial"/>
        </w:rPr>
        <w:t>public</w:t>
      </w:r>
      <w:r w:rsidR="00430D2A">
        <w:rPr>
          <w:rFonts w:eastAsia="Arial"/>
        </w:rPr>
        <w:t>ly available</w:t>
      </w:r>
      <w:r w:rsidR="009D47BE">
        <w:rPr>
          <w:rFonts w:eastAsia="Arial"/>
        </w:rPr>
        <w:t xml:space="preserve"> strategic plan available for 2011-2014 along with a corporate annual plan for 2014</w:t>
      </w:r>
      <w:r w:rsidR="00430D2A">
        <w:rPr>
          <w:rFonts w:eastAsia="Arial"/>
        </w:rPr>
        <w:t xml:space="preserve">. </w:t>
      </w:r>
    </w:p>
    <w:p w14:paraId="76360645" w14:textId="77777777" w:rsidR="00430D2A" w:rsidRDefault="00430D2A" w:rsidP="00413190">
      <w:pPr>
        <w:rPr>
          <w:rFonts w:eastAsia="Arial"/>
        </w:rPr>
      </w:pPr>
    </w:p>
    <w:p w14:paraId="1A632337" w14:textId="60CB66DD" w:rsidR="00723F1C" w:rsidRDefault="00626FC0" w:rsidP="00413190">
      <w:pPr>
        <w:rPr>
          <w:rFonts w:eastAsia="Arial"/>
        </w:rPr>
      </w:pPr>
      <w:r>
        <w:rPr>
          <w:rFonts w:eastAsia="Arial"/>
        </w:rPr>
        <w:t>In addition to strengthening the institutions, the finalization and publication of strategic plans, annual plans, and annual reports would directly assist government and CSO partners in creating an environment for positive collaboration.</w:t>
      </w:r>
      <w:r>
        <w:rPr>
          <w:rStyle w:val="FootnoteReference"/>
          <w:rFonts w:eastAsia="Arial"/>
        </w:rPr>
        <w:footnoteReference w:id="61"/>
      </w:r>
    </w:p>
    <w:p w14:paraId="226E8305" w14:textId="04A5250C" w:rsidR="00293EF2" w:rsidRDefault="00293EF2" w:rsidP="00413190">
      <w:pPr>
        <w:rPr>
          <w:rFonts w:eastAsia="Arial"/>
        </w:rPr>
      </w:pPr>
    </w:p>
    <w:p w14:paraId="4F17529B" w14:textId="77777777" w:rsidR="001B49E9" w:rsidRPr="00A050EB" w:rsidRDefault="001B49E9" w:rsidP="00413190">
      <w:pPr>
        <w:rPr>
          <w:rFonts w:eastAsia="Arial"/>
        </w:rPr>
      </w:pPr>
    </w:p>
    <w:p w14:paraId="3C80370C" w14:textId="58CB4C8D" w:rsidR="00413190" w:rsidRPr="00A050EB" w:rsidRDefault="00816A4F" w:rsidP="00413190">
      <w:pPr>
        <w:pStyle w:val="Heading3"/>
        <w:ind w:left="-504"/>
        <w:rPr>
          <w:rFonts w:eastAsia="Arial"/>
        </w:rPr>
      </w:pPr>
      <w:bookmarkStart w:id="19" w:name="_Toc12804578"/>
      <w:r>
        <w:rPr>
          <w:rFonts w:eastAsia="Arial"/>
        </w:rPr>
        <w:lastRenderedPageBreak/>
        <w:t xml:space="preserve">2. </w:t>
      </w:r>
      <w:r w:rsidR="00413190" w:rsidRPr="00A050EB">
        <w:rPr>
          <w:rFonts w:eastAsia="Arial"/>
        </w:rPr>
        <w:t>Effectiveness</w:t>
      </w:r>
      <w:bookmarkEnd w:id="19"/>
    </w:p>
    <w:p w14:paraId="1DCC9058" w14:textId="1B5717C7" w:rsidR="00413190" w:rsidRPr="004B2432" w:rsidRDefault="00413190" w:rsidP="00413190">
      <w:pPr>
        <w:rPr>
          <w:rFonts w:eastAsia="Arial"/>
          <w:b/>
        </w:rPr>
      </w:pPr>
      <w:r w:rsidRPr="004B2432">
        <w:rPr>
          <w:rFonts w:eastAsia="Arial"/>
          <w:b/>
        </w:rPr>
        <w:t xml:space="preserve">To what extent have project results/targets been achieved or has progress been made towards their achievement? </w:t>
      </w:r>
    </w:p>
    <w:p w14:paraId="75979DB3" w14:textId="05F4EBE9" w:rsidR="00413190" w:rsidRDefault="00413190" w:rsidP="00413190">
      <w:pPr>
        <w:rPr>
          <w:rFonts w:eastAsia="Arial"/>
        </w:rPr>
      </w:pPr>
    </w:p>
    <w:p w14:paraId="500AECD1" w14:textId="3BA138A2" w:rsidR="00B56A50" w:rsidRDefault="00D43593" w:rsidP="00413190">
      <w:pPr>
        <w:rPr>
          <w:rFonts w:eastAsia="Arial"/>
        </w:rPr>
      </w:pPr>
      <w:r>
        <w:rPr>
          <w:rFonts w:eastAsia="Arial"/>
        </w:rPr>
        <w:t xml:space="preserve">The FA2J has four programmatic outputs and one management output defined. </w:t>
      </w:r>
      <w:r w:rsidR="00EC1BF9">
        <w:rPr>
          <w:rFonts w:eastAsia="Arial"/>
        </w:rPr>
        <w:t>FA2J’s Annual Reports have accurately documented progress, which has been constrained to the activity level through the period under MTE review</w:t>
      </w:r>
      <w:r w:rsidR="008454A2">
        <w:rPr>
          <w:rFonts w:eastAsia="Arial"/>
        </w:rPr>
        <w:t>.</w:t>
      </w:r>
      <w:r w:rsidR="008454A2">
        <w:rPr>
          <w:rStyle w:val="FootnoteReference"/>
          <w:rFonts w:eastAsia="Arial"/>
        </w:rPr>
        <w:footnoteReference w:id="62"/>
      </w:r>
    </w:p>
    <w:p w14:paraId="33067D30" w14:textId="1AFD6837" w:rsidR="00EC1BF9" w:rsidRDefault="00EC1BF9" w:rsidP="00413190">
      <w:pPr>
        <w:rPr>
          <w:rFonts w:eastAsia="Arial"/>
        </w:rPr>
      </w:pPr>
    </w:p>
    <w:p w14:paraId="0693CE4A" w14:textId="2B017A09" w:rsidR="00EC1BF9" w:rsidRDefault="00EC1BF9" w:rsidP="00413190">
      <w:pPr>
        <w:rPr>
          <w:rFonts w:eastAsia="Arial"/>
        </w:rPr>
      </w:pPr>
      <w:r>
        <w:rPr>
          <w:rFonts w:eastAsia="Arial"/>
        </w:rPr>
        <w:t>The MTE observed that the limited evolution of project management systems ha</w:t>
      </w:r>
      <w:r w:rsidR="00553EA4">
        <w:rPr>
          <w:rFonts w:eastAsia="Arial"/>
        </w:rPr>
        <w:t>s</w:t>
      </w:r>
      <w:r>
        <w:rPr>
          <w:rFonts w:eastAsia="Arial"/>
        </w:rPr>
        <w:t xml:space="preserve"> contributed to observed challenges in converting progress at the activity level to output level contributions within the four programmatic outputs. Specifically, when the initial timeframes for key products was exceeded, </w:t>
      </w:r>
      <w:r w:rsidR="00553EA4">
        <w:rPr>
          <w:rFonts w:eastAsia="Arial"/>
        </w:rPr>
        <w:t xml:space="preserve">the Project Board (PB) mechanism was not clearly engaged in determining new timeframes or approving alternative plans to address repercussions to other aspects of the project caused by the delayed products. </w:t>
      </w:r>
      <w:r>
        <w:rPr>
          <w:rFonts w:eastAsia="Arial"/>
        </w:rPr>
        <w:t xml:space="preserve"> </w:t>
      </w:r>
      <w:r w:rsidR="00553EA4">
        <w:rPr>
          <w:rFonts w:eastAsia="Arial"/>
        </w:rPr>
        <w:t>Secondly, sub-policy level working groups that linked beneficiary / supplier / management actors in the day-to-day efforts required to implement complex activities did not evolve. As discussed below, this contributed to a situation where, at times, policy level actors did not feel that they had timely access to information on challenges during implementation.</w:t>
      </w:r>
      <w:r w:rsidR="00553EA4">
        <w:rPr>
          <w:rStyle w:val="FootnoteReference"/>
          <w:rFonts w:eastAsia="Arial"/>
        </w:rPr>
        <w:footnoteReference w:id="63"/>
      </w:r>
    </w:p>
    <w:p w14:paraId="72B37C6A" w14:textId="6AB8E3D8" w:rsidR="00A5658A" w:rsidRDefault="00A5658A" w:rsidP="00413190">
      <w:pPr>
        <w:rPr>
          <w:rFonts w:eastAsia="Arial"/>
        </w:rPr>
      </w:pPr>
    </w:p>
    <w:p w14:paraId="5209C0B1" w14:textId="26A5C7C9" w:rsidR="00A5658A" w:rsidRDefault="00A5658A" w:rsidP="00413190">
      <w:pPr>
        <w:rPr>
          <w:rFonts w:eastAsia="Arial"/>
        </w:rPr>
      </w:pPr>
      <w:r>
        <w:rPr>
          <w:rFonts w:eastAsia="Arial"/>
        </w:rPr>
        <w:t xml:space="preserve">The MTE is therefore focused on the management output with regard to how this element impacted progress against outputs across the FA2J: </w:t>
      </w:r>
    </w:p>
    <w:p w14:paraId="289E2A1C" w14:textId="56C23522" w:rsidR="00B56A50" w:rsidRDefault="00B56A50" w:rsidP="00413190">
      <w:pPr>
        <w:rPr>
          <w:rFonts w:eastAsia="Arial"/>
        </w:rPr>
      </w:pPr>
    </w:p>
    <w:p w14:paraId="737D45B2" w14:textId="35ED5E8D" w:rsidR="00B56A50" w:rsidRPr="00B56A50" w:rsidRDefault="00B56A50" w:rsidP="008454A2">
      <w:pPr>
        <w:jc w:val="center"/>
        <w:rPr>
          <w:rFonts w:eastAsia="Arial"/>
          <w:i/>
        </w:rPr>
      </w:pPr>
      <w:r w:rsidRPr="00B56A50">
        <w:rPr>
          <w:rFonts w:eastAsia="Arial"/>
          <w:b/>
        </w:rPr>
        <w:t>OUTPUT 5: Effective Project Management</w:t>
      </w:r>
      <w:r w:rsidRPr="00B56A50">
        <w:rPr>
          <w:rFonts w:eastAsia="Arial"/>
          <w:b/>
        </w:rPr>
        <w:cr/>
      </w:r>
      <w:r w:rsidR="00731B09">
        <w:rPr>
          <w:rFonts w:eastAsia="Arial"/>
          <w:i/>
        </w:rPr>
        <w:t xml:space="preserve">Outcome Indicators: </w:t>
      </w:r>
      <w:r w:rsidRPr="00B56A50">
        <w:rPr>
          <w:rFonts w:eastAsia="Arial"/>
          <w:i/>
        </w:rPr>
        <w:t>1) 50 Communications and Visibility materials and events conducted in accordance with the agreed Communication and Visibility Plan; and 2) 2 independent project evaluations with results shared and discussed with the Project Board.</w:t>
      </w:r>
    </w:p>
    <w:p w14:paraId="0707E920" w14:textId="77777777" w:rsidR="00B56A50" w:rsidRDefault="00B56A50" w:rsidP="00413190">
      <w:pPr>
        <w:rPr>
          <w:rFonts w:eastAsia="Arial"/>
        </w:rPr>
      </w:pPr>
    </w:p>
    <w:p w14:paraId="4F2DD3FE" w14:textId="77777777" w:rsidR="002D4EB0" w:rsidRDefault="00080DB1" w:rsidP="00413190">
      <w:r>
        <w:rPr>
          <w:rFonts w:eastAsia="Arial"/>
        </w:rPr>
        <w:t xml:space="preserve">As an initial consideration, the PB structure deviated from structures suggested by the Finance Agreement and the UNDP Description of Action, as well as from an ideal PRINCE2 perspective. The Finance Agreement stated that the PB, called a Steering Committee, would include </w:t>
      </w:r>
      <w:r w:rsidR="00713F4C">
        <w:rPr>
          <w:rFonts w:eastAsia="Arial"/>
        </w:rPr>
        <w:t>“…the NAO/Ministry of Economy, the EU Delegation, the UNDP…as well as representatives of the Legal Aid Commission, the Chief Justice, and NGOs involved in the Action.”</w:t>
      </w:r>
      <w:r w:rsidR="00713F4C">
        <w:rPr>
          <w:rStyle w:val="FootnoteReference"/>
          <w:rFonts w:eastAsia="Arial"/>
        </w:rPr>
        <w:footnoteReference w:id="64"/>
      </w:r>
      <w:r>
        <w:rPr>
          <w:rFonts w:eastAsia="Arial"/>
        </w:rPr>
        <w:t xml:space="preserve"> </w:t>
      </w:r>
      <w:r w:rsidR="00713F4C">
        <w:rPr>
          <w:rFonts w:eastAsia="Arial"/>
        </w:rPr>
        <w:t xml:space="preserve">Amongst four separate lenses, the UNDP Description of Action cited a human rights </w:t>
      </w:r>
      <w:r w:rsidR="009F5BF1">
        <w:rPr>
          <w:rFonts w:eastAsia="Arial"/>
        </w:rPr>
        <w:t xml:space="preserve">based approach </w:t>
      </w:r>
      <w:r w:rsidR="00713F4C">
        <w:rPr>
          <w:rFonts w:eastAsia="Arial"/>
        </w:rPr>
        <w:t xml:space="preserve">in its Description of Action that </w:t>
      </w:r>
      <w:r w:rsidR="009F5BF1">
        <w:rPr>
          <w:rFonts w:eastAsia="Arial"/>
        </w:rPr>
        <w:t>would put the focus “…</w:t>
      </w:r>
      <w:r w:rsidR="009F5BF1">
        <w:t xml:space="preserve">on </w:t>
      </w:r>
      <w:r w:rsidR="009F5BF1" w:rsidRPr="00A07E9C">
        <w:t xml:space="preserve">ensuring that </w:t>
      </w:r>
      <w:r w:rsidR="009F5BF1">
        <w:t xml:space="preserve">impoverished and vulnerable </w:t>
      </w:r>
      <w:r w:rsidR="009F5BF1" w:rsidRPr="00A07E9C">
        <w:t>people are empowered to utilise the institutions that are most relevant for them in obtaining justice, while at the same time stressing the importance of strengthening the capacity of those relevant ins</w:t>
      </w:r>
      <w:r w:rsidR="009F5BF1">
        <w:t xml:space="preserve">titutions to deliver justice; facilitating a </w:t>
      </w:r>
      <w:r w:rsidR="009F5BF1" w:rsidRPr="00A07E9C">
        <w:t>convergence between popular expectations and inst</w:t>
      </w:r>
      <w:r w:rsidR="009F5BF1">
        <w:t>itutional capacities to respond, aiming to deepen the social contract.”</w:t>
      </w:r>
      <w:r w:rsidR="009F5BF1">
        <w:rPr>
          <w:rStyle w:val="FootnoteReference"/>
        </w:rPr>
        <w:footnoteReference w:id="65"/>
      </w:r>
      <w:r w:rsidR="009F5BF1">
        <w:t xml:space="preserve"> This approach can be summarized as engaging Rights Holders, those that have a right that they need to access from an institution, and Duty Bearers, those institutions that have a legal obligation to provide those services, in a constructive framework. PRINCE2 systems establish a policy level project board where End Users and Suppliers take responsibility for decisions facilitated by a Management function, which then guides implementation within the scope, typically defined in terms of budget and time, approved by the project board. </w:t>
      </w:r>
    </w:p>
    <w:p w14:paraId="79DF8241" w14:textId="77777777" w:rsidR="002D4EB0" w:rsidRDefault="002D4EB0" w:rsidP="00413190"/>
    <w:p w14:paraId="798D9101" w14:textId="5101AA06" w:rsidR="00080DB1" w:rsidRDefault="002D4EB0" w:rsidP="00413190">
      <w:r>
        <w:t>The PB agreed to in the Project Document contained two duty-bearers, the LAC and the Judicial Department, UNDP and the EU Delegation. Interviews with the EU Delegation and LAC suggest that this more restricted PB membership, which lacked rights-holders as represented by CSOs and executive branch representation, was the result of careful negotiation of the transitional political environment in 2016.</w:t>
      </w:r>
      <w:r>
        <w:rPr>
          <w:rStyle w:val="FootnoteReference"/>
        </w:rPr>
        <w:footnoteReference w:id="66"/>
      </w:r>
      <w:r>
        <w:t xml:space="preserve"> The smaller PB did not appear to affect </w:t>
      </w:r>
      <w:r w:rsidRPr="002D4EB0">
        <w:rPr>
          <w:i/>
        </w:rPr>
        <w:t>activity level</w:t>
      </w:r>
      <w:r>
        <w:t xml:space="preserve"> efforts under Outputs 1 and 2, however </w:t>
      </w:r>
      <w:r w:rsidR="001E5E06">
        <w:t xml:space="preserve">may have contributed to the lack of end-user focus included in several Output and </w:t>
      </w:r>
      <w:r w:rsidR="001E5E06">
        <w:lastRenderedPageBreak/>
        <w:t xml:space="preserve">Outcome level indicators. The lack of rights-holder representation on the board appeared to significantly impact the level of focus and direction of activities under Outputs 3 and 4. </w:t>
      </w:r>
    </w:p>
    <w:p w14:paraId="47E49281" w14:textId="26D52F0A" w:rsidR="001E5E06" w:rsidRDefault="001E5E06" w:rsidP="00413190"/>
    <w:p w14:paraId="5B7A53BF" w14:textId="2AE031E6" w:rsidR="001E5E06" w:rsidRDefault="001E5E06" w:rsidP="00413190">
      <w:r>
        <w:t xml:space="preserve">PRINCE2 approaches also </w:t>
      </w:r>
      <w:r w:rsidR="007D6A9C">
        <w:t xml:space="preserve">facilitate coordination between suppliers and beneficiaries during the </w:t>
      </w:r>
      <w:r w:rsidR="00A20F92">
        <w:t>generation of products</w:t>
      </w:r>
      <w:r>
        <w:t>, with the project board maintaining accountability for either the completion of tasks within scope or cancelling tasks that move out of scope to a degree that the project board will not approve. In FA2J, as is common in development context application of PRINCE2, the EU Delegation was positioned as the “supplier” on the PB. While this ensures a strong, partner-</w:t>
      </w:r>
      <w:r w:rsidR="00A5658A">
        <w:t>level</w:t>
      </w:r>
      <w:r>
        <w:t xml:space="preserve">, position for the EU Delegation in decision making processes, it does not effectively engage </w:t>
      </w:r>
      <w:r w:rsidR="00A20F92">
        <w:t xml:space="preserve">technical </w:t>
      </w:r>
      <w:r>
        <w:t xml:space="preserve"> suppliers with the beneficiaries within a PB managed structure. For example, key suppliers during the first have of FA2J, such as Lexis Nexis, were not directly engaged with beneficiaries at the PB level and most communication with suppliers was with the management team represented by UNDP.</w:t>
      </w:r>
      <w:r w:rsidR="00790DCD">
        <w:rPr>
          <w:rStyle w:val="FootnoteReference"/>
        </w:rPr>
        <w:footnoteReference w:id="67"/>
      </w:r>
      <w:r>
        <w:t xml:space="preserve"> </w:t>
      </w:r>
      <w:r w:rsidR="00790DCD">
        <w:t xml:space="preserve">The MTE indicates that at various points this arrangement shifted accountability for suppliers, beneficiaries, and the project board onto the management function represented by UNDP. </w:t>
      </w:r>
    </w:p>
    <w:p w14:paraId="009540E0" w14:textId="78E67856" w:rsidR="00790DCD" w:rsidRDefault="00790DCD" w:rsidP="00413190"/>
    <w:p w14:paraId="29927A82" w14:textId="77777777" w:rsidR="00FC427D" w:rsidRDefault="00790DCD" w:rsidP="00413190">
      <w:pPr>
        <w:rPr>
          <w:rFonts w:eastAsia="Arial"/>
        </w:rPr>
      </w:pPr>
      <w:r>
        <w:rPr>
          <w:rFonts w:eastAsia="Arial"/>
        </w:rPr>
        <w:t xml:space="preserve">As a function of the limited membership of the PB and the lack of clarity on accountabilities during implementation to date, program issues have percolated without resolution and core project tools, such as the M&amp;E framework, have not been actively adapted as projected by both the Financing Agreement and Project Document. </w:t>
      </w:r>
      <w:r w:rsidR="00FC427D">
        <w:rPr>
          <w:rFonts w:eastAsia="Arial"/>
        </w:rPr>
        <w:t>Several examples of persistent problems with program issues emerged during MTE interviews that are illustrative:</w:t>
      </w:r>
    </w:p>
    <w:p w14:paraId="10662A04" w14:textId="77777777" w:rsidR="00FC427D" w:rsidRDefault="00FC427D" w:rsidP="00413190">
      <w:pPr>
        <w:rPr>
          <w:rFonts w:eastAsia="Arial"/>
        </w:rPr>
      </w:pPr>
    </w:p>
    <w:p w14:paraId="5112B4A0" w14:textId="387092DF" w:rsidR="00913F83" w:rsidRDefault="00FC427D" w:rsidP="00FC427D">
      <w:pPr>
        <w:pStyle w:val="ListParagraph"/>
        <w:numPr>
          <w:ilvl w:val="0"/>
          <w:numId w:val="16"/>
        </w:numPr>
        <w:rPr>
          <w:rFonts w:eastAsia="Arial"/>
        </w:rPr>
      </w:pPr>
      <w:r>
        <w:rPr>
          <w:rFonts w:eastAsia="Arial"/>
        </w:rPr>
        <w:t xml:space="preserve">Case management systems: As a core product within Outputs 1 and 2, the case management system was an early priority for FA2J, and it was positioned as a pre-cursor to several </w:t>
      </w:r>
      <w:r w:rsidR="008454A2">
        <w:rPr>
          <w:rFonts w:eastAsia="Arial"/>
        </w:rPr>
        <w:t xml:space="preserve">monitoring and </w:t>
      </w:r>
      <w:r>
        <w:rPr>
          <w:rFonts w:eastAsia="Arial"/>
        </w:rPr>
        <w:t>reporting targets intended to be available by Year 2. Establishing a fully functioning case management system, however, is a multi-year target.</w:t>
      </w:r>
      <w:r>
        <w:rPr>
          <w:rStyle w:val="FootnoteReference"/>
          <w:rFonts w:eastAsia="Arial"/>
        </w:rPr>
        <w:footnoteReference w:id="68"/>
      </w:r>
      <w:r>
        <w:rPr>
          <w:rFonts w:eastAsia="Arial"/>
        </w:rPr>
        <w:t xml:space="preserve"> This timeframe would realistically be extended when considered alongside an e-filing system. Since the status of existing case management systems in the LAC and Judicial Department were not fully assessed prior to FA2J, the initial target was reasonable. However, as details emerged the target dates for procurement and implementation should have been adjusted within the PB decision making system along with the dates for products that relied on fully functioning case systems. </w:t>
      </w:r>
      <w:r w:rsidR="001A1035">
        <w:rPr>
          <w:rFonts w:eastAsia="Arial"/>
        </w:rPr>
        <w:t xml:space="preserve">In addition, while the PB supplier position is nominally held by the EU delegation, the EU is not engaged in activity level implementation between PB meetings. Interviews also indicated that beneficiary institutions represented on the PB had </w:t>
      </w:r>
      <w:r w:rsidR="00731B09">
        <w:rPr>
          <w:rFonts w:eastAsia="Arial"/>
        </w:rPr>
        <w:t xml:space="preserve">key roles in implementation, but did not specifically designate accountable, e.g. duly authorized and responsible, representatives for this procurement. The limited MTE review indicates that this situation resulted in UNDP accepting portions of sub-PB supplier accountabilities and, to some extent, beneficiary accountabilities during this procurement process. </w:t>
      </w:r>
    </w:p>
    <w:p w14:paraId="213736DE" w14:textId="77777777" w:rsidR="00D23DD0" w:rsidRDefault="00D23DD0" w:rsidP="00D23DD0">
      <w:pPr>
        <w:pStyle w:val="ListParagraph"/>
        <w:ind w:left="825"/>
        <w:rPr>
          <w:rFonts w:eastAsia="Arial"/>
        </w:rPr>
      </w:pPr>
    </w:p>
    <w:p w14:paraId="64083E6B" w14:textId="14B0EDDB" w:rsidR="00D23DD0" w:rsidRDefault="00D23DD0" w:rsidP="00FC427D">
      <w:pPr>
        <w:pStyle w:val="ListParagraph"/>
        <w:numPr>
          <w:ilvl w:val="0"/>
          <w:numId w:val="16"/>
        </w:numPr>
        <w:rPr>
          <w:rFonts w:eastAsia="Arial"/>
        </w:rPr>
      </w:pPr>
      <w:r>
        <w:rPr>
          <w:rFonts w:eastAsia="Arial"/>
        </w:rPr>
        <w:t xml:space="preserve">Case reports: the initial scope defined for the case reports in the Project Document was to use historical practices of obtaining a hard copy bound version of the case reports for missing years. The scope of this product was revised </w:t>
      </w:r>
      <w:r w:rsidR="00F955AC">
        <w:rPr>
          <w:rFonts w:eastAsia="Arial"/>
        </w:rPr>
        <w:t>through healthy dialogue between UNDP and the beneficiaries to include both hard and soft (electronic format available through the web) versions. Beneficiaries further expanded the scope by requesting international private sector quality and reliability.</w:t>
      </w:r>
      <w:r w:rsidR="00F955AC">
        <w:rPr>
          <w:rStyle w:val="FootnoteReference"/>
          <w:rFonts w:eastAsia="Arial"/>
        </w:rPr>
        <w:footnoteReference w:id="69"/>
      </w:r>
      <w:r w:rsidR="002C08C7">
        <w:rPr>
          <w:rFonts w:eastAsia="Arial"/>
        </w:rPr>
        <w:t xml:space="preserve"> The provider selected during an extended procurement process that navigated the expanded scope was Lexis Nexis, which brought Fiji into a global discussion over copyright issues relating to annotated laws.</w:t>
      </w:r>
      <w:r w:rsidR="002C08C7">
        <w:rPr>
          <w:rStyle w:val="FootnoteReference"/>
          <w:rFonts w:eastAsia="Arial"/>
        </w:rPr>
        <w:footnoteReference w:id="70"/>
      </w:r>
      <w:r w:rsidR="001A1035">
        <w:rPr>
          <w:rFonts w:eastAsia="Arial"/>
        </w:rPr>
        <w:t xml:space="preserve"> The </w:t>
      </w:r>
      <w:r w:rsidR="001A1035">
        <w:rPr>
          <w:rFonts w:eastAsia="Arial"/>
        </w:rPr>
        <w:lastRenderedPageBreak/>
        <w:t>management function was transparent in the evolution of scope for the procurement and the unexpected issues that arose, however the issue was not captured in a way to maintain PB accountability for changes in scope and time. As a result, the original timeframes have been maintained in documents in spite of the expanded scope and identification of significant unforeseen issues.</w:t>
      </w:r>
    </w:p>
    <w:p w14:paraId="6C94B850" w14:textId="77777777" w:rsidR="000F4375" w:rsidRPr="000F4375" w:rsidRDefault="000F4375" w:rsidP="000F4375">
      <w:pPr>
        <w:pStyle w:val="ListParagraph"/>
        <w:rPr>
          <w:rFonts w:eastAsia="Arial"/>
        </w:rPr>
      </w:pPr>
    </w:p>
    <w:p w14:paraId="62A199C3" w14:textId="3E657C0B" w:rsidR="000F4375" w:rsidRPr="00FC427D" w:rsidRDefault="000F4375" w:rsidP="00FC427D">
      <w:pPr>
        <w:pStyle w:val="ListParagraph"/>
        <w:numPr>
          <w:ilvl w:val="0"/>
          <w:numId w:val="16"/>
        </w:numPr>
        <w:rPr>
          <w:rFonts w:eastAsia="Arial"/>
        </w:rPr>
      </w:pPr>
      <w:r>
        <w:rPr>
          <w:rFonts w:eastAsia="Arial"/>
        </w:rPr>
        <w:t>Assessment of Access to Justice in Fiji (</w:t>
      </w:r>
      <w:proofErr w:type="spellStart"/>
      <w:r>
        <w:rPr>
          <w:rFonts w:eastAsia="Arial"/>
        </w:rPr>
        <w:t>HiiL</w:t>
      </w:r>
      <w:proofErr w:type="spellEnd"/>
      <w:r>
        <w:rPr>
          <w:rFonts w:eastAsia="Arial"/>
        </w:rPr>
        <w:t xml:space="preserve">): this robust assessment was framed during the design process as the foundation for a number of key elements in several outputs. The assessment ultimately included responses from more than 4000 citizens, legal professionals, and vulnerable populations from throughout Fiji collected in collaboration with the Government of Fiji. The assessment experienced delays relating to the after-effects of the 2016 cyclone and preparations for elections. On review, however, it is questionable whether the original timeframes for an assessment of this scope were realistic. A narrower assessment funded at the same time, FWRM’s Balancing the Scales of Justice, was planned over a healthier three year period, which allowed for significant coalition building during the initial planning stages. </w:t>
      </w:r>
      <w:r w:rsidR="00C17C6A">
        <w:rPr>
          <w:rFonts w:eastAsia="Arial"/>
        </w:rPr>
        <w:t>The two reports are complementary; the Assessment of Access to Justice document captures perspectives on access to justice nationally, while Balancing the Scales drills deeply inside this environment from the perspective of women. As such, both reports can be important contributions to the Project Assurance function</w:t>
      </w:r>
      <w:r w:rsidR="00DB121B">
        <w:rPr>
          <w:rFonts w:eastAsia="Arial"/>
        </w:rPr>
        <w:t xml:space="preserve"> of FA2J </w:t>
      </w:r>
      <w:r w:rsidR="00C17C6A">
        <w:rPr>
          <w:rFonts w:eastAsia="Arial"/>
        </w:rPr>
        <w:t xml:space="preserve">if that function is expanded. The PB, as supported by the management function, did not accommodate the fact that the scope of Assessment of Access to Justice was too large for it to provide the early baseline information planned for the inception </w:t>
      </w:r>
      <w:r w:rsidR="00DB121B">
        <w:rPr>
          <w:rFonts w:eastAsia="Arial"/>
        </w:rPr>
        <w:t>period. It also appears that some intended baseline elements, such as users</w:t>
      </w:r>
      <w:r w:rsidR="00A071A2">
        <w:rPr>
          <w:rFonts w:eastAsia="Arial"/>
        </w:rPr>
        <w:t>’</w:t>
      </w:r>
      <w:r w:rsidR="00DB121B">
        <w:rPr>
          <w:rFonts w:eastAsia="Arial"/>
        </w:rPr>
        <w:t xml:space="preserve"> perceptions of services (as opposed to the perception of the general population), may not be available from the national assessment. </w:t>
      </w:r>
    </w:p>
    <w:p w14:paraId="310909DA" w14:textId="4F7812D4" w:rsidR="000153EC" w:rsidRDefault="000153EC" w:rsidP="00413190">
      <w:pPr>
        <w:rPr>
          <w:rFonts w:eastAsia="Arial"/>
        </w:rPr>
      </w:pPr>
    </w:p>
    <w:p w14:paraId="1BF7D746" w14:textId="59B19A98" w:rsidR="00413190" w:rsidRPr="00A050EB" w:rsidRDefault="003D5AFC" w:rsidP="00413190">
      <w:pPr>
        <w:rPr>
          <w:rFonts w:eastAsia="Arial"/>
        </w:rPr>
      </w:pPr>
      <w:r>
        <w:rPr>
          <w:rFonts w:eastAsia="Arial"/>
        </w:rPr>
        <w:t xml:space="preserve"> </w:t>
      </w:r>
    </w:p>
    <w:p w14:paraId="0E0A538D" w14:textId="214C6829" w:rsidR="00413190" w:rsidRPr="00A050EB" w:rsidRDefault="00816A4F" w:rsidP="00413190">
      <w:pPr>
        <w:pStyle w:val="Heading3"/>
        <w:ind w:left="-504"/>
        <w:rPr>
          <w:rFonts w:eastAsia="Arial"/>
        </w:rPr>
      </w:pPr>
      <w:bookmarkStart w:id="20" w:name="_Toc12804579"/>
      <w:r>
        <w:rPr>
          <w:rFonts w:eastAsia="Arial"/>
        </w:rPr>
        <w:t xml:space="preserve">3. </w:t>
      </w:r>
      <w:r w:rsidR="00413190" w:rsidRPr="00A050EB">
        <w:rPr>
          <w:rFonts w:eastAsia="Arial"/>
        </w:rPr>
        <w:t>Efficiency</w:t>
      </w:r>
      <w:bookmarkEnd w:id="20"/>
    </w:p>
    <w:p w14:paraId="3D3407C3" w14:textId="623BD366" w:rsidR="00413190" w:rsidRDefault="00413190" w:rsidP="00413190">
      <w:pPr>
        <w:rPr>
          <w:rFonts w:eastAsia="Arial"/>
          <w:b/>
        </w:rPr>
      </w:pPr>
      <w:r w:rsidRPr="001452F8">
        <w:rPr>
          <w:rFonts w:eastAsia="Arial"/>
          <w:b/>
          <w:i/>
        </w:rPr>
        <w:t>As a function of resource utilization</w:t>
      </w:r>
      <w:r w:rsidRPr="001452F8">
        <w:rPr>
          <w:rFonts w:eastAsia="Arial"/>
          <w:b/>
        </w:rPr>
        <w:t xml:space="preserve">, how well has the project delivered the expected results? </w:t>
      </w:r>
    </w:p>
    <w:p w14:paraId="4C31E212" w14:textId="1ADE7D8B" w:rsidR="001452F8" w:rsidRDefault="001452F8" w:rsidP="00413190">
      <w:pPr>
        <w:rPr>
          <w:rFonts w:eastAsia="Arial"/>
          <w:b/>
        </w:rPr>
      </w:pPr>
    </w:p>
    <w:p w14:paraId="0ACC7EAD" w14:textId="14D43FBB" w:rsidR="00BD1027" w:rsidRDefault="001452F8" w:rsidP="00413190">
      <w:pPr>
        <w:rPr>
          <w:rFonts w:eastAsia="Arial"/>
        </w:rPr>
      </w:pPr>
      <w:r>
        <w:rPr>
          <w:rFonts w:eastAsia="Arial"/>
        </w:rPr>
        <w:t xml:space="preserve">The MTE reviewed the </w:t>
      </w:r>
      <w:r w:rsidR="009D63B5">
        <w:rPr>
          <w:rFonts w:eastAsia="Arial"/>
        </w:rPr>
        <w:t xml:space="preserve">efficiency of the FA2J using standard value-for-money considerations of how well inputs are leading to output </w:t>
      </w:r>
      <w:r w:rsidR="00BD1027">
        <w:rPr>
          <w:rFonts w:eastAsia="Arial"/>
        </w:rPr>
        <w:t>results. As output results have</w:t>
      </w:r>
      <w:r w:rsidR="00AD557B">
        <w:rPr>
          <w:rFonts w:eastAsia="Arial"/>
        </w:rPr>
        <w:t xml:space="preserve"> not been</w:t>
      </w:r>
      <w:r w:rsidR="00BD1027">
        <w:rPr>
          <w:rFonts w:eastAsia="Arial"/>
        </w:rPr>
        <w:t>, for the most part,</w:t>
      </w:r>
      <w:r w:rsidR="00AD557B">
        <w:rPr>
          <w:rFonts w:eastAsia="Arial"/>
        </w:rPr>
        <w:t xml:space="preserve"> </w:t>
      </w:r>
      <w:r w:rsidR="00BD1027">
        <w:rPr>
          <w:rFonts w:eastAsia="Arial"/>
        </w:rPr>
        <w:t xml:space="preserve">reached through 31 March 2019, the efficiency of FA2J is on its face low. </w:t>
      </w:r>
    </w:p>
    <w:p w14:paraId="29E0AB0A" w14:textId="77777777" w:rsidR="00BD1027" w:rsidRDefault="00BD1027" w:rsidP="00413190">
      <w:pPr>
        <w:rPr>
          <w:rFonts w:eastAsia="Arial"/>
        </w:rPr>
      </w:pPr>
    </w:p>
    <w:p w14:paraId="07936E48" w14:textId="7342B524" w:rsidR="006C3543" w:rsidRDefault="00BD1027" w:rsidP="00413190">
      <w:pPr>
        <w:rPr>
          <w:rFonts w:eastAsia="Arial"/>
        </w:rPr>
      </w:pPr>
      <w:r>
        <w:rPr>
          <w:rFonts w:eastAsia="Arial"/>
        </w:rPr>
        <w:t>Staff and project board issues have been highlighted as undermining the efficiency of FA2J.</w:t>
      </w:r>
      <w:r>
        <w:rPr>
          <w:rStyle w:val="FootnoteReference"/>
          <w:rFonts w:eastAsia="Arial"/>
        </w:rPr>
        <w:footnoteReference w:id="71"/>
      </w:r>
      <w:r>
        <w:rPr>
          <w:rFonts w:eastAsia="Arial"/>
        </w:rPr>
        <w:t xml:space="preserve"> Specifically, the impact of the decision to proportionally allocate the time of the six key </w:t>
      </w:r>
      <w:r w:rsidR="00AD557B">
        <w:rPr>
          <w:rFonts w:eastAsia="Arial"/>
        </w:rPr>
        <w:t xml:space="preserve">FA2J </w:t>
      </w:r>
      <w:r>
        <w:rPr>
          <w:rFonts w:eastAsia="Arial"/>
        </w:rPr>
        <w:t xml:space="preserve">staff positions </w:t>
      </w:r>
      <w:r w:rsidR="006C3543">
        <w:rPr>
          <w:rFonts w:eastAsia="Arial"/>
        </w:rPr>
        <w:t>raised questions about the level of effort directly committed to FA2J</w:t>
      </w:r>
      <w:r>
        <w:rPr>
          <w:rFonts w:eastAsia="Arial"/>
        </w:rPr>
        <w:t>.</w:t>
      </w:r>
      <w:r>
        <w:rPr>
          <w:rStyle w:val="FootnoteReference"/>
          <w:rFonts w:eastAsia="Arial"/>
        </w:rPr>
        <w:footnoteReference w:id="72"/>
      </w:r>
      <w:r w:rsidR="006C3543">
        <w:rPr>
          <w:rFonts w:eastAsia="Arial"/>
        </w:rPr>
        <w:t xml:space="preserve"> In addition, the number of PB meetings and the content of those meetings has been identified as a factor affecting FA2J’s efficiency. </w:t>
      </w:r>
    </w:p>
    <w:p w14:paraId="4A1F1773" w14:textId="77777777" w:rsidR="006C3543" w:rsidRDefault="006C3543" w:rsidP="00413190">
      <w:pPr>
        <w:rPr>
          <w:rFonts w:eastAsia="Arial"/>
        </w:rPr>
      </w:pPr>
    </w:p>
    <w:p w14:paraId="28A0D9A7" w14:textId="1B20E111" w:rsidR="00BD1027" w:rsidRDefault="006C3543" w:rsidP="00413190">
      <w:pPr>
        <w:rPr>
          <w:rFonts w:eastAsia="Arial"/>
        </w:rPr>
      </w:pPr>
      <w:r>
        <w:rPr>
          <w:rFonts w:eastAsia="Arial"/>
        </w:rPr>
        <w:t>MTE interviews and research indicate that the staffing arrangements may have contributed to the alignment of inputs, particularly staff costs, to narrowly defined FA2J targets</w:t>
      </w:r>
      <w:r w:rsidR="00B96054">
        <w:rPr>
          <w:rFonts w:eastAsia="Arial"/>
        </w:rPr>
        <w:t xml:space="preserve"> for reasons other than the proportional allocation of staff time</w:t>
      </w:r>
      <w:r>
        <w:rPr>
          <w:rFonts w:eastAsia="Arial"/>
        </w:rPr>
        <w:t xml:space="preserve">. UNDP has taken informal steps to clarify lanes of </w:t>
      </w:r>
      <w:r w:rsidR="00B96054">
        <w:rPr>
          <w:rFonts w:eastAsia="Arial"/>
        </w:rPr>
        <w:t xml:space="preserve">individual </w:t>
      </w:r>
      <w:r>
        <w:rPr>
          <w:rFonts w:eastAsia="Arial"/>
        </w:rPr>
        <w:t>responsibility at senior levels.</w:t>
      </w:r>
      <w:r>
        <w:rPr>
          <w:rStyle w:val="FootnoteReference"/>
          <w:rFonts w:eastAsia="Arial"/>
        </w:rPr>
        <w:footnoteReference w:id="73"/>
      </w:r>
      <w:r>
        <w:rPr>
          <w:rFonts w:eastAsia="Arial"/>
        </w:rPr>
        <w:t xml:space="preserve"> However, the challenge may not be solely at the individual level. FA2J operates within a portfolio of rule of law efforts, which are themselves within a portfolio of governance efforts.</w:t>
      </w:r>
      <w:r>
        <w:rPr>
          <w:rStyle w:val="FootnoteReference"/>
          <w:rFonts w:eastAsia="Arial"/>
        </w:rPr>
        <w:footnoteReference w:id="74"/>
      </w:r>
      <w:r w:rsidR="00B96054">
        <w:rPr>
          <w:rFonts w:eastAsia="Arial"/>
        </w:rPr>
        <w:t xml:space="preserve"> Interviews and field visits identified a lack of clarity about the boundaries between initiatives that are managed within portfolios. Well intentioned</w:t>
      </w:r>
      <w:r w:rsidR="00A5658A">
        <w:rPr>
          <w:rFonts w:eastAsia="Arial"/>
        </w:rPr>
        <w:t xml:space="preserve"> </w:t>
      </w:r>
      <w:r w:rsidR="00B96054">
        <w:rPr>
          <w:rFonts w:eastAsia="Arial"/>
        </w:rPr>
        <w:t xml:space="preserve">initiatives to increase outreach through a related project, for example, have on their surface been </w:t>
      </w:r>
      <w:r w:rsidR="00A5658A">
        <w:rPr>
          <w:rFonts w:eastAsia="Arial"/>
        </w:rPr>
        <w:t xml:space="preserve">positive. However, the outreach initiatives </w:t>
      </w:r>
      <w:r w:rsidR="00B96054">
        <w:rPr>
          <w:rFonts w:eastAsia="Arial"/>
        </w:rPr>
        <w:t xml:space="preserve">have not directly aligned with the FA2J outputs requiring coordinated outreach between CSOs and LAC. Rather than improve efficiency, therefore, the shared effort results in </w:t>
      </w:r>
      <w:r w:rsidR="00B96054">
        <w:rPr>
          <w:rFonts w:eastAsia="Arial"/>
        </w:rPr>
        <w:lastRenderedPageBreak/>
        <w:t xml:space="preserve">activities that are difficult to measure against either project’s theory of change. Several interviews also noted confusion amongst partners as to the specific role of FA2J within the rule of law portfolio. </w:t>
      </w:r>
    </w:p>
    <w:p w14:paraId="3C4D588C" w14:textId="7E4AC6A0" w:rsidR="00B96054" w:rsidRDefault="00B96054" w:rsidP="00413190">
      <w:pPr>
        <w:rPr>
          <w:rFonts w:eastAsia="Arial"/>
        </w:rPr>
      </w:pPr>
    </w:p>
    <w:p w14:paraId="15B2EB2D" w14:textId="11C55164" w:rsidR="00B96054" w:rsidRDefault="00B96054" w:rsidP="00413190">
      <w:pPr>
        <w:rPr>
          <w:rFonts w:eastAsia="Arial"/>
        </w:rPr>
      </w:pPr>
      <w:r>
        <w:rPr>
          <w:rFonts w:eastAsia="Arial"/>
        </w:rPr>
        <w:t xml:space="preserve">The MTE reviewed the impact of Project Board operations against the effectiveness criteria above. With regard to efficiency, the </w:t>
      </w:r>
      <w:r w:rsidR="0088710B">
        <w:rPr>
          <w:rFonts w:eastAsia="Arial"/>
        </w:rPr>
        <w:t xml:space="preserve">MTE reviewed minutes from five Project Board Meetings (a frequency of approximately two per year). The issues raised and discussed were reported by board members as being well </w:t>
      </w:r>
      <w:r w:rsidR="00A5658A">
        <w:rPr>
          <w:rFonts w:eastAsia="Arial"/>
        </w:rPr>
        <w:t>documented</w:t>
      </w:r>
      <w:r w:rsidR="0088710B">
        <w:rPr>
          <w:rFonts w:eastAsia="Arial"/>
        </w:rPr>
        <w:t>, however the nature of implementation meant that the issues were not ripe for clearly defined policy decisions at the time of the meeting.</w:t>
      </w:r>
      <w:r w:rsidR="0088710B">
        <w:rPr>
          <w:rStyle w:val="FootnoteReference"/>
          <w:rFonts w:eastAsia="Arial"/>
        </w:rPr>
        <w:footnoteReference w:id="75"/>
      </w:r>
      <w:r w:rsidR="0088710B">
        <w:rPr>
          <w:rFonts w:eastAsia="Arial"/>
        </w:rPr>
        <w:t xml:space="preserve"> Described as “endless discussions” by one </w:t>
      </w:r>
      <w:r w:rsidR="00BE1A0F">
        <w:rPr>
          <w:rFonts w:eastAsia="Arial"/>
        </w:rPr>
        <w:t>interviewee</w:t>
      </w:r>
      <w:r w:rsidR="0088710B">
        <w:rPr>
          <w:rFonts w:eastAsia="Arial"/>
        </w:rPr>
        <w:t xml:space="preserve">, the inability of project board meetings to generate clear guidance was a </w:t>
      </w:r>
      <w:r w:rsidR="00BE1A0F">
        <w:rPr>
          <w:rFonts w:eastAsia="Arial"/>
        </w:rPr>
        <w:t xml:space="preserve">shared </w:t>
      </w:r>
      <w:r w:rsidR="0088710B">
        <w:rPr>
          <w:rFonts w:eastAsia="Arial"/>
        </w:rPr>
        <w:t>concern</w:t>
      </w:r>
      <w:r w:rsidR="00BE1A0F">
        <w:rPr>
          <w:rFonts w:eastAsia="Arial"/>
        </w:rPr>
        <w:t xml:space="preserve"> with PB members</w:t>
      </w:r>
      <w:r w:rsidR="0088710B">
        <w:rPr>
          <w:rFonts w:eastAsia="Arial"/>
        </w:rPr>
        <w:t xml:space="preserve">. MTE interviews and research, including that captured above under the effectiveness criteria, suggests that new approaches be considered for how all parties engage during periods </w:t>
      </w:r>
      <w:r w:rsidR="0024073B">
        <w:rPr>
          <w:rStyle w:val="FootnoteReference"/>
          <w:rFonts w:eastAsia="Arial"/>
        </w:rPr>
        <w:footnoteReference w:id="76"/>
      </w:r>
      <w:r w:rsidR="0088710B">
        <w:rPr>
          <w:rFonts w:eastAsia="Arial"/>
        </w:rPr>
        <w:t xml:space="preserve">in between project board meetings. No parties interviewed suggested the need for additional policy level meetings. </w:t>
      </w:r>
    </w:p>
    <w:p w14:paraId="1DE54A90" w14:textId="006A291E" w:rsidR="0088710B" w:rsidRDefault="0088710B" w:rsidP="00413190">
      <w:pPr>
        <w:rPr>
          <w:rFonts w:eastAsia="Arial"/>
        </w:rPr>
      </w:pPr>
    </w:p>
    <w:p w14:paraId="03B81D39" w14:textId="6E257E6D" w:rsidR="0088710B" w:rsidRDefault="0024073B" w:rsidP="00413190">
      <w:pPr>
        <w:rPr>
          <w:rFonts w:eastAsia="Arial"/>
        </w:rPr>
      </w:pPr>
      <w:bookmarkStart w:id="21" w:name="_Hlk10198959"/>
      <w:r>
        <w:rPr>
          <w:rFonts w:eastAsia="Arial"/>
        </w:rPr>
        <w:t xml:space="preserve">Using the </w:t>
      </w:r>
      <w:r w:rsidR="00BE1A0F">
        <w:rPr>
          <w:rFonts w:eastAsia="Arial"/>
        </w:rPr>
        <w:t xml:space="preserve">start </w:t>
      </w:r>
      <w:r>
        <w:rPr>
          <w:rFonts w:eastAsia="Arial"/>
        </w:rPr>
        <w:t xml:space="preserve">date of the Project Document, </w:t>
      </w:r>
      <w:r w:rsidR="00BE1A0F">
        <w:rPr>
          <w:rFonts w:eastAsia="Arial"/>
        </w:rPr>
        <w:t xml:space="preserve">4 July 2016, </w:t>
      </w:r>
      <w:r>
        <w:rPr>
          <w:rFonts w:eastAsia="Arial"/>
        </w:rPr>
        <w:t xml:space="preserve">the expenditure rate is somewhat lower than the 45% reported in the draft ROM. </w:t>
      </w:r>
      <w:bookmarkEnd w:id="21"/>
      <w:r>
        <w:rPr>
          <w:rFonts w:eastAsia="Arial"/>
        </w:rPr>
        <w:t xml:space="preserve">On review, the ramp up of distribution and utilization rates appears normal for a project of FA2J’s complexity, and UNDP has updated spending plans in coordination with workplan reviews during March 2019. </w:t>
      </w:r>
      <w:r w:rsidR="002F6828">
        <w:rPr>
          <w:rFonts w:eastAsia="Arial"/>
        </w:rPr>
        <w:t>The 2018 Budget Report, updated through March 2019</w:t>
      </w:r>
      <w:r w:rsidR="00816A4F">
        <w:rPr>
          <w:rFonts w:eastAsia="Arial"/>
        </w:rPr>
        <w:t>,</w:t>
      </w:r>
      <w:r w:rsidR="002F6828">
        <w:rPr>
          <w:rStyle w:val="FootnoteReference"/>
          <w:rFonts w:eastAsia="Arial"/>
        </w:rPr>
        <w:footnoteReference w:id="77"/>
      </w:r>
      <w:r w:rsidR="002F6828">
        <w:rPr>
          <w:rFonts w:eastAsia="Arial"/>
        </w:rPr>
        <w:t xml:space="preserve"> reflected issues relating to procurement discussed above under Outputs 1-3 as planned budget amounts were not consistently expended against. Output 4, targeting support to NGOs, faced a different challenge as there were a number of unplanned expenditures under this output, suggesting the need to revisit this output more strategically to ensure that activity planning is completed with a clear connection to higher level results. For example, the only budgeted activity under Activity Result 4.1, targeting the capacity of NGOs to deliver accompaniment services, was for contractual services in support of the Assessment of Access to Justice. Given delays in the finalization of this assessment, delays were reasonable in 2018</w:t>
      </w:r>
      <w:r w:rsidR="00BE1A0F">
        <w:rPr>
          <w:rFonts w:eastAsia="Arial"/>
        </w:rPr>
        <w:t xml:space="preserve">. The MTE did not identify </w:t>
      </w:r>
      <w:r w:rsidR="002F6828">
        <w:rPr>
          <w:rFonts w:eastAsia="Arial"/>
        </w:rPr>
        <w:t xml:space="preserve">evidence that alternative modalities have been sought to improve NGO capacity to deliver accompaniment services.  </w:t>
      </w:r>
    </w:p>
    <w:p w14:paraId="2CBF2E5E" w14:textId="3D628AB7" w:rsidR="00BD1027" w:rsidRDefault="00BD1027" w:rsidP="00413190">
      <w:pPr>
        <w:rPr>
          <w:rFonts w:eastAsia="Arial"/>
        </w:rPr>
      </w:pPr>
    </w:p>
    <w:p w14:paraId="233BD0B6" w14:textId="30A6CA3D" w:rsidR="00413190" w:rsidRPr="00A050EB" w:rsidRDefault="00816A4F" w:rsidP="00413190">
      <w:pPr>
        <w:pStyle w:val="Heading3"/>
        <w:ind w:left="-504"/>
        <w:rPr>
          <w:rFonts w:eastAsia="Arial"/>
        </w:rPr>
      </w:pPr>
      <w:bookmarkStart w:id="22" w:name="_Toc12804580"/>
      <w:r>
        <w:rPr>
          <w:rFonts w:eastAsia="Arial"/>
        </w:rPr>
        <w:t xml:space="preserve">4. </w:t>
      </w:r>
      <w:r w:rsidR="00413190" w:rsidRPr="00A050EB">
        <w:rPr>
          <w:rFonts w:eastAsia="Arial"/>
        </w:rPr>
        <w:t>Sustainability</w:t>
      </w:r>
      <w:bookmarkEnd w:id="22"/>
    </w:p>
    <w:p w14:paraId="48C29D73" w14:textId="708F15A2" w:rsidR="00413190" w:rsidRPr="008454A2" w:rsidRDefault="00413190" w:rsidP="00413190">
      <w:pPr>
        <w:rPr>
          <w:rFonts w:eastAsia="Arial"/>
          <w:b/>
        </w:rPr>
      </w:pPr>
      <w:r w:rsidRPr="008454A2">
        <w:rPr>
          <w:rFonts w:eastAsia="Arial"/>
          <w:b/>
        </w:rPr>
        <w:t xml:space="preserve">To what extent are project results likely to be sustainable? </w:t>
      </w:r>
    </w:p>
    <w:p w14:paraId="68077C51" w14:textId="3D9C485A" w:rsidR="00413190" w:rsidRDefault="00413190" w:rsidP="00413190">
      <w:pPr>
        <w:rPr>
          <w:rFonts w:eastAsia="Arial"/>
        </w:rPr>
      </w:pPr>
    </w:p>
    <w:p w14:paraId="11B6A227" w14:textId="77777777" w:rsidR="00DE3CDC" w:rsidRDefault="00E97E86" w:rsidP="00413190">
      <w:pPr>
        <w:rPr>
          <w:rFonts w:eastAsia="Arial"/>
        </w:rPr>
      </w:pPr>
      <w:r>
        <w:rPr>
          <w:rFonts w:eastAsia="Arial"/>
        </w:rPr>
        <w:t xml:space="preserve">The sophistication of the two duty-bearers, as evidenced by their ability to sustain annually increasing </w:t>
      </w:r>
      <w:proofErr w:type="spellStart"/>
      <w:r>
        <w:rPr>
          <w:rFonts w:eastAsia="Arial"/>
        </w:rPr>
        <w:t>case loads</w:t>
      </w:r>
      <w:proofErr w:type="spellEnd"/>
      <w:r>
        <w:rPr>
          <w:rFonts w:eastAsia="Arial"/>
        </w:rPr>
        <w:t xml:space="preserve"> while growing staff and geographic reach, indicates that large scale contributions such as the case management system will have a high likelihood of sustainability if it they are properly rolled out after installation. At the time of the MTE, no large-scale outputs were available to review for institutional impact and integration. </w:t>
      </w:r>
    </w:p>
    <w:p w14:paraId="50603BA2" w14:textId="77777777" w:rsidR="00DE3CDC" w:rsidRDefault="00DE3CDC" w:rsidP="00413190">
      <w:pPr>
        <w:rPr>
          <w:rFonts w:eastAsia="Arial"/>
        </w:rPr>
      </w:pPr>
    </w:p>
    <w:p w14:paraId="57B9C8B7" w14:textId="4F59F559" w:rsidR="00E97E86" w:rsidRDefault="00E97E86" w:rsidP="00413190">
      <w:pPr>
        <w:rPr>
          <w:rFonts w:eastAsia="Arial"/>
        </w:rPr>
      </w:pPr>
      <w:r>
        <w:rPr>
          <w:rFonts w:eastAsia="Arial"/>
        </w:rPr>
        <w:t xml:space="preserve">Several examples of collaboration between duty bearers were provided during interviews that suggest that FA2J has </w:t>
      </w:r>
      <w:r w:rsidR="00BF7AFF">
        <w:rPr>
          <w:rFonts w:eastAsia="Arial"/>
        </w:rPr>
        <w:t>aligned with positive dimensions within the Fiji justice system</w:t>
      </w:r>
      <w:r w:rsidR="00DE3CDC">
        <w:rPr>
          <w:rFonts w:eastAsia="Arial"/>
        </w:rPr>
        <w:t xml:space="preserve"> that could contribute to sustainability</w:t>
      </w:r>
      <w:r>
        <w:rPr>
          <w:rFonts w:eastAsia="Arial"/>
        </w:rPr>
        <w:t>:</w:t>
      </w:r>
    </w:p>
    <w:p w14:paraId="39EED7DC" w14:textId="1ADBDB15" w:rsidR="00BF7AFF" w:rsidRDefault="00BF7AFF" w:rsidP="00413190">
      <w:pPr>
        <w:rPr>
          <w:rFonts w:eastAsia="Arial"/>
        </w:rPr>
      </w:pPr>
    </w:p>
    <w:p w14:paraId="7F706507" w14:textId="6B030D99" w:rsidR="00BF7AFF" w:rsidRDefault="00BF7AFF" w:rsidP="00BF7AFF">
      <w:pPr>
        <w:pStyle w:val="ListParagraph"/>
        <w:numPr>
          <w:ilvl w:val="0"/>
          <w:numId w:val="17"/>
        </w:numPr>
        <w:rPr>
          <w:rFonts w:eastAsia="Arial"/>
        </w:rPr>
      </w:pPr>
      <w:r>
        <w:rPr>
          <w:rFonts w:eastAsia="Arial"/>
        </w:rPr>
        <w:t>LAC North Office in Labasa notes strong partnerships with court actors, including direct receipt of copies of new cases from the Judicial Department as soon as they are issued;</w:t>
      </w:r>
      <w:r w:rsidR="00DE3CDC">
        <w:rPr>
          <w:rStyle w:val="FootnoteReference"/>
          <w:rFonts w:eastAsia="Arial"/>
        </w:rPr>
        <w:footnoteReference w:id="78"/>
      </w:r>
    </w:p>
    <w:p w14:paraId="18B3C042" w14:textId="77777777" w:rsidR="00BF7AFF" w:rsidRDefault="00BF7AFF" w:rsidP="00BF7AFF">
      <w:pPr>
        <w:pStyle w:val="ListParagraph"/>
        <w:rPr>
          <w:rFonts w:eastAsia="Arial"/>
        </w:rPr>
      </w:pPr>
    </w:p>
    <w:p w14:paraId="1A4ACA32" w14:textId="13D9043B" w:rsidR="00BF7AFF" w:rsidRPr="00BF7AFF" w:rsidRDefault="00BF7AFF" w:rsidP="00BF7AFF">
      <w:pPr>
        <w:pStyle w:val="ListParagraph"/>
        <w:numPr>
          <w:ilvl w:val="0"/>
          <w:numId w:val="17"/>
        </w:numPr>
        <w:rPr>
          <w:rFonts w:eastAsia="Arial"/>
        </w:rPr>
      </w:pPr>
      <w:r>
        <w:rPr>
          <w:rFonts w:eastAsia="Arial"/>
        </w:rPr>
        <w:t>Both the Director of Public Prosecutions and the Assistant Commissioner of Police noted consistent, although ad hoc, engagement with the justice sector to address systemic challenges – the “First Hour” effort addressing the treatment of those in detention and supporting the video recording of statements taken by police resulted from one of these engagements.</w:t>
      </w:r>
      <w:r w:rsidR="00DE3CDC">
        <w:rPr>
          <w:rStyle w:val="FootnoteReference"/>
          <w:rFonts w:eastAsia="Arial"/>
        </w:rPr>
        <w:footnoteReference w:id="79"/>
      </w:r>
    </w:p>
    <w:p w14:paraId="12639A2B" w14:textId="77777777" w:rsidR="00E97E86" w:rsidRDefault="00E97E86" w:rsidP="00413190">
      <w:pPr>
        <w:rPr>
          <w:rFonts w:eastAsia="Arial"/>
        </w:rPr>
      </w:pPr>
    </w:p>
    <w:p w14:paraId="33D59AC6" w14:textId="7A0DBAD6" w:rsidR="00E97E86" w:rsidRDefault="00BF7AFF" w:rsidP="00413190">
      <w:pPr>
        <w:rPr>
          <w:rFonts w:eastAsia="Arial"/>
        </w:rPr>
      </w:pPr>
      <w:r>
        <w:rPr>
          <w:rFonts w:eastAsia="Arial"/>
        </w:rPr>
        <w:lastRenderedPageBreak/>
        <w:t>Alignment is several steps away from</w:t>
      </w:r>
      <w:r w:rsidR="0012422F">
        <w:rPr>
          <w:rFonts w:eastAsia="Arial"/>
        </w:rPr>
        <w:t xml:space="preserve"> the target of</w:t>
      </w:r>
      <w:r>
        <w:rPr>
          <w:rFonts w:eastAsia="Arial"/>
        </w:rPr>
        <w:t xml:space="preserve"> “fostering”, however the first half of FA2J has directly supported positive engagements between t</w:t>
      </w:r>
      <w:r w:rsidR="009F202B">
        <w:rPr>
          <w:rFonts w:eastAsia="Arial"/>
        </w:rPr>
        <w:t xml:space="preserve">hree </w:t>
      </w:r>
      <w:r>
        <w:rPr>
          <w:rFonts w:eastAsia="Arial"/>
        </w:rPr>
        <w:t xml:space="preserve">duty bearers and created avenues for potential sector wide engagement.  FA2J and its partners will need to carefully assess opportunities for more formal sector coordination efforts given the </w:t>
      </w:r>
      <w:r w:rsidR="00DE3CDC">
        <w:rPr>
          <w:rFonts w:eastAsia="Arial"/>
        </w:rPr>
        <w:t xml:space="preserve">importance of recent progress in strengthening the independence of the judiciary and the LAC. </w:t>
      </w:r>
    </w:p>
    <w:p w14:paraId="193BE7AC" w14:textId="77777777" w:rsidR="00BF7AFF" w:rsidRDefault="00BF7AFF" w:rsidP="00413190">
      <w:pPr>
        <w:rPr>
          <w:rFonts w:eastAsia="Arial"/>
        </w:rPr>
      </w:pPr>
    </w:p>
    <w:p w14:paraId="2C27702B" w14:textId="587576E2" w:rsidR="00847D04" w:rsidRDefault="00847D04" w:rsidP="00413190">
      <w:pPr>
        <w:rPr>
          <w:rFonts w:eastAsia="Arial"/>
        </w:rPr>
      </w:pPr>
      <w:r>
        <w:rPr>
          <w:rFonts w:eastAsia="Arial"/>
        </w:rPr>
        <w:t xml:space="preserve">The lack of partner ownership of procurement processes emerged as a risk to sustainability </w:t>
      </w:r>
      <w:r w:rsidR="00112B76">
        <w:rPr>
          <w:rFonts w:eastAsia="Arial"/>
        </w:rPr>
        <w:t>during the MTE. Partners</w:t>
      </w:r>
      <w:r w:rsidR="00DE3CDC">
        <w:rPr>
          <w:rFonts w:eastAsia="Arial"/>
        </w:rPr>
        <w:t xml:space="preserve"> interviewed </w:t>
      </w:r>
      <w:r w:rsidR="004B0E87">
        <w:rPr>
          <w:rFonts w:eastAsia="Arial"/>
        </w:rPr>
        <w:t xml:space="preserve">generally </w:t>
      </w:r>
      <w:r w:rsidR="00DE3CDC">
        <w:rPr>
          <w:rFonts w:eastAsia="Arial"/>
        </w:rPr>
        <w:t xml:space="preserve">discussed project procurement as a UNDP function rather than as a shared </w:t>
      </w:r>
      <w:r>
        <w:rPr>
          <w:rFonts w:eastAsia="Arial"/>
        </w:rPr>
        <w:t xml:space="preserve">FA2J </w:t>
      </w:r>
      <w:r w:rsidR="00DE3CDC">
        <w:rPr>
          <w:rFonts w:eastAsia="Arial"/>
        </w:rPr>
        <w:t>obligation</w:t>
      </w:r>
      <w:r w:rsidR="00BD62FA">
        <w:rPr>
          <w:rFonts w:eastAsia="Arial"/>
        </w:rPr>
        <w:t>.</w:t>
      </w:r>
      <w:r>
        <w:rPr>
          <w:rFonts w:eastAsia="Arial"/>
        </w:rPr>
        <w:t xml:space="preserve"> </w:t>
      </w:r>
      <w:r w:rsidR="004B0E87">
        <w:rPr>
          <w:rFonts w:eastAsia="Arial"/>
        </w:rPr>
        <w:t>As a positive sign of investment in FA2J, a</w:t>
      </w:r>
      <w:r>
        <w:rPr>
          <w:rFonts w:eastAsia="Arial"/>
        </w:rPr>
        <w:t xml:space="preserve">ll partners participated actively when requested in complex procurement, such as those discussed above for case management systems. Contributions to the cases management procurement, for example, included participation in the review of procurement requirements and engagement in a robust testing of short-listed candidates during a staged selection process that has extended for more than 18 months. </w:t>
      </w:r>
      <w:r w:rsidR="004B0E87">
        <w:rPr>
          <w:rFonts w:eastAsia="Arial"/>
        </w:rPr>
        <w:t>However, partners identified frustration with the process itself or with the supplier identified by the extended process.</w:t>
      </w:r>
      <w:r w:rsidR="00074BE7">
        <w:rPr>
          <w:rFonts w:eastAsia="Arial"/>
        </w:rPr>
        <w:t xml:space="preserve"> </w:t>
      </w:r>
      <w:r w:rsidR="00112B76">
        <w:rPr>
          <w:rFonts w:eastAsia="Arial"/>
        </w:rPr>
        <w:t>While a new mechanism for procurement has been identified to accommodate the UN requirements outlined in the Project Document, the process requires significant support from the Ministry of Economy, which has not committed to performing this function to date.</w:t>
      </w:r>
      <w:r w:rsidR="004B0E87">
        <w:rPr>
          <w:rFonts w:eastAsia="Arial"/>
        </w:rPr>
        <w:t xml:space="preserve"> The MTE found that responsibility for the new process remains largely with UNDP. </w:t>
      </w:r>
    </w:p>
    <w:p w14:paraId="22BC5FA6" w14:textId="77777777" w:rsidR="00847D04" w:rsidRDefault="00847D04" w:rsidP="00413190">
      <w:pPr>
        <w:rPr>
          <w:rFonts w:eastAsia="Arial"/>
        </w:rPr>
      </w:pPr>
    </w:p>
    <w:p w14:paraId="496712CD" w14:textId="77777777" w:rsidR="008454A2" w:rsidRPr="00A050EB" w:rsidRDefault="008454A2" w:rsidP="00413190">
      <w:pPr>
        <w:rPr>
          <w:rFonts w:eastAsia="Arial"/>
        </w:rPr>
      </w:pPr>
    </w:p>
    <w:p w14:paraId="02390CB7" w14:textId="43BF6C82" w:rsidR="00413190" w:rsidRPr="00A050EB" w:rsidRDefault="00816A4F" w:rsidP="00413190">
      <w:pPr>
        <w:pStyle w:val="Heading3"/>
        <w:ind w:left="-504"/>
        <w:rPr>
          <w:rFonts w:eastAsia="Arial"/>
        </w:rPr>
      </w:pPr>
      <w:bookmarkStart w:id="23" w:name="_Toc12804581"/>
      <w:r>
        <w:rPr>
          <w:rFonts w:eastAsia="Arial"/>
        </w:rPr>
        <w:t xml:space="preserve">5. </w:t>
      </w:r>
      <w:r w:rsidR="00413190" w:rsidRPr="00A050EB">
        <w:rPr>
          <w:rFonts w:eastAsia="Arial"/>
        </w:rPr>
        <w:t>Partnership Strategy</w:t>
      </w:r>
      <w:bookmarkEnd w:id="23"/>
    </w:p>
    <w:p w14:paraId="61A9816D" w14:textId="7833CD15" w:rsidR="00413190" w:rsidRPr="008454A2" w:rsidRDefault="00413190" w:rsidP="00413190">
      <w:pPr>
        <w:rPr>
          <w:rFonts w:eastAsia="Arial"/>
          <w:b/>
        </w:rPr>
      </w:pPr>
      <w:r w:rsidRPr="008454A2">
        <w:rPr>
          <w:rFonts w:eastAsia="Arial"/>
          <w:b/>
        </w:rPr>
        <w:t xml:space="preserve">To what extent were partnership modalities conducive to the delivery of outputs? </w:t>
      </w:r>
    </w:p>
    <w:p w14:paraId="4D7EE53D" w14:textId="62B88349" w:rsidR="00413190" w:rsidRDefault="00413190" w:rsidP="00413190">
      <w:pPr>
        <w:rPr>
          <w:rFonts w:eastAsia="Arial"/>
        </w:rPr>
      </w:pPr>
    </w:p>
    <w:p w14:paraId="3744BC51" w14:textId="24CA3A2C" w:rsidR="00B21817" w:rsidRDefault="0091545F" w:rsidP="00413190">
      <w:pPr>
        <w:rPr>
          <w:rFonts w:eastAsia="Arial"/>
        </w:rPr>
      </w:pPr>
      <w:r>
        <w:rPr>
          <w:rFonts w:eastAsia="Arial"/>
        </w:rPr>
        <w:t>Interviews confirmed that FA2J was designed and implemented in a challenging environment for government-to-civil society partnerships.</w:t>
      </w:r>
      <w:r>
        <w:rPr>
          <w:rStyle w:val="FootnoteReference"/>
          <w:rFonts w:eastAsia="Arial"/>
        </w:rPr>
        <w:footnoteReference w:id="80"/>
      </w:r>
      <w:r>
        <w:rPr>
          <w:rFonts w:eastAsia="Arial"/>
        </w:rPr>
        <w:t xml:space="preserve"> In particular, tensions between “advocacy” focused, as opposed to “service-delivery” focused, CSOs was noted as a significant consideration in 2015. During the decade prior to the launch of FA2J, advocacy-focused CSO’s were a consistent opposition force against anti-democratic and anti-human rights trends.</w:t>
      </w:r>
      <w:r w:rsidR="00477228">
        <w:rPr>
          <w:rFonts w:eastAsia="Arial"/>
        </w:rPr>
        <w:t xml:space="preserve"> Reverberations of this period have manifested under FA2J in the form of residual distrust or frustration between certain duty bearers and some CSOs. The MTE found that government perspectives on CSOs has evolved significantly since 2015 as reflected in direct executive branch statements that the “government needs the expertise of NGOs”</w:t>
      </w:r>
      <w:r w:rsidR="00477228">
        <w:rPr>
          <w:rStyle w:val="FootnoteReference"/>
          <w:rFonts w:eastAsia="Arial"/>
        </w:rPr>
        <w:footnoteReference w:id="81"/>
      </w:r>
      <w:r w:rsidR="00477228">
        <w:rPr>
          <w:rFonts w:eastAsia="Arial"/>
        </w:rPr>
        <w:t xml:space="preserve"> and multiple CSOs reporting MOUs and Memoranda of Agreement (MOA), which differ from MOU in that they create an avenue for payments to the CSOs, in place with multiple government entities, including the Ministry of Education, Ministry of Health, and Fiji Police Force. </w:t>
      </w:r>
    </w:p>
    <w:p w14:paraId="11963AB4" w14:textId="77777777" w:rsidR="00B21817" w:rsidRDefault="00B21817" w:rsidP="00413190">
      <w:pPr>
        <w:rPr>
          <w:rFonts w:eastAsia="Arial"/>
        </w:rPr>
      </w:pPr>
    </w:p>
    <w:p w14:paraId="2CDB650A" w14:textId="32643152" w:rsidR="000233D4" w:rsidRDefault="000233D4" w:rsidP="000233D4">
      <w:pPr>
        <w:rPr>
          <w:rFonts w:eastAsia="Arial"/>
        </w:rPr>
      </w:pPr>
      <w:r>
        <w:rPr>
          <w:rFonts w:eastAsia="Arial"/>
        </w:rPr>
        <w:t>T</w:t>
      </w:r>
      <w:r w:rsidRPr="000233D4">
        <w:rPr>
          <w:rFonts w:eastAsia="Arial"/>
        </w:rPr>
        <w:t xml:space="preserve">he role of UN </w:t>
      </w:r>
      <w:r>
        <w:rPr>
          <w:rFonts w:eastAsia="Arial"/>
        </w:rPr>
        <w:t>a</w:t>
      </w:r>
      <w:r w:rsidRPr="000233D4">
        <w:rPr>
          <w:rFonts w:eastAsia="Arial"/>
        </w:rPr>
        <w:t xml:space="preserve">gencies, and UNDP specifically, were highlighted for either direct support or for supporting collaboration. However, problems specific to the FA2J were also identified. </w:t>
      </w:r>
      <w:r>
        <w:rPr>
          <w:rFonts w:eastAsia="Arial"/>
        </w:rPr>
        <w:t xml:space="preserve">Several interviewees </w:t>
      </w:r>
      <w:r w:rsidRPr="000233D4">
        <w:rPr>
          <w:rFonts w:eastAsia="Arial"/>
        </w:rPr>
        <w:t>see the government’s current support for access to justice</w:t>
      </w:r>
      <w:r>
        <w:rPr>
          <w:rFonts w:eastAsia="Arial"/>
        </w:rPr>
        <w:t xml:space="preserve"> as the result of years of advocacy by CSOs that struggled through challenging periods. For example, FDPF noted that it was only after 2016 that the government’s approach has been to say “we know that we do not have all the answers, so please help us.”</w:t>
      </w:r>
      <w:r>
        <w:rPr>
          <w:rStyle w:val="FootnoteReference"/>
          <w:rFonts w:eastAsia="Arial"/>
        </w:rPr>
        <w:footnoteReference w:id="82"/>
      </w:r>
      <w:r>
        <w:rPr>
          <w:rFonts w:eastAsia="Arial"/>
        </w:rPr>
        <w:t xml:space="preserve"> In light of this, a CSO questioned why FA2J / UNDP has not engaged with CSOs as partners from the beginning, and identified gaps in transparency that were characterized as unique to the FA2J project.</w:t>
      </w:r>
      <w:r>
        <w:rPr>
          <w:rStyle w:val="FootnoteReference"/>
          <w:rFonts w:eastAsia="Arial"/>
        </w:rPr>
        <w:footnoteReference w:id="83"/>
      </w:r>
      <w:r>
        <w:rPr>
          <w:rFonts w:eastAsia="Arial"/>
        </w:rPr>
        <w:t xml:space="preserve"> For reasons discussed above, such engagement may not have been possible during earlier phases of the project. The MTE confirmed that there are now strong relationships in place between CSOs and key duty bearers engaged with FA2J. Opportunities for increasing engagement with rights holders will contribute to building stability beyond the time frame of FA2J in addition to generating necessary progress within the project’s theory of change.</w:t>
      </w:r>
    </w:p>
    <w:p w14:paraId="7077232B" w14:textId="77777777" w:rsidR="004B53D3" w:rsidRDefault="004B53D3" w:rsidP="00E81209">
      <w:pPr>
        <w:rPr>
          <w:rFonts w:eastAsia="Arial"/>
        </w:rPr>
      </w:pPr>
    </w:p>
    <w:p w14:paraId="762E6F75" w14:textId="258D17AB" w:rsidR="00E81209" w:rsidRDefault="00477228" w:rsidP="00E81209">
      <w:pPr>
        <w:rPr>
          <w:rFonts w:eastAsia="Arial"/>
        </w:rPr>
      </w:pPr>
      <w:r>
        <w:rPr>
          <w:rFonts w:eastAsia="Arial"/>
        </w:rPr>
        <w:lastRenderedPageBreak/>
        <w:t xml:space="preserve">In late 2018 FA2J actively </w:t>
      </w:r>
      <w:r w:rsidR="00B21817">
        <w:rPr>
          <w:rFonts w:eastAsia="Arial"/>
        </w:rPr>
        <w:t>initiated additional engagement with CSOs through a grant mechanism and other efforts supported by the EU.</w:t>
      </w:r>
      <w:r w:rsidR="00B21817">
        <w:rPr>
          <w:rStyle w:val="FootnoteReference"/>
          <w:rFonts w:eastAsia="Arial"/>
        </w:rPr>
        <w:footnoteReference w:id="84"/>
      </w:r>
      <w:r w:rsidR="00B21817">
        <w:rPr>
          <w:rFonts w:eastAsia="Arial"/>
        </w:rPr>
        <w:t xml:space="preserve"> As of 31 March 2019, CSOs have not been integrated into FA2J implementation or decision-making structures, and steps outlined in the Project Document relating to the creation of networks of CSOs have not progressed. During the review period, therefore, important individual linkages between FA2J duty-bearers  and CSOs have strengthened, however the </w:t>
      </w:r>
      <w:r w:rsidR="00F116DB">
        <w:rPr>
          <w:rFonts w:eastAsia="Arial"/>
        </w:rPr>
        <w:t xml:space="preserve">modalities necessary to coordinate </w:t>
      </w:r>
      <w:r w:rsidR="00B21817">
        <w:rPr>
          <w:rFonts w:eastAsia="Arial"/>
        </w:rPr>
        <w:t xml:space="preserve">output level </w:t>
      </w:r>
      <w:r w:rsidR="00D129C8">
        <w:rPr>
          <w:rFonts w:eastAsia="Arial"/>
        </w:rPr>
        <w:t xml:space="preserve">progress </w:t>
      </w:r>
      <w:r w:rsidR="00B21817">
        <w:rPr>
          <w:rFonts w:eastAsia="Arial"/>
        </w:rPr>
        <w:t xml:space="preserve"> have not manifested. </w:t>
      </w:r>
    </w:p>
    <w:p w14:paraId="60D4A0B4" w14:textId="77777777" w:rsidR="00E81209" w:rsidRDefault="00E81209" w:rsidP="00E81209">
      <w:pPr>
        <w:rPr>
          <w:rFonts w:eastAsia="Arial"/>
        </w:rPr>
      </w:pPr>
    </w:p>
    <w:p w14:paraId="580C6D3C" w14:textId="081F914D" w:rsidR="00E81209" w:rsidRDefault="00E81209" w:rsidP="00E81209">
      <w:pPr>
        <w:rPr>
          <w:rFonts w:eastAsia="Arial"/>
        </w:rPr>
      </w:pPr>
      <w:r>
        <w:rPr>
          <w:rFonts w:eastAsia="Arial"/>
        </w:rPr>
        <w:t>In light of this, the MTE noted that important assessments and opinions created outside of the government during the review period do not have a collaborative, mutually respectful, avenue for government-partner engagement within the scope of FA2J. Such a mechanism is needed for decision makers to review and respond to external assessments, share internal data transparently</w:t>
      </w:r>
      <w:r w:rsidR="00F634E3">
        <w:rPr>
          <w:rFonts w:eastAsia="Arial"/>
        </w:rPr>
        <w:t xml:space="preserve"> in the best interest of beneficiaries, and receive external data that can assist with strategic review. </w:t>
      </w:r>
      <w:r>
        <w:rPr>
          <w:rFonts w:eastAsia="Arial"/>
        </w:rPr>
        <w:t xml:space="preserve">FA2J, through facilitated discussions at the PB level, is in a position to identify effective and collaborative approaches to integrating the review of assessments or other contributions in a manner that aligns with existing time frames and efforts as required by the Ministry of Economy. </w:t>
      </w:r>
    </w:p>
    <w:p w14:paraId="5E263805" w14:textId="77777777" w:rsidR="00477228" w:rsidRDefault="00477228" w:rsidP="00413190">
      <w:pPr>
        <w:rPr>
          <w:rFonts w:eastAsia="Arial"/>
        </w:rPr>
      </w:pPr>
    </w:p>
    <w:p w14:paraId="1D907661" w14:textId="07B8E44C" w:rsidR="0091545F" w:rsidRDefault="0091545F" w:rsidP="00413190">
      <w:pPr>
        <w:rPr>
          <w:rFonts w:eastAsia="Arial"/>
        </w:rPr>
      </w:pPr>
      <w:r>
        <w:rPr>
          <w:rFonts w:eastAsia="Arial"/>
        </w:rPr>
        <w:t xml:space="preserve">In 2018, new systems for coordination between UN Agencies were </w:t>
      </w:r>
      <w:r w:rsidR="00B21817">
        <w:rPr>
          <w:rFonts w:eastAsia="Arial"/>
        </w:rPr>
        <w:t xml:space="preserve">developed in support of the </w:t>
      </w:r>
      <w:r w:rsidR="00E81209">
        <w:rPr>
          <w:rFonts w:eastAsia="Arial"/>
        </w:rPr>
        <w:t xml:space="preserve">2018-22 regional strategy launched by the </w:t>
      </w:r>
      <w:r w:rsidR="00E81209" w:rsidRPr="00E81209">
        <w:rPr>
          <w:rFonts w:eastAsia="Arial"/>
        </w:rPr>
        <w:t xml:space="preserve">United </w:t>
      </w:r>
      <w:r w:rsidR="00E81209">
        <w:rPr>
          <w:rFonts w:eastAsia="Arial"/>
        </w:rPr>
        <w:t>N</w:t>
      </w:r>
      <w:r w:rsidR="00E81209" w:rsidRPr="00E81209">
        <w:rPr>
          <w:rFonts w:eastAsia="Arial"/>
        </w:rPr>
        <w:t>ations</w:t>
      </w:r>
      <w:r w:rsidR="00E81209">
        <w:rPr>
          <w:rFonts w:eastAsia="Arial"/>
        </w:rPr>
        <w:t xml:space="preserve"> for the </w:t>
      </w:r>
      <w:r w:rsidR="00E81209" w:rsidRPr="00E81209">
        <w:rPr>
          <w:rFonts w:eastAsia="Arial"/>
        </w:rPr>
        <w:t>Pacific</w:t>
      </w:r>
      <w:r w:rsidR="00E81209">
        <w:rPr>
          <w:rFonts w:eastAsia="Arial"/>
        </w:rPr>
        <w:t>.</w:t>
      </w:r>
      <w:r w:rsidR="00E81209">
        <w:rPr>
          <w:rStyle w:val="FootnoteReference"/>
          <w:rFonts w:eastAsia="Arial"/>
        </w:rPr>
        <w:footnoteReference w:id="85"/>
      </w:r>
      <w:r w:rsidR="00E81209">
        <w:rPr>
          <w:rFonts w:eastAsia="Arial"/>
        </w:rPr>
        <w:t xml:space="preserve"> </w:t>
      </w:r>
      <w:r w:rsidR="00F634E3">
        <w:rPr>
          <w:rFonts w:eastAsia="Arial"/>
        </w:rPr>
        <w:t>In support of the regional strategy, the UN established a senior Coordination Committee with six output-level sub-committees to facilitate agency engagement. FA2J reportedly struggled to establish collaborative relationships with some agencies during its design phase, however</w:t>
      </w:r>
      <w:r w:rsidR="00806EE7">
        <w:rPr>
          <w:rFonts w:eastAsia="Arial"/>
        </w:rPr>
        <w:t xml:space="preserve"> interviews with UNDP and partners noted</w:t>
      </w:r>
      <w:r w:rsidR="00F634E3">
        <w:rPr>
          <w:rFonts w:eastAsia="Arial"/>
        </w:rPr>
        <w:t xml:space="preserve"> </w:t>
      </w:r>
      <w:r w:rsidR="00806EE7">
        <w:rPr>
          <w:rFonts w:eastAsia="Arial"/>
        </w:rPr>
        <w:t>i</w:t>
      </w:r>
      <w:r w:rsidR="00F634E3">
        <w:rPr>
          <w:rFonts w:eastAsia="Arial"/>
        </w:rPr>
        <w:t xml:space="preserve">mproved coordination </w:t>
      </w:r>
      <w:r w:rsidR="00806EE7">
        <w:rPr>
          <w:rFonts w:eastAsia="Arial"/>
        </w:rPr>
        <w:t>as the project progressed.</w:t>
      </w:r>
      <w:r w:rsidR="00F634E3">
        <w:rPr>
          <w:rStyle w:val="FootnoteReference"/>
          <w:rFonts w:eastAsia="Arial"/>
        </w:rPr>
        <w:footnoteReference w:id="86"/>
      </w:r>
      <w:r w:rsidR="00F634E3">
        <w:rPr>
          <w:rFonts w:eastAsia="Arial"/>
        </w:rPr>
        <w:t xml:space="preserve"> The Output 2 (Gender Equality) and Output 5 (Governance and Community Engagement – including access to justice) sub-committees are not yet operating </w:t>
      </w:r>
      <w:r w:rsidR="00C52853">
        <w:rPr>
          <w:rFonts w:eastAsia="Arial"/>
        </w:rPr>
        <w:t>at full capacity. As FA2J moves forward these Output groups may be useful during the adaptation of M&amp;E frameworks, review of assessments, and other processes to address EU, CSO, and agency concerns about FA2J’s engagement with gender.</w:t>
      </w:r>
    </w:p>
    <w:p w14:paraId="64342BFC" w14:textId="40885304" w:rsidR="00C52853" w:rsidRDefault="00C52853" w:rsidP="00413190">
      <w:pPr>
        <w:rPr>
          <w:rFonts w:eastAsia="Arial"/>
        </w:rPr>
      </w:pPr>
    </w:p>
    <w:p w14:paraId="188FBFF4" w14:textId="77777777" w:rsidR="00795498" w:rsidRPr="00A050EB" w:rsidRDefault="00795498" w:rsidP="00413190">
      <w:pPr>
        <w:rPr>
          <w:rFonts w:eastAsia="Arial"/>
        </w:rPr>
      </w:pPr>
    </w:p>
    <w:p w14:paraId="182D44BB" w14:textId="734DBE84" w:rsidR="00413190" w:rsidRPr="00A050EB" w:rsidRDefault="00816A4F" w:rsidP="00413190">
      <w:pPr>
        <w:pStyle w:val="Heading3"/>
        <w:ind w:left="-504"/>
        <w:rPr>
          <w:rFonts w:eastAsia="Arial"/>
        </w:rPr>
      </w:pPr>
      <w:bookmarkStart w:id="24" w:name="_Toc12804582"/>
      <w:r>
        <w:rPr>
          <w:rFonts w:eastAsia="Arial"/>
        </w:rPr>
        <w:t xml:space="preserve">6. </w:t>
      </w:r>
      <w:r w:rsidR="00413190" w:rsidRPr="00A050EB">
        <w:rPr>
          <w:rFonts w:eastAsia="Arial"/>
        </w:rPr>
        <w:t>Impact</w:t>
      </w:r>
      <w:bookmarkEnd w:id="24"/>
    </w:p>
    <w:p w14:paraId="1BB27F2B" w14:textId="2B2C6D6F" w:rsidR="00413190" w:rsidRPr="00816A4F" w:rsidRDefault="00413190" w:rsidP="00413190">
      <w:pPr>
        <w:rPr>
          <w:rFonts w:eastAsia="Arial"/>
          <w:b/>
        </w:rPr>
      </w:pPr>
      <w:r w:rsidRPr="00816A4F">
        <w:rPr>
          <w:rFonts w:eastAsia="Arial"/>
          <w:b/>
        </w:rPr>
        <w:t xml:space="preserve">Is the FA2J project progressing against its stated </w:t>
      </w:r>
      <w:r w:rsidRPr="00BD62FA">
        <w:rPr>
          <w:rFonts w:eastAsia="Arial"/>
          <w:b/>
        </w:rPr>
        <w:t>or other implied outcomes</w:t>
      </w:r>
      <w:r w:rsidRPr="00816A4F">
        <w:rPr>
          <w:rFonts w:eastAsia="Arial"/>
          <w:b/>
        </w:rPr>
        <w:t>?</w:t>
      </w:r>
    </w:p>
    <w:p w14:paraId="6D54A6B4" w14:textId="08C1FB91" w:rsidR="00413190" w:rsidRDefault="00413190" w:rsidP="00413190">
      <w:pPr>
        <w:rPr>
          <w:rFonts w:eastAsia="Arial"/>
        </w:rPr>
      </w:pPr>
    </w:p>
    <w:p w14:paraId="14DCA4DF" w14:textId="028F8FD2" w:rsidR="00336097" w:rsidRDefault="00336097" w:rsidP="00413190">
      <w:pPr>
        <w:rPr>
          <w:rFonts w:eastAsia="Arial"/>
        </w:rPr>
      </w:pPr>
      <w:r>
        <w:rPr>
          <w:rFonts w:eastAsia="Arial"/>
        </w:rPr>
        <w:t>The MTE found that FA2J reporting accurately captures activity level progress. As discussed above, the activity level progress has not delivered planned outputs to date. In light of this, the MTE is not able to assess progress against the outcome level</w:t>
      </w:r>
      <w:r w:rsidR="000233D4">
        <w:rPr>
          <w:rFonts w:eastAsia="Arial"/>
        </w:rPr>
        <w:t xml:space="preserve"> targets</w:t>
      </w:r>
      <w:r>
        <w:rPr>
          <w:rFonts w:eastAsia="Arial"/>
        </w:rPr>
        <w:t xml:space="preserve">. At the </w:t>
      </w:r>
      <w:r w:rsidR="000233D4">
        <w:rPr>
          <w:rFonts w:eastAsia="Arial"/>
        </w:rPr>
        <w:t xml:space="preserve">project’s </w:t>
      </w:r>
      <w:r>
        <w:rPr>
          <w:rFonts w:eastAsia="Arial"/>
        </w:rPr>
        <w:t>mid-point, the risk</w:t>
      </w:r>
      <w:r w:rsidR="000233D4">
        <w:rPr>
          <w:rFonts w:eastAsia="Arial"/>
        </w:rPr>
        <w:t xml:space="preserve"> of</w:t>
      </w:r>
      <w:r>
        <w:rPr>
          <w:rFonts w:eastAsia="Arial"/>
        </w:rPr>
        <w:t xml:space="preserve"> FA2J </w:t>
      </w:r>
      <w:r w:rsidR="000233D4">
        <w:rPr>
          <w:rFonts w:eastAsia="Arial"/>
        </w:rPr>
        <w:t xml:space="preserve">not </w:t>
      </w:r>
      <w:r>
        <w:rPr>
          <w:rFonts w:eastAsia="Arial"/>
        </w:rPr>
        <w:t>meeting outcome targets is high. Changes to implementation and partnership approaches</w:t>
      </w:r>
      <w:r w:rsidR="00336EF8">
        <w:rPr>
          <w:rFonts w:eastAsia="Arial"/>
        </w:rPr>
        <w:t xml:space="preserve"> </w:t>
      </w:r>
      <w:r w:rsidR="000233D4">
        <w:rPr>
          <w:rFonts w:eastAsia="Arial"/>
        </w:rPr>
        <w:t xml:space="preserve">are needed to </w:t>
      </w:r>
      <w:r w:rsidR="00336EF8">
        <w:rPr>
          <w:rFonts w:eastAsia="Arial"/>
        </w:rPr>
        <w:t>mitigate this risk</w:t>
      </w:r>
      <w:r>
        <w:rPr>
          <w:rFonts w:eastAsia="Arial"/>
        </w:rPr>
        <w:t xml:space="preserve">.  </w:t>
      </w:r>
    </w:p>
    <w:p w14:paraId="2CE3225C" w14:textId="20A9EA75" w:rsidR="00336097" w:rsidRDefault="00336097" w:rsidP="00413190">
      <w:pPr>
        <w:rPr>
          <w:rFonts w:eastAsia="Arial"/>
        </w:rPr>
      </w:pPr>
    </w:p>
    <w:p w14:paraId="638C42DF" w14:textId="3A3464B9" w:rsidR="00413190" w:rsidRPr="00A050EB" w:rsidRDefault="00816A4F" w:rsidP="00413190">
      <w:pPr>
        <w:pStyle w:val="Heading3"/>
        <w:ind w:left="-504"/>
        <w:rPr>
          <w:rFonts w:eastAsia="Arial"/>
        </w:rPr>
      </w:pPr>
      <w:bookmarkStart w:id="25" w:name="_Toc12804583"/>
      <w:r>
        <w:rPr>
          <w:rFonts w:eastAsia="Arial"/>
        </w:rPr>
        <w:t xml:space="preserve">7. </w:t>
      </w:r>
      <w:r w:rsidR="00413190" w:rsidRPr="00A050EB">
        <w:rPr>
          <w:rFonts w:eastAsia="Arial"/>
        </w:rPr>
        <w:t>Gender</w:t>
      </w:r>
      <w:bookmarkEnd w:id="25"/>
    </w:p>
    <w:p w14:paraId="16EE4C0A" w14:textId="418693A0" w:rsidR="00413190" w:rsidRPr="00816A4F" w:rsidRDefault="00413190" w:rsidP="00413190">
      <w:pPr>
        <w:rPr>
          <w:rFonts w:eastAsia="Arial"/>
          <w:b/>
        </w:rPr>
      </w:pPr>
      <w:r w:rsidRPr="00816A4F">
        <w:rPr>
          <w:rFonts w:eastAsia="Arial"/>
          <w:b/>
        </w:rPr>
        <w:t xml:space="preserve">To what extent has gender been addressed in the design, implementation, and monitoring of Access to Justice interventions and is gender marker data assigned to this project representative of reality? </w:t>
      </w:r>
    </w:p>
    <w:p w14:paraId="32AD3D7F" w14:textId="679582BA" w:rsidR="00413190" w:rsidRDefault="00413190" w:rsidP="00413190">
      <w:pPr>
        <w:rPr>
          <w:rFonts w:eastAsia="Arial"/>
        </w:rPr>
      </w:pPr>
    </w:p>
    <w:p w14:paraId="7A86D6CB" w14:textId="61EBFFF8" w:rsidR="00CF50F1" w:rsidRDefault="00CF50F1" w:rsidP="00413190">
      <w:pPr>
        <w:rPr>
          <w:rFonts w:eastAsia="Arial"/>
        </w:rPr>
      </w:pPr>
      <w:r>
        <w:rPr>
          <w:rFonts w:eastAsia="Arial"/>
        </w:rPr>
        <w:t>The FA2J Description of Action</w:t>
      </w:r>
      <w:r>
        <w:rPr>
          <w:rStyle w:val="FootnoteReference"/>
          <w:rFonts w:eastAsia="Arial"/>
        </w:rPr>
        <w:footnoteReference w:id="87"/>
      </w:r>
      <w:r>
        <w:rPr>
          <w:rFonts w:eastAsia="Arial"/>
        </w:rPr>
        <w:t xml:space="preserve"> and Project Documents include substantial attention to gender dynamics within institutions, such as disaggregated data on staffing within duty bearers, within crime statistics, such as the prevalence of gender based violence, and as an anticipated factor affecting access to justice. The Financing Agreement for the FA2J project similarly identifies a focus on women as a distinct target group</w:t>
      </w:r>
      <w:r w:rsidR="00AD517C">
        <w:rPr>
          <w:rFonts w:eastAsia="Arial"/>
        </w:rPr>
        <w:t xml:space="preserve"> for project efforts in support of NGO/LAC efforts.</w:t>
      </w:r>
      <w:r w:rsidR="00AD517C">
        <w:rPr>
          <w:rStyle w:val="FootnoteReference"/>
          <w:rFonts w:eastAsia="Arial"/>
        </w:rPr>
        <w:footnoteReference w:id="88"/>
      </w:r>
    </w:p>
    <w:p w14:paraId="35C7B4F2" w14:textId="49757850" w:rsidR="00AD517C" w:rsidRDefault="00AD517C" w:rsidP="00413190">
      <w:pPr>
        <w:rPr>
          <w:rFonts w:eastAsia="Arial"/>
        </w:rPr>
      </w:pPr>
    </w:p>
    <w:p w14:paraId="3A956B15" w14:textId="577C46F1" w:rsidR="00AD517C" w:rsidRDefault="00AD517C" w:rsidP="00413190">
      <w:pPr>
        <w:rPr>
          <w:rFonts w:eastAsia="Arial"/>
        </w:rPr>
      </w:pPr>
      <w:r>
        <w:rPr>
          <w:rFonts w:eastAsia="Arial"/>
        </w:rPr>
        <w:lastRenderedPageBreak/>
        <w:t xml:space="preserve">Several interviewees suggested that design efforts were not sufficiently </w:t>
      </w:r>
      <w:r w:rsidR="007F459B">
        <w:rPr>
          <w:rFonts w:eastAsia="Arial"/>
        </w:rPr>
        <w:t>robust in the treatment of gender.</w:t>
      </w:r>
      <w:r w:rsidR="007F459B">
        <w:rPr>
          <w:rStyle w:val="FootnoteReference"/>
          <w:rFonts w:eastAsia="Arial"/>
        </w:rPr>
        <w:footnoteReference w:id="89"/>
      </w:r>
      <w:r w:rsidR="007F459B">
        <w:rPr>
          <w:rFonts w:eastAsia="Arial"/>
        </w:rPr>
        <w:t xml:space="preserve"> The MTE review suggests that while space for deeper engagement with gender was created during the design, the lack of clear, research-based guidance in 2015-16 led partners to postpone the clarification of gender focused initiatives and targets until after the inception phase. As outlined above, cascading delays in the completion of some activities muddied the implementation logic. The issues highlighted under the Effectiveness and Efficiency criteria, above, directly affected FA2J’s attention to gender issues during implementation. Specifically, alternative modalities were not identified with the Project Board when </w:t>
      </w:r>
      <w:r w:rsidR="00F14364">
        <w:rPr>
          <w:rFonts w:eastAsia="Arial"/>
        </w:rPr>
        <w:t xml:space="preserve">delivery of </w:t>
      </w:r>
      <w:r w:rsidR="007F459B">
        <w:rPr>
          <w:rFonts w:eastAsia="Arial"/>
        </w:rPr>
        <w:t xml:space="preserve">planned activities, such as the Assessment of Access to Justice in Fiji, </w:t>
      </w:r>
      <w:r w:rsidR="00F14364">
        <w:rPr>
          <w:rFonts w:eastAsia="Arial"/>
        </w:rPr>
        <w:t xml:space="preserve">extended past </w:t>
      </w:r>
      <w:r w:rsidR="00F42BEB">
        <w:rPr>
          <w:rFonts w:eastAsia="Arial"/>
        </w:rPr>
        <w:t xml:space="preserve">their </w:t>
      </w:r>
      <w:r w:rsidR="00F14364">
        <w:rPr>
          <w:rFonts w:eastAsia="Arial"/>
        </w:rPr>
        <w:t>original</w:t>
      </w:r>
      <w:r w:rsidR="007F459B">
        <w:rPr>
          <w:rFonts w:eastAsia="Arial"/>
        </w:rPr>
        <w:t xml:space="preserve"> time parameter</w:t>
      </w:r>
      <w:r w:rsidR="00F42BEB">
        <w:rPr>
          <w:rFonts w:eastAsia="Arial"/>
        </w:rPr>
        <w:t>s</w:t>
      </w:r>
      <w:r w:rsidR="00F14364">
        <w:rPr>
          <w:rFonts w:eastAsia="Arial"/>
        </w:rPr>
        <w:t xml:space="preserve">. FA2J also did not identify </w:t>
      </w:r>
      <w:r w:rsidR="007F459B">
        <w:rPr>
          <w:rFonts w:eastAsia="Arial"/>
        </w:rPr>
        <w:t>alternative options for refining indicators</w:t>
      </w:r>
      <w:r w:rsidR="00F14364">
        <w:rPr>
          <w:rFonts w:eastAsia="Arial"/>
        </w:rPr>
        <w:t>, such as using external reports like Balancing the Scales (2018),</w:t>
      </w:r>
      <w:r w:rsidR="007F459B">
        <w:rPr>
          <w:rFonts w:eastAsia="Arial"/>
        </w:rPr>
        <w:t xml:space="preserve"> as envisaged in the Financing Agreement and Project Document M&amp;E frameworks</w:t>
      </w:r>
      <w:r w:rsidR="00F14364">
        <w:rPr>
          <w:rFonts w:eastAsia="Arial"/>
        </w:rPr>
        <w:t xml:space="preserve">. </w:t>
      </w:r>
      <w:r w:rsidR="007F459B">
        <w:rPr>
          <w:rFonts w:eastAsia="Arial"/>
        </w:rPr>
        <w:t xml:space="preserve"> </w:t>
      </w:r>
    </w:p>
    <w:p w14:paraId="7C1B5B18" w14:textId="4082AD64" w:rsidR="00F14364" w:rsidRDefault="00F14364" w:rsidP="00413190">
      <w:pPr>
        <w:rPr>
          <w:rFonts w:eastAsia="Arial"/>
        </w:rPr>
      </w:pPr>
    </w:p>
    <w:p w14:paraId="67D98B6B" w14:textId="77777777" w:rsidR="00CF50F1" w:rsidRPr="00A050EB" w:rsidRDefault="00CF50F1" w:rsidP="00413190">
      <w:pPr>
        <w:rPr>
          <w:rFonts w:eastAsia="Arial"/>
        </w:rPr>
      </w:pPr>
    </w:p>
    <w:p w14:paraId="3B1D0BE0" w14:textId="03C8B62E" w:rsidR="00413190" w:rsidRPr="00A050EB" w:rsidRDefault="00816A4F" w:rsidP="00413190">
      <w:pPr>
        <w:pStyle w:val="Heading3"/>
        <w:ind w:left="-504"/>
        <w:rPr>
          <w:rFonts w:eastAsia="Arial"/>
        </w:rPr>
      </w:pPr>
      <w:bookmarkStart w:id="26" w:name="_Toc12804584"/>
      <w:r>
        <w:rPr>
          <w:rFonts w:eastAsia="Arial"/>
        </w:rPr>
        <w:t xml:space="preserve">8. </w:t>
      </w:r>
      <w:r w:rsidR="00413190" w:rsidRPr="00A050EB">
        <w:rPr>
          <w:rFonts w:eastAsia="Arial"/>
        </w:rPr>
        <w:t>Social Inclusion</w:t>
      </w:r>
      <w:bookmarkEnd w:id="26"/>
      <w:r w:rsidR="00413190" w:rsidRPr="00A050EB">
        <w:rPr>
          <w:rFonts w:eastAsia="Arial"/>
        </w:rPr>
        <w:t xml:space="preserve"> </w:t>
      </w:r>
      <w:r w:rsidR="00413190" w:rsidRPr="00A050EB">
        <w:rPr>
          <w:rFonts w:eastAsia="Arial"/>
        </w:rPr>
        <w:tab/>
      </w:r>
    </w:p>
    <w:p w14:paraId="645D68F0" w14:textId="6C780763" w:rsidR="00413190" w:rsidRPr="00816A4F" w:rsidRDefault="00413190" w:rsidP="00413190">
      <w:pPr>
        <w:rPr>
          <w:rFonts w:eastAsia="Arial"/>
          <w:b/>
        </w:rPr>
      </w:pPr>
      <w:r w:rsidRPr="00816A4F">
        <w:rPr>
          <w:rFonts w:eastAsia="Arial"/>
          <w:b/>
        </w:rPr>
        <w:t xml:space="preserve">How did the project consider the plight and needs of the vulnerable and disadvantaged to promote social equity, for example, women, youth, persons with mental or physical challenges? </w:t>
      </w:r>
    </w:p>
    <w:p w14:paraId="6280162B" w14:textId="1CAE70C6" w:rsidR="000E59D5" w:rsidRDefault="000E59D5" w:rsidP="000357A0">
      <w:pPr>
        <w:rPr>
          <w:rFonts w:asciiTheme="majorHAnsi" w:eastAsia="Arial" w:hAnsiTheme="majorHAnsi" w:cstheme="majorBidi"/>
          <w:color w:val="2F5496" w:themeColor="accent1" w:themeShade="BF"/>
          <w:sz w:val="32"/>
          <w:szCs w:val="32"/>
        </w:rPr>
      </w:pPr>
    </w:p>
    <w:p w14:paraId="0F7E03C8" w14:textId="1843C5B7" w:rsidR="000E59D5" w:rsidRDefault="000E59D5" w:rsidP="000E59D5">
      <w:pPr>
        <w:rPr>
          <w:rFonts w:eastAsia="Arial"/>
        </w:rPr>
      </w:pPr>
      <w:r>
        <w:rPr>
          <w:rFonts w:eastAsia="Arial"/>
        </w:rPr>
        <w:t>The MTE exercise suggests that social inclusion and gender dimensions were treated similarly during design and implementation. The FA2J Description of Action</w:t>
      </w:r>
      <w:r>
        <w:rPr>
          <w:rStyle w:val="FootnoteReference"/>
          <w:rFonts w:eastAsia="Arial"/>
        </w:rPr>
        <w:footnoteReference w:id="90"/>
      </w:r>
      <w:r>
        <w:rPr>
          <w:rFonts w:eastAsia="Arial"/>
        </w:rPr>
        <w:t xml:space="preserve">, FA2J Project Document, and the Financing Agreement for the FA2J project all identify an intended focus on vulnerable and disadvantaged populations within Fiji. Specific targets and </w:t>
      </w:r>
      <w:r w:rsidR="00995439">
        <w:rPr>
          <w:rFonts w:eastAsia="Arial"/>
        </w:rPr>
        <w:t xml:space="preserve">systems for this focus, however, were left for definition after the completion of baselines and the creation of pilot networks for CSO/LAC outreach and accompaniment services. </w:t>
      </w:r>
    </w:p>
    <w:p w14:paraId="3E392169" w14:textId="77777777" w:rsidR="000E59D5" w:rsidRDefault="000E59D5" w:rsidP="000E59D5">
      <w:pPr>
        <w:rPr>
          <w:rFonts w:eastAsia="Arial"/>
        </w:rPr>
      </w:pPr>
    </w:p>
    <w:p w14:paraId="6B2927D4" w14:textId="3ACF72C1" w:rsidR="000E59D5" w:rsidRPr="00D26447" w:rsidRDefault="000E59D5" w:rsidP="000E59D5">
      <w:pPr>
        <w:rPr>
          <w:rFonts w:eastAsia="Arial"/>
        </w:rPr>
      </w:pPr>
      <w:r>
        <w:rPr>
          <w:rFonts w:eastAsia="Arial"/>
        </w:rPr>
        <w:t xml:space="preserve">At the time of the MTE, the draft Assessment of Access to Justice in Fiji had identified people with mental or physical challenges and women as recommended focus populations for deeper engagement, and the FA2J had issued a grant to the </w:t>
      </w:r>
      <w:r w:rsidR="00995439">
        <w:rPr>
          <w:rFonts w:eastAsia="Arial"/>
        </w:rPr>
        <w:t xml:space="preserve">Fiji Disabled People’s Federation, which is in a scoping phase through June 2019. </w:t>
      </w:r>
    </w:p>
    <w:p w14:paraId="2692DA05" w14:textId="6AC2C7FB" w:rsidR="00D26447" w:rsidRPr="00D26447" w:rsidRDefault="00D26447" w:rsidP="000357A0">
      <w:pPr>
        <w:rPr>
          <w:rFonts w:asciiTheme="majorHAnsi" w:eastAsia="Arial" w:hAnsiTheme="majorHAnsi" w:cstheme="majorBidi"/>
          <w:color w:val="2F5496" w:themeColor="accent1" w:themeShade="BF"/>
          <w:sz w:val="32"/>
          <w:szCs w:val="32"/>
        </w:rPr>
      </w:pPr>
    </w:p>
    <w:p w14:paraId="556D648F" w14:textId="77777777" w:rsidR="00074BE7" w:rsidRDefault="00074BE7" w:rsidP="00413190">
      <w:pPr>
        <w:rPr>
          <w:rFonts w:asciiTheme="majorHAnsi" w:eastAsia="Arial" w:hAnsiTheme="majorHAnsi" w:cstheme="majorBidi"/>
          <w:color w:val="2F5496" w:themeColor="accent1" w:themeShade="BF"/>
          <w:sz w:val="32"/>
          <w:szCs w:val="32"/>
        </w:rPr>
      </w:pPr>
      <w:r>
        <w:rPr>
          <w:rFonts w:asciiTheme="majorHAnsi" w:eastAsia="Arial" w:hAnsiTheme="majorHAnsi" w:cstheme="majorBidi"/>
          <w:color w:val="2F5496" w:themeColor="accent1" w:themeShade="BF"/>
          <w:sz w:val="32"/>
          <w:szCs w:val="32"/>
        </w:rPr>
        <w:br w:type="page"/>
      </w:r>
    </w:p>
    <w:p w14:paraId="4D7EE40A" w14:textId="7D7A3C6F" w:rsidR="00D26447" w:rsidRPr="00413190" w:rsidRDefault="00413190" w:rsidP="00413190">
      <w:pPr>
        <w:rPr>
          <w:rFonts w:asciiTheme="majorHAnsi" w:eastAsia="Arial" w:hAnsiTheme="majorHAnsi" w:cstheme="majorBidi"/>
          <w:color w:val="2F5496" w:themeColor="accent1" w:themeShade="BF"/>
          <w:sz w:val="32"/>
          <w:szCs w:val="32"/>
        </w:rPr>
      </w:pPr>
      <w:r>
        <w:rPr>
          <w:rFonts w:asciiTheme="majorHAnsi" w:eastAsia="Arial" w:hAnsiTheme="majorHAnsi" w:cstheme="majorBidi"/>
          <w:color w:val="2F5496" w:themeColor="accent1" w:themeShade="BF"/>
          <w:sz w:val="32"/>
          <w:szCs w:val="32"/>
        </w:rPr>
        <w:lastRenderedPageBreak/>
        <w:t xml:space="preserve">Chapter 5: </w:t>
      </w:r>
      <w:r w:rsidR="00D26447" w:rsidRPr="00413190">
        <w:rPr>
          <w:rFonts w:asciiTheme="majorHAnsi" w:eastAsia="Arial" w:hAnsiTheme="majorHAnsi" w:cstheme="majorBidi"/>
          <w:color w:val="2F5496" w:themeColor="accent1" w:themeShade="BF"/>
          <w:sz w:val="32"/>
          <w:szCs w:val="32"/>
        </w:rPr>
        <w:t>Conclusions and Recommendations</w:t>
      </w:r>
    </w:p>
    <w:p w14:paraId="2CBD4B14" w14:textId="0F8BF5DB" w:rsidR="000357A0" w:rsidRDefault="000357A0" w:rsidP="000357A0">
      <w:pPr>
        <w:rPr>
          <w:rFonts w:eastAsia="Arial"/>
        </w:rPr>
      </w:pPr>
    </w:p>
    <w:p w14:paraId="07637E52" w14:textId="27007EC6" w:rsidR="00411668" w:rsidRDefault="00411668" w:rsidP="00411668">
      <w:pPr>
        <w:pStyle w:val="Heading3"/>
        <w:rPr>
          <w:rFonts w:eastAsia="Arial"/>
        </w:rPr>
      </w:pPr>
      <w:bookmarkStart w:id="27" w:name="_Toc12804585"/>
      <w:r>
        <w:rPr>
          <w:rFonts w:eastAsia="Arial"/>
        </w:rPr>
        <w:t>Conclusions</w:t>
      </w:r>
      <w:bookmarkEnd w:id="27"/>
    </w:p>
    <w:p w14:paraId="590C36B6" w14:textId="77777777" w:rsidR="00411668" w:rsidRPr="00411668" w:rsidRDefault="00411668" w:rsidP="00411668">
      <w:pPr>
        <w:rPr>
          <w:rFonts w:eastAsia="Arial"/>
        </w:rPr>
      </w:pPr>
    </w:p>
    <w:p w14:paraId="19671F7C" w14:textId="1C3DE6C4" w:rsidR="005E090F" w:rsidRPr="0031544E" w:rsidRDefault="005E090F" w:rsidP="00F02BFC">
      <w:pPr>
        <w:pStyle w:val="ListParagraph"/>
        <w:numPr>
          <w:ilvl w:val="0"/>
          <w:numId w:val="22"/>
        </w:numPr>
        <w:rPr>
          <w:rFonts w:eastAsia="Arial"/>
        </w:rPr>
      </w:pPr>
      <w:r w:rsidRPr="0031544E">
        <w:rPr>
          <w:rFonts w:eastAsia="Arial"/>
        </w:rPr>
        <w:t>While government support is strong, as demonstrated by the NDP and partner affirmations of consistent budget support, external assistance is warranted and timely as the level of demand challenges historic systems and structures in both scope and complexity.</w:t>
      </w:r>
      <w:r>
        <w:rPr>
          <w:rStyle w:val="FootnoteReference"/>
          <w:rFonts w:eastAsia="Arial"/>
        </w:rPr>
        <w:footnoteReference w:id="91"/>
      </w:r>
      <w:r w:rsidRPr="0031544E">
        <w:rPr>
          <w:rFonts w:eastAsia="Arial"/>
        </w:rPr>
        <w:t xml:space="preserve"> </w:t>
      </w:r>
      <w:r w:rsidR="005E3630">
        <w:rPr>
          <w:rFonts w:eastAsia="Arial"/>
        </w:rPr>
        <w:t xml:space="preserve">International support to </w:t>
      </w:r>
      <w:r w:rsidR="00074BE7" w:rsidRPr="0031544E">
        <w:rPr>
          <w:rFonts w:eastAsia="Arial"/>
        </w:rPr>
        <w:t xml:space="preserve">access to justice issues can assist partners in identifying and addressing gaps collaboratively. </w:t>
      </w:r>
      <w:r w:rsidR="00AD7A04" w:rsidRPr="0031544E">
        <w:rPr>
          <w:rFonts w:eastAsia="Arial"/>
        </w:rPr>
        <w:t>External reviewers</w:t>
      </w:r>
      <w:r w:rsidR="005E3630">
        <w:rPr>
          <w:rFonts w:eastAsia="Arial"/>
        </w:rPr>
        <w:t xml:space="preserve"> also</w:t>
      </w:r>
      <w:r w:rsidR="00AD7A04" w:rsidRPr="0031544E">
        <w:rPr>
          <w:rFonts w:eastAsia="Arial"/>
        </w:rPr>
        <w:t xml:space="preserve"> endorsed the thematic relevance of programming to improve access to justice in Fiji.</w:t>
      </w:r>
      <w:r w:rsidR="00AD7A04">
        <w:rPr>
          <w:rStyle w:val="FootnoteReference"/>
          <w:rFonts w:eastAsia="Arial"/>
        </w:rPr>
        <w:footnoteReference w:id="92"/>
      </w:r>
    </w:p>
    <w:p w14:paraId="242F8994" w14:textId="77777777" w:rsidR="005E090F" w:rsidRDefault="005E090F" w:rsidP="005E090F">
      <w:pPr>
        <w:rPr>
          <w:rFonts w:eastAsia="Arial"/>
        </w:rPr>
      </w:pPr>
    </w:p>
    <w:p w14:paraId="0C50EC93" w14:textId="7C9A8FBE" w:rsidR="001E17D2" w:rsidRDefault="00AD7A04" w:rsidP="00F02BFC">
      <w:pPr>
        <w:pStyle w:val="ListParagraph"/>
        <w:numPr>
          <w:ilvl w:val="0"/>
          <w:numId w:val="22"/>
        </w:numPr>
        <w:rPr>
          <w:rFonts w:eastAsia="Arial"/>
        </w:rPr>
      </w:pPr>
      <w:r>
        <w:rPr>
          <w:rFonts w:eastAsia="Arial"/>
        </w:rPr>
        <w:t xml:space="preserve">Partners use different terminology </w:t>
      </w:r>
      <w:r w:rsidR="005E090F" w:rsidRPr="0031544E">
        <w:rPr>
          <w:rFonts w:eastAsia="Arial"/>
        </w:rPr>
        <w:t>in the</w:t>
      </w:r>
      <w:r>
        <w:rPr>
          <w:rFonts w:eastAsia="Arial"/>
        </w:rPr>
        <w:t xml:space="preserve"> foundation</w:t>
      </w:r>
      <w:r w:rsidR="005E090F" w:rsidRPr="0031544E">
        <w:rPr>
          <w:rFonts w:eastAsia="Arial"/>
        </w:rPr>
        <w:t xml:space="preserve"> M&amp;E frameworks </w:t>
      </w:r>
      <w:r>
        <w:rPr>
          <w:rFonts w:eastAsia="Arial"/>
        </w:rPr>
        <w:t>for FA2J. I</w:t>
      </w:r>
      <w:r w:rsidR="005E090F" w:rsidRPr="0031544E">
        <w:rPr>
          <w:rFonts w:eastAsia="Arial"/>
        </w:rPr>
        <w:t>n order to explore th</w:t>
      </w:r>
      <w:r w:rsidR="005E3630">
        <w:rPr>
          <w:rFonts w:eastAsia="Arial"/>
        </w:rPr>
        <w:t xml:space="preserve">is issue </w:t>
      </w:r>
      <w:r w:rsidR="005E090F" w:rsidRPr="0031544E">
        <w:rPr>
          <w:rFonts w:eastAsia="Arial"/>
        </w:rPr>
        <w:t>for th</w:t>
      </w:r>
      <w:r w:rsidR="005E3630">
        <w:rPr>
          <w:rFonts w:eastAsia="Arial"/>
        </w:rPr>
        <w:t>e</w:t>
      </w:r>
      <w:r w:rsidR="005E090F" w:rsidRPr="0031544E">
        <w:rPr>
          <w:rFonts w:eastAsia="Arial"/>
        </w:rPr>
        <w:t xml:space="preserve"> MTE, the comparative table attached as Annex 6 was prepared. For the most part, recognizing that UNDP’s “Activity Results” are equivalent to outputs, e.g. the result of an activity, and that the “Outputs” in UNDP’s framework are in fact medium-term outcomes resolves most of the confusion without disrupting the logic or implied timeframes of the Theory of Change. </w:t>
      </w:r>
    </w:p>
    <w:p w14:paraId="179086EA" w14:textId="77777777" w:rsidR="001E17D2" w:rsidRPr="001E17D2" w:rsidRDefault="001E17D2" w:rsidP="001E17D2">
      <w:pPr>
        <w:pStyle w:val="ListParagraph"/>
        <w:rPr>
          <w:rFonts w:eastAsia="Arial"/>
        </w:rPr>
      </w:pPr>
    </w:p>
    <w:p w14:paraId="21CD7FF3" w14:textId="59CCAE0C" w:rsidR="005E090F" w:rsidRPr="0031544E" w:rsidRDefault="001E17D2" w:rsidP="00F02BFC">
      <w:pPr>
        <w:pStyle w:val="ListParagraph"/>
        <w:numPr>
          <w:ilvl w:val="0"/>
          <w:numId w:val="22"/>
        </w:numPr>
        <w:rPr>
          <w:rFonts w:eastAsia="Arial"/>
        </w:rPr>
      </w:pPr>
      <w:r>
        <w:rPr>
          <w:rFonts w:eastAsia="Arial"/>
        </w:rPr>
        <w:t xml:space="preserve">Partner and project needs require a collaborative refinement of FA2J </w:t>
      </w:r>
      <w:r w:rsidR="005E090F" w:rsidRPr="001E17D2">
        <w:rPr>
          <w:rFonts w:eastAsia="Arial"/>
        </w:rPr>
        <w:t>indicators; this process was anticipated by both the Financing Agreement and the Project Document, but delays to key products</w:t>
      </w:r>
      <w:r>
        <w:rPr>
          <w:rFonts w:eastAsia="Arial"/>
        </w:rPr>
        <w:t xml:space="preserve"> appear to have contributed to delays to </w:t>
      </w:r>
      <w:r w:rsidR="005E090F" w:rsidRPr="001E17D2">
        <w:rPr>
          <w:rFonts w:eastAsia="Arial"/>
        </w:rPr>
        <w:t>the periodic review of indicators for relevance and accuracy.</w:t>
      </w:r>
      <w:r w:rsidR="005E090F" w:rsidRPr="001E17D2">
        <w:rPr>
          <w:rStyle w:val="FootnoteReference"/>
          <w:rFonts w:eastAsia="Arial"/>
        </w:rPr>
        <w:footnoteReference w:id="93"/>
      </w:r>
      <w:r w:rsidR="005E3630">
        <w:rPr>
          <w:rFonts w:eastAsia="Arial"/>
        </w:rPr>
        <w:t xml:space="preserve"> </w:t>
      </w:r>
      <w:r w:rsidR="004409C2">
        <w:rPr>
          <w:rFonts w:eastAsia="Arial"/>
        </w:rPr>
        <w:t xml:space="preserve">The work of FA2J, including the substantial engagement of </w:t>
      </w:r>
      <w:proofErr w:type="spellStart"/>
      <w:r w:rsidR="004409C2">
        <w:rPr>
          <w:rFonts w:eastAsia="Arial"/>
        </w:rPr>
        <w:t>HiiL</w:t>
      </w:r>
      <w:proofErr w:type="spellEnd"/>
      <w:r w:rsidR="004409C2">
        <w:rPr>
          <w:rFonts w:eastAsia="Arial"/>
        </w:rPr>
        <w:t xml:space="preserve"> in the drafting of the Assessment of Access to Justice in Fiji report, government partners that have developed </w:t>
      </w:r>
      <w:r w:rsidR="00585A0A">
        <w:rPr>
          <w:rFonts w:eastAsia="Arial"/>
        </w:rPr>
        <w:t xml:space="preserve">internal </w:t>
      </w:r>
      <w:r w:rsidR="004409C2">
        <w:rPr>
          <w:rFonts w:eastAsia="Arial"/>
        </w:rPr>
        <w:t>data collection systems which informed recent reports, and civil society partners provides a foundation for clarifying FA2J target vulnerable populations as people with disabilities, women, and the poor living in informal settlements and rural areas.</w:t>
      </w:r>
      <w:r w:rsidR="004409C2">
        <w:rPr>
          <w:rStyle w:val="FootnoteReference"/>
          <w:rFonts w:eastAsia="Arial"/>
        </w:rPr>
        <w:footnoteReference w:id="94"/>
      </w:r>
      <w:r w:rsidR="004409C2">
        <w:rPr>
          <w:rFonts w:eastAsia="Arial"/>
        </w:rPr>
        <w:t xml:space="preserve"> </w:t>
      </w:r>
      <w:r w:rsidR="002A1363">
        <w:rPr>
          <w:rFonts w:eastAsia="Arial"/>
        </w:rPr>
        <w:t xml:space="preserve">New relationships with CSOs allows for targets to be </w:t>
      </w:r>
      <w:r w:rsidR="00585A0A">
        <w:rPr>
          <w:rFonts w:eastAsia="Arial"/>
        </w:rPr>
        <w:t>considered</w:t>
      </w:r>
      <w:r w:rsidR="002A1363">
        <w:rPr>
          <w:rFonts w:eastAsia="Arial"/>
        </w:rPr>
        <w:t xml:space="preserve"> in coordination with representatives of beneficiaries as well as duty-bearers and other partners. </w:t>
      </w:r>
    </w:p>
    <w:p w14:paraId="21F94C48" w14:textId="77777777" w:rsidR="00C26AC1" w:rsidRDefault="00C26AC1" w:rsidP="00C26AC1">
      <w:pPr>
        <w:rPr>
          <w:rFonts w:eastAsia="Arial"/>
        </w:rPr>
      </w:pPr>
    </w:p>
    <w:p w14:paraId="72F705E5" w14:textId="3B1E5D3D" w:rsidR="00411668" w:rsidRDefault="00074BE7" w:rsidP="00F02BFC">
      <w:pPr>
        <w:pStyle w:val="ListParagraph"/>
        <w:numPr>
          <w:ilvl w:val="0"/>
          <w:numId w:val="22"/>
        </w:numPr>
        <w:rPr>
          <w:rFonts w:eastAsia="Arial"/>
        </w:rPr>
      </w:pPr>
      <w:r w:rsidRPr="001E372A">
        <w:rPr>
          <w:rFonts w:eastAsia="Arial"/>
        </w:rPr>
        <w:t>T</w:t>
      </w:r>
      <w:r w:rsidR="005E090F" w:rsidRPr="001E372A">
        <w:rPr>
          <w:rFonts w:eastAsia="Arial"/>
        </w:rPr>
        <w:t>he MTE suggests that the PB</w:t>
      </w:r>
      <w:r w:rsidR="00411668" w:rsidRPr="001E372A">
        <w:rPr>
          <w:rFonts w:eastAsia="Arial"/>
        </w:rPr>
        <w:t xml:space="preserve"> </w:t>
      </w:r>
      <w:r w:rsidR="005E090F" w:rsidRPr="001E372A">
        <w:rPr>
          <w:rFonts w:eastAsia="Arial"/>
        </w:rPr>
        <w:t xml:space="preserve">has not </w:t>
      </w:r>
      <w:r w:rsidR="0031544E" w:rsidRPr="001E372A">
        <w:rPr>
          <w:rFonts w:eastAsia="Arial"/>
        </w:rPr>
        <w:t xml:space="preserve">evolved sufficiently to </w:t>
      </w:r>
      <w:r w:rsidR="005E090F" w:rsidRPr="001E372A">
        <w:rPr>
          <w:rFonts w:eastAsia="Arial"/>
        </w:rPr>
        <w:t xml:space="preserve">manage </w:t>
      </w:r>
      <w:r w:rsidR="00411668" w:rsidRPr="001E372A">
        <w:rPr>
          <w:rFonts w:eastAsia="Arial"/>
        </w:rPr>
        <w:t xml:space="preserve">the </w:t>
      </w:r>
      <w:r w:rsidR="005E090F" w:rsidRPr="001E372A">
        <w:rPr>
          <w:rFonts w:eastAsia="Arial"/>
        </w:rPr>
        <w:t xml:space="preserve">complex </w:t>
      </w:r>
      <w:r w:rsidR="00411668" w:rsidRPr="001E372A">
        <w:rPr>
          <w:rFonts w:eastAsia="Arial"/>
        </w:rPr>
        <w:t xml:space="preserve">substantive, administrative, and collaboration needs of the </w:t>
      </w:r>
      <w:r w:rsidR="005E090F" w:rsidRPr="001E372A">
        <w:rPr>
          <w:rFonts w:eastAsia="Arial"/>
        </w:rPr>
        <w:t>project</w:t>
      </w:r>
      <w:r w:rsidR="00411668" w:rsidRPr="001E372A">
        <w:rPr>
          <w:rFonts w:eastAsia="Arial"/>
        </w:rPr>
        <w:t xml:space="preserve"> in a manner that will contribute to sustainability</w:t>
      </w:r>
      <w:r w:rsidR="005E090F" w:rsidRPr="001E372A">
        <w:rPr>
          <w:rFonts w:eastAsia="Arial"/>
        </w:rPr>
        <w:t xml:space="preserve">. </w:t>
      </w:r>
      <w:r w:rsidR="00585A0A" w:rsidRPr="001E372A">
        <w:rPr>
          <w:rFonts w:eastAsia="Arial"/>
        </w:rPr>
        <w:t>Exemplary leadership and personal commitments at the policy level have generated institutional progress during the MTE period. This commitment needs to be supported by working level structures that maintain momentum</w:t>
      </w:r>
      <w:r w:rsidR="004E4C03">
        <w:rPr>
          <w:rFonts w:eastAsia="Arial"/>
        </w:rPr>
        <w:t xml:space="preserve"> for project activities</w:t>
      </w:r>
      <w:r w:rsidR="00585A0A" w:rsidRPr="001E372A">
        <w:rPr>
          <w:rFonts w:eastAsia="Arial"/>
        </w:rPr>
        <w:t xml:space="preserve"> in between policy-level meetings by jointly implementing against PB targets and maintaining the flow of information to senior board members within each member institution. </w:t>
      </w:r>
    </w:p>
    <w:p w14:paraId="003682A6" w14:textId="77777777" w:rsidR="001E372A" w:rsidRPr="001E372A" w:rsidRDefault="001E372A" w:rsidP="001E372A">
      <w:pPr>
        <w:rPr>
          <w:rFonts w:eastAsia="Arial"/>
        </w:rPr>
      </w:pPr>
    </w:p>
    <w:p w14:paraId="722AD924" w14:textId="33A5599B" w:rsidR="005E090F" w:rsidRDefault="0031544E" w:rsidP="00DE577B">
      <w:pPr>
        <w:pStyle w:val="ListParagraph"/>
        <w:numPr>
          <w:ilvl w:val="0"/>
          <w:numId w:val="22"/>
        </w:numPr>
        <w:rPr>
          <w:rFonts w:eastAsia="Arial"/>
        </w:rPr>
      </w:pPr>
      <w:r w:rsidRPr="00F02BFC">
        <w:rPr>
          <w:rFonts w:eastAsia="Arial"/>
        </w:rPr>
        <w:t xml:space="preserve">The products necessary to support partner strategic planning cycles, including strategic plans linked to the government national development plan, annual plans and budgets, and </w:t>
      </w:r>
      <w:r w:rsidR="005333B4" w:rsidRPr="00F02BFC">
        <w:rPr>
          <w:rFonts w:eastAsia="Arial"/>
        </w:rPr>
        <w:t xml:space="preserve">mandatory </w:t>
      </w:r>
      <w:r w:rsidRPr="00F02BFC">
        <w:rPr>
          <w:rFonts w:eastAsia="Arial"/>
        </w:rPr>
        <w:t xml:space="preserve">public reporting require urgent attention in order to foster sustainability, support partners in evolving into expanded roles and geographic reach, and contribute to sector </w:t>
      </w:r>
      <w:r w:rsidRPr="00F02BFC">
        <w:rPr>
          <w:rFonts w:eastAsia="Arial"/>
        </w:rPr>
        <w:lastRenderedPageBreak/>
        <w:t>collaboration through the provision of publicly available data in a manner that accommodates partner resources.</w:t>
      </w:r>
      <w:r w:rsidR="005E3630" w:rsidRPr="00F02BFC">
        <w:rPr>
          <w:rFonts w:eastAsia="Arial"/>
        </w:rPr>
        <w:t xml:space="preserve"> </w:t>
      </w:r>
    </w:p>
    <w:p w14:paraId="696B6F11" w14:textId="77777777" w:rsidR="00F02BFC" w:rsidRPr="00F02BFC" w:rsidRDefault="00F02BFC" w:rsidP="00F02BFC">
      <w:pPr>
        <w:rPr>
          <w:rFonts w:eastAsia="Arial"/>
        </w:rPr>
      </w:pPr>
    </w:p>
    <w:p w14:paraId="70D93016" w14:textId="6F417F69" w:rsidR="005E090F" w:rsidRPr="0031544E" w:rsidRDefault="005E090F" w:rsidP="00F02BFC">
      <w:pPr>
        <w:pStyle w:val="ListParagraph"/>
        <w:numPr>
          <w:ilvl w:val="0"/>
          <w:numId w:val="22"/>
        </w:numPr>
        <w:rPr>
          <w:rFonts w:eastAsia="Arial"/>
        </w:rPr>
      </w:pPr>
      <w:r w:rsidRPr="0031544E">
        <w:rPr>
          <w:rFonts w:eastAsia="Arial"/>
        </w:rPr>
        <w:t>The FA2J management output includes communication and visibility targets. Activities under this output have focused on awareness of project activities and have been the primary focus of the FA2J staff dedicated to communication issues. MTE interviews with the LAC, Judicial Department and three CSOs selected for grants in 2018 confirmed that all partners are developing outreach materials. In light of the confirmation of the importance of aligning outreach messaging on rights and services by assessments completed in 2018, it is timely for FA2J to dedicate communication resources to supporting jointly agreed materials between partners.</w:t>
      </w:r>
      <w:r>
        <w:rPr>
          <w:rStyle w:val="FootnoteReference"/>
          <w:rFonts w:eastAsia="Arial"/>
        </w:rPr>
        <w:footnoteReference w:id="95"/>
      </w:r>
    </w:p>
    <w:p w14:paraId="04A66851" w14:textId="77777777" w:rsidR="00A5658A" w:rsidRDefault="00A5658A" w:rsidP="00385CE6">
      <w:pPr>
        <w:rPr>
          <w:rFonts w:eastAsia="Arial"/>
          <w:iCs/>
          <w:sz w:val="26"/>
        </w:rPr>
      </w:pPr>
    </w:p>
    <w:p w14:paraId="3F5496FB" w14:textId="53498BC4" w:rsidR="00C26AC1" w:rsidRDefault="00556282" w:rsidP="00F02BFC">
      <w:pPr>
        <w:pStyle w:val="ListParagraph"/>
        <w:numPr>
          <w:ilvl w:val="0"/>
          <w:numId w:val="22"/>
        </w:numPr>
        <w:rPr>
          <w:rFonts w:eastAsia="Arial"/>
        </w:rPr>
      </w:pPr>
      <w:r>
        <w:rPr>
          <w:rFonts w:eastAsia="Arial"/>
        </w:rPr>
        <w:t>T</w:t>
      </w:r>
      <w:r w:rsidR="00056698">
        <w:rPr>
          <w:rFonts w:eastAsia="Arial"/>
        </w:rPr>
        <w:t>he</w:t>
      </w:r>
      <w:r>
        <w:rPr>
          <w:rFonts w:eastAsia="Arial"/>
        </w:rPr>
        <w:t xml:space="preserve"> MTE identified </w:t>
      </w:r>
      <w:r w:rsidR="00C26AC1" w:rsidRPr="0031544E">
        <w:rPr>
          <w:rFonts w:eastAsia="Arial"/>
        </w:rPr>
        <w:t xml:space="preserve">interest in </w:t>
      </w:r>
      <w:r>
        <w:rPr>
          <w:rFonts w:eastAsia="Arial"/>
        </w:rPr>
        <w:t xml:space="preserve">a </w:t>
      </w:r>
      <w:r w:rsidR="00C26AC1" w:rsidRPr="0031544E">
        <w:rPr>
          <w:rFonts w:eastAsia="Arial"/>
        </w:rPr>
        <w:t>wider rule of law or sector coordination mechanism</w:t>
      </w:r>
      <w:r>
        <w:rPr>
          <w:rFonts w:eastAsia="Arial"/>
        </w:rPr>
        <w:t xml:space="preserve"> that builds on the healthy and productive ad hoc linkages between justice sector actors in Fiji</w:t>
      </w:r>
      <w:r w:rsidR="00C26AC1" w:rsidRPr="0031544E">
        <w:rPr>
          <w:rFonts w:eastAsia="Arial"/>
        </w:rPr>
        <w:t>.</w:t>
      </w:r>
      <w:r w:rsidRPr="00556282">
        <w:rPr>
          <w:rStyle w:val="FootnoteReference"/>
          <w:rFonts w:eastAsia="Arial"/>
        </w:rPr>
        <w:t xml:space="preserve"> </w:t>
      </w:r>
      <w:r>
        <w:rPr>
          <w:rStyle w:val="FootnoteReference"/>
          <w:rFonts w:eastAsia="Arial"/>
        </w:rPr>
        <w:footnoteReference w:id="96"/>
      </w:r>
      <w:r w:rsidR="00C26AC1" w:rsidRPr="0031544E">
        <w:rPr>
          <w:rFonts w:eastAsia="Arial"/>
        </w:rPr>
        <w:t xml:space="preserve"> Both the Financing Agreement and Project Document identify the growth of</w:t>
      </w:r>
      <w:r w:rsidR="001E17D2">
        <w:rPr>
          <w:rFonts w:eastAsia="Arial"/>
        </w:rPr>
        <w:t xml:space="preserve"> a</w:t>
      </w:r>
      <w:r w:rsidR="00C26AC1" w:rsidRPr="0031544E">
        <w:rPr>
          <w:rFonts w:eastAsia="Arial"/>
        </w:rPr>
        <w:t xml:space="preserve"> sector-wide coordination network as a potential result of FA2J. Such a coordination mechanism has ad hoc precursors reported within the sector, and it may be a timely consideration for partners to include</w:t>
      </w:r>
      <w:r w:rsidR="001E17D2">
        <w:rPr>
          <w:rFonts w:eastAsia="Arial"/>
        </w:rPr>
        <w:t xml:space="preserve"> such engagement</w:t>
      </w:r>
      <w:r w:rsidR="00C26AC1" w:rsidRPr="0031544E">
        <w:rPr>
          <w:rFonts w:eastAsia="Arial"/>
        </w:rPr>
        <w:t xml:space="preserve"> in their finalisation of strategic plans. Such a coordination mechanism should </w:t>
      </w:r>
      <w:r w:rsidR="001E17D2">
        <w:rPr>
          <w:rFonts w:eastAsia="Arial"/>
        </w:rPr>
        <w:t xml:space="preserve">carefully consider the importance of maintaining the independence of the judiciary and Fiji’s independent institutions, such as the LAC and the HRADC. The coordination mechanism should also </w:t>
      </w:r>
      <w:r w:rsidR="00C26AC1" w:rsidRPr="0031544E">
        <w:rPr>
          <w:rFonts w:eastAsia="Arial"/>
        </w:rPr>
        <w:t xml:space="preserve">be considered </w:t>
      </w:r>
      <w:r w:rsidR="00411668">
        <w:rPr>
          <w:rFonts w:eastAsia="Arial"/>
        </w:rPr>
        <w:t xml:space="preserve">as an output </w:t>
      </w:r>
      <w:r w:rsidR="00C26AC1" w:rsidRPr="0031544E">
        <w:rPr>
          <w:rFonts w:eastAsia="Arial"/>
        </w:rPr>
        <w:t xml:space="preserve">separate from the FA2J Project Board functions in order to ensure that FA2J maintains its focus on defined targets. </w:t>
      </w:r>
    </w:p>
    <w:p w14:paraId="228BD76E" w14:textId="77777777" w:rsidR="00E420C5" w:rsidRPr="00E420C5" w:rsidRDefault="00E420C5" w:rsidP="00E420C5">
      <w:pPr>
        <w:pStyle w:val="ListParagraph"/>
        <w:rPr>
          <w:rFonts w:eastAsia="Arial"/>
        </w:rPr>
      </w:pPr>
    </w:p>
    <w:p w14:paraId="4D493585" w14:textId="361AE95E" w:rsidR="00074BE7" w:rsidRDefault="00E420C5" w:rsidP="00F02BFC">
      <w:pPr>
        <w:pStyle w:val="ListParagraph"/>
        <w:numPr>
          <w:ilvl w:val="0"/>
          <w:numId w:val="22"/>
        </w:numPr>
        <w:rPr>
          <w:rFonts w:eastAsia="Arial"/>
        </w:rPr>
      </w:pPr>
      <w:r w:rsidRPr="002A7F2C">
        <w:rPr>
          <w:rFonts w:eastAsia="Arial"/>
        </w:rPr>
        <w:t xml:space="preserve">The MTE identified a desire amongst partners for </w:t>
      </w:r>
      <w:r w:rsidR="00BB3B69" w:rsidRPr="002A7F2C">
        <w:rPr>
          <w:rFonts w:eastAsia="Arial"/>
        </w:rPr>
        <w:t xml:space="preserve">increased coordination between UN agencies, and between UN agencies and external partners. The UN launched a mechanism to support these levels of coordination in 2018 following the release of the </w:t>
      </w:r>
      <w:r w:rsidR="002A7F2C" w:rsidRPr="002A7F2C">
        <w:rPr>
          <w:rFonts w:eastAsia="Arial"/>
        </w:rPr>
        <w:t xml:space="preserve">United Nations </w:t>
      </w:r>
      <w:r w:rsidR="00BB3B69" w:rsidRPr="002A7F2C">
        <w:rPr>
          <w:rFonts w:eastAsia="Arial"/>
        </w:rPr>
        <w:t>Pacific</w:t>
      </w:r>
      <w:r w:rsidR="002A7F2C" w:rsidRPr="002A7F2C">
        <w:rPr>
          <w:rFonts w:eastAsia="Arial"/>
        </w:rPr>
        <w:t xml:space="preserve"> Strategy 2018-2022. </w:t>
      </w:r>
      <w:r w:rsidR="002A7F2C">
        <w:rPr>
          <w:rFonts w:eastAsia="Arial"/>
        </w:rPr>
        <w:t>In addition, interviews highlighted a need for further clarification of the distinct FA2J role within the UNDP rule of law portfolio. FA2J benefitted from the solid foundation provided by other projects</w:t>
      </w:r>
      <w:r w:rsidR="00BD3E50">
        <w:rPr>
          <w:rFonts w:eastAsia="Arial"/>
        </w:rPr>
        <w:t xml:space="preserve"> and shared staffing arrangements</w:t>
      </w:r>
      <w:r w:rsidR="002A7F2C">
        <w:rPr>
          <w:rFonts w:eastAsia="Arial"/>
        </w:rPr>
        <w:t xml:space="preserve">, however moving forward the distinct target populations identified for FA2J and technical services, such as accompaniment, will require a more narrow focus to outreach and CSO support efforts while still supporting collaboration within the portfolio when possible. </w:t>
      </w:r>
    </w:p>
    <w:p w14:paraId="4320C715" w14:textId="77777777" w:rsidR="002A7F2C" w:rsidRPr="002A7F2C" w:rsidRDefault="002A7F2C" w:rsidP="002A7F2C">
      <w:pPr>
        <w:rPr>
          <w:rFonts w:eastAsia="Arial"/>
        </w:rPr>
      </w:pPr>
    </w:p>
    <w:p w14:paraId="78151901" w14:textId="611A2CCD" w:rsidR="00074BE7" w:rsidRPr="0031544E" w:rsidRDefault="00074BE7" w:rsidP="00F02BFC">
      <w:pPr>
        <w:pStyle w:val="ListParagraph"/>
        <w:numPr>
          <w:ilvl w:val="0"/>
          <w:numId w:val="22"/>
        </w:numPr>
        <w:rPr>
          <w:rFonts w:eastAsia="Arial"/>
        </w:rPr>
      </w:pPr>
      <w:r w:rsidRPr="0031544E">
        <w:rPr>
          <w:rFonts w:eastAsia="Arial"/>
        </w:rPr>
        <w:t xml:space="preserve">Several factors identified during the MTE suggest that renewed attention to gender elements of FA2J will be beneficial: duty bearers on the PB have </w:t>
      </w:r>
      <w:r w:rsidR="005333B4">
        <w:rPr>
          <w:rFonts w:eastAsia="Arial"/>
        </w:rPr>
        <w:t xml:space="preserve">developed or supported </w:t>
      </w:r>
      <w:r w:rsidRPr="0031544E">
        <w:rPr>
          <w:rFonts w:eastAsia="Arial"/>
        </w:rPr>
        <w:t>gender</w:t>
      </w:r>
      <w:r w:rsidR="005333B4">
        <w:rPr>
          <w:rFonts w:eastAsia="Arial"/>
        </w:rPr>
        <w:t>-focused</w:t>
      </w:r>
      <w:r w:rsidRPr="0031544E">
        <w:rPr>
          <w:rFonts w:eastAsia="Arial"/>
        </w:rPr>
        <w:t xml:space="preserve"> elements within their institutions; the National Development Plan directly targets the role of women in development and the challenge of GBV; the UN’s Regional Strategy provides an avenue for FA2J to benefit from contributions from other UN agencies via the Outcome 2 (Gender Equality) group; FA2J has engaged as grantees two CSOs with a gender focus and one CSO that has expressed a gender element to their work with people with disabilities; the FWRM’s EU-funded Balancing the Scales assessment of women’s access to justice in Fiji was completed in 2018; and project partners expressed an openness to CSO engagement in the PB during MTE interviews. </w:t>
      </w:r>
    </w:p>
    <w:p w14:paraId="1BC5387F" w14:textId="77777777" w:rsidR="00074BE7" w:rsidRDefault="00074BE7" w:rsidP="00C26AC1">
      <w:pPr>
        <w:rPr>
          <w:rFonts w:eastAsia="Arial"/>
        </w:rPr>
      </w:pPr>
    </w:p>
    <w:p w14:paraId="526E06D7" w14:textId="77777777" w:rsidR="00C26AC1" w:rsidRDefault="00C26AC1" w:rsidP="00385CE6">
      <w:pPr>
        <w:rPr>
          <w:rFonts w:eastAsia="Arial"/>
          <w:iCs/>
          <w:sz w:val="26"/>
        </w:rPr>
      </w:pPr>
    </w:p>
    <w:p w14:paraId="6C76AE9C" w14:textId="77777777" w:rsidR="005333B4" w:rsidRDefault="005333B4" w:rsidP="00411668">
      <w:pPr>
        <w:pStyle w:val="Heading3"/>
      </w:pPr>
      <w:r>
        <w:br w:type="page"/>
      </w:r>
    </w:p>
    <w:p w14:paraId="3A1A4BF1" w14:textId="568FFA00" w:rsidR="00411668" w:rsidRDefault="00411668" w:rsidP="00411668">
      <w:pPr>
        <w:pStyle w:val="Heading3"/>
      </w:pPr>
      <w:bookmarkStart w:id="28" w:name="_Toc12804586"/>
      <w:r>
        <w:lastRenderedPageBreak/>
        <w:t>Recommendations</w:t>
      </w:r>
      <w:bookmarkEnd w:id="28"/>
    </w:p>
    <w:p w14:paraId="3A6BB057" w14:textId="527D8B37" w:rsidR="00411668" w:rsidRDefault="00411668" w:rsidP="00411668">
      <w:pPr>
        <w:rPr>
          <w:rFonts w:eastAsia="Arial"/>
        </w:rPr>
      </w:pPr>
    </w:p>
    <w:p w14:paraId="1157D41C" w14:textId="2E87B8EE" w:rsidR="00704A0D" w:rsidRDefault="00BD3E50" w:rsidP="00762E6A">
      <w:pPr>
        <w:pStyle w:val="ListParagraph"/>
        <w:numPr>
          <w:ilvl w:val="0"/>
          <w:numId w:val="24"/>
        </w:numPr>
        <w:rPr>
          <w:rFonts w:eastAsia="Arial"/>
        </w:rPr>
      </w:pPr>
      <w:r>
        <w:rPr>
          <w:rFonts w:eastAsia="Arial"/>
        </w:rPr>
        <w:t xml:space="preserve">The </w:t>
      </w:r>
      <w:r w:rsidR="00704A0D">
        <w:rPr>
          <w:rFonts w:eastAsia="Arial"/>
        </w:rPr>
        <w:t xml:space="preserve">FA2J Project Board </w:t>
      </w:r>
      <w:r>
        <w:rPr>
          <w:rFonts w:eastAsia="Arial"/>
        </w:rPr>
        <w:t xml:space="preserve">should </w:t>
      </w:r>
      <w:r w:rsidR="00704A0D">
        <w:rPr>
          <w:rFonts w:eastAsia="Arial"/>
        </w:rPr>
        <w:t xml:space="preserve">approve the inclusion of three grantee CSOs (FDPF, MSP, and Empower Pacific) as representatives of end-user beneficiaries on the project board </w:t>
      </w:r>
      <w:r w:rsidR="006A5E7E">
        <w:rPr>
          <w:rFonts w:eastAsia="Arial"/>
        </w:rPr>
        <w:t xml:space="preserve">as provided in Annex 7 </w:t>
      </w:r>
      <w:r w:rsidR="00704A0D">
        <w:rPr>
          <w:rFonts w:eastAsia="Arial"/>
        </w:rPr>
        <w:t xml:space="preserve">as soon as possible. </w:t>
      </w:r>
    </w:p>
    <w:p w14:paraId="5A89C585" w14:textId="10E5C88B" w:rsidR="00704A0D" w:rsidRDefault="00704A0D" w:rsidP="00F02BFC">
      <w:pPr>
        <w:pStyle w:val="ListParagraph"/>
        <w:numPr>
          <w:ilvl w:val="1"/>
          <w:numId w:val="23"/>
        </w:numPr>
        <w:rPr>
          <w:rFonts w:eastAsia="Arial"/>
        </w:rPr>
      </w:pPr>
      <w:r>
        <w:rPr>
          <w:rFonts w:eastAsia="Arial"/>
        </w:rPr>
        <w:t>As an alternative option, the grantee CSOs can be invited to guide the project board as a distinct advisory group representing end-user beneficiaries in FA2J efforts</w:t>
      </w:r>
    </w:p>
    <w:p w14:paraId="5A4B36CA" w14:textId="77777777" w:rsidR="00704A0D" w:rsidRDefault="00704A0D" w:rsidP="00704A0D">
      <w:pPr>
        <w:pStyle w:val="ListParagraph"/>
        <w:ind w:left="1440"/>
        <w:rPr>
          <w:rFonts w:eastAsia="Arial"/>
        </w:rPr>
      </w:pPr>
    </w:p>
    <w:p w14:paraId="0CD69948" w14:textId="2F420898" w:rsidR="00F02BFC" w:rsidRDefault="00F02BFC" w:rsidP="00762E6A">
      <w:pPr>
        <w:pStyle w:val="ListParagraph"/>
        <w:numPr>
          <w:ilvl w:val="0"/>
          <w:numId w:val="24"/>
        </w:numPr>
        <w:rPr>
          <w:rFonts w:eastAsia="Arial"/>
        </w:rPr>
      </w:pPr>
      <w:r w:rsidRPr="00FD1056">
        <w:rPr>
          <w:rFonts w:eastAsia="Arial"/>
        </w:rPr>
        <w:t xml:space="preserve">The FA2J Project Board should approve the clarification of target vulnerable populations as: people with disabilities, women, and the poor living in informal settlements and rural areas as soon as possible. </w:t>
      </w:r>
      <w:r>
        <w:rPr>
          <w:rFonts w:eastAsia="Arial"/>
        </w:rPr>
        <w:t xml:space="preserve">Once target groups are clarified, FA2J should revise its M&amp;E framework </w:t>
      </w:r>
      <w:r w:rsidRPr="00FD1056">
        <w:rPr>
          <w:rFonts w:eastAsia="Arial"/>
        </w:rPr>
        <w:t>in partnership with</w:t>
      </w:r>
      <w:r>
        <w:rPr>
          <w:rFonts w:eastAsia="Arial"/>
        </w:rPr>
        <w:t xml:space="preserve"> duty bearers and rights holders (represented by </w:t>
      </w:r>
      <w:r w:rsidRPr="00FD1056">
        <w:rPr>
          <w:rFonts w:eastAsia="Arial"/>
        </w:rPr>
        <w:t>CSOs</w:t>
      </w:r>
      <w:r>
        <w:rPr>
          <w:rFonts w:eastAsia="Arial"/>
        </w:rPr>
        <w:t xml:space="preserve">) to both </w:t>
      </w:r>
      <w:r w:rsidRPr="00FD1056">
        <w:rPr>
          <w:rFonts w:eastAsia="Arial"/>
        </w:rPr>
        <w:t>reflect a shared understanding of terminology used</w:t>
      </w:r>
      <w:r>
        <w:rPr>
          <w:rFonts w:eastAsia="Arial"/>
        </w:rPr>
        <w:t xml:space="preserve"> and</w:t>
      </w:r>
      <w:r w:rsidRPr="00FD1056">
        <w:rPr>
          <w:rFonts w:eastAsia="Arial"/>
        </w:rPr>
        <w:t xml:space="preserve"> to accommodate </w:t>
      </w:r>
      <w:r>
        <w:rPr>
          <w:rFonts w:eastAsia="Arial"/>
        </w:rPr>
        <w:t xml:space="preserve">progress and </w:t>
      </w:r>
      <w:r w:rsidRPr="00FD1056">
        <w:rPr>
          <w:rFonts w:eastAsia="Arial"/>
        </w:rPr>
        <w:t>challenges to date</w:t>
      </w:r>
      <w:r>
        <w:rPr>
          <w:rFonts w:eastAsia="Arial"/>
        </w:rPr>
        <w:t>.</w:t>
      </w:r>
      <w:r w:rsidRPr="00FD1056">
        <w:rPr>
          <w:rFonts w:eastAsia="Arial"/>
        </w:rPr>
        <w:t xml:space="preserve"> </w:t>
      </w:r>
      <w:r>
        <w:rPr>
          <w:rFonts w:eastAsia="Arial"/>
        </w:rPr>
        <w:t>The M&amp;E framework should be revisited at least annually as part of the reporting cycle.</w:t>
      </w:r>
    </w:p>
    <w:p w14:paraId="624B1BC1" w14:textId="20E171CC" w:rsidR="00704A0D" w:rsidRPr="00704A0D" w:rsidRDefault="00704A0D" w:rsidP="00704A0D">
      <w:pPr>
        <w:rPr>
          <w:rFonts w:eastAsia="Arial"/>
        </w:rPr>
      </w:pPr>
    </w:p>
    <w:p w14:paraId="5FBB7CBD" w14:textId="73DEC5F7" w:rsidR="00704A0D" w:rsidRDefault="00BD3E50" w:rsidP="00762E6A">
      <w:pPr>
        <w:pStyle w:val="ListParagraph"/>
        <w:numPr>
          <w:ilvl w:val="0"/>
          <w:numId w:val="24"/>
        </w:numPr>
        <w:rPr>
          <w:rFonts w:eastAsia="Arial"/>
        </w:rPr>
      </w:pPr>
      <w:r>
        <w:rPr>
          <w:rFonts w:eastAsia="Arial"/>
        </w:rPr>
        <w:t xml:space="preserve">The </w:t>
      </w:r>
      <w:r w:rsidR="00704A0D">
        <w:rPr>
          <w:rFonts w:eastAsia="Arial"/>
        </w:rPr>
        <w:t xml:space="preserve">FA2J Project Board </w:t>
      </w:r>
      <w:r>
        <w:rPr>
          <w:rFonts w:eastAsia="Arial"/>
        </w:rPr>
        <w:t xml:space="preserve">should </w:t>
      </w:r>
      <w:r w:rsidR="00704A0D">
        <w:rPr>
          <w:rFonts w:eastAsia="Arial"/>
        </w:rPr>
        <w:t>approve the creation of</w:t>
      </w:r>
      <w:r>
        <w:rPr>
          <w:rFonts w:eastAsia="Arial"/>
        </w:rPr>
        <w:t xml:space="preserve">, to start with, </w:t>
      </w:r>
      <w:r w:rsidR="008C2A57">
        <w:rPr>
          <w:rFonts w:eastAsia="Arial"/>
        </w:rPr>
        <w:t xml:space="preserve">four </w:t>
      </w:r>
      <w:r w:rsidR="00704A0D">
        <w:rPr>
          <w:rFonts w:eastAsia="Arial"/>
        </w:rPr>
        <w:t xml:space="preserve">Working Groups </w:t>
      </w:r>
      <w:r w:rsidR="006A5E7E">
        <w:rPr>
          <w:rFonts w:eastAsia="Arial"/>
        </w:rPr>
        <w:t xml:space="preserve">in line with the structure provided in Annex 7 </w:t>
      </w:r>
      <w:r w:rsidR="00704A0D">
        <w:rPr>
          <w:rFonts w:eastAsia="Arial"/>
        </w:rPr>
        <w:t xml:space="preserve">to </w:t>
      </w:r>
      <w:r w:rsidR="006A5E7E">
        <w:rPr>
          <w:rFonts w:eastAsia="Arial"/>
        </w:rPr>
        <w:t>concentrate joint resources on complex or missing elements identified by partners during the MTE as critical to progress:</w:t>
      </w:r>
    </w:p>
    <w:p w14:paraId="7D177276" w14:textId="77777777" w:rsidR="006A5E7E" w:rsidRPr="006A5E7E" w:rsidRDefault="006A5E7E" w:rsidP="006A5E7E">
      <w:pPr>
        <w:pStyle w:val="ListParagraph"/>
        <w:rPr>
          <w:rFonts w:eastAsia="Arial"/>
        </w:rPr>
      </w:pPr>
    </w:p>
    <w:p w14:paraId="151D62DE" w14:textId="108395C5" w:rsidR="008C2A57" w:rsidRPr="008C2A57" w:rsidRDefault="006A5E7E" w:rsidP="00F02BFC">
      <w:pPr>
        <w:pStyle w:val="ListParagraph"/>
        <w:numPr>
          <w:ilvl w:val="1"/>
          <w:numId w:val="23"/>
        </w:numPr>
        <w:rPr>
          <w:rFonts w:eastAsia="Arial"/>
        </w:rPr>
      </w:pPr>
      <w:r>
        <w:rPr>
          <w:rFonts w:eastAsia="Arial"/>
        </w:rPr>
        <w:t>A working group directed to complete the procurement and roll-out of the case management system</w:t>
      </w:r>
      <w:r w:rsidR="004E4C03">
        <w:rPr>
          <w:rFonts w:eastAsia="Arial"/>
        </w:rPr>
        <w:t xml:space="preserve"> and hotline</w:t>
      </w:r>
      <w:r>
        <w:rPr>
          <w:rFonts w:eastAsia="Arial"/>
        </w:rPr>
        <w:t xml:space="preserve"> in the LAC, to include overseeing the development of the final system</w:t>
      </w:r>
      <w:r w:rsidR="004E4C03">
        <w:rPr>
          <w:rFonts w:eastAsia="Arial"/>
        </w:rPr>
        <w:t>s</w:t>
      </w:r>
      <w:r>
        <w:rPr>
          <w:rFonts w:eastAsia="Arial"/>
        </w:rPr>
        <w:t xml:space="preserve"> (including </w:t>
      </w:r>
      <w:r w:rsidR="004E4C03">
        <w:rPr>
          <w:rFonts w:eastAsia="Arial"/>
        </w:rPr>
        <w:t xml:space="preserve">the creation of </w:t>
      </w:r>
      <w:r>
        <w:rPr>
          <w:rFonts w:eastAsia="Arial"/>
        </w:rPr>
        <w:t>reports necessary to inform internal and external data needs) in partnership with the selected supplier</w:t>
      </w:r>
      <w:r w:rsidR="00514868">
        <w:rPr>
          <w:rFonts w:eastAsia="Arial"/>
        </w:rPr>
        <w:t>s</w:t>
      </w:r>
      <w:r>
        <w:rPr>
          <w:rFonts w:eastAsia="Arial"/>
        </w:rPr>
        <w:t xml:space="preserve">, staff training, and roll-out to intended locations. Membership should include beneficiary representatives authorized to engage with the process within time and cost tolerances while keeping senior management fully informed, case management </w:t>
      </w:r>
      <w:r w:rsidR="00514868">
        <w:rPr>
          <w:rFonts w:eastAsia="Arial"/>
        </w:rPr>
        <w:t xml:space="preserve">and hotline </w:t>
      </w:r>
      <w:r>
        <w:rPr>
          <w:rFonts w:eastAsia="Arial"/>
        </w:rPr>
        <w:t>supplier representatives (by remote connection or in person as deployment progresses), EU delegation representatives as deemed useful</w:t>
      </w:r>
      <w:r w:rsidR="00D1693D">
        <w:rPr>
          <w:rFonts w:eastAsia="Arial"/>
        </w:rPr>
        <w:t xml:space="preserve"> by the delegation</w:t>
      </w:r>
      <w:r>
        <w:rPr>
          <w:rFonts w:eastAsia="Arial"/>
        </w:rPr>
        <w:t xml:space="preserve">, </w:t>
      </w:r>
      <w:r w:rsidR="00D1693D">
        <w:rPr>
          <w:rFonts w:eastAsia="Arial"/>
        </w:rPr>
        <w:t xml:space="preserve">other necessary government officials (such as Ministry of Economy representative), </w:t>
      </w:r>
      <w:r>
        <w:rPr>
          <w:rFonts w:eastAsia="Arial"/>
        </w:rPr>
        <w:t xml:space="preserve">and UNDP staff to </w:t>
      </w:r>
      <w:r w:rsidR="00D1693D">
        <w:rPr>
          <w:rFonts w:eastAsia="Arial"/>
        </w:rPr>
        <w:t xml:space="preserve">provide management support to decision making. </w:t>
      </w:r>
      <w:r w:rsidR="008C2A57">
        <w:rPr>
          <w:rFonts w:eastAsia="Arial"/>
        </w:rPr>
        <w:t>(Target: procurement by 15 July, roll-out through September)</w:t>
      </w:r>
    </w:p>
    <w:p w14:paraId="4D1189EE" w14:textId="77777777" w:rsidR="00D1693D" w:rsidRDefault="00D1693D" w:rsidP="00D1693D">
      <w:pPr>
        <w:pStyle w:val="ListParagraph"/>
        <w:ind w:left="1440"/>
        <w:rPr>
          <w:rFonts w:eastAsia="Arial"/>
        </w:rPr>
      </w:pPr>
    </w:p>
    <w:p w14:paraId="1AF823E5" w14:textId="03D4F94D" w:rsidR="00D1693D" w:rsidRPr="008C2A57" w:rsidRDefault="00D1693D" w:rsidP="00F02BFC">
      <w:pPr>
        <w:pStyle w:val="ListParagraph"/>
        <w:numPr>
          <w:ilvl w:val="1"/>
          <w:numId w:val="23"/>
        </w:numPr>
        <w:rPr>
          <w:rFonts w:eastAsia="Arial"/>
        </w:rPr>
      </w:pPr>
      <w:r>
        <w:rPr>
          <w:rFonts w:eastAsia="Arial"/>
        </w:rPr>
        <w:t xml:space="preserve">A working group directed to complete the procurement and roll-out of the case management system in the Judicial Department, to include overseeing the development of the final system (including reports necessary to inform internal and external data needs) in partnership with the selected supplier, staff training, and roll-out to intended locations. Membership should include beneficiary representatives authorized to engage with the process within time and cost tolerances while keeping senior management fully informed, case management supplier representatives (by remote connection or in person as deployment progresses), EU delegation representatives as deemed useful by the delegation, other necessary government officials (such as Ministry of Economy representative), and UNDP staff to provide management support to decision making. </w:t>
      </w:r>
      <w:r w:rsidR="008C2A57">
        <w:rPr>
          <w:rFonts w:eastAsia="Arial"/>
        </w:rPr>
        <w:t>(Target: procurement by 15 July, roll-out through September)</w:t>
      </w:r>
    </w:p>
    <w:p w14:paraId="6FB2E9C0" w14:textId="77777777" w:rsidR="00D1693D" w:rsidRPr="00D1693D" w:rsidRDefault="00D1693D" w:rsidP="00D1693D">
      <w:pPr>
        <w:pStyle w:val="ListParagraph"/>
        <w:rPr>
          <w:rFonts w:eastAsia="Arial"/>
        </w:rPr>
      </w:pPr>
    </w:p>
    <w:p w14:paraId="7B419F0B" w14:textId="6330DEA4" w:rsidR="006A5E7E" w:rsidRDefault="00D1693D" w:rsidP="00F02BFC">
      <w:pPr>
        <w:pStyle w:val="ListParagraph"/>
        <w:numPr>
          <w:ilvl w:val="1"/>
          <w:numId w:val="23"/>
        </w:numPr>
        <w:rPr>
          <w:rFonts w:eastAsia="Arial"/>
        </w:rPr>
      </w:pPr>
      <w:r>
        <w:rPr>
          <w:rFonts w:eastAsia="Arial"/>
        </w:rPr>
        <w:t xml:space="preserve">A working group directed to focus on the development of strategic planning, </w:t>
      </w:r>
      <w:r w:rsidR="008C2A57">
        <w:rPr>
          <w:rFonts w:eastAsia="Arial"/>
        </w:rPr>
        <w:t xml:space="preserve">M&amp;E / </w:t>
      </w:r>
      <w:r>
        <w:rPr>
          <w:rFonts w:eastAsia="Arial"/>
        </w:rPr>
        <w:t>reporting and related institutional strengthening efforts</w:t>
      </w:r>
      <w:r w:rsidR="0062469B">
        <w:rPr>
          <w:rFonts w:eastAsia="Arial"/>
        </w:rPr>
        <w:t xml:space="preserve"> for duty-bearers engaged with FA2J</w:t>
      </w:r>
      <w:r>
        <w:rPr>
          <w:rFonts w:eastAsia="Arial"/>
        </w:rPr>
        <w:t>. Membership should include beneficiary representatives with key responsibilities for planning, budgeting and reporting in their institutions, EU delegation representatives as deemed useful by the delegation, other government officials</w:t>
      </w:r>
      <w:r w:rsidR="0062469B">
        <w:rPr>
          <w:rFonts w:eastAsia="Arial"/>
        </w:rPr>
        <w:t xml:space="preserve"> as needed</w:t>
      </w:r>
      <w:r>
        <w:rPr>
          <w:rFonts w:eastAsia="Arial"/>
        </w:rPr>
        <w:t xml:space="preserve"> (such as Ministry of Economy representative to support discussions on integrating planning, budgeting and reporting timeframes and tools to align with government financial management systems), </w:t>
      </w:r>
      <w:r w:rsidR="008C2A57">
        <w:rPr>
          <w:rFonts w:eastAsia="Arial"/>
        </w:rPr>
        <w:t xml:space="preserve">CSO representatives where end-user perspectives are needed, </w:t>
      </w:r>
      <w:r w:rsidR="0062469B">
        <w:rPr>
          <w:rFonts w:eastAsia="Arial"/>
        </w:rPr>
        <w:t xml:space="preserve">external advisors as needed, </w:t>
      </w:r>
      <w:r>
        <w:rPr>
          <w:rFonts w:eastAsia="Arial"/>
        </w:rPr>
        <w:t xml:space="preserve">and UNDP staff to provide management support to decision making. </w:t>
      </w:r>
      <w:r w:rsidR="0062469B">
        <w:rPr>
          <w:rFonts w:eastAsia="Arial"/>
        </w:rPr>
        <w:t>This working group should:</w:t>
      </w:r>
    </w:p>
    <w:p w14:paraId="246057E2" w14:textId="77777777" w:rsidR="0062469B" w:rsidRPr="0062469B" w:rsidRDefault="0062469B" w:rsidP="0062469B">
      <w:pPr>
        <w:pStyle w:val="ListParagraph"/>
        <w:rPr>
          <w:rFonts w:eastAsia="Arial"/>
        </w:rPr>
      </w:pPr>
    </w:p>
    <w:p w14:paraId="557B3544" w14:textId="5D7648BC" w:rsidR="0062469B" w:rsidRDefault="0062469B" w:rsidP="00F02BFC">
      <w:pPr>
        <w:pStyle w:val="ListParagraph"/>
        <w:numPr>
          <w:ilvl w:val="2"/>
          <w:numId w:val="23"/>
        </w:numPr>
        <w:rPr>
          <w:rFonts w:eastAsia="Arial"/>
        </w:rPr>
      </w:pPr>
      <w:r>
        <w:rPr>
          <w:rFonts w:eastAsia="Arial"/>
        </w:rPr>
        <w:t>Complete the revision of, and obtain formal approval for, the Strategic Plans drafted for the LAC and Judicial Department</w:t>
      </w:r>
      <w:r w:rsidR="0025576E">
        <w:rPr>
          <w:rFonts w:eastAsia="Arial"/>
        </w:rPr>
        <w:t xml:space="preserve"> (Target: by 1 July 2019)</w:t>
      </w:r>
      <w:r>
        <w:rPr>
          <w:rFonts w:eastAsia="Arial"/>
        </w:rPr>
        <w:t>;</w:t>
      </w:r>
    </w:p>
    <w:p w14:paraId="1DD134E2" w14:textId="567F655A" w:rsidR="008C2A57" w:rsidRPr="008C2A57" w:rsidRDefault="008C2A57" w:rsidP="00F02BFC">
      <w:pPr>
        <w:pStyle w:val="ListParagraph"/>
        <w:numPr>
          <w:ilvl w:val="2"/>
          <w:numId w:val="23"/>
        </w:numPr>
        <w:rPr>
          <w:rFonts w:eastAsia="Arial"/>
        </w:rPr>
      </w:pPr>
      <w:r>
        <w:rPr>
          <w:rFonts w:eastAsia="Arial"/>
        </w:rPr>
        <w:t>Review the FA2J M&amp;E Framework to clarify targets for the target populations identified in Recommendation 2 with participation of CSO representatives (Target: by 15 July 2019);</w:t>
      </w:r>
    </w:p>
    <w:p w14:paraId="666FB315" w14:textId="522A69A0" w:rsidR="0062469B" w:rsidRDefault="0062469B" w:rsidP="00F02BFC">
      <w:pPr>
        <w:pStyle w:val="ListParagraph"/>
        <w:numPr>
          <w:ilvl w:val="2"/>
          <w:numId w:val="23"/>
        </w:numPr>
        <w:rPr>
          <w:rFonts w:eastAsia="Arial"/>
        </w:rPr>
      </w:pPr>
      <w:r>
        <w:rPr>
          <w:rFonts w:eastAsia="Arial"/>
        </w:rPr>
        <w:t xml:space="preserve">Complete, with external assistance if </w:t>
      </w:r>
      <w:r w:rsidR="008C2A57">
        <w:rPr>
          <w:rFonts w:eastAsia="Arial"/>
        </w:rPr>
        <w:t xml:space="preserve">the </w:t>
      </w:r>
      <w:r>
        <w:rPr>
          <w:rFonts w:eastAsia="Arial"/>
        </w:rPr>
        <w:t xml:space="preserve">need </w:t>
      </w:r>
      <w:r w:rsidR="008C2A57">
        <w:rPr>
          <w:rFonts w:eastAsia="Arial"/>
        </w:rPr>
        <w:t xml:space="preserve">is </w:t>
      </w:r>
      <w:r>
        <w:rPr>
          <w:rFonts w:eastAsia="Arial"/>
        </w:rPr>
        <w:t>identified</w:t>
      </w:r>
      <w:r w:rsidR="0025576E">
        <w:rPr>
          <w:rFonts w:eastAsia="Arial"/>
        </w:rPr>
        <w:t xml:space="preserve"> and including coordination with project assurance products such as the Assessment of Access to Justice in Fiji Assessment (Draft) and Balancing the Scales</w:t>
      </w:r>
      <w:r>
        <w:rPr>
          <w:rFonts w:eastAsia="Arial"/>
        </w:rPr>
        <w:t>, Annual Plans for beneficiary institutions</w:t>
      </w:r>
      <w:r w:rsidR="0025576E">
        <w:rPr>
          <w:rFonts w:eastAsia="Arial"/>
        </w:rPr>
        <w:t xml:space="preserve"> that align with targets in the Strategic Plan as well as shared FA2J targets (Target: by 1 August 2019);</w:t>
      </w:r>
    </w:p>
    <w:p w14:paraId="2825F7E5" w14:textId="286A823A" w:rsidR="0025576E" w:rsidRDefault="0025576E" w:rsidP="00F02BFC">
      <w:pPr>
        <w:pStyle w:val="ListParagraph"/>
        <w:numPr>
          <w:ilvl w:val="2"/>
          <w:numId w:val="23"/>
        </w:numPr>
        <w:rPr>
          <w:rFonts w:eastAsia="Arial"/>
        </w:rPr>
      </w:pPr>
      <w:r>
        <w:rPr>
          <w:rFonts w:eastAsia="Arial"/>
        </w:rPr>
        <w:t xml:space="preserve">Develop, with external assistance if </w:t>
      </w:r>
      <w:r w:rsidR="008C2A57">
        <w:rPr>
          <w:rFonts w:eastAsia="Arial"/>
        </w:rPr>
        <w:t xml:space="preserve">the </w:t>
      </w:r>
      <w:r>
        <w:rPr>
          <w:rFonts w:eastAsia="Arial"/>
        </w:rPr>
        <w:t xml:space="preserve">need </w:t>
      </w:r>
      <w:r w:rsidR="008C2A57">
        <w:rPr>
          <w:rFonts w:eastAsia="Arial"/>
        </w:rPr>
        <w:t xml:space="preserve">is </w:t>
      </w:r>
      <w:r>
        <w:rPr>
          <w:rFonts w:eastAsia="Arial"/>
        </w:rPr>
        <w:t>identified, Annual Report templates based on the Strategic and Annual Plans and related M&amp;E frameworks, address any gaps in mandatory reporting using the new templates, and ensure that reports are posted on institutional websites (Target: for report template by 15 August 2019, for outstanding reports TBD)</w:t>
      </w:r>
      <w:r w:rsidR="008C2A57">
        <w:rPr>
          <w:rFonts w:eastAsia="Arial"/>
        </w:rPr>
        <w:t>.</w:t>
      </w:r>
    </w:p>
    <w:p w14:paraId="4DE57C08" w14:textId="77777777" w:rsidR="00486C2F" w:rsidRDefault="00486C2F" w:rsidP="00486C2F">
      <w:pPr>
        <w:ind w:left="1440"/>
        <w:rPr>
          <w:rFonts w:eastAsia="Arial"/>
          <w:b/>
        </w:rPr>
      </w:pPr>
    </w:p>
    <w:p w14:paraId="5AF42C6B" w14:textId="3DE6750B" w:rsidR="00486C2F" w:rsidRPr="00486C2F" w:rsidRDefault="00486C2F" w:rsidP="00486C2F">
      <w:pPr>
        <w:ind w:left="1440"/>
        <w:rPr>
          <w:rFonts w:eastAsia="Arial"/>
          <w:b/>
        </w:rPr>
      </w:pPr>
      <w:r>
        <w:rPr>
          <w:rFonts w:eastAsia="Arial"/>
          <w:b/>
        </w:rPr>
        <w:t xml:space="preserve">N.B. The products of this working group should integrate institutional priorities, such as the Judicial Training Institute and other training plans, into the foundational plans and resulting budgets for each institution.  </w:t>
      </w:r>
    </w:p>
    <w:p w14:paraId="2A2BEE0B" w14:textId="77777777" w:rsidR="00486C2F" w:rsidRPr="00486C2F" w:rsidRDefault="00486C2F" w:rsidP="00486C2F">
      <w:pPr>
        <w:ind w:left="1440"/>
        <w:rPr>
          <w:rFonts w:eastAsia="Arial"/>
        </w:rPr>
      </w:pPr>
    </w:p>
    <w:p w14:paraId="4F95C04C" w14:textId="040FCB79" w:rsidR="00486C2F" w:rsidRDefault="008C2A57" w:rsidP="00F02BFC">
      <w:pPr>
        <w:pStyle w:val="ListParagraph"/>
        <w:numPr>
          <w:ilvl w:val="1"/>
          <w:numId w:val="23"/>
        </w:numPr>
        <w:rPr>
          <w:rFonts w:eastAsia="Arial"/>
        </w:rPr>
      </w:pPr>
      <w:r>
        <w:rPr>
          <w:rFonts w:eastAsia="Arial"/>
        </w:rPr>
        <w:t>A working group directed to focus on the development of outreach materials</w:t>
      </w:r>
      <w:r w:rsidR="004E4C03">
        <w:rPr>
          <w:rFonts w:eastAsia="Arial"/>
        </w:rPr>
        <w:t xml:space="preserve"> </w:t>
      </w:r>
      <w:r w:rsidR="00C875F4">
        <w:rPr>
          <w:rFonts w:eastAsia="Arial"/>
        </w:rPr>
        <w:t>designed to address informational needs of specific</w:t>
      </w:r>
      <w:r w:rsidR="004E4C03">
        <w:rPr>
          <w:rFonts w:eastAsia="Arial"/>
        </w:rPr>
        <w:t xml:space="preserve"> vulnerable populations </w:t>
      </w:r>
      <w:r w:rsidR="00C875F4">
        <w:rPr>
          <w:rFonts w:eastAsia="Arial"/>
        </w:rPr>
        <w:t xml:space="preserve">identified as targets for </w:t>
      </w:r>
      <w:r w:rsidR="004E4C03">
        <w:rPr>
          <w:rFonts w:eastAsia="Arial"/>
        </w:rPr>
        <w:t>FA2J</w:t>
      </w:r>
      <w:r>
        <w:rPr>
          <w:rFonts w:eastAsia="Arial"/>
        </w:rPr>
        <w:t>. Membership should include beneficiary representatives (from CSOs and duty bearers) with key responsibilities for developing and using outreach materials for their institutions, EU delegation representatives as deemed useful by the delegation, other government officials as needed (such as Ministry of Women, Children and Poverty Alleviation to support integration of efforts with national protocol on GBV), external advisors as needed, suppliers for print and media products, and UNDP communication staff to provide management support to decision making.</w:t>
      </w:r>
      <w:r w:rsidR="004E4C03">
        <w:rPr>
          <w:rFonts w:eastAsia="Arial"/>
        </w:rPr>
        <w:t xml:space="preserve"> (Target: for coordinated outreach materials targeting women by 15 July 2019 (national protocol and partner resources already available), targeting people with disabilities by 15 August 2019 (pending completion of FDPF research under grant), targeting poor living in informal settlements and rural areas by 15 September).</w:t>
      </w:r>
    </w:p>
    <w:p w14:paraId="67C79BFB" w14:textId="77777777" w:rsidR="001404A3" w:rsidRDefault="001404A3" w:rsidP="001404A3">
      <w:pPr>
        <w:pStyle w:val="ListParagraph"/>
        <w:ind w:left="1440"/>
        <w:rPr>
          <w:rFonts w:eastAsia="Arial"/>
        </w:rPr>
      </w:pPr>
    </w:p>
    <w:p w14:paraId="04E4EF0B" w14:textId="4D0444D6" w:rsidR="00C8210C" w:rsidRDefault="001404A3" w:rsidP="00762E6A">
      <w:pPr>
        <w:pStyle w:val="ListParagraph"/>
        <w:numPr>
          <w:ilvl w:val="0"/>
          <w:numId w:val="24"/>
        </w:numPr>
        <w:rPr>
          <w:rFonts w:eastAsia="Arial"/>
        </w:rPr>
      </w:pPr>
      <w:r>
        <w:rPr>
          <w:rFonts w:eastAsia="Arial"/>
        </w:rPr>
        <w:t xml:space="preserve">UNDP </w:t>
      </w:r>
      <w:r w:rsidR="00BD3E50">
        <w:rPr>
          <w:rFonts w:eastAsia="Arial"/>
        </w:rPr>
        <w:t xml:space="preserve">should </w:t>
      </w:r>
      <w:r>
        <w:rPr>
          <w:rFonts w:eastAsia="Arial"/>
        </w:rPr>
        <w:t xml:space="preserve">assess partner support for the development of a Secretariat function to support justice sector coordination efforts and </w:t>
      </w:r>
      <w:r w:rsidR="0049121F">
        <w:rPr>
          <w:rFonts w:eastAsia="Arial"/>
        </w:rPr>
        <w:t xml:space="preserve">specific initiatives, such as the completion of mandatory international reporting. </w:t>
      </w:r>
      <w:r w:rsidR="00111B37">
        <w:rPr>
          <w:rFonts w:eastAsia="Arial"/>
        </w:rPr>
        <w:t>While the FA2J Project Document identifies a process</w:t>
      </w:r>
      <w:r w:rsidR="00762E6A">
        <w:rPr>
          <w:rFonts w:eastAsia="Arial"/>
        </w:rPr>
        <w:t>-</w:t>
      </w:r>
      <w:r w:rsidR="00111B37">
        <w:rPr>
          <w:rFonts w:eastAsia="Arial"/>
        </w:rPr>
        <w:t xml:space="preserve">based framework in addition to </w:t>
      </w:r>
      <w:r w:rsidR="00762E6A">
        <w:rPr>
          <w:rFonts w:eastAsia="Arial"/>
        </w:rPr>
        <w:t>rights-based</w:t>
      </w:r>
      <w:r w:rsidR="00111B37">
        <w:rPr>
          <w:rFonts w:eastAsia="Arial"/>
        </w:rPr>
        <w:t xml:space="preserve"> considerations, the current FA2J footprint supports outreach and then court processing. In Fiji, the police are responsible for laying around 90% of initial charges, and many other actors contribute to victim support, evidence collection, evidence processing, and post-trial rehabilitation and reintegration later. </w:t>
      </w:r>
      <w:r w:rsidR="0049121F">
        <w:rPr>
          <w:rFonts w:eastAsia="Arial"/>
        </w:rPr>
        <w:t xml:space="preserve">The MTE identified benefits </w:t>
      </w:r>
      <w:r w:rsidR="00111B37">
        <w:rPr>
          <w:rFonts w:eastAsia="Arial"/>
        </w:rPr>
        <w:t xml:space="preserve">that </w:t>
      </w:r>
      <w:r w:rsidR="0049121F">
        <w:rPr>
          <w:rFonts w:eastAsia="Arial"/>
        </w:rPr>
        <w:t xml:space="preserve">a coordination mechanism </w:t>
      </w:r>
      <w:r w:rsidR="00111B37">
        <w:rPr>
          <w:rFonts w:eastAsia="Arial"/>
        </w:rPr>
        <w:t xml:space="preserve">that extends to actors engaged in these other stages of the process </w:t>
      </w:r>
      <w:r w:rsidR="0049121F">
        <w:rPr>
          <w:rFonts w:eastAsia="Arial"/>
        </w:rPr>
        <w:t>could provide for FA2J</w:t>
      </w:r>
      <w:r w:rsidR="00111B37">
        <w:rPr>
          <w:rFonts w:eastAsia="Arial"/>
        </w:rPr>
        <w:t>.</w:t>
      </w:r>
      <w:r w:rsidR="00A54686">
        <w:rPr>
          <w:rFonts w:eastAsia="Arial"/>
        </w:rPr>
        <w:t xml:space="preserve"> Longer term, </w:t>
      </w:r>
      <w:r w:rsidR="0049121F">
        <w:rPr>
          <w:rFonts w:eastAsia="Arial"/>
        </w:rPr>
        <w:t xml:space="preserve">a sector coordination mechanism would align with UNDP’s </w:t>
      </w:r>
      <w:r w:rsidR="00BD3E50">
        <w:rPr>
          <w:rFonts w:eastAsia="Arial"/>
        </w:rPr>
        <w:t xml:space="preserve">broader </w:t>
      </w:r>
      <w:r w:rsidR="0049121F">
        <w:rPr>
          <w:rFonts w:eastAsia="Arial"/>
        </w:rPr>
        <w:t xml:space="preserve">rule of law program </w:t>
      </w:r>
      <w:r w:rsidR="00BD3E50">
        <w:rPr>
          <w:rFonts w:eastAsia="Arial"/>
        </w:rPr>
        <w:t>with</w:t>
      </w:r>
      <w:r w:rsidR="0049121F">
        <w:rPr>
          <w:rFonts w:eastAsia="Arial"/>
        </w:rPr>
        <w:t xml:space="preserve">in which FA2J is managed. </w:t>
      </w:r>
      <w:r w:rsidR="00E420C5">
        <w:rPr>
          <w:rFonts w:eastAsia="Arial"/>
        </w:rPr>
        <w:t>Various models for such a coordination mechanism exist.</w:t>
      </w:r>
      <w:r w:rsidR="00A54686">
        <w:rPr>
          <w:rStyle w:val="FootnoteReference"/>
          <w:rFonts w:eastAsia="Arial"/>
        </w:rPr>
        <w:footnoteReference w:id="97"/>
      </w:r>
      <w:r w:rsidR="00E420C5">
        <w:rPr>
          <w:rFonts w:eastAsia="Arial"/>
        </w:rPr>
        <w:t xml:space="preserve"> If </w:t>
      </w:r>
      <w:r w:rsidR="00C9217F">
        <w:rPr>
          <w:rFonts w:eastAsia="Arial"/>
        </w:rPr>
        <w:t xml:space="preserve">both FA2J and external partners such as the FPF </w:t>
      </w:r>
      <w:r w:rsidR="00E420C5">
        <w:rPr>
          <w:rFonts w:eastAsia="Arial"/>
        </w:rPr>
        <w:t xml:space="preserve">support the formalization of a coordination mechanism, these models should be reviewed carefully to ensure that independent functions of justice are properly supported while coordination can be advanced efficiently. </w:t>
      </w:r>
      <w:r w:rsidR="00A54686">
        <w:rPr>
          <w:rFonts w:eastAsia="Arial"/>
        </w:rPr>
        <w:t>In the shorter term, discrete</w:t>
      </w:r>
      <w:r w:rsidR="00C8210C">
        <w:rPr>
          <w:rFonts w:eastAsia="Arial"/>
        </w:rPr>
        <w:t xml:space="preserve"> coordination mechanisms</w:t>
      </w:r>
      <w:r w:rsidR="00C9217F">
        <w:rPr>
          <w:rFonts w:eastAsia="Arial"/>
        </w:rPr>
        <w:t xml:space="preserve"> involving FA2J and external partners</w:t>
      </w:r>
      <w:r w:rsidR="00ED629C">
        <w:rPr>
          <w:rFonts w:eastAsia="Arial"/>
        </w:rPr>
        <w:t>, such as task forces,</w:t>
      </w:r>
      <w:r w:rsidR="00C8210C">
        <w:rPr>
          <w:rFonts w:eastAsia="Arial"/>
        </w:rPr>
        <w:t xml:space="preserve"> targeting specific shared targets </w:t>
      </w:r>
      <w:r w:rsidR="00111B37">
        <w:rPr>
          <w:rFonts w:eastAsia="Arial"/>
        </w:rPr>
        <w:t xml:space="preserve">within the current FA2J framework </w:t>
      </w:r>
      <w:r w:rsidR="00C8210C">
        <w:rPr>
          <w:rFonts w:eastAsia="Arial"/>
        </w:rPr>
        <w:t xml:space="preserve">can be developed modelled on the </w:t>
      </w:r>
      <w:r w:rsidR="00C8210C">
        <w:rPr>
          <w:rFonts w:eastAsia="Arial"/>
        </w:rPr>
        <w:lastRenderedPageBreak/>
        <w:t xml:space="preserve">successful UN Human Rights Council initiative to complete the Universal Periodic Review. </w:t>
      </w:r>
      <w:r w:rsidR="00BB7949">
        <w:rPr>
          <w:rFonts w:eastAsia="Arial"/>
        </w:rPr>
        <w:t xml:space="preserve">These initiatives </w:t>
      </w:r>
      <w:r w:rsidR="00111B37">
        <w:rPr>
          <w:rFonts w:eastAsia="Arial"/>
        </w:rPr>
        <w:t xml:space="preserve">can </w:t>
      </w:r>
      <w:r w:rsidR="00BB7949">
        <w:rPr>
          <w:rFonts w:eastAsia="Arial"/>
        </w:rPr>
        <w:t xml:space="preserve">build on FA2J’s successful Rule of Law </w:t>
      </w:r>
      <w:r w:rsidR="00EC33B8">
        <w:rPr>
          <w:rFonts w:eastAsia="Arial"/>
        </w:rPr>
        <w:t>conferences</w:t>
      </w:r>
      <w:r w:rsidR="00111B37">
        <w:rPr>
          <w:rFonts w:eastAsia="Arial"/>
        </w:rPr>
        <w:t xml:space="preserve">, </w:t>
      </w:r>
      <w:r w:rsidR="00BB7949">
        <w:rPr>
          <w:rFonts w:eastAsia="Arial"/>
        </w:rPr>
        <w:t xml:space="preserve">however they would provide a </w:t>
      </w:r>
      <w:r w:rsidR="00111B37">
        <w:rPr>
          <w:rFonts w:eastAsia="Arial"/>
        </w:rPr>
        <w:t>durable structure</w:t>
      </w:r>
      <w:r w:rsidR="00BB7949">
        <w:rPr>
          <w:rFonts w:eastAsia="Arial"/>
        </w:rPr>
        <w:t xml:space="preserve"> for </w:t>
      </w:r>
      <w:r w:rsidR="00111B37">
        <w:rPr>
          <w:rFonts w:eastAsia="Arial"/>
        </w:rPr>
        <w:t xml:space="preserve">coordinating </w:t>
      </w:r>
      <w:r w:rsidR="00BB7949">
        <w:rPr>
          <w:rFonts w:eastAsia="Arial"/>
        </w:rPr>
        <w:t>efforts</w:t>
      </w:r>
      <w:r w:rsidR="00111B37">
        <w:rPr>
          <w:rFonts w:eastAsia="Arial"/>
        </w:rPr>
        <w:t xml:space="preserve"> that is not available in a conference format. </w:t>
      </w:r>
      <w:r w:rsidR="00C9217F">
        <w:rPr>
          <w:rFonts w:eastAsia="Arial"/>
        </w:rPr>
        <w:t xml:space="preserve">As a secretariat to the task forces, </w:t>
      </w:r>
      <w:r w:rsidR="009828CA">
        <w:rPr>
          <w:rFonts w:eastAsia="Arial"/>
        </w:rPr>
        <w:t xml:space="preserve">FA2J can assess the unique Fiji legal and social environment for possible formalization of a coordination mechanism. </w:t>
      </w:r>
      <w:r w:rsidR="00C9217F">
        <w:rPr>
          <w:rFonts w:eastAsia="Arial"/>
        </w:rPr>
        <w:t xml:space="preserve">The MTE identified </w:t>
      </w:r>
      <w:r w:rsidR="009828CA">
        <w:rPr>
          <w:rFonts w:eastAsia="Arial"/>
        </w:rPr>
        <w:t xml:space="preserve">potential </w:t>
      </w:r>
      <w:r w:rsidR="00C8210C">
        <w:rPr>
          <w:rFonts w:eastAsia="Arial"/>
        </w:rPr>
        <w:t xml:space="preserve">targets </w:t>
      </w:r>
      <w:r w:rsidR="009828CA">
        <w:rPr>
          <w:rFonts w:eastAsia="Arial"/>
        </w:rPr>
        <w:t xml:space="preserve">for task forces </w:t>
      </w:r>
      <w:r w:rsidR="00BB7949">
        <w:rPr>
          <w:rFonts w:eastAsia="Arial"/>
        </w:rPr>
        <w:t>within the current FA2J</w:t>
      </w:r>
      <w:r w:rsidR="00C9217F">
        <w:rPr>
          <w:rFonts w:eastAsia="Arial"/>
        </w:rPr>
        <w:t xml:space="preserve"> mandate</w:t>
      </w:r>
      <w:r w:rsidR="00C8210C">
        <w:rPr>
          <w:rFonts w:eastAsia="Arial"/>
        </w:rPr>
        <w:t>:</w:t>
      </w:r>
    </w:p>
    <w:p w14:paraId="58838EBE" w14:textId="77777777" w:rsidR="00C9217F" w:rsidRDefault="00C9217F" w:rsidP="00C9217F">
      <w:pPr>
        <w:pStyle w:val="ListParagraph"/>
        <w:rPr>
          <w:rFonts w:eastAsia="Arial"/>
        </w:rPr>
      </w:pPr>
    </w:p>
    <w:p w14:paraId="3EAF64C4" w14:textId="4A07E664" w:rsidR="00C8210C" w:rsidRDefault="00C8210C" w:rsidP="00C8210C">
      <w:pPr>
        <w:pStyle w:val="ListParagraph"/>
        <w:numPr>
          <w:ilvl w:val="1"/>
          <w:numId w:val="23"/>
        </w:numPr>
        <w:rPr>
          <w:rFonts w:eastAsia="Arial"/>
        </w:rPr>
      </w:pPr>
      <w:r>
        <w:rPr>
          <w:rFonts w:eastAsia="Arial"/>
        </w:rPr>
        <w:t xml:space="preserve">Island Courts: Recent reports indicate that the </w:t>
      </w:r>
      <w:r w:rsidR="00BB7949">
        <w:rPr>
          <w:rFonts w:eastAsia="Arial"/>
        </w:rPr>
        <w:t xml:space="preserve">national-level </w:t>
      </w:r>
      <w:r>
        <w:rPr>
          <w:rFonts w:eastAsia="Arial"/>
        </w:rPr>
        <w:t xml:space="preserve">growth in capacity in processing criminal cases and DVRO </w:t>
      </w:r>
      <w:r w:rsidR="00BB7949">
        <w:rPr>
          <w:rFonts w:eastAsia="Arial"/>
        </w:rPr>
        <w:t xml:space="preserve">applications </w:t>
      </w:r>
      <w:r>
        <w:rPr>
          <w:rFonts w:eastAsia="Arial"/>
        </w:rPr>
        <w:t>needs to be extended to the Island Court level.</w:t>
      </w:r>
      <w:r w:rsidR="00BB7949">
        <w:rPr>
          <w:rStyle w:val="FootnoteReference"/>
          <w:rFonts w:eastAsia="Arial"/>
        </w:rPr>
        <w:footnoteReference w:id="98"/>
      </w:r>
      <w:r>
        <w:rPr>
          <w:rFonts w:eastAsia="Arial"/>
        </w:rPr>
        <w:t xml:space="preserve"> In addition to FA2J duty bearers, the FPF and Office of the Director of Public Prosecutions</w:t>
      </w:r>
      <w:r w:rsidR="00BB7949">
        <w:rPr>
          <w:rFonts w:eastAsia="Arial"/>
        </w:rPr>
        <w:t>, traditional leaders, civil society</w:t>
      </w:r>
      <w:r>
        <w:rPr>
          <w:rFonts w:eastAsia="Arial"/>
        </w:rPr>
        <w:t xml:space="preserve"> and other stakeholders are necessary partners in extending outreach and service provision to rural populations. A task</w:t>
      </w:r>
      <w:r w:rsidR="00ED629C">
        <w:rPr>
          <w:rFonts w:eastAsia="Arial"/>
        </w:rPr>
        <w:t xml:space="preserve"> </w:t>
      </w:r>
      <w:r>
        <w:rPr>
          <w:rFonts w:eastAsia="Arial"/>
        </w:rPr>
        <w:t xml:space="preserve">force </w:t>
      </w:r>
      <w:r w:rsidR="00ED629C">
        <w:rPr>
          <w:rFonts w:eastAsia="Arial"/>
        </w:rPr>
        <w:t>with FA2J secretariat support can be convened to strategically review resources available</w:t>
      </w:r>
      <w:r w:rsidR="00BB7949">
        <w:rPr>
          <w:rFonts w:eastAsia="Arial"/>
        </w:rPr>
        <w:t>, gaps for possible external support</w:t>
      </w:r>
      <w:r w:rsidR="009828CA">
        <w:rPr>
          <w:rFonts w:eastAsia="Arial"/>
        </w:rPr>
        <w:t>,</w:t>
      </w:r>
      <w:r w:rsidR="00ED629C">
        <w:rPr>
          <w:rFonts w:eastAsia="Arial"/>
        </w:rPr>
        <w:t xml:space="preserve"> and opportunities for</w:t>
      </w:r>
      <w:r w:rsidR="0001528B">
        <w:rPr>
          <w:rFonts w:eastAsia="Arial"/>
        </w:rPr>
        <w:t xml:space="preserve"> coordinated support to the </w:t>
      </w:r>
      <w:r w:rsidR="009828CA">
        <w:rPr>
          <w:rFonts w:eastAsia="Arial"/>
        </w:rPr>
        <w:t xml:space="preserve">operation of Island Courts. </w:t>
      </w:r>
      <w:r w:rsidR="00ED629C">
        <w:rPr>
          <w:rFonts w:eastAsia="Arial"/>
        </w:rPr>
        <w:t xml:space="preserve"> </w:t>
      </w:r>
    </w:p>
    <w:p w14:paraId="2C1E5C3A" w14:textId="77777777" w:rsidR="00C9217F" w:rsidRDefault="00C9217F" w:rsidP="00C9217F">
      <w:pPr>
        <w:pStyle w:val="ListParagraph"/>
        <w:ind w:left="1440"/>
        <w:rPr>
          <w:rFonts w:eastAsia="Arial"/>
        </w:rPr>
      </w:pPr>
    </w:p>
    <w:p w14:paraId="39B08024" w14:textId="3C4ED7A7" w:rsidR="00ED629C" w:rsidRDefault="00ED629C" w:rsidP="00C8210C">
      <w:pPr>
        <w:pStyle w:val="ListParagraph"/>
        <w:numPr>
          <w:ilvl w:val="1"/>
          <w:numId w:val="23"/>
        </w:numPr>
        <w:rPr>
          <w:rFonts w:eastAsia="Arial"/>
        </w:rPr>
      </w:pPr>
      <w:r>
        <w:rPr>
          <w:rFonts w:eastAsia="Arial"/>
        </w:rPr>
        <w:t xml:space="preserve">Urban </w:t>
      </w:r>
      <w:r w:rsidR="009828CA">
        <w:rPr>
          <w:rFonts w:eastAsia="Arial"/>
        </w:rPr>
        <w:t>Informal</w:t>
      </w:r>
      <w:r>
        <w:rPr>
          <w:rFonts w:eastAsia="Arial"/>
        </w:rPr>
        <w:t xml:space="preserve"> Settlements: Similarly, service delivery to urban </w:t>
      </w:r>
      <w:r w:rsidR="009828CA">
        <w:rPr>
          <w:rFonts w:eastAsia="Arial"/>
        </w:rPr>
        <w:t xml:space="preserve">informal </w:t>
      </w:r>
      <w:r>
        <w:rPr>
          <w:rFonts w:eastAsia="Arial"/>
        </w:rPr>
        <w:t>settlements require</w:t>
      </w:r>
      <w:r w:rsidR="0001528B">
        <w:rPr>
          <w:rFonts w:eastAsia="Arial"/>
        </w:rPr>
        <w:t>s</w:t>
      </w:r>
      <w:r>
        <w:rPr>
          <w:rFonts w:eastAsia="Arial"/>
        </w:rPr>
        <w:t xml:space="preserve"> partnerships across the justice and social service sectors to address persistent challenges. </w:t>
      </w:r>
      <w:r w:rsidR="009828CA">
        <w:rPr>
          <w:rFonts w:eastAsia="Arial"/>
        </w:rPr>
        <w:t xml:space="preserve">Recommendation 3.d. highlights the opportunity for increasing outreach to settlement areas, however as the population becomes more aware of their rights the need for service delivery can be expected to increase. </w:t>
      </w:r>
    </w:p>
    <w:p w14:paraId="0E48E176" w14:textId="77777777" w:rsidR="0001528B" w:rsidRDefault="0001528B" w:rsidP="00ED629C">
      <w:pPr>
        <w:pStyle w:val="ListParagraph"/>
        <w:ind w:left="1440"/>
        <w:rPr>
          <w:rFonts w:eastAsia="Arial"/>
        </w:rPr>
      </w:pPr>
    </w:p>
    <w:p w14:paraId="05BEC314" w14:textId="37B3F849" w:rsidR="00514868" w:rsidRDefault="00E420C5" w:rsidP="0001528B">
      <w:pPr>
        <w:pStyle w:val="ListParagraph"/>
        <w:rPr>
          <w:rFonts w:eastAsia="Arial"/>
        </w:rPr>
      </w:pPr>
      <w:r>
        <w:rPr>
          <w:rFonts w:eastAsia="Arial"/>
        </w:rPr>
        <w:t xml:space="preserve">(Target: </w:t>
      </w:r>
      <w:r w:rsidR="0001528B">
        <w:rPr>
          <w:rFonts w:eastAsia="Arial"/>
        </w:rPr>
        <w:t xml:space="preserve">Terms of reference for task forces to be developed by Q4 2019 and one task force to be launched in Q4 2019; </w:t>
      </w:r>
      <w:r>
        <w:rPr>
          <w:rFonts w:eastAsia="Arial"/>
        </w:rPr>
        <w:t>UNDP</w:t>
      </w:r>
      <w:r w:rsidR="0001528B">
        <w:rPr>
          <w:rFonts w:eastAsia="Arial"/>
        </w:rPr>
        <w:t xml:space="preserve"> to review support and modalities for a formal coordination structure </w:t>
      </w:r>
      <w:r>
        <w:rPr>
          <w:rFonts w:eastAsia="Arial"/>
        </w:rPr>
        <w:t>during annual review cycle 20</w:t>
      </w:r>
      <w:r w:rsidR="0001528B">
        <w:rPr>
          <w:rFonts w:eastAsia="Arial"/>
        </w:rPr>
        <w:t>20</w:t>
      </w:r>
      <w:r>
        <w:rPr>
          <w:rFonts w:eastAsia="Arial"/>
        </w:rPr>
        <w:t xml:space="preserve">). </w:t>
      </w:r>
    </w:p>
    <w:p w14:paraId="22287550" w14:textId="46C6CAD5" w:rsidR="00E420C5" w:rsidRDefault="00E420C5" w:rsidP="00E420C5">
      <w:pPr>
        <w:pStyle w:val="ListParagraph"/>
        <w:rPr>
          <w:rFonts w:eastAsia="Arial"/>
        </w:rPr>
      </w:pPr>
      <w:r>
        <w:rPr>
          <w:rFonts w:eastAsia="Arial"/>
        </w:rPr>
        <w:t xml:space="preserve">  </w:t>
      </w:r>
    </w:p>
    <w:p w14:paraId="6FFB1E43" w14:textId="696EBC54" w:rsidR="002A7F2C" w:rsidRPr="00024460" w:rsidRDefault="002A7F2C" w:rsidP="00762E6A">
      <w:pPr>
        <w:pStyle w:val="ListParagraph"/>
        <w:numPr>
          <w:ilvl w:val="0"/>
          <w:numId w:val="24"/>
        </w:numPr>
        <w:rPr>
          <w:rFonts w:eastAsia="Arial"/>
        </w:rPr>
      </w:pPr>
      <w:r w:rsidRPr="00024460">
        <w:rPr>
          <w:rFonts w:eastAsia="Arial"/>
        </w:rPr>
        <w:t xml:space="preserve">UNDP </w:t>
      </w:r>
      <w:r w:rsidR="00BD3E50" w:rsidRPr="00024460">
        <w:rPr>
          <w:rFonts w:eastAsia="Arial"/>
        </w:rPr>
        <w:t xml:space="preserve">should </w:t>
      </w:r>
      <w:r w:rsidRPr="00024460">
        <w:rPr>
          <w:rFonts w:eastAsia="Arial"/>
        </w:rPr>
        <w:t>clarify FA2J’s distinct role within its rule of law portfolio</w:t>
      </w:r>
      <w:r w:rsidR="00BD3E50" w:rsidRPr="00024460">
        <w:rPr>
          <w:rFonts w:eastAsia="Arial"/>
        </w:rPr>
        <w:t xml:space="preserve"> and work with other agencies to invigorate </w:t>
      </w:r>
      <w:r w:rsidRPr="00024460">
        <w:rPr>
          <w:rFonts w:eastAsia="Arial"/>
        </w:rPr>
        <w:t xml:space="preserve">the </w:t>
      </w:r>
      <w:r w:rsidR="00BD3E50" w:rsidRPr="00024460">
        <w:rPr>
          <w:rFonts w:eastAsia="Arial"/>
        </w:rPr>
        <w:t xml:space="preserve">UN Pacific Regional Strategy </w:t>
      </w:r>
      <w:r w:rsidRPr="00024460">
        <w:rPr>
          <w:rFonts w:eastAsia="Arial"/>
        </w:rPr>
        <w:t xml:space="preserve">Coordination Group and related Outcome Groups as the conduit for engagement with </w:t>
      </w:r>
      <w:r w:rsidR="00BD3E50" w:rsidRPr="00024460">
        <w:rPr>
          <w:rFonts w:eastAsia="Arial"/>
        </w:rPr>
        <w:t xml:space="preserve">the </w:t>
      </w:r>
      <w:r w:rsidRPr="00024460">
        <w:rPr>
          <w:rFonts w:eastAsia="Arial"/>
        </w:rPr>
        <w:t xml:space="preserve">FA2J Working Groups / Project Board </w:t>
      </w:r>
      <w:r w:rsidR="00BD3E50" w:rsidRPr="00024460">
        <w:rPr>
          <w:rFonts w:eastAsia="Arial"/>
        </w:rPr>
        <w:t xml:space="preserve">as depicted in Annex 8. Such engagement is specifically recommended to engage UN agencies focused on gender with the FA2J working group focused on the development of strategic planning and M&amp;E / reporting products in line with the timeframe outlined under Recommendation 3.c. </w:t>
      </w:r>
      <w:r w:rsidR="00024460" w:rsidRPr="00024460">
        <w:rPr>
          <w:rFonts w:eastAsia="Arial"/>
        </w:rPr>
        <w:t xml:space="preserve">The </w:t>
      </w:r>
      <w:r w:rsidR="00111B37">
        <w:rPr>
          <w:rFonts w:eastAsia="Arial"/>
        </w:rPr>
        <w:t>MTE</w:t>
      </w:r>
      <w:r w:rsidR="00024460" w:rsidRPr="00024460">
        <w:rPr>
          <w:rFonts w:eastAsia="Arial"/>
        </w:rPr>
        <w:t xml:space="preserve"> identified a specific opportunity for increased discussion and coordination within the UN agencies around the collection and processing of “Rape Kits”. </w:t>
      </w:r>
      <w:r w:rsidR="00024460">
        <w:rPr>
          <w:rFonts w:eastAsia="Arial"/>
        </w:rPr>
        <w:t xml:space="preserve">CSOs report that UNICEF may be increasing support for the provision of rape kits to the FPF, and UN Women are working with GBV coordination systems linked to the Ministry of Women, Children &amp; Poverty Alleviation and CSOs providing support to survivors. </w:t>
      </w:r>
      <w:r w:rsidR="00EC33B8">
        <w:rPr>
          <w:rFonts w:eastAsia="Arial"/>
        </w:rPr>
        <w:t>However, r</w:t>
      </w:r>
      <w:r w:rsidR="00024460">
        <w:rPr>
          <w:rFonts w:eastAsia="Arial"/>
        </w:rPr>
        <w:t xml:space="preserve">ecent reports noted that the benefits of Rape Kits have not been fully realized due to challenges with coordination between actors involved in the collection, processing, and ultimate use of the Rape Kit evidence in court proceedings. FA2J is engaged with several key partners necessary for defining and using legal protocols throughout this process. </w:t>
      </w:r>
      <w:r w:rsidR="00EC33B8">
        <w:rPr>
          <w:rFonts w:eastAsia="Arial"/>
        </w:rPr>
        <w:t xml:space="preserve">The valuable engagement of UN agencies across the psycho-social, medical, and legal range of issues critical for the use of these kits can be leveraged to increase the effectiveness of the Rape Kits in providing justice to survivors of GBV. </w:t>
      </w:r>
      <w:r w:rsidR="00C9217F">
        <w:rPr>
          <w:rFonts w:eastAsia="Arial"/>
        </w:rPr>
        <w:t xml:space="preserve">Opportunities for extending access to Rape Kits to rural populations may also be identified by linkage of UN agency work to the task forces described in Recommendation 4. </w:t>
      </w:r>
      <w:r w:rsidR="00EC33B8">
        <w:rPr>
          <w:rFonts w:eastAsia="Arial"/>
        </w:rPr>
        <w:t>(Target: UNDP to work with UN Women to incorporate Rape Kit efficacy as an agenda item at the next Outcome 2 meeting).</w:t>
      </w:r>
    </w:p>
    <w:p w14:paraId="536028A4" w14:textId="77777777" w:rsidR="00E420C5" w:rsidRPr="00BD3E50" w:rsidRDefault="00E420C5" w:rsidP="00BD3E50">
      <w:pPr>
        <w:rPr>
          <w:rFonts w:eastAsia="Arial"/>
        </w:rPr>
      </w:pPr>
    </w:p>
    <w:p w14:paraId="59356338" w14:textId="77777777" w:rsidR="00E420C5" w:rsidRPr="00E420C5" w:rsidRDefault="00E420C5" w:rsidP="00E420C5">
      <w:pPr>
        <w:rPr>
          <w:rFonts w:eastAsia="Arial"/>
        </w:rPr>
      </w:pPr>
    </w:p>
    <w:p w14:paraId="30890824" w14:textId="77777777" w:rsidR="00385CE6" w:rsidRPr="00385CE6" w:rsidRDefault="00385CE6" w:rsidP="00385CE6">
      <w:pPr>
        <w:rPr>
          <w:rFonts w:eastAsia="Arial"/>
        </w:rPr>
      </w:pPr>
    </w:p>
    <w:p w14:paraId="6E66299E" w14:textId="77777777" w:rsidR="000357A0" w:rsidRDefault="000357A0" w:rsidP="0009420A">
      <w:pPr>
        <w:pStyle w:val="Heading1"/>
        <w:rPr>
          <w:rFonts w:eastAsia="Arial"/>
        </w:rPr>
        <w:sectPr w:rsidR="000357A0" w:rsidSect="005333B4">
          <w:pgSz w:w="11906" w:h="16838" w:code="9"/>
          <w:pgMar w:top="1440" w:right="1440" w:bottom="1440" w:left="1440" w:header="720" w:footer="720" w:gutter="0"/>
          <w:cols w:space="720"/>
          <w:titlePg/>
          <w:docGrid w:linePitch="360"/>
        </w:sectPr>
      </w:pPr>
    </w:p>
    <w:p w14:paraId="1169F2C9" w14:textId="42C72F16" w:rsidR="00F02FF1" w:rsidRDefault="0009420A" w:rsidP="0009420A">
      <w:pPr>
        <w:pStyle w:val="Heading1"/>
        <w:rPr>
          <w:rFonts w:eastAsia="Arial"/>
        </w:rPr>
      </w:pPr>
      <w:bookmarkStart w:id="29" w:name="_Toc12804587"/>
      <w:r>
        <w:rPr>
          <w:rFonts w:eastAsia="Arial"/>
        </w:rPr>
        <w:lastRenderedPageBreak/>
        <w:t>Annex 1 – Terms of Reference</w:t>
      </w:r>
      <w:bookmarkEnd w:id="29"/>
    </w:p>
    <w:p w14:paraId="0F9D4EEE" w14:textId="20E9B164" w:rsidR="00F7349E" w:rsidRDefault="00F7349E" w:rsidP="00F7349E">
      <w:pPr>
        <w:rPr>
          <w:rFonts w:eastAsia="Arial"/>
        </w:rPr>
      </w:pPr>
    </w:p>
    <w:p w14:paraId="40471442" w14:textId="2349E6FD" w:rsidR="00F7349E" w:rsidRPr="00F7349E" w:rsidRDefault="00F7349E" w:rsidP="00F7349E">
      <w:pPr>
        <w:rPr>
          <w:rFonts w:eastAsia="Arial"/>
        </w:rPr>
      </w:pPr>
      <w:r>
        <w:rPr>
          <w:noProof/>
          <w:lang w:val="en-CA" w:eastAsia="en-CA"/>
        </w:rPr>
        <w:drawing>
          <wp:inline distT="0" distB="0" distL="0" distR="0" wp14:anchorId="652F32BA" wp14:editId="42C88BBA">
            <wp:extent cx="5524500" cy="73608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9621" cy="7381004"/>
                    </a:xfrm>
                    <a:prstGeom prst="rect">
                      <a:avLst/>
                    </a:prstGeom>
                  </pic:spPr>
                </pic:pic>
              </a:graphicData>
            </a:graphic>
          </wp:inline>
        </w:drawing>
      </w:r>
    </w:p>
    <w:p w14:paraId="37FEBF7B" w14:textId="77777777" w:rsidR="0009420A" w:rsidRDefault="0009420A" w:rsidP="0009420A">
      <w:pPr>
        <w:rPr>
          <w:noProof/>
        </w:rPr>
      </w:pPr>
    </w:p>
    <w:p w14:paraId="239FB797" w14:textId="5550A211" w:rsidR="00F7349E" w:rsidRDefault="00F7349E" w:rsidP="00F7349E">
      <w:pPr>
        <w:ind w:firstLine="720"/>
        <w:rPr>
          <w:noProof/>
        </w:rPr>
      </w:pPr>
      <w:r>
        <w:rPr>
          <w:noProof/>
        </w:rPr>
        <w:br w:type="page"/>
      </w:r>
    </w:p>
    <w:p w14:paraId="11664E41" w14:textId="7AFF44BA" w:rsidR="00F7349E" w:rsidRDefault="00F7349E" w:rsidP="00F7349E">
      <w:pPr>
        <w:ind w:firstLine="720"/>
        <w:rPr>
          <w:noProof/>
        </w:rPr>
      </w:pPr>
      <w:r>
        <w:rPr>
          <w:noProof/>
          <w:lang w:val="en-CA" w:eastAsia="en-CA"/>
        </w:rPr>
        <w:lastRenderedPageBreak/>
        <w:drawing>
          <wp:anchor distT="0" distB="0" distL="114300" distR="114300" simplePos="0" relativeHeight="251654656" behindDoc="0" locked="0" layoutInCell="1" allowOverlap="1" wp14:anchorId="2DFC9054" wp14:editId="52A63428">
            <wp:simplePos x="0" y="0"/>
            <wp:positionH relativeFrom="margin">
              <wp:align>right</wp:align>
            </wp:positionH>
            <wp:positionV relativeFrom="paragraph">
              <wp:posOffset>0</wp:posOffset>
            </wp:positionV>
            <wp:extent cx="5711813" cy="7610475"/>
            <wp:effectExtent l="0" t="0" r="381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11813" cy="7610475"/>
                    </a:xfrm>
                    <a:prstGeom prst="rect">
                      <a:avLst/>
                    </a:prstGeom>
                  </pic:spPr>
                </pic:pic>
              </a:graphicData>
            </a:graphic>
          </wp:anchor>
        </w:drawing>
      </w:r>
    </w:p>
    <w:p w14:paraId="220E9860" w14:textId="77777777" w:rsidR="00F7349E" w:rsidRDefault="00F7349E" w:rsidP="00F7349E">
      <w:pPr>
        <w:tabs>
          <w:tab w:val="left" w:pos="840"/>
        </w:tabs>
        <w:rPr>
          <w:rFonts w:eastAsia="Arial"/>
        </w:rPr>
      </w:pPr>
      <w:r>
        <w:rPr>
          <w:rFonts w:eastAsia="Arial"/>
        </w:rPr>
        <w:tab/>
      </w:r>
    </w:p>
    <w:p w14:paraId="67AB844B" w14:textId="2F036720" w:rsidR="00F7349E" w:rsidRDefault="00F7349E" w:rsidP="00F7349E">
      <w:pPr>
        <w:tabs>
          <w:tab w:val="left" w:pos="3135"/>
        </w:tabs>
        <w:rPr>
          <w:rFonts w:eastAsia="Arial"/>
        </w:rPr>
      </w:pPr>
      <w:r>
        <w:rPr>
          <w:rFonts w:eastAsia="Arial"/>
        </w:rPr>
        <w:tab/>
      </w:r>
      <w:r>
        <w:rPr>
          <w:rFonts w:eastAsia="Arial"/>
        </w:rPr>
        <w:br w:type="page"/>
      </w:r>
    </w:p>
    <w:p w14:paraId="3097F557" w14:textId="122B1A8A" w:rsidR="00F7349E" w:rsidRDefault="00F7349E" w:rsidP="00F7349E">
      <w:pPr>
        <w:tabs>
          <w:tab w:val="left" w:pos="3135"/>
        </w:tabs>
        <w:rPr>
          <w:rFonts w:eastAsia="Arial"/>
        </w:rPr>
      </w:pPr>
    </w:p>
    <w:p w14:paraId="72E36AFD" w14:textId="77777777" w:rsidR="00F7349E" w:rsidRDefault="00F7349E" w:rsidP="00F7349E">
      <w:pPr>
        <w:tabs>
          <w:tab w:val="left" w:pos="3135"/>
        </w:tabs>
        <w:rPr>
          <w:rFonts w:eastAsia="Arial"/>
        </w:rPr>
      </w:pPr>
      <w:r w:rsidRPr="00F7349E">
        <w:rPr>
          <w:noProof/>
          <w:lang w:val="en-CA" w:eastAsia="en-CA"/>
        </w:rPr>
        <w:drawing>
          <wp:anchor distT="0" distB="0" distL="114300" distR="114300" simplePos="0" relativeHeight="251655680" behindDoc="0" locked="0" layoutInCell="1" allowOverlap="1" wp14:anchorId="76B8812C" wp14:editId="65AB653D">
            <wp:simplePos x="0" y="0"/>
            <wp:positionH relativeFrom="margin">
              <wp:align>left</wp:align>
            </wp:positionH>
            <wp:positionV relativeFrom="paragraph">
              <wp:posOffset>220345</wp:posOffset>
            </wp:positionV>
            <wp:extent cx="5962015" cy="7867015"/>
            <wp:effectExtent l="0" t="0" r="635" b="63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62015" cy="7867015"/>
                    </a:xfrm>
                    <a:prstGeom prst="rect">
                      <a:avLst/>
                    </a:prstGeom>
                  </pic:spPr>
                </pic:pic>
              </a:graphicData>
            </a:graphic>
            <wp14:sizeRelH relativeFrom="margin">
              <wp14:pctWidth>0</wp14:pctWidth>
            </wp14:sizeRelH>
            <wp14:sizeRelV relativeFrom="margin">
              <wp14:pctHeight>0</wp14:pctHeight>
            </wp14:sizeRelV>
          </wp:anchor>
        </w:drawing>
      </w:r>
      <w:r>
        <w:rPr>
          <w:rFonts w:eastAsia="Arial"/>
        </w:rPr>
        <w:tab/>
      </w:r>
    </w:p>
    <w:p w14:paraId="3B8F611C" w14:textId="77777777" w:rsidR="00F7349E" w:rsidRPr="00F7349E" w:rsidRDefault="00F7349E" w:rsidP="00F7349E">
      <w:pPr>
        <w:rPr>
          <w:rFonts w:eastAsia="Arial"/>
        </w:rPr>
      </w:pPr>
    </w:p>
    <w:p w14:paraId="747BF22A" w14:textId="77777777" w:rsidR="00F7349E" w:rsidRPr="00F7349E" w:rsidRDefault="00F7349E" w:rsidP="00F7349E">
      <w:pPr>
        <w:rPr>
          <w:rFonts w:eastAsia="Arial"/>
        </w:rPr>
      </w:pPr>
    </w:p>
    <w:p w14:paraId="5312A37A" w14:textId="0DCA28A2" w:rsidR="00F7349E" w:rsidRDefault="00F7349E" w:rsidP="00F7349E">
      <w:pPr>
        <w:tabs>
          <w:tab w:val="left" w:pos="2505"/>
        </w:tabs>
        <w:rPr>
          <w:rFonts w:eastAsia="Arial"/>
        </w:rPr>
      </w:pPr>
      <w:r>
        <w:rPr>
          <w:rFonts w:eastAsia="Arial"/>
        </w:rPr>
        <w:tab/>
      </w:r>
      <w:r>
        <w:rPr>
          <w:rFonts w:eastAsia="Arial"/>
        </w:rPr>
        <w:br w:type="page"/>
      </w:r>
    </w:p>
    <w:p w14:paraId="1F857C43" w14:textId="10F3E8A3" w:rsidR="00F7349E" w:rsidRPr="00F7349E" w:rsidRDefault="001C7CDE" w:rsidP="00F7349E">
      <w:pPr>
        <w:tabs>
          <w:tab w:val="left" w:pos="2505"/>
        </w:tabs>
        <w:rPr>
          <w:rFonts w:eastAsia="Arial"/>
        </w:rPr>
      </w:pPr>
      <w:r w:rsidRPr="001C7CDE">
        <w:rPr>
          <w:noProof/>
          <w:lang w:val="en-CA" w:eastAsia="en-CA"/>
        </w:rPr>
        <w:lastRenderedPageBreak/>
        <w:drawing>
          <wp:inline distT="0" distB="0" distL="0" distR="0" wp14:anchorId="78307893" wp14:editId="21114D89">
            <wp:extent cx="5735572" cy="7743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6999" cy="7759252"/>
                    </a:xfrm>
                    <a:prstGeom prst="rect">
                      <a:avLst/>
                    </a:prstGeom>
                  </pic:spPr>
                </pic:pic>
              </a:graphicData>
            </a:graphic>
          </wp:inline>
        </w:drawing>
      </w:r>
    </w:p>
    <w:p w14:paraId="30D9C3DD" w14:textId="77777777" w:rsidR="00F7349E" w:rsidRPr="00F7349E" w:rsidRDefault="00F7349E" w:rsidP="00F7349E">
      <w:pPr>
        <w:rPr>
          <w:rFonts w:eastAsia="Arial"/>
        </w:rPr>
      </w:pPr>
    </w:p>
    <w:p w14:paraId="6A942FA6" w14:textId="0BEF396B" w:rsidR="001C7CDE" w:rsidRDefault="001C7CDE" w:rsidP="001C7CDE">
      <w:pPr>
        <w:tabs>
          <w:tab w:val="left" w:pos="5445"/>
        </w:tabs>
        <w:rPr>
          <w:rFonts w:eastAsia="Arial"/>
        </w:rPr>
      </w:pPr>
      <w:r>
        <w:rPr>
          <w:rFonts w:eastAsia="Arial"/>
        </w:rPr>
        <w:tab/>
      </w:r>
      <w:r>
        <w:rPr>
          <w:rFonts w:eastAsia="Arial"/>
        </w:rPr>
        <w:br w:type="page"/>
      </w:r>
    </w:p>
    <w:p w14:paraId="737A84FA" w14:textId="24EDD5B3" w:rsidR="00F7349E" w:rsidRPr="00F7349E" w:rsidRDefault="001C7CDE" w:rsidP="001C7CDE">
      <w:pPr>
        <w:tabs>
          <w:tab w:val="left" w:pos="5445"/>
        </w:tabs>
        <w:rPr>
          <w:rFonts w:eastAsia="Arial"/>
        </w:rPr>
      </w:pPr>
      <w:r w:rsidRPr="001C7CDE">
        <w:rPr>
          <w:noProof/>
          <w:lang w:val="en-CA" w:eastAsia="en-CA"/>
        </w:rPr>
        <w:lastRenderedPageBreak/>
        <w:drawing>
          <wp:inline distT="0" distB="0" distL="0" distR="0" wp14:anchorId="532C0327" wp14:editId="3914BDA3">
            <wp:extent cx="6007379" cy="798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30666" cy="8012891"/>
                    </a:xfrm>
                    <a:prstGeom prst="rect">
                      <a:avLst/>
                    </a:prstGeom>
                  </pic:spPr>
                </pic:pic>
              </a:graphicData>
            </a:graphic>
          </wp:inline>
        </w:drawing>
      </w:r>
    </w:p>
    <w:p w14:paraId="3A06D83D" w14:textId="77777777" w:rsidR="00F7349E" w:rsidRPr="00F7349E" w:rsidRDefault="00F7349E" w:rsidP="00F7349E">
      <w:pPr>
        <w:rPr>
          <w:rFonts w:eastAsia="Arial"/>
        </w:rPr>
      </w:pPr>
    </w:p>
    <w:p w14:paraId="7B958429" w14:textId="77777777" w:rsidR="00F7349E" w:rsidRPr="00F7349E" w:rsidRDefault="00F7349E" w:rsidP="00F7349E">
      <w:pPr>
        <w:rPr>
          <w:rFonts w:eastAsia="Arial"/>
        </w:rPr>
      </w:pPr>
    </w:p>
    <w:p w14:paraId="2C116BCC" w14:textId="77777777" w:rsidR="00F7349E" w:rsidRPr="00F7349E" w:rsidRDefault="00F7349E" w:rsidP="00F7349E">
      <w:pPr>
        <w:rPr>
          <w:rFonts w:eastAsia="Arial"/>
        </w:rPr>
      </w:pPr>
    </w:p>
    <w:p w14:paraId="35854976" w14:textId="7DBA2052" w:rsidR="001C7CDE" w:rsidRDefault="001C7CDE" w:rsidP="001C7CDE">
      <w:pPr>
        <w:tabs>
          <w:tab w:val="left" w:pos="2370"/>
        </w:tabs>
        <w:rPr>
          <w:rFonts w:eastAsia="Arial"/>
        </w:rPr>
      </w:pPr>
      <w:r>
        <w:rPr>
          <w:rFonts w:eastAsia="Arial"/>
        </w:rPr>
        <w:tab/>
      </w:r>
      <w:r>
        <w:rPr>
          <w:rFonts w:eastAsia="Arial"/>
        </w:rPr>
        <w:br w:type="page"/>
      </w:r>
    </w:p>
    <w:p w14:paraId="6876DE86" w14:textId="182A4006" w:rsidR="00F7349E" w:rsidRPr="00F7349E" w:rsidRDefault="001C7CDE" w:rsidP="001C7CDE">
      <w:pPr>
        <w:tabs>
          <w:tab w:val="left" w:pos="2370"/>
        </w:tabs>
        <w:rPr>
          <w:rFonts w:eastAsia="Arial"/>
        </w:rPr>
      </w:pPr>
      <w:r>
        <w:rPr>
          <w:noProof/>
          <w:lang w:val="en-CA" w:eastAsia="en-CA"/>
        </w:rPr>
        <w:lastRenderedPageBreak/>
        <w:drawing>
          <wp:inline distT="0" distB="0" distL="0" distR="0" wp14:anchorId="27E6DC6E" wp14:editId="6C9569D9">
            <wp:extent cx="5876925" cy="78744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90407" cy="7892484"/>
                    </a:xfrm>
                    <a:prstGeom prst="rect">
                      <a:avLst/>
                    </a:prstGeom>
                  </pic:spPr>
                </pic:pic>
              </a:graphicData>
            </a:graphic>
          </wp:inline>
        </w:drawing>
      </w:r>
    </w:p>
    <w:p w14:paraId="5E62A84C" w14:textId="77777777" w:rsidR="00F7349E" w:rsidRPr="00F7349E" w:rsidRDefault="00F7349E" w:rsidP="00F7349E">
      <w:pPr>
        <w:rPr>
          <w:rFonts w:eastAsia="Arial"/>
        </w:rPr>
      </w:pPr>
    </w:p>
    <w:p w14:paraId="5A15894C" w14:textId="77777777" w:rsidR="00F7349E" w:rsidRPr="00F7349E" w:rsidRDefault="00F7349E" w:rsidP="00F7349E">
      <w:pPr>
        <w:rPr>
          <w:rFonts w:eastAsia="Arial"/>
        </w:rPr>
      </w:pPr>
    </w:p>
    <w:p w14:paraId="6319322E" w14:textId="1FAED51C" w:rsidR="001C7CDE" w:rsidRDefault="001C7CDE" w:rsidP="001C7CDE">
      <w:pPr>
        <w:ind w:firstLine="720"/>
        <w:rPr>
          <w:rFonts w:eastAsia="Arial"/>
        </w:rPr>
      </w:pPr>
      <w:r>
        <w:rPr>
          <w:rFonts w:eastAsia="Arial"/>
        </w:rPr>
        <w:br w:type="page"/>
      </w:r>
    </w:p>
    <w:p w14:paraId="113258B5" w14:textId="436F9819" w:rsidR="00F7349E" w:rsidRPr="00F7349E" w:rsidRDefault="001C7CDE" w:rsidP="001C7CDE">
      <w:pPr>
        <w:ind w:firstLine="720"/>
        <w:rPr>
          <w:rFonts w:eastAsia="Arial"/>
        </w:rPr>
      </w:pPr>
      <w:r>
        <w:rPr>
          <w:noProof/>
          <w:lang w:val="en-CA" w:eastAsia="en-CA"/>
        </w:rPr>
        <w:lastRenderedPageBreak/>
        <w:drawing>
          <wp:anchor distT="0" distB="0" distL="114300" distR="114300" simplePos="0" relativeHeight="251657728" behindDoc="0" locked="0" layoutInCell="1" allowOverlap="1" wp14:anchorId="2B2AE24E" wp14:editId="39A2C0FE">
            <wp:simplePos x="0" y="0"/>
            <wp:positionH relativeFrom="margin">
              <wp:posOffset>-66676</wp:posOffset>
            </wp:positionH>
            <wp:positionV relativeFrom="paragraph">
              <wp:posOffset>457</wp:posOffset>
            </wp:positionV>
            <wp:extent cx="5876925" cy="7798614"/>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883404" cy="7807212"/>
                    </a:xfrm>
                    <a:prstGeom prst="rect">
                      <a:avLst/>
                    </a:prstGeom>
                  </pic:spPr>
                </pic:pic>
              </a:graphicData>
            </a:graphic>
            <wp14:sizeRelH relativeFrom="margin">
              <wp14:pctWidth>0</wp14:pctWidth>
            </wp14:sizeRelH>
            <wp14:sizeRelV relativeFrom="margin">
              <wp14:pctHeight>0</wp14:pctHeight>
            </wp14:sizeRelV>
          </wp:anchor>
        </w:drawing>
      </w:r>
    </w:p>
    <w:p w14:paraId="1B671F05" w14:textId="77777777" w:rsidR="00F7349E" w:rsidRPr="00F7349E" w:rsidRDefault="00F7349E" w:rsidP="00F7349E">
      <w:pPr>
        <w:rPr>
          <w:rFonts w:eastAsia="Arial"/>
        </w:rPr>
      </w:pPr>
    </w:p>
    <w:p w14:paraId="3659FC3C" w14:textId="77777777" w:rsidR="00F7349E" w:rsidRPr="00F7349E" w:rsidRDefault="00F7349E" w:rsidP="00F7349E">
      <w:pPr>
        <w:rPr>
          <w:rFonts w:eastAsia="Arial"/>
        </w:rPr>
      </w:pPr>
    </w:p>
    <w:p w14:paraId="5071CD39" w14:textId="77777777" w:rsidR="00F7349E" w:rsidRPr="00F7349E" w:rsidRDefault="00F7349E" w:rsidP="00F7349E">
      <w:pPr>
        <w:rPr>
          <w:rFonts w:eastAsia="Arial"/>
        </w:rPr>
      </w:pPr>
    </w:p>
    <w:p w14:paraId="3E3E835F" w14:textId="77777777" w:rsidR="00F7349E" w:rsidRPr="00F7349E" w:rsidRDefault="00F7349E" w:rsidP="00F7349E">
      <w:pPr>
        <w:rPr>
          <w:rFonts w:eastAsia="Arial"/>
        </w:rPr>
      </w:pPr>
    </w:p>
    <w:p w14:paraId="390769A4" w14:textId="77777777" w:rsidR="00F7349E" w:rsidRPr="00F7349E" w:rsidRDefault="00F7349E" w:rsidP="00F7349E">
      <w:pPr>
        <w:rPr>
          <w:rFonts w:eastAsia="Arial"/>
        </w:rPr>
      </w:pPr>
    </w:p>
    <w:p w14:paraId="170AD13D" w14:textId="7AA7CB03" w:rsidR="00F7349E" w:rsidRPr="00F7349E" w:rsidRDefault="001C7CDE" w:rsidP="00F7349E">
      <w:pPr>
        <w:rPr>
          <w:rFonts w:eastAsia="Arial"/>
        </w:rPr>
      </w:pPr>
      <w:r w:rsidRPr="001C7CDE">
        <w:rPr>
          <w:noProof/>
          <w:lang w:val="en-CA" w:eastAsia="en-CA"/>
        </w:rPr>
        <w:lastRenderedPageBreak/>
        <w:drawing>
          <wp:anchor distT="0" distB="0" distL="114300" distR="114300" simplePos="0" relativeHeight="251660800" behindDoc="0" locked="0" layoutInCell="1" allowOverlap="1" wp14:anchorId="12241AFE" wp14:editId="3559FEAA">
            <wp:simplePos x="0" y="0"/>
            <wp:positionH relativeFrom="margin">
              <wp:align>left</wp:align>
            </wp:positionH>
            <wp:positionV relativeFrom="paragraph">
              <wp:posOffset>0</wp:posOffset>
            </wp:positionV>
            <wp:extent cx="5810250" cy="7896225"/>
            <wp:effectExtent l="0" t="0" r="0"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810250" cy="7896225"/>
                    </a:xfrm>
                    <a:prstGeom prst="rect">
                      <a:avLst/>
                    </a:prstGeom>
                  </pic:spPr>
                </pic:pic>
              </a:graphicData>
            </a:graphic>
            <wp14:sizeRelH relativeFrom="margin">
              <wp14:pctWidth>0</wp14:pctWidth>
            </wp14:sizeRelH>
            <wp14:sizeRelV relativeFrom="margin">
              <wp14:pctHeight>0</wp14:pctHeight>
            </wp14:sizeRelV>
          </wp:anchor>
        </w:drawing>
      </w:r>
    </w:p>
    <w:p w14:paraId="133A4EC3" w14:textId="77777777" w:rsidR="00F7349E" w:rsidRPr="00F7349E" w:rsidRDefault="00F7349E" w:rsidP="00F7349E">
      <w:pPr>
        <w:rPr>
          <w:rFonts w:eastAsia="Arial"/>
        </w:rPr>
      </w:pPr>
    </w:p>
    <w:p w14:paraId="08AD6F9E" w14:textId="7AF87DA3" w:rsidR="001C7CDE" w:rsidRDefault="001C7CDE" w:rsidP="00F7349E">
      <w:pPr>
        <w:rPr>
          <w:rFonts w:eastAsia="Arial"/>
        </w:rPr>
      </w:pPr>
      <w:r>
        <w:rPr>
          <w:rFonts w:eastAsia="Arial"/>
        </w:rPr>
        <w:br w:type="page"/>
      </w:r>
    </w:p>
    <w:p w14:paraId="29F8BDFE" w14:textId="4C3B4232" w:rsidR="00F7349E" w:rsidRPr="00F7349E" w:rsidRDefault="001C7CDE" w:rsidP="00F7349E">
      <w:pPr>
        <w:rPr>
          <w:rFonts w:eastAsia="Arial"/>
        </w:rPr>
      </w:pPr>
      <w:r>
        <w:rPr>
          <w:noProof/>
          <w:lang w:val="en-CA" w:eastAsia="en-CA"/>
        </w:rPr>
        <w:lastRenderedPageBreak/>
        <w:drawing>
          <wp:inline distT="0" distB="0" distL="0" distR="0" wp14:anchorId="18675D65" wp14:editId="572649AC">
            <wp:extent cx="6014437" cy="788670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27888" cy="7904338"/>
                    </a:xfrm>
                    <a:prstGeom prst="rect">
                      <a:avLst/>
                    </a:prstGeom>
                  </pic:spPr>
                </pic:pic>
              </a:graphicData>
            </a:graphic>
          </wp:inline>
        </w:drawing>
      </w:r>
    </w:p>
    <w:p w14:paraId="0C2B8E60" w14:textId="77777777" w:rsidR="00F7349E" w:rsidRPr="00F7349E" w:rsidRDefault="00F7349E" w:rsidP="00F7349E">
      <w:pPr>
        <w:rPr>
          <w:rFonts w:eastAsia="Arial"/>
        </w:rPr>
      </w:pPr>
    </w:p>
    <w:p w14:paraId="213DD5DF" w14:textId="77777777" w:rsidR="00F7349E" w:rsidRPr="00F7349E" w:rsidRDefault="00F7349E" w:rsidP="00F7349E">
      <w:pPr>
        <w:rPr>
          <w:rFonts w:eastAsia="Arial"/>
        </w:rPr>
      </w:pPr>
    </w:p>
    <w:p w14:paraId="0043D784" w14:textId="77777777" w:rsidR="00F7349E" w:rsidRPr="00F7349E" w:rsidRDefault="00F7349E" w:rsidP="00F7349E">
      <w:pPr>
        <w:rPr>
          <w:rFonts w:eastAsia="Arial"/>
        </w:rPr>
      </w:pPr>
    </w:p>
    <w:p w14:paraId="79BDE791" w14:textId="51C66A32" w:rsidR="001C7CDE" w:rsidRDefault="001C7CDE" w:rsidP="001C7CDE">
      <w:pPr>
        <w:tabs>
          <w:tab w:val="left" w:pos="1230"/>
        </w:tabs>
        <w:rPr>
          <w:rFonts w:eastAsia="Arial"/>
        </w:rPr>
      </w:pPr>
      <w:r>
        <w:rPr>
          <w:rFonts w:eastAsia="Arial"/>
        </w:rPr>
        <w:tab/>
      </w:r>
      <w:r>
        <w:rPr>
          <w:rFonts w:eastAsia="Arial"/>
        </w:rPr>
        <w:br w:type="page"/>
      </w:r>
    </w:p>
    <w:p w14:paraId="43E4E684" w14:textId="2BB62CA6" w:rsidR="00F7349E" w:rsidRPr="00F7349E" w:rsidRDefault="001C7CDE" w:rsidP="001C7CDE">
      <w:pPr>
        <w:tabs>
          <w:tab w:val="left" w:pos="1230"/>
        </w:tabs>
        <w:rPr>
          <w:rFonts w:eastAsia="Arial"/>
        </w:rPr>
      </w:pPr>
      <w:r>
        <w:rPr>
          <w:noProof/>
          <w:lang w:val="en-CA" w:eastAsia="en-CA"/>
        </w:rPr>
        <w:lastRenderedPageBreak/>
        <w:drawing>
          <wp:inline distT="0" distB="0" distL="0" distR="0" wp14:anchorId="06DB9F4B" wp14:editId="392D296F">
            <wp:extent cx="5637068" cy="16668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53209" cy="1671648"/>
                    </a:xfrm>
                    <a:prstGeom prst="rect">
                      <a:avLst/>
                    </a:prstGeom>
                  </pic:spPr>
                </pic:pic>
              </a:graphicData>
            </a:graphic>
          </wp:inline>
        </w:drawing>
      </w:r>
    </w:p>
    <w:p w14:paraId="3E8F5732" w14:textId="77777777" w:rsidR="00F7349E" w:rsidRPr="00F7349E" w:rsidRDefault="00F7349E" w:rsidP="00F7349E">
      <w:pPr>
        <w:rPr>
          <w:rFonts w:eastAsia="Arial"/>
        </w:rPr>
      </w:pPr>
    </w:p>
    <w:p w14:paraId="51611DDF" w14:textId="77777777" w:rsidR="00F7349E" w:rsidRPr="00F7349E" w:rsidRDefault="00F7349E" w:rsidP="00F7349E">
      <w:pPr>
        <w:rPr>
          <w:rFonts w:eastAsia="Arial"/>
        </w:rPr>
      </w:pPr>
    </w:p>
    <w:p w14:paraId="13DC9473" w14:textId="77777777" w:rsidR="00F7349E" w:rsidRPr="00F7349E" w:rsidRDefault="00F7349E" w:rsidP="00F7349E">
      <w:pPr>
        <w:rPr>
          <w:rFonts w:eastAsia="Arial"/>
        </w:rPr>
      </w:pPr>
    </w:p>
    <w:p w14:paraId="42C80317" w14:textId="77777777" w:rsidR="00F7349E" w:rsidRPr="00F7349E" w:rsidRDefault="00F7349E" w:rsidP="00F7349E">
      <w:pPr>
        <w:rPr>
          <w:rFonts w:eastAsia="Arial"/>
        </w:rPr>
      </w:pPr>
    </w:p>
    <w:p w14:paraId="2F5E7FCC" w14:textId="77777777" w:rsidR="00F7349E" w:rsidRPr="00F7349E" w:rsidRDefault="00F7349E" w:rsidP="00F7349E">
      <w:pPr>
        <w:rPr>
          <w:rFonts w:eastAsia="Arial"/>
        </w:rPr>
      </w:pPr>
    </w:p>
    <w:p w14:paraId="2032C472" w14:textId="77777777" w:rsidR="00F7349E" w:rsidRPr="00F7349E" w:rsidRDefault="00F7349E" w:rsidP="00F7349E">
      <w:pPr>
        <w:rPr>
          <w:rFonts w:eastAsia="Arial"/>
        </w:rPr>
      </w:pPr>
    </w:p>
    <w:p w14:paraId="61431159" w14:textId="77777777" w:rsidR="00F7349E" w:rsidRPr="00F7349E" w:rsidRDefault="00F7349E" w:rsidP="00F7349E">
      <w:pPr>
        <w:rPr>
          <w:rFonts w:eastAsia="Arial"/>
        </w:rPr>
      </w:pPr>
    </w:p>
    <w:p w14:paraId="6B4A6059" w14:textId="77777777" w:rsidR="00F7349E" w:rsidRPr="00F7349E" w:rsidRDefault="00F7349E" w:rsidP="00F7349E">
      <w:pPr>
        <w:rPr>
          <w:rFonts w:eastAsia="Arial"/>
        </w:rPr>
      </w:pPr>
    </w:p>
    <w:p w14:paraId="1E244C7D" w14:textId="77777777" w:rsidR="00F7349E" w:rsidRPr="00F7349E" w:rsidRDefault="00F7349E" w:rsidP="00F7349E">
      <w:pPr>
        <w:rPr>
          <w:rFonts w:eastAsia="Arial"/>
        </w:rPr>
      </w:pPr>
    </w:p>
    <w:p w14:paraId="4C300520" w14:textId="77777777" w:rsidR="00F7349E" w:rsidRPr="00F7349E" w:rsidRDefault="00F7349E" w:rsidP="00F7349E">
      <w:pPr>
        <w:rPr>
          <w:rFonts w:eastAsia="Arial"/>
        </w:rPr>
      </w:pPr>
    </w:p>
    <w:p w14:paraId="108FB7B7" w14:textId="77777777" w:rsidR="00F7349E" w:rsidRPr="00F7349E" w:rsidRDefault="00F7349E" w:rsidP="00F7349E">
      <w:pPr>
        <w:rPr>
          <w:rFonts w:eastAsia="Arial"/>
        </w:rPr>
      </w:pPr>
    </w:p>
    <w:p w14:paraId="117E789C" w14:textId="77777777" w:rsidR="00F7349E" w:rsidRPr="00F7349E" w:rsidRDefault="00F7349E" w:rsidP="00F7349E">
      <w:pPr>
        <w:rPr>
          <w:rFonts w:eastAsia="Arial"/>
        </w:rPr>
      </w:pPr>
    </w:p>
    <w:p w14:paraId="769C6D5E" w14:textId="77777777" w:rsidR="00F7349E" w:rsidRPr="00F7349E" w:rsidRDefault="00F7349E" w:rsidP="00F7349E">
      <w:pPr>
        <w:rPr>
          <w:rFonts w:eastAsia="Arial"/>
        </w:rPr>
      </w:pPr>
    </w:p>
    <w:p w14:paraId="693524CD" w14:textId="77777777" w:rsidR="00F7349E" w:rsidRPr="00F7349E" w:rsidRDefault="00F7349E" w:rsidP="00F7349E">
      <w:pPr>
        <w:rPr>
          <w:rFonts w:eastAsia="Arial"/>
        </w:rPr>
      </w:pPr>
    </w:p>
    <w:p w14:paraId="296F3CFA" w14:textId="77777777" w:rsidR="00F7349E" w:rsidRPr="00F7349E" w:rsidRDefault="00F7349E" w:rsidP="00F7349E">
      <w:pPr>
        <w:rPr>
          <w:rFonts w:eastAsia="Arial"/>
        </w:rPr>
      </w:pPr>
    </w:p>
    <w:p w14:paraId="601A6F20" w14:textId="77777777" w:rsidR="00F7349E" w:rsidRPr="00F7349E" w:rsidRDefault="00F7349E" w:rsidP="00F7349E">
      <w:pPr>
        <w:rPr>
          <w:rFonts w:eastAsia="Arial"/>
        </w:rPr>
      </w:pPr>
    </w:p>
    <w:p w14:paraId="5AE485F1" w14:textId="77777777" w:rsidR="00F7349E" w:rsidRPr="00F7349E" w:rsidRDefault="00F7349E" w:rsidP="00F7349E">
      <w:pPr>
        <w:rPr>
          <w:rFonts w:eastAsia="Arial"/>
        </w:rPr>
      </w:pPr>
    </w:p>
    <w:p w14:paraId="10A864EF" w14:textId="77777777" w:rsidR="00F7349E" w:rsidRPr="00F7349E" w:rsidRDefault="00F7349E" w:rsidP="00F7349E">
      <w:pPr>
        <w:rPr>
          <w:rFonts w:eastAsia="Arial"/>
        </w:rPr>
      </w:pPr>
    </w:p>
    <w:p w14:paraId="30412052" w14:textId="77777777" w:rsidR="00F7349E" w:rsidRPr="00F7349E" w:rsidRDefault="00F7349E" w:rsidP="00F7349E">
      <w:pPr>
        <w:rPr>
          <w:rFonts w:eastAsia="Arial"/>
        </w:rPr>
      </w:pPr>
    </w:p>
    <w:p w14:paraId="0371E93D" w14:textId="77777777" w:rsidR="00F7349E" w:rsidRPr="00F7349E" w:rsidRDefault="00F7349E" w:rsidP="00F7349E">
      <w:pPr>
        <w:rPr>
          <w:rFonts w:eastAsia="Arial"/>
        </w:rPr>
      </w:pPr>
    </w:p>
    <w:p w14:paraId="7F9853EE" w14:textId="4D81B10C" w:rsidR="00F7349E" w:rsidRPr="00F7349E" w:rsidRDefault="00F7349E" w:rsidP="00F7349E">
      <w:pPr>
        <w:rPr>
          <w:rFonts w:eastAsia="Arial"/>
        </w:rPr>
        <w:sectPr w:rsidR="00F7349E" w:rsidRPr="00F7349E" w:rsidSect="005215AF">
          <w:pgSz w:w="11906" w:h="16838" w:code="9"/>
          <w:pgMar w:top="1440" w:right="1440" w:bottom="1440" w:left="1440" w:header="720" w:footer="720" w:gutter="0"/>
          <w:cols w:space="720"/>
          <w:titlePg/>
          <w:docGrid w:linePitch="360"/>
        </w:sectPr>
      </w:pPr>
    </w:p>
    <w:p w14:paraId="24ADC347" w14:textId="56DE6BC8" w:rsidR="0009420A" w:rsidRDefault="0009420A" w:rsidP="0009420A">
      <w:pPr>
        <w:pStyle w:val="Heading1"/>
      </w:pPr>
      <w:bookmarkStart w:id="30" w:name="_Toc12804588"/>
      <w:r>
        <w:lastRenderedPageBreak/>
        <w:t>Annex 2 – Evaluation Matrix</w:t>
      </w:r>
      <w:bookmarkEnd w:id="30"/>
    </w:p>
    <w:p w14:paraId="1EB6C0CA" w14:textId="77777777" w:rsidR="0009420A" w:rsidRDefault="0009420A" w:rsidP="0009420A">
      <w:pPr>
        <w:rPr>
          <w:rFonts w:eastAsia="Arial"/>
        </w:rPr>
      </w:pPr>
    </w:p>
    <w:p w14:paraId="254F30A7" w14:textId="77777777" w:rsidR="006B7214" w:rsidRDefault="006B7214" w:rsidP="0009420A">
      <w:pPr>
        <w:rPr>
          <w:rFonts w:eastAsia="Arial"/>
        </w:rPr>
      </w:pPr>
    </w:p>
    <w:tbl>
      <w:tblPr>
        <w:tblW w:w="5066" w:type="pct"/>
        <w:tblInd w:w="-185" w:type="dxa"/>
        <w:tblLayout w:type="fixed"/>
        <w:tblLook w:val="04A0" w:firstRow="1" w:lastRow="0" w:firstColumn="1" w:lastColumn="0" w:noHBand="0" w:noVBand="1"/>
      </w:tblPr>
      <w:tblGrid>
        <w:gridCol w:w="1530"/>
        <w:gridCol w:w="449"/>
        <w:gridCol w:w="1905"/>
        <w:gridCol w:w="435"/>
        <w:gridCol w:w="1950"/>
        <w:gridCol w:w="1628"/>
        <w:gridCol w:w="1478"/>
        <w:gridCol w:w="1696"/>
        <w:gridCol w:w="1348"/>
        <w:gridCol w:w="1713"/>
      </w:tblGrid>
      <w:tr w:rsidR="00B6462D" w:rsidRPr="00B6462D" w14:paraId="53738156" w14:textId="77777777" w:rsidTr="001B49E9">
        <w:trPr>
          <w:trHeight w:val="315"/>
        </w:trPr>
        <w:tc>
          <w:tcPr>
            <w:tcW w:w="54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3D7369D" w14:textId="77777777" w:rsidR="00B6462D" w:rsidRPr="00B6462D" w:rsidRDefault="00B6462D" w:rsidP="00B6462D">
            <w:pPr>
              <w:rPr>
                <w:rFonts w:ascii="Calibri" w:hAnsi="Calibri" w:cs="Calibri"/>
                <w:b/>
                <w:bCs/>
                <w:color w:val="000000"/>
                <w:sz w:val="24"/>
                <w:szCs w:val="24"/>
                <w:lang w:val="en-US"/>
              </w:rPr>
            </w:pPr>
            <w:bookmarkStart w:id="31" w:name="RANGE!A1:J29"/>
            <w:r w:rsidRPr="00B6462D">
              <w:rPr>
                <w:rFonts w:ascii="Calibri" w:hAnsi="Calibri" w:cs="Calibri"/>
                <w:b/>
                <w:bCs/>
                <w:color w:val="000000"/>
                <w:sz w:val="24"/>
                <w:szCs w:val="24"/>
                <w:lang w:val="en-US"/>
              </w:rPr>
              <w:t>Criteria</w:t>
            </w:r>
            <w:bookmarkEnd w:id="31"/>
          </w:p>
        </w:tc>
        <w:tc>
          <w:tcPr>
            <w:tcW w:w="833" w:type="pct"/>
            <w:gridSpan w:val="2"/>
            <w:tcBorders>
              <w:top w:val="single" w:sz="4" w:space="0" w:color="auto"/>
              <w:left w:val="nil"/>
              <w:bottom w:val="single" w:sz="4" w:space="0" w:color="auto"/>
              <w:right w:val="single" w:sz="4" w:space="0" w:color="000000"/>
            </w:tcBorders>
            <w:shd w:val="clear" w:color="000000" w:fill="D9E1F2"/>
            <w:noWrap/>
            <w:vAlign w:val="bottom"/>
            <w:hideMark/>
          </w:tcPr>
          <w:p w14:paraId="4256EE9D" w14:textId="77777777" w:rsidR="00B6462D" w:rsidRPr="00B6462D" w:rsidRDefault="00B6462D" w:rsidP="00B6462D">
            <w:pPr>
              <w:jc w:val="center"/>
              <w:rPr>
                <w:rFonts w:ascii="Calibri" w:hAnsi="Calibri" w:cs="Calibri"/>
                <w:b/>
                <w:bCs/>
                <w:color w:val="000000"/>
                <w:sz w:val="24"/>
                <w:szCs w:val="24"/>
                <w:lang w:val="en-US"/>
              </w:rPr>
            </w:pPr>
            <w:r w:rsidRPr="00B6462D">
              <w:rPr>
                <w:rFonts w:ascii="Calibri" w:hAnsi="Calibri" w:cs="Calibri"/>
                <w:b/>
                <w:bCs/>
                <w:color w:val="000000"/>
                <w:sz w:val="24"/>
                <w:szCs w:val="24"/>
                <w:lang w:val="en-US"/>
              </w:rPr>
              <w:t>Overarching evaluation question</w:t>
            </w:r>
          </w:p>
        </w:tc>
        <w:tc>
          <w:tcPr>
            <w:tcW w:w="844" w:type="pct"/>
            <w:gridSpan w:val="2"/>
            <w:tcBorders>
              <w:top w:val="single" w:sz="4" w:space="0" w:color="auto"/>
              <w:left w:val="nil"/>
              <w:bottom w:val="single" w:sz="4" w:space="0" w:color="auto"/>
              <w:right w:val="single" w:sz="4" w:space="0" w:color="000000"/>
            </w:tcBorders>
            <w:shd w:val="clear" w:color="000000" w:fill="D9E1F2"/>
            <w:noWrap/>
            <w:vAlign w:val="bottom"/>
            <w:hideMark/>
          </w:tcPr>
          <w:p w14:paraId="1C0CE51D" w14:textId="77777777" w:rsidR="00B6462D" w:rsidRPr="00B6462D" w:rsidRDefault="00B6462D" w:rsidP="00B6462D">
            <w:pPr>
              <w:jc w:val="center"/>
              <w:rPr>
                <w:rFonts w:ascii="Calibri" w:hAnsi="Calibri" w:cs="Calibri"/>
                <w:b/>
                <w:bCs/>
                <w:color w:val="000000"/>
                <w:sz w:val="24"/>
                <w:szCs w:val="24"/>
                <w:lang w:val="en-US"/>
              </w:rPr>
            </w:pPr>
            <w:r w:rsidRPr="00B6462D">
              <w:rPr>
                <w:rFonts w:ascii="Calibri" w:hAnsi="Calibri" w:cs="Calibri"/>
                <w:b/>
                <w:bCs/>
                <w:color w:val="000000"/>
                <w:sz w:val="24"/>
                <w:szCs w:val="24"/>
                <w:lang w:val="en-US"/>
              </w:rPr>
              <w:t>Specific evaluation question</w:t>
            </w:r>
          </w:p>
        </w:tc>
        <w:tc>
          <w:tcPr>
            <w:tcW w:w="576" w:type="pct"/>
            <w:tcBorders>
              <w:top w:val="single" w:sz="4" w:space="0" w:color="auto"/>
              <w:left w:val="nil"/>
              <w:bottom w:val="single" w:sz="4" w:space="0" w:color="auto"/>
              <w:right w:val="single" w:sz="4" w:space="0" w:color="auto"/>
            </w:tcBorders>
            <w:shd w:val="clear" w:color="000000" w:fill="D9E1F2"/>
            <w:noWrap/>
            <w:vAlign w:val="bottom"/>
            <w:hideMark/>
          </w:tcPr>
          <w:p w14:paraId="35BE487A" w14:textId="77777777" w:rsidR="00B6462D" w:rsidRPr="00B6462D" w:rsidRDefault="00B6462D" w:rsidP="00B6462D">
            <w:pPr>
              <w:rPr>
                <w:rFonts w:ascii="Calibri" w:hAnsi="Calibri" w:cs="Calibri"/>
                <w:b/>
                <w:bCs/>
                <w:color w:val="000000"/>
                <w:sz w:val="24"/>
                <w:szCs w:val="24"/>
                <w:lang w:val="en-US"/>
              </w:rPr>
            </w:pPr>
            <w:r w:rsidRPr="00B6462D">
              <w:rPr>
                <w:rFonts w:ascii="Calibri" w:hAnsi="Calibri" w:cs="Calibri"/>
                <w:b/>
                <w:bCs/>
                <w:color w:val="000000"/>
                <w:sz w:val="24"/>
                <w:szCs w:val="24"/>
                <w:lang w:val="en-US"/>
              </w:rPr>
              <w:t>Judgement criteria</w:t>
            </w:r>
          </w:p>
        </w:tc>
        <w:tc>
          <w:tcPr>
            <w:tcW w:w="523" w:type="pct"/>
            <w:tcBorders>
              <w:top w:val="single" w:sz="4" w:space="0" w:color="auto"/>
              <w:left w:val="nil"/>
              <w:bottom w:val="single" w:sz="4" w:space="0" w:color="auto"/>
              <w:right w:val="single" w:sz="4" w:space="0" w:color="auto"/>
            </w:tcBorders>
            <w:shd w:val="clear" w:color="000000" w:fill="D9E1F2"/>
            <w:noWrap/>
            <w:vAlign w:val="bottom"/>
            <w:hideMark/>
          </w:tcPr>
          <w:p w14:paraId="5FEF39F9" w14:textId="77777777" w:rsidR="00B6462D" w:rsidRPr="00B6462D" w:rsidRDefault="00B6462D" w:rsidP="00B6462D">
            <w:pPr>
              <w:rPr>
                <w:rFonts w:ascii="Calibri" w:hAnsi="Calibri" w:cs="Calibri"/>
                <w:b/>
                <w:bCs/>
                <w:color w:val="000000"/>
                <w:sz w:val="24"/>
                <w:szCs w:val="24"/>
                <w:lang w:val="en-US"/>
              </w:rPr>
            </w:pPr>
            <w:r w:rsidRPr="00B6462D">
              <w:rPr>
                <w:rFonts w:ascii="Calibri" w:hAnsi="Calibri" w:cs="Calibri"/>
                <w:b/>
                <w:bCs/>
                <w:color w:val="000000"/>
                <w:sz w:val="24"/>
                <w:szCs w:val="24"/>
                <w:lang w:val="en-US"/>
              </w:rPr>
              <w:t>Indicator(s)</w:t>
            </w:r>
          </w:p>
        </w:tc>
        <w:tc>
          <w:tcPr>
            <w:tcW w:w="600" w:type="pct"/>
            <w:tcBorders>
              <w:top w:val="single" w:sz="4" w:space="0" w:color="auto"/>
              <w:left w:val="nil"/>
              <w:bottom w:val="single" w:sz="4" w:space="0" w:color="auto"/>
              <w:right w:val="single" w:sz="4" w:space="0" w:color="auto"/>
            </w:tcBorders>
            <w:shd w:val="clear" w:color="000000" w:fill="D9E1F2"/>
            <w:noWrap/>
            <w:vAlign w:val="bottom"/>
            <w:hideMark/>
          </w:tcPr>
          <w:p w14:paraId="778FF47F" w14:textId="77777777" w:rsidR="00B6462D" w:rsidRPr="00B6462D" w:rsidRDefault="00B6462D" w:rsidP="00B6462D">
            <w:pPr>
              <w:rPr>
                <w:rFonts w:ascii="Calibri" w:hAnsi="Calibri" w:cs="Calibri"/>
                <w:b/>
                <w:bCs/>
                <w:color w:val="000000"/>
                <w:sz w:val="24"/>
                <w:szCs w:val="24"/>
                <w:lang w:val="en-US"/>
              </w:rPr>
            </w:pPr>
            <w:r w:rsidRPr="00B6462D">
              <w:rPr>
                <w:rFonts w:ascii="Calibri" w:hAnsi="Calibri" w:cs="Calibri"/>
                <w:b/>
                <w:bCs/>
                <w:color w:val="000000"/>
                <w:sz w:val="24"/>
                <w:szCs w:val="24"/>
                <w:lang w:val="en-US"/>
              </w:rPr>
              <w:t>Data Collected</w:t>
            </w:r>
          </w:p>
        </w:tc>
        <w:tc>
          <w:tcPr>
            <w:tcW w:w="477" w:type="pct"/>
            <w:tcBorders>
              <w:top w:val="single" w:sz="4" w:space="0" w:color="auto"/>
              <w:left w:val="nil"/>
              <w:bottom w:val="single" w:sz="4" w:space="0" w:color="auto"/>
              <w:right w:val="single" w:sz="4" w:space="0" w:color="auto"/>
            </w:tcBorders>
            <w:shd w:val="clear" w:color="000000" w:fill="D9E1F2"/>
            <w:noWrap/>
            <w:vAlign w:val="bottom"/>
            <w:hideMark/>
          </w:tcPr>
          <w:p w14:paraId="68A3B3AE" w14:textId="77777777" w:rsidR="00B6462D" w:rsidRPr="00B6462D" w:rsidRDefault="00B6462D" w:rsidP="00B6462D">
            <w:pPr>
              <w:rPr>
                <w:rFonts w:ascii="Calibri" w:hAnsi="Calibri" w:cs="Calibri"/>
                <w:b/>
                <w:bCs/>
                <w:color w:val="000000"/>
                <w:sz w:val="24"/>
                <w:szCs w:val="24"/>
                <w:lang w:val="en-US"/>
              </w:rPr>
            </w:pPr>
            <w:r w:rsidRPr="00B6462D">
              <w:rPr>
                <w:rFonts w:ascii="Calibri" w:hAnsi="Calibri" w:cs="Calibri"/>
                <w:b/>
                <w:bCs/>
                <w:color w:val="000000"/>
                <w:sz w:val="24"/>
                <w:szCs w:val="24"/>
                <w:lang w:val="en-US"/>
              </w:rPr>
              <w:t>Potential data sources</w:t>
            </w:r>
          </w:p>
        </w:tc>
        <w:tc>
          <w:tcPr>
            <w:tcW w:w="606" w:type="pct"/>
            <w:tcBorders>
              <w:top w:val="single" w:sz="4" w:space="0" w:color="auto"/>
              <w:left w:val="nil"/>
              <w:bottom w:val="single" w:sz="4" w:space="0" w:color="auto"/>
              <w:right w:val="single" w:sz="4" w:space="0" w:color="auto"/>
            </w:tcBorders>
            <w:shd w:val="clear" w:color="000000" w:fill="D9E1F2"/>
            <w:vAlign w:val="bottom"/>
            <w:hideMark/>
          </w:tcPr>
          <w:p w14:paraId="6B310AAD" w14:textId="7365F477" w:rsidR="00B6462D" w:rsidRPr="00B6462D" w:rsidRDefault="00111B37" w:rsidP="00B6462D">
            <w:pPr>
              <w:rPr>
                <w:rFonts w:ascii="Calibri" w:hAnsi="Calibri" w:cs="Calibri"/>
                <w:b/>
                <w:bCs/>
                <w:color w:val="000000"/>
                <w:sz w:val="24"/>
                <w:szCs w:val="24"/>
                <w:lang w:val="en-US"/>
              </w:rPr>
            </w:pPr>
            <w:r>
              <w:rPr>
                <w:rFonts w:ascii="Calibri" w:hAnsi="Calibri" w:cs="Calibri"/>
                <w:b/>
                <w:bCs/>
                <w:color w:val="000000"/>
                <w:sz w:val="24"/>
                <w:szCs w:val="24"/>
                <w:lang w:val="en-US"/>
              </w:rPr>
              <w:t>MTE</w:t>
            </w:r>
            <w:r w:rsidR="00B6462D" w:rsidRPr="00B6462D">
              <w:rPr>
                <w:rFonts w:ascii="Calibri" w:hAnsi="Calibri" w:cs="Calibri"/>
                <w:b/>
                <w:bCs/>
                <w:color w:val="000000"/>
                <w:sz w:val="24"/>
                <w:szCs w:val="24"/>
                <w:lang w:val="en-US"/>
              </w:rPr>
              <w:t xml:space="preserve"> Comment (10.5.19)</w:t>
            </w:r>
          </w:p>
        </w:tc>
      </w:tr>
      <w:tr w:rsidR="00B6462D" w:rsidRPr="00B6462D" w14:paraId="2C82C62C" w14:textId="77777777" w:rsidTr="001B49E9">
        <w:trPr>
          <w:trHeight w:val="2400"/>
        </w:trPr>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1135AF10" w14:textId="77777777" w:rsidR="00B6462D" w:rsidRPr="00B6462D" w:rsidRDefault="00B6462D" w:rsidP="00B6462D">
            <w:pPr>
              <w:jc w:val="center"/>
              <w:rPr>
                <w:rFonts w:ascii="Calibri" w:hAnsi="Calibri" w:cs="Calibri"/>
                <w:b/>
                <w:bCs/>
                <w:color w:val="000000"/>
                <w:szCs w:val="22"/>
                <w:lang w:val="en-US"/>
              </w:rPr>
            </w:pPr>
            <w:r w:rsidRPr="00B6462D">
              <w:rPr>
                <w:rFonts w:ascii="Calibri" w:hAnsi="Calibri" w:cs="Calibri"/>
                <w:b/>
                <w:bCs/>
                <w:color w:val="000000"/>
                <w:szCs w:val="22"/>
                <w:lang w:val="en-US"/>
              </w:rPr>
              <w:t>Relevance</w:t>
            </w:r>
          </w:p>
        </w:tc>
        <w:tc>
          <w:tcPr>
            <w:tcW w:w="159" w:type="pct"/>
            <w:vMerge w:val="restart"/>
            <w:tcBorders>
              <w:top w:val="nil"/>
              <w:left w:val="single" w:sz="4" w:space="0" w:color="auto"/>
              <w:bottom w:val="single" w:sz="4" w:space="0" w:color="000000"/>
              <w:right w:val="single" w:sz="4" w:space="0" w:color="auto"/>
            </w:tcBorders>
            <w:shd w:val="clear" w:color="auto" w:fill="auto"/>
            <w:vAlign w:val="center"/>
            <w:hideMark/>
          </w:tcPr>
          <w:p w14:paraId="5389C517"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1.</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675AD9B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is UNDP’s engagement in Access to Justice a reflection of strategic considerations, including UNDP’s role in the particular development context in Fiji and its comparative advantage vis-à-vis other partners? </w:t>
            </w:r>
          </w:p>
        </w:tc>
        <w:tc>
          <w:tcPr>
            <w:tcW w:w="154" w:type="pct"/>
            <w:tcBorders>
              <w:top w:val="nil"/>
              <w:left w:val="nil"/>
              <w:bottom w:val="single" w:sz="4" w:space="0" w:color="auto"/>
              <w:right w:val="single" w:sz="4" w:space="0" w:color="auto"/>
            </w:tcBorders>
            <w:shd w:val="clear" w:color="auto" w:fill="auto"/>
            <w:vAlign w:val="center"/>
            <w:hideMark/>
          </w:tcPr>
          <w:p w14:paraId="23605EC9"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A.</w:t>
            </w:r>
          </w:p>
        </w:tc>
        <w:tc>
          <w:tcPr>
            <w:tcW w:w="690" w:type="pct"/>
            <w:tcBorders>
              <w:top w:val="nil"/>
              <w:left w:val="nil"/>
              <w:bottom w:val="single" w:sz="4" w:space="0" w:color="auto"/>
              <w:right w:val="single" w:sz="4" w:space="0" w:color="auto"/>
            </w:tcBorders>
            <w:shd w:val="clear" w:color="auto" w:fill="auto"/>
            <w:vAlign w:val="center"/>
            <w:hideMark/>
          </w:tcPr>
          <w:p w14:paraId="43211C29"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Was the design of the project adequate to properly address the issues envisaged in the formulation of the programme; are the activities and outputs of the programme consistent with the intended outcomes and effects? </w:t>
            </w:r>
          </w:p>
        </w:tc>
        <w:tc>
          <w:tcPr>
            <w:tcW w:w="576" w:type="pct"/>
            <w:tcBorders>
              <w:top w:val="nil"/>
              <w:left w:val="nil"/>
              <w:bottom w:val="single" w:sz="4" w:space="0" w:color="auto"/>
              <w:right w:val="single" w:sz="4" w:space="0" w:color="auto"/>
            </w:tcBorders>
            <w:shd w:val="clear" w:color="auto" w:fill="auto"/>
            <w:vAlign w:val="center"/>
            <w:hideMark/>
          </w:tcPr>
          <w:p w14:paraId="6842343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 Evidence that the theory of change (activity to output to outcome) will contribute to improved access to justice for poor and vulnerable populations </w:t>
            </w:r>
            <w:r w:rsidRPr="00B6462D">
              <w:rPr>
                <w:rFonts w:ascii="Calibri" w:hAnsi="Calibri" w:cs="Calibri"/>
                <w:color w:val="000000"/>
                <w:szCs w:val="22"/>
                <w:lang w:val="en-US"/>
              </w:rPr>
              <w:br/>
              <w:t>* Alignment of activities and outputs to effect intended changes in capacity of duty bearers and rights holders</w:t>
            </w:r>
          </w:p>
        </w:tc>
        <w:tc>
          <w:tcPr>
            <w:tcW w:w="523" w:type="pct"/>
            <w:tcBorders>
              <w:top w:val="nil"/>
              <w:left w:val="nil"/>
              <w:bottom w:val="single" w:sz="4" w:space="0" w:color="auto"/>
              <w:right w:val="single" w:sz="4" w:space="0" w:color="auto"/>
            </w:tcBorders>
            <w:shd w:val="clear" w:color="auto" w:fill="auto"/>
            <w:vAlign w:val="center"/>
            <w:hideMark/>
          </w:tcPr>
          <w:p w14:paraId="4EDB4F8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*increase year/year on availability of case information relating to target populations from internal systems of duty bearers</w:t>
            </w:r>
            <w:r w:rsidRPr="00B6462D">
              <w:rPr>
                <w:rFonts w:ascii="Calibri" w:hAnsi="Calibri" w:cs="Calibri"/>
                <w:color w:val="000000"/>
                <w:szCs w:val="22"/>
                <w:lang w:val="en-US"/>
              </w:rPr>
              <w:br/>
              <w:t>*increase year/year of target population demand for services or support (through accompaniment)   in using services</w:t>
            </w:r>
          </w:p>
        </w:tc>
        <w:tc>
          <w:tcPr>
            <w:tcW w:w="600" w:type="pct"/>
            <w:tcBorders>
              <w:top w:val="nil"/>
              <w:left w:val="nil"/>
              <w:bottom w:val="single" w:sz="4" w:space="0" w:color="auto"/>
              <w:right w:val="single" w:sz="4" w:space="0" w:color="auto"/>
            </w:tcBorders>
            <w:shd w:val="clear" w:color="auto" w:fill="auto"/>
            <w:vAlign w:val="center"/>
            <w:hideMark/>
          </w:tcPr>
          <w:p w14:paraId="4E876E99"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*0 increase in availability of case information:: data management systems (linked to Case Management) not yet in place</w:t>
            </w:r>
            <w:r w:rsidRPr="00B6462D">
              <w:rPr>
                <w:rFonts w:ascii="Calibri" w:hAnsi="Calibri" w:cs="Calibri"/>
                <w:color w:val="000000"/>
                <w:szCs w:val="22"/>
                <w:lang w:val="en-US"/>
              </w:rPr>
              <w:br/>
              <w:t>*20% increase year / on year in demand (LAC interview) for services - data not publicly available</w:t>
            </w:r>
          </w:p>
        </w:tc>
        <w:tc>
          <w:tcPr>
            <w:tcW w:w="477" w:type="pct"/>
            <w:tcBorders>
              <w:top w:val="nil"/>
              <w:left w:val="nil"/>
              <w:bottom w:val="single" w:sz="4" w:space="0" w:color="auto"/>
              <w:right w:val="single" w:sz="4" w:space="0" w:color="auto"/>
            </w:tcBorders>
            <w:shd w:val="clear" w:color="auto" w:fill="auto"/>
            <w:vAlign w:val="center"/>
            <w:hideMark/>
          </w:tcPr>
          <w:p w14:paraId="3CAABB0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*LAC / JD reports (case management systems as available)</w:t>
            </w:r>
            <w:r w:rsidRPr="00B6462D">
              <w:rPr>
                <w:rFonts w:ascii="Calibri" w:hAnsi="Calibri" w:cs="Calibri"/>
                <w:color w:val="000000"/>
                <w:szCs w:val="22"/>
                <w:lang w:val="en-US"/>
              </w:rPr>
              <w:br/>
              <w:t xml:space="preserve">*FA2J reports </w:t>
            </w:r>
          </w:p>
        </w:tc>
        <w:tc>
          <w:tcPr>
            <w:tcW w:w="606" w:type="pct"/>
            <w:tcBorders>
              <w:top w:val="nil"/>
              <w:left w:val="nil"/>
              <w:bottom w:val="single" w:sz="4" w:space="0" w:color="auto"/>
              <w:right w:val="single" w:sz="4" w:space="0" w:color="auto"/>
            </w:tcBorders>
            <w:shd w:val="clear" w:color="auto" w:fill="auto"/>
            <w:vAlign w:val="center"/>
            <w:hideMark/>
          </w:tcPr>
          <w:p w14:paraId="554A020D" w14:textId="77777777" w:rsid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*Case management systems not in place to support reporting</w:t>
            </w:r>
            <w:r w:rsidR="001B49E9">
              <w:rPr>
                <w:rFonts w:ascii="Calibri" w:hAnsi="Calibri" w:cs="Calibri"/>
                <w:color w:val="000000"/>
                <w:szCs w:val="22"/>
                <w:lang w:val="en-US"/>
              </w:rPr>
              <w:t xml:space="preserve"> on progress against outcomes (key to relevance considerations)</w:t>
            </w:r>
          </w:p>
          <w:p w14:paraId="7CD5AE0B" w14:textId="4EC6DDE1" w:rsidR="001B49E9" w:rsidRPr="00B6462D" w:rsidRDefault="001B49E9" w:rsidP="00B6462D">
            <w:pPr>
              <w:rPr>
                <w:rFonts w:ascii="Calibri" w:hAnsi="Calibri" w:cs="Calibri"/>
                <w:color w:val="000000"/>
                <w:szCs w:val="22"/>
                <w:lang w:val="en-US"/>
              </w:rPr>
            </w:pPr>
            <w:r>
              <w:rPr>
                <w:rFonts w:ascii="Calibri" w:hAnsi="Calibri" w:cs="Calibri"/>
                <w:color w:val="000000"/>
                <w:szCs w:val="22"/>
                <w:lang w:val="en-US"/>
              </w:rPr>
              <w:t xml:space="preserve">* Design targets and activities well supported by partners and independent assessments, however time allowed for first phase significantly out of line with international standards: local examples, such as FWRM Balancing the </w:t>
            </w:r>
            <w:r>
              <w:rPr>
                <w:rFonts w:ascii="Calibri" w:hAnsi="Calibri" w:cs="Calibri"/>
                <w:color w:val="000000"/>
                <w:szCs w:val="22"/>
                <w:lang w:val="en-US"/>
              </w:rPr>
              <w:lastRenderedPageBreak/>
              <w:t>Scales Report, allowed 3 years for report alone</w:t>
            </w:r>
          </w:p>
        </w:tc>
      </w:tr>
      <w:tr w:rsidR="00B6462D" w:rsidRPr="00B6462D" w14:paraId="23BD78AB" w14:textId="77777777" w:rsidTr="001B49E9">
        <w:trPr>
          <w:trHeight w:val="3300"/>
        </w:trPr>
        <w:tc>
          <w:tcPr>
            <w:tcW w:w="541" w:type="pct"/>
            <w:vMerge/>
            <w:tcBorders>
              <w:top w:val="nil"/>
              <w:left w:val="single" w:sz="4" w:space="0" w:color="auto"/>
              <w:bottom w:val="single" w:sz="4" w:space="0" w:color="000000"/>
              <w:right w:val="single" w:sz="4" w:space="0" w:color="auto"/>
            </w:tcBorders>
            <w:vAlign w:val="center"/>
            <w:hideMark/>
          </w:tcPr>
          <w:p w14:paraId="2FF9484C"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09575BF0"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auto"/>
              <w:right w:val="single" w:sz="4" w:space="0" w:color="auto"/>
            </w:tcBorders>
            <w:vAlign w:val="center"/>
            <w:hideMark/>
          </w:tcPr>
          <w:p w14:paraId="776EAEDF"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6C37930D"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B.</w:t>
            </w:r>
          </w:p>
        </w:tc>
        <w:tc>
          <w:tcPr>
            <w:tcW w:w="690" w:type="pct"/>
            <w:tcBorders>
              <w:top w:val="nil"/>
              <w:left w:val="nil"/>
              <w:bottom w:val="single" w:sz="4" w:space="0" w:color="auto"/>
              <w:right w:val="single" w:sz="4" w:space="0" w:color="auto"/>
            </w:tcBorders>
            <w:shd w:val="clear" w:color="auto" w:fill="auto"/>
            <w:vAlign w:val="center"/>
            <w:hideMark/>
          </w:tcPr>
          <w:p w14:paraId="2B11453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has UNDP capacity building support contributed to influencing national policies/strategies focusing on human rights protection, gender equality, and equitable sustainable development? </w:t>
            </w:r>
          </w:p>
        </w:tc>
        <w:tc>
          <w:tcPr>
            <w:tcW w:w="576" w:type="pct"/>
            <w:tcBorders>
              <w:top w:val="nil"/>
              <w:left w:val="nil"/>
              <w:bottom w:val="single" w:sz="4" w:space="0" w:color="auto"/>
              <w:right w:val="single" w:sz="4" w:space="0" w:color="auto"/>
            </w:tcBorders>
            <w:shd w:val="clear" w:color="auto" w:fill="auto"/>
            <w:vAlign w:val="center"/>
            <w:hideMark/>
          </w:tcPr>
          <w:p w14:paraId="509A4E8A" w14:textId="3C42D0C3"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*Incidences of direct / indirect contribution of technical capacity building, especially strategic planning support, to relevant national policies/strategies and budgets</w:t>
            </w:r>
          </w:p>
        </w:tc>
        <w:tc>
          <w:tcPr>
            <w:tcW w:w="523" w:type="pct"/>
            <w:tcBorders>
              <w:top w:val="nil"/>
              <w:left w:val="nil"/>
              <w:bottom w:val="single" w:sz="4" w:space="0" w:color="auto"/>
              <w:right w:val="single" w:sz="4" w:space="0" w:color="auto"/>
            </w:tcBorders>
            <w:shd w:val="clear" w:color="auto" w:fill="auto"/>
            <w:vAlign w:val="center"/>
            <w:hideMark/>
          </w:tcPr>
          <w:p w14:paraId="4AC3D701" w14:textId="0A18764B"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*Number of human rights</w:t>
            </w:r>
            <w:r w:rsidR="00232F50">
              <w:rPr>
                <w:rFonts w:ascii="Calibri" w:hAnsi="Calibri" w:cs="Calibri"/>
                <w:color w:val="000000"/>
                <w:szCs w:val="22"/>
                <w:lang w:val="en-US"/>
              </w:rPr>
              <w:t xml:space="preserve"> </w:t>
            </w:r>
            <w:r w:rsidRPr="00B6462D">
              <w:rPr>
                <w:rFonts w:ascii="Calibri" w:hAnsi="Calibri" w:cs="Calibri"/>
                <w:color w:val="000000"/>
                <w:szCs w:val="22"/>
                <w:lang w:val="en-US"/>
              </w:rPr>
              <w:t>protection, gender equality, and equitable sustainable development considerations present in key partner periodic and annual plans and budgets</w:t>
            </w:r>
            <w:r w:rsidRPr="00B6462D">
              <w:rPr>
                <w:rFonts w:ascii="Calibri" w:hAnsi="Calibri" w:cs="Calibri"/>
                <w:color w:val="000000"/>
                <w:szCs w:val="22"/>
                <w:lang w:val="en-US"/>
              </w:rPr>
              <w:br/>
              <w:t xml:space="preserve">*Increase year/year in budget allocated to address needs of </w:t>
            </w:r>
            <w:proofErr w:type="spellStart"/>
            <w:r w:rsidRPr="00B6462D">
              <w:rPr>
                <w:rFonts w:ascii="Calibri" w:hAnsi="Calibri" w:cs="Calibri"/>
                <w:color w:val="000000"/>
                <w:szCs w:val="22"/>
                <w:lang w:val="en-US"/>
              </w:rPr>
              <w:t>vulberable</w:t>
            </w:r>
            <w:proofErr w:type="spellEnd"/>
            <w:r w:rsidRPr="00B6462D">
              <w:rPr>
                <w:rFonts w:ascii="Calibri" w:hAnsi="Calibri" w:cs="Calibri"/>
                <w:color w:val="000000"/>
                <w:szCs w:val="22"/>
                <w:lang w:val="en-US"/>
              </w:rPr>
              <w:t xml:space="preserve"> and poor populations </w:t>
            </w:r>
            <w:r w:rsidRPr="00B6462D">
              <w:rPr>
                <w:rFonts w:ascii="Calibri" w:hAnsi="Calibri" w:cs="Calibri"/>
                <w:color w:val="000000"/>
                <w:szCs w:val="22"/>
                <w:lang w:val="en-US"/>
              </w:rPr>
              <w:lastRenderedPageBreak/>
              <w:t>by key partners</w:t>
            </w:r>
          </w:p>
        </w:tc>
        <w:tc>
          <w:tcPr>
            <w:tcW w:w="600" w:type="pct"/>
            <w:tcBorders>
              <w:top w:val="nil"/>
              <w:left w:val="nil"/>
              <w:bottom w:val="single" w:sz="4" w:space="0" w:color="auto"/>
              <w:right w:val="single" w:sz="4" w:space="0" w:color="auto"/>
            </w:tcBorders>
            <w:shd w:val="clear" w:color="auto" w:fill="auto"/>
            <w:vAlign w:val="center"/>
            <w:hideMark/>
          </w:tcPr>
          <w:p w14:paraId="561C1728"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*human rights and other considerations not measurable across partner documents as only strategic plans in draft form for JD/LAC</w:t>
            </w:r>
            <w:r w:rsidRPr="00B6462D">
              <w:rPr>
                <w:rFonts w:ascii="Calibri" w:hAnsi="Calibri" w:cs="Calibri"/>
                <w:color w:val="000000"/>
                <w:szCs w:val="22"/>
                <w:lang w:val="en-US"/>
              </w:rPr>
              <w:br/>
              <w:t>*Duty bearers report increasing budgets since 2016: figures not publicly available</w:t>
            </w:r>
          </w:p>
        </w:tc>
        <w:tc>
          <w:tcPr>
            <w:tcW w:w="477" w:type="pct"/>
            <w:tcBorders>
              <w:top w:val="nil"/>
              <w:left w:val="nil"/>
              <w:bottom w:val="single" w:sz="4" w:space="0" w:color="auto"/>
              <w:right w:val="single" w:sz="4" w:space="0" w:color="auto"/>
            </w:tcBorders>
            <w:shd w:val="clear" w:color="auto" w:fill="auto"/>
            <w:vAlign w:val="center"/>
            <w:hideMark/>
          </w:tcPr>
          <w:p w14:paraId="0EB1328D"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*LAC/JD periodic and annual plans and budgets</w:t>
            </w:r>
            <w:r w:rsidRPr="00B6462D">
              <w:rPr>
                <w:rFonts w:ascii="Calibri" w:hAnsi="Calibri" w:cs="Calibri"/>
                <w:color w:val="000000"/>
                <w:szCs w:val="22"/>
                <w:lang w:val="en-US"/>
              </w:rPr>
              <w:br/>
              <w:t xml:space="preserve">*FA2J reports </w:t>
            </w:r>
          </w:p>
        </w:tc>
        <w:tc>
          <w:tcPr>
            <w:tcW w:w="606" w:type="pct"/>
            <w:tcBorders>
              <w:top w:val="nil"/>
              <w:left w:val="nil"/>
              <w:bottom w:val="single" w:sz="4" w:space="0" w:color="auto"/>
              <w:right w:val="single" w:sz="4" w:space="0" w:color="auto"/>
            </w:tcBorders>
            <w:shd w:val="clear" w:color="auto" w:fill="auto"/>
            <w:vAlign w:val="center"/>
            <w:hideMark/>
          </w:tcPr>
          <w:p w14:paraId="3EECF69B" w14:textId="046F48A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*Target populations defined late 2018: people with disabilities and victims of GBV in </w:t>
            </w:r>
            <w:r w:rsidR="00232F50" w:rsidRPr="00B6462D">
              <w:rPr>
                <w:rFonts w:ascii="Calibri" w:hAnsi="Calibri" w:cs="Calibri"/>
                <w:color w:val="000000"/>
                <w:szCs w:val="22"/>
                <w:lang w:val="en-US"/>
              </w:rPr>
              <w:t>geographically</w:t>
            </w:r>
            <w:r w:rsidRPr="00B6462D">
              <w:rPr>
                <w:rFonts w:ascii="Calibri" w:hAnsi="Calibri" w:cs="Calibri"/>
                <w:color w:val="000000"/>
                <w:szCs w:val="22"/>
                <w:lang w:val="en-US"/>
              </w:rPr>
              <w:t xml:space="preserve"> underserved areas: no specific data available from duty bearers on these pops. </w:t>
            </w:r>
          </w:p>
        </w:tc>
      </w:tr>
      <w:tr w:rsidR="00B6462D" w:rsidRPr="00B6462D" w14:paraId="773777A5" w14:textId="77777777" w:rsidTr="001B49E9">
        <w:trPr>
          <w:trHeight w:val="2100"/>
        </w:trPr>
        <w:tc>
          <w:tcPr>
            <w:tcW w:w="541" w:type="pct"/>
            <w:vMerge/>
            <w:tcBorders>
              <w:top w:val="nil"/>
              <w:left w:val="single" w:sz="4" w:space="0" w:color="auto"/>
              <w:bottom w:val="single" w:sz="4" w:space="0" w:color="000000"/>
              <w:right w:val="single" w:sz="4" w:space="0" w:color="auto"/>
            </w:tcBorders>
            <w:vAlign w:val="center"/>
            <w:hideMark/>
          </w:tcPr>
          <w:p w14:paraId="36CB023A"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25213733"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auto"/>
              <w:right w:val="single" w:sz="4" w:space="0" w:color="auto"/>
            </w:tcBorders>
            <w:vAlign w:val="center"/>
            <w:hideMark/>
          </w:tcPr>
          <w:p w14:paraId="064F67FD"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2F54FAD3"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C. </w:t>
            </w:r>
          </w:p>
        </w:tc>
        <w:tc>
          <w:tcPr>
            <w:tcW w:w="690" w:type="pct"/>
            <w:tcBorders>
              <w:top w:val="nil"/>
              <w:left w:val="nil"/>
              <w:bottom w:val="single" w:sz="4" w:space="0" w:color="auto"/>
              <w:right w:val="single" w:sz="4" w:space="0" w:color="auto"/>
            </w:tcBorders>
            <w:shd w:val="clear" w:color="auto" w:fill="auto"/>
            <w:vAlign w:val="center"/>
            <w:hideMark/>
          </w:tcPr>
          <w:p w14:paraId="6A27470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was UNDP’s selected method of delivery appropriate to the development context? </w:t>
            </w:r>
          </w:p>
        </w:tc>
        <w:tc>
          <w:tcPr>
            <w:tcW w:w="576" w:type="pct"/>
            <w:tcBorders>
              <w:top w:val="nil"/>
              <w:left w:val="nil"/>
              <w:bottom w:val="single" w:sz="4" w:space="0" w:color="auto"/>
              <w:right w:val="single" w:sz="4" w:space="0" w:color="auto"/>
            </w:tcBorders>
            <w:shd w:val="clear" w:color="000000" w:fill="FFFFFF"/>
            <w:vAlign w:val="center"/>
            <w:hideMark/>
          </w:tcPr>
          <w:p w14:paraId="7FDD5B6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that delivery method engaged key partner (Legal Aid Commission (LAC), Judicial Department (JD), CSOs) management and accountability mechanisms to the benefit of target populations</w:t>
            </w:r>
          </w:p>
        </w:tc>
        <w:tc>
          <w:tcPr>
            <w:tcW w:w="523" w:type="pct"/>
            <w:tcBorders>
              <w:top w:val="nil"/>
              <w:left w:val="nil"/>
              <w:bottom w:val="single" w:sz="4" w:space="0" w:color="auto"/>
              <w:right w:val="single" w:sz="4" w:space="0" w:color="auto"/>
            </w:tcBorders>
            <w:shd w:val="clear" w:color="000000" w:fill="FFFFFF"/>
            <w:vAlign w:val="center"/>
            <w:hideMark/>
          </w:tcPr>
          <w:p w14:paraId="6A0808D5"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*Number of government and CSO partners engaged in implementation </w:t>
            </w:r>
          </w:p>
        </w:tc>
        <w:tc>
          <w:tcPr>
            <w:tcW w:w="600" w:type="pct"/>
            <w:tcBorders>
              <w:top w:val="nil"/>
              <w:left w:val="nil"/>
              <w:bottom w:val="single" w:sz="4" w:space="0" w:color="auto"/>
              <w:right w:val="single" w:sz="4" w:space="0" w:color="auto"/>
            </w:tcBorders>
            <w:shd w:val="clear" w:color="000000" w:fill="FFFFFF"/>
            <w:vAlign w:val="center"/>
            <w:hideMark/>
          </w:tcPr>
          <w:p w14:paraId="5147B6C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*3 duty bearers engaged fully with Project Board (PB) - limited linkage of partners to target populations through FA2J</w:t>
            </w:r>
            <w:r w:rsidRPr="00B6462D">
              <w:rPr>
                <w:rFonts w:ascii="Calibri" w:hAnsi="Calibri" w:cs="Calibri"/>
                <w:color w:val="000000"/>
                <w:szCs w:val="22"/>
                <w:lang w:val="en-US"/>
              </w:rPr>
              <w:br/>
              <w:t>*3 CSOs engaged with outreach to target pops. through grants</w:t>
            </w:r>
          </w:p>
        </w:tc>
        <w:tc>
          <w:tcPr>
            <w:tcW w:w="477" w:type="pct"/>
            <w:tcBorders>
              <w:top w:val="nil"/>
              <w:left w:val="nil"/>
              <w:bottom w:val="single" w:sz="4" w:space="0" w:color="auto"/>
              <w:right w:val="single" w:sz="4" w:space="0" w:color="auto"/>
            </w:tcBorders>
            <w:shd w:val="clear" w:color="auto" w:fill="auto"/>
            <w:vAlign w:val="center"/>
            <w:hideMark/>
          </w:tcPr>
          <w:p w14:paraId="473CFE7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*FA2J reports</w:t>
            </w:r>
            <w:r w:rsidRPr="00B6462D">
              <w:rPr>
                <w:rFonts w:ascii="Calibri" w:hAnsi="Calibri" w:cs="Calibri"/>
                <w:color w:val="000000"/>
                <w:szCs w:val="22"/>
                <w:lang w:val="en-US"/>
              </w:rPr>
              <w:br/>
              <w:t>*A2J Assessment</w:t>
            </w:r>
            <w:r w:rsidRPr="00B6462D">
              <w:rPr>
                <w:rFonts w:ascii="Calibri" w:hAnsi="Calibri" w:cs="Calibri"/>
                <w:color w:val="000000"/>
                <w:szCs w:val="22"/>
                <w:lang w:val="en-US"/>
              </w:rPr>
              <w:br/>
              <w:t>*Partner annual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09FAD7DA" w14:textId="677EDF4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*Partners have </w:t>
            </w:r>
            <w:r w:rsidRPr="00B6462D">
              <w:rPr>
                <w:rFonts w:ascii="Calibri" w:hAnsi="Calibri" w:cs="Calibri"/>
                <w:i/>
                <w:iCs/>
                <w:color w:val="000000"/>
                <w:szCs w:val="22"/>
                <w:lang w:val="en-US"/>
              </w:rPr>
              <w:t xml:space="preserve">independently </w:t>
            </w:r>
            <w:r w:rsidRPr="00B6462D">
              <w:rPr>
                <w:rFonts w:ascii="Calibri" w:hAnsi="Calibri" w:cs="Calibri"/>
                <w:color w:val="000000"/>
                <w:szCs w:val="22"/>
                <w:lang w:val="en-US"/>
              </w:rPr>
              <w:t>been working to expand services: it is not clear if this is causally l</w:t>
            </w:r>
            <w:r w:rsidR="00232F50">
              <w:rPr>
                <w:rFonts w:ascii="Calibri" w:hAnsi="Calibri" w:cs="Calibri"/>
                <w:color w:val="000000"/>
                <w:szCs w:val="22"/>
                <w:lang w:val="en-US"/>
              </w:rPr>
              <w:t>i</w:t>
            </w:r>
            <w:r w:rsidRPr="00B6462D">
              <w:rPr>
                <w:rFonts w:ascii="Calibri" w:hAnsi="Calibri" w:cs="Calibri"/>
                <w:color w:val="000000"/>
                <w:szCs w:val="22"/>
                <w:lang w:val="en-US"/>
              </w:rPr>
              <w:t xml:space="preserve">nked to FA2J </w:t>
            </w:r>
            <w:r w:rsidRPr="00B6462D">
              <w:rPr>
                <w:rFonts w:ascii="Calibri" w:hAnsi="Calibri" w:cs="Calibri"/>
                <w:color w:val="000000"/>
                <w:szCs w:val="22"/>
                <w:lang w:val="en-US"/>
              </w:rPr>
              <w:br/>
              <w:t>*Possible inclusion of representatives of Rights Holders on PB in 2019</w:t>
            </w:r>
          </w:p>
        </w:tc>
      </w:tr>
      <w:tr w:rsidR="00B6462D" w:rsidRPr="00B6462D" w14:paraId="495B3C28" w14:textId="77777777" w:rsidTr="001B49E9">
        <w:trPr>
          <w:trHeight w:val="1800"/>
        </w:trPr>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25F5F0A6" w14:textId="77777777" w:rsidR="00B6462D" w:rsidRPr="00B6462D" w:rsidRDefault="00B6462D" w:rsidP="00B6462D">
            <w:pPr>
              <w:jc w:val="center"/>
              <w:rPr>
                <w:rFonts w:ascii="Calibri" w:hAnsi="Calibri" w:cs="Calibri"/>
                <w:b/>
                <w:bCs/>
                <w:color w:val="000000"/>
                <w:szCs w:val="22"/>
                <w:lang w:val="en-US"/>
              </w:rPr>
            </w:pPr>
            <w:r w:rsidRPr="00B6462D">
              <w:rPr>
                <w:rFonts w:ascii="Calibri" w:hAnsi="Calibri" w:cs="Calibri"/>
                <w:b/>
                <w:bCs/>
                <w:color w:val="000000"/>
                <w:szCs w:val="22"/>
                <w:lang w:val="en-US"/>
              </w:rPr>
              <w:lastRenderedPageBreak/>
              <w:t>Effectiveness</w:t>
            </w:r>
          </w:p>
        </w:tc>
        <w:tc>
          <w:tcPr>
            <w:tcW w:w="159" w:type="pct"/>
            <w:vMerge w:val="restart"/>
            <w:tcBorders>
              <w:top w:val="nil"/>
              <w:left w:val="single" w:sz="4" w:space="0" w:color="auto"/>
              <w:bottom w:val="single" w:sz="4" w:space="0" w:color="000000"/>
              <w:right w:val="single" w:sz="4" w:space="0" w:color="auto"/>
            </w:tcBorders>
            <w:shd w:val="clear" w:color="auto" w:fill="auto"/>
            <w:vAlign w:val="center"/>
            <w:hideMark/>
          </w:tcPr>
          <w:p w14:paraId="671DE5F2"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2.</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010B665C"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have project results/targets been achieved or has progress been made towards their achievement? </w:t>
            </w:r>
          </w:p>
        </w:tc>
        <w:tc>
          <w:tcPr>
            <w:tcW w:w="154" w:type="pct"/>
            <w:tcBorders>
              <w:top w:val="nil"/>
              <w:left w:val="nil"/>
              <w:bottom w:val="single" w:sz="4" w:space="0" w:color="auto"/>
              <w:right w:val="single" w:sz="4" w:space="0" w:color="auto"/>
            </w:tcBorders>
            <w:shd w:val="clear" w:color="auto" w:fill="auto"/>
            <w:vAlign w:val="center"/>
            <w:hideMark/>
          </w:tcPr>
          <w:p w14:paraId="2D628B0D"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A.</w:t>
            </w:r>
          </w:p>
        </w:tc>
        <w:tc>
          <w:tcPr>
            <w:tcW w:w="690" w:type="pct"/>
            <w:tcBorders>
              <w:top w:val="nil"/>
              <w:left w:val="nil"/>
              <w:bottom w:val="single" w:sz="4" w:space="0" w:color="auto"/>
              <w:right w:val="single" w:sz="4" w:space="0" w:color="auto"/>
            </w:tcBorders>
            <w:shd w:val="clear" w:color="auto" w:fill="auto"/>
            <w:vAlign w:val="center"/>
            <w:hideMark/>
          </w:tcPr>
          <w:p w14:paraId="387D2AF8"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What were the positive or negative, intended or unintended, changes brought about by the project’s work? </w:t>
            </w:r>
          </w:p>
        </w:tc>
        <w:tc>
          <w:tcPr>
            <w:tcW w:w="576" w:type="pct"/>
            <w:tcBorders>
              <w:top w:val="nil"/>
              <w:left w:val="nil"/>
              <w:bottom w:val="single" w:sz="4" w:space="0" w:color="auto"/>
              <w:right w:val="single" w:sz="4" w:space="0" w:color="auto"/>
            </w:tcBorders>
            <w:shd w:val="clear" w:color="000000" w:fill="FFFFFF"/>
            <w:vAlign w:val="center"/>
            <w:hideMark/>
          </w:tcPr>
          <w:p w14:paraId="34E648BE"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*Increased / decreased measure of </w:t>
            </w:r>
            <w:proofErr w:type="spellStart"/>
            <w:r w:rsidRPr="00B6462D">
              <w:rPr>
                <w:rFonts w:ascii="Calibri" w:hAnsi="Calibri" w:cs="Calibri"/>
                <w:color w:val="000000"/>
                <w:szCs w:val="22"/>
                <w:lang w:val="en-US"/>
              </w:rPr>
              <w:t>case</w:t>
            </w:r>
            <w:proofErr w:type="spellEnd"/>
            <w:r w:rsidRPr="00B6462D">
              <w:rPr>
                <w:rFonts w:ascii="Calibri" w:hAnsi="Calibri" w:cs="Calibri"/>
                <w:color w:val="000000"/>
                <w:szCs w:val="22"/>
                <w:lang w:val="en-US"/>
              </w:rPr>
              <w:t xml:space="preserve"> flow from target populations </w:t>
            </w:r>
            <w:r w:rsidRPr="00B6462D">
              <w:rPr>
                <w:rFonts w:ascii="Calibri" w:hAnsi="Calibri" w:cs="Calibri"/>
                <w:color w:val="000000"/>
                <w:szCs w:val="22"/>
                <w:lang w:val="en-US"/>
              </w:rPr>
              <w:br/>
              <w:t xml:space="preserve">*Increased / decreased measure of </w:t>
            </w:r>
            <w:proofErr w:type="spellStart"/>
            <w:r w:rsidRPr="00B6462D">
              <w:rPr>
                <w:rFonts w:ascii="Calibri" w:hAnsi="Calibri" w:cs="Calibri"/>
                <w:color w:val="000000"/>
                <w:szCs w:val="22"/>
                <w:lang w:val="en-US"/>
              </w:rPr>
              <w:t>case</w:t>
            </w:r>
            <w:proofErr w:type="spellEnd"/>
            <w:r w:rsidRPr="00B6462D">
              <w:rPr>
                <w:rFonts w:ascii="Calibri" w:hAnsi="Calibri" w:cs="Calibri"/>
                <w:color w:val="000000"/>
                <w:szCs w:val="22"/>
                <w:lang w:val="en-US"/>
              </w:rPr>
              <w:t xml:space="preserve"> flow from underserved areas</w:t>
            </w:r>
            <w:r w:rsidRPr="00B6462D">
              <w:rPr>
                <w:rFonts w:ascii="Calibri" w:hAnsi="Calibri" w:cs="Calibri"/>
                <w:color w:val="000000"/>
                <w:szCs w:val="22"/>
                <w:lang w:val="en-US"/>
              </w:rPr>
              <w:br/>
              <w:t>*Increased / decreased support to vulnerable populations by CSOs</w:t>
            </w:r>
          </w:p>
        </w:tc>
        <w:tc>
          <w:tcPr>
            <w:tcW w:w="523" w:type="pct"/>
            <w:tcBorders>
              <w:top w:val="nil"/>
              <w:left w:val="nil"/>
              <w:bottom w:val="single" w:sz="4" w:space="0" w:color="auto"/>
              <w:right w:val="single" w:sz="4" w:space="0" w:color="auto"/>
            </w:tcBorders>
            <w:shd w:val="clear" w:color="000000" w:fill="FFFFFF"/>
            <w:vAlign w:val="center"/>
            <w:hideMark/>
          </w:tcPr>
          <w:p w14:paraId="01817EB0"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*Increased / decreased measure of </w:t>
            </w:r>
            <w:proofErr w:type="spellStart"/>
            <w:r w:rsidRPr="00B6462D">
              <w:rPr>
                <w:rFonts w:ascii="Calibri" w:hAnsi="Calibri" w:cs="Calibri"/>
                <w:color w:val="000000"/>
                <w:szCs w:val="22"/>
                <w:lang w:val="en-US"/>
              </w:rPr>
              <w:t>case</w:t>
            </w:r>
            <w:proofErr w:type="spellEnd"/>
            <w:r w:rsidRPr="00B6462D">
              <w:rPr>
                <w:rFonts w:ascii="Calibri" w:hAnsi="Calibri" w:cs="Calibri"/>
                <w:color w:val="000000"/>
                <w:szCs w:val="22"/>
                <w:lang w:val="en-US"/>
              </w:rPr>
              <w:t xml:space="preserve"> flow from target populations </w:t>
            </w:r>
            <w:r w:rsidRPr="00B6462D">
              <w:rPr>
                <w:rFonts w:ascii="Calibri" w:hAnsi="Calibri" w:cs="Calibri"/>
                <w:color w:val="000000"/>
                <w:szCs w:val="22"/>
                <w:lang w:val="en-US"/>
              </w:rPr>
              <w:br/>
              <w:t xml:space="preserve">*Increased / decreased measure of </w:t>
            </w:r>
            <w:proofErr w:type="spellStart"/>
            <w:r w:rsidRPr="00B6462D">
              <w:rPr>
                <w:rFonts w:ascii="Calibri" w:hAnsi="Calibri" w:cs="Calibri"/>
                <w:color w:val="000000"/>
                <w:szCs w:val="22"/>
                <w:lang w:val="en-US"/>
              </w:rPr>
              <w:t>case</w:t>
            </w:r>
            <w:proofErr w:type="spellEnd"/>
            <w:r w:rsidRPr="00B6462D">
              <w:rPr>
                <w:rFonts w:ascii="Calibri" w:hAnsi="Calibri" w:cs="Calibri"/>
                <w:color w:val="000000"/>
                <w:szCs w:val="22"/>
                <w:lang w:val="en-US"/>
              </w:rPr>
              <w:t xml:space="preserve"> flow from underserved areas</w:t>
            </w:r>
            <w:r w:rsidRPr="00B6462D">
              <w:rPr>
                <w:rFonts w:ascii="Calibri" w:hAnsi="Calibri" w:cs="Calibri"/>
                <w:color w:val="000000"/>
                <w:szCs w:val="22"/>
                <w:lang w:val="en-US"/>
              </w:rPr>
              <w:br/>
              <w:t>*Increased / decreased support to vulnerable populations by CSOs</w:t>
            </w:r>
          </w:p>
        </w:tc>
        <w:tc>
          <w:tcPr>
            <w:tcW w:w="600" w:type="pct"/>
            <w:tcBorders>
              <w:top w:val="nil"/>
              <w:left w:val="nil"/>
              <w:bottom w:val="single" w:sz="4" w:space="0" w:color="auto"/>
              <w:right w:val="single" w:sz="4" w:space="0" w:color="auto"/>
            </w:tcBorders>
            <w:shd w:val="clear" w:color="000000" w:fill="FFFFFF"/>
            <w:vAlign w:val="center"/>
            <w:hideMark/>
          </w:tcPr>
          <w:p w14:paraId="5FE5DB5C"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*2 CSOs newly engaged with outreach on justice issues to underserved areas</w:t>
            </w:r>
            <w:r w:rsidRPr="00B6462D">
              <w:rPr>
                <w:rFonts w:ascii="Calibri" w:hAnsi="Calibri" w:cs="Calibri"/>
                <w:color w:val="000000"/>
                <w:szCs w:val="22"/>
                <w:lang w:val="en-US"/>
              </w:rPr>
              <w:br/>
              <w:t xml:space="preserve">*No measurement of </w:t>
            </w:r>
            <w:proofErr w:type="spellStart"/>
            <w:r w:rsidRPr="00B6462D">
              <w:rPr>
                <w:rFonts w:ascii="Calibri" w:hAnsi="Calibri" w:cs="Calibri"/>
                <w:color w:val="000000"/>
                <w:szCs w:val="22"/>
                <w:lang w:val="en-US"/>
              </w:rPr>
              <w:t>case</w:t>
            </w:r>
            <w:proofErr w:type="spellEnd"/>
            <w:r w:rsidRPr="00B6462D">
              <w:rPr>
                <w:rFonts w:ascii="Calibri" w:hAnsi="Calibri" w:cs="Calibri"/>
                <w:color w:val="000000"/>
                <w:szCs w:val="22"/>
                <w:lang w:val="en-US"/>
              </w:rPr>
              <w:t xml:space="preserve"> flow available pending case management system</w:t>
            </w:r>
          </w:p>
        </w:tc>
        <w:tc>
          <w:tcPr>
            <w:tcW w:w="477" w:type="pct"/>
            <w:tcBorders>
              <w:top w:val="nil"/>
              <w:left w:val="nil"/>
              <w:bottom w:val="single" w:sz="4" w:space="0" w:color="auto"/>
              <w:right w:val="single" w:sz="4" w:space="0" w:color="auto"/>
            </w:tcBorders>
            <w:shd w:val="clear" w:color="auto" w:fill="auto"/>
            <w:vAlign w:val="center"/>
            <w:hideMark/>
          </w:tcPr>
          <w:p w14:paraId="101D45D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*FA2J reports</w:t>
            </w:r>
            <w:r w:rsidRPr="00B6462D">
              <w:rPr>
                <w:rFonts w:ascii="Calibri" w:hAnsi="Calibri" w:cs="Calibri"/>
                <w:color w:val="000000"/>
                <w:szCs w:val="22"/>
                <w:lang w:val="en-US"/>
              </w:rPr>
              <w:br/>
              <w:t>*A2J Assessment</w:t>
            </w:r>
            <w:r w:rsidRPr="00B6462D">
              <w:rPr>
                <w:rFonts w:ascii="Calibri" w:hAnsi="Calibri" w:cs="Calibri"/>
                <w:color w:val="000000"/>
                <w:szCs w:val="22"/>
                <w:lang w:val="en-US"/>
              </w:rPr>
              <w:br/>
              <w:t>*Partner annual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4E0C4FB9"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*Empower Pacific and FDPF were previously engaged in service delivery or advocacy </w:t>
            </w:r>
            <w:r w:rsidRPr="00B6462D">
              <w:rPr>
                <w:rFonts w:ascii="Calibri" w:hAnsi="Calibri" w:cs="Calibri"/>
                <w:color w:val="000000"/>
                <w:szCs w:val="22"/>
                <w:lang w:val="en-US"/>
              </w:rPr>
              <w:br/>
              <w:t xml:space="preserve">*LAC offered to collect data on </w:t>
            </w:r>
            <w:proofErr w:type="spellStart"/>
            <w:r w:rsidRPr="00B6462D">
              <w:rPr>
                <w:rFonts w:ascii="Calibri" w:hAnsi="Calibri" w:cs="Calibri"/>
                <w:color w:val="000000"/>
                <w:szCs w:val="22"/>
                <w:lang w:val="en-US"/>
              </w:rPr>
              <w:t>case</w:t>
            </w:r>
            <w:proofErr w:type="spellEnd"/>
            <w:r w:rsidRPr="00B6462D">
              <w:rPr>
                <w:rFonts w:ascii="Calibri" w:hAnsi="Calibri" w:cs="Calibri"/>
                <w:color w:val="000000"/>
                <w:szCs w:val="22"/>
                <w:lang w:val="en-US"/>
              </w:rPr>
              <w:t xml:space="preserve"> flows (</w:t>
            </w:r>
            <w:proofErr w:type="spellStart"/>
            <w:r w:rsidRPr="00B6462D">
              <w:rPr>
                <w:rFonts w:ascii="Calibri" w:hAnsi="Calibri" w:cs="Calibri"/>
                <w:color w:val="000000"/>
                <w:szCs w:val="22"/>
                <w:lang w:val="en-US"/>
              </w:rPr>
              <w:t>etc</w:t>
            </w:r>
            <w:proofErr w:type="spellEnd"/>
            <w:r w:rsidRPr="00B6462D">
              <w:rPr>
                <w:rFonts w:ascii="Calibri" w:hAnsi="Calibri" w:cs="Calibri"/>
                <w:color w:val="000000"/>
                <w:szCs w:val="22"/>
                <w:lang w:val="en-US"/>
              </w:rPr>
              <w:t>) but not received to date</w:t>
            </w:r>
          </w:p>
        </w:tc>
      </w:tr>
      <w:tr w:rsidR="00B6462D" w:rsidRPr="00B6462D" w14:paraId="45972948" w14:textId="77777777" w:rsidTr="001B49E9">
        <w:trPr>
          <w:trHeight w:val="3900"/>
        </w:trPr>
        <w:tc>
          <w:tcPr>
            <w:tcW w:w="541" w:type="pct"/>
            <w:vMerge/>
            <w:tcBorders>
              <w:top w:val="nil"/>
              <w:left w:val="single" w:sz="4" w:space="0" w:color="auto"/>
              <w:bottom w:val="single" w:sz="4" w:space="0" w:color="000000"/>
              <w:right w:val="single" w:sz="4" w:space="0" w:color="auto"/>
            </w:tcBorders>
            <w:vAlign w:val="center"/>
            <w:hideMark/>
          </w:tcPr>
          <w:p w14:paraId="4C1F9D1A"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73DACEBA"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2C399F12"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399845CA"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B.</w:t>
            </w:r>
          </w:p>
        </w:tc>
        <w:tc>
          <w:tcPr>
            <w:tcW w:w="690" w:type="pct"/>
            <w:tcBorders>
              <w:top w:val="nil"/>
              <w:left w:val="nil"/>
              <w:bottom w:val="single" w:sz="4" w:space="0" w:color="auto"/>
              <w:right w:val="single" w:sz="4" w:space="0" w:color="auto"/>
            </w:tcBorders>
            <w:shd w:val="clear" w:color="auto" w:fill="auto"/>
            <w:vAlign w:val="center"/>
            <w:hideMark/>
          </w:tcPr>
          <w:p w14:paraId="21BA1E7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How were the gaps identified in the capacity of rights-holders to claim their rights, and of duty-bearers to fulfil their obligations, including an analysis of gender and marginalized and vulnerable groups, and how effectively were </w:t>
            </w:r>
            <w:r w:rsidRPr="00B6462D">
              <w:rPr>
                <w:rFonts w:ascii="Calibri" w:hAnsi="Calibri" w:cs="Calibri"/>
                <w:color w:val="000000"/>
                <w:szCs w:val="22"/>
                <w:lang w:val="en-US"/>
              </w:rPr>
              <w:lastRenderedPageBreak/>
              <w:t xml:space="preserve">interventions tailored to address these gaps? </w:t>
            </w:r>
          </w:p>
        </w:tc>
        <w:tc>
          <w:tcPr>
            <w:tcW w:w="576" w:type="pct"/>
            <w:tcBorders>
              <w:top w:val="nil"/>
              <w:left w:val="nil"/>
              <w:bottom w:val="single" w:sz="4" w:space="0" w:color="auto"/>
              <w:right w:val="single" w:sz="4" w:space="0" w:color="auto"/>
            </w:tcBorders>
            <w:shd w:val="clear" w:color="auto" w:fill="auto"/>
            <w:vAlign w:val="center"/>
            <w:hideMark/>
          </w:tcPr>
          <w:p w14:paraId="7C2F8B0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 xml:space="preserve">*Increased clarification of target populations / gaps in their capacity to claim rights in local environment </w:t>
            </w:r>
            <w:r w:rsidRPr="00B6462D">
              <w:rPr>
                <w:rFonts w:ascii="Calibri" w:hAnsi="Calibri" w:cs="Calibri"/>
                <w:color w:val="000000"/>
                <w:szCs w:val="22"/>
                <w:lang w:val="en-US"/>
              </w:rPr>
              <w:br/>
              <w:t xml:space="preserve">*Incidences of duty bearers aligning resources to address needs </w:t>
            </w:r>
            <w:r w:rsidRPr="00B6462D">
              <w:rPr>
                <w:rFonts w:ascii="Calibri" w:hAnsi="Calibri" w:cs="Calibri"/>
                <w:color w:val="000000"/>
                <w:szCs w:val="22"/>
                <w:lang w:val="en-US"/>
              </w:rPr>
              <w:lastRenderedPageBreak/>
              <w:t>of target populations</w:t>
            </w:r>
          </w:p>
        </w:tc>
        <w:tc>
          <w:tcPr>
            <w:tcW w:w="523" w:type="pct"/>
            <w:tcBorders>
              <w:top w:val="nil"/>
              <w:left w:val="nil"/>
              <w:bottom w:val="single" w:sz="4" w:space="0" w:color="auto"/>
              <w:right w:val="single" w:sz="4" w:space="0" w:color="auto"/>
            </w:tcBorders>
            <w:shd w:val="clear" w:color="auto" w:fill="auto"/>
            <w:vAlign w:val="center"/>
            <w:hideMark/>
          </w:tcPr>
          <w:p w14:paraId="46F5768A"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*Vulnerable populations defined in local context</w:t>
            </w:r>
            <w:r w:rsidRPr="00B6462D">
              <w:rPr>
                <w:rFonts w:ascii="Calibri" w:hAnsi="Calibri" w:cs="Calibri"/>
                <w:color w:val="000000"/>
                <w:szCs w:val="22"/>
                <w:lang w:val="en-US"/>
              </w:rPr>
              <w:br/>
              <w:t>*Poor population defined in local context</w:t>
            </w:r>
            <w:r w:rsidRPr="00B6462D">
              <w:rPr>
                <w:rFonts w:ascii="Calibri" w:hAnsi="Calibri" w:cs="Calibri"/>
                <w:color w:val="000000"/>
                <w:szCs w:val="22"/>
                <w:lang w:val="en-US"/>
              </w:rPr>
              <w:br/>
              <w:t>*# of distinct gaps identified in duty bearer service delivery</w:t>
            </w:r>
            <w:r w:rsidRPr="00B6462D">
              <w:rPr>
                <w:rFonts w:ascii="Calibri" w:hAnsi="Calibri" w:cs="Calibri"/>
                <w:color w:val="000000"/>
                <w:szCs w:val="22"/>
                <w:lang w:val="en-US"/>
              </w:rPr>
              <w:br/>
            </w:r>
            <w:r w:rsidRPr="00B6462D">
              <w:rPr>
                <w:rFonts w:ascii="Calibri" w:hAnsi="Calibri" w:cs="Calibri"/>
                <w:color w:val="000000"/>
                <w:szCs w:val="22"/>
                <w:lang w:val="en-US"/>
              </w:rPr>
              <w:lastRenderedPageBreak/>
              <w:t>*# of distinct gaps identified In capacity of rights holders (from defined populations) to claim rights</w:t>
            </w:r>
          </w:p>
        </w:tc>
        <w:tc>
          <w:tcPr>
            <w:tcW w:w="600" w:type="pct"/>
            <w:tcBorders>
              <w:top w:val="nil"/>
              <w:left w:val="nil"/>
              <w:bottom w:val="single" w:sz="4" w:space="0" w:color="auto"/>
              <w:right w:val="single" w:sz="4" w:space="0" w:color="auto"/>
            </w:tcBorders>
            <w:shd w:val="clear" w:color="auto" w:fill="auto"/>
            <w:vAlign w:val="center"/>
            <w:hideMark/>
          </w:tcPr>
          <w:p w14:paraId="51D174A8" w14:textId="0C1C9933"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*de facto definition of vulnerable populations through CSO grants: people with disabilities and women facing GBV in underserved areas</w:t>
            </w:r>
            <w:r w:rsidRPr="00B6462D">
              <w:rPr>
                <w:rFonts w:ascii="Calibri" w:hAnsi="Calibri" w:cs="Calibri"/>
                <w:color w:val="000000"/>
                <w:szCs w:val="22"/>
                <w:lang w:val="en-US"/>
              </w:rPr>
              <w:br/>
              <w:t xml:space="preserve">*Reports to date have not reviewed </w:t>
            </w:r>
            <w:r w:rsidRPr="00B6462D">
              <w:rPr>
                <w:rFonts w:ascii="Calibri" w:hAnsi="Calibri" w:cs="Calibri"/>
                <w:color w:val="000000"/>
                <w:szCs w:val="22"/>
                <w:lang w:val="en-US"/>
              </w:rPr>
              <w:lastRenderedPageBreak/>
              <w:t xml:space="preserve">institutional gaps and </w:t>
            </w:r>
            <w:proofErr w:type="spellStart"/>
            <w:r w:rsidRPr="00B6462D">
              <w:rPr>
                <w:rFonts w:ascii="Calibri" w:hAnsi="Calibri" w:cs="Calibri"/>
                <w:color w:val="000000"/>
                <w:szCs w:val="22"/>
                <w:lang w:val="en-US"/>
              </w:rPr>
              <w:t>institut</w:t>
            </w:r>
            <w:proofErr w:type="spellEnd"/>
            <w:r w:rsidRPr="00B6462D">
              <w:rPr>
                <w:rFonts w:ascii="Calibri" w:hAnsi="Calibri" w:cs="Calibri"/>
                <w:color w:val="000000"/>
                <w:szCs w:val="22"/>
                <w:lang w:val="en-US"/>
              </w:rPr>
              <w:t>. strengthening pending</w:t>
            </w:r>
            <w:r w:rsidRPr="00B6462D">
              <w:rPr>
                <w:rFonts w:ascii="Calibri" w:hAnsi="Calibri" w:cs="Calibri"/>
                <w:color w:val="000000"/>
                <w:szCs w:val="22"/>
                <w:lang w:val="en-US"/>
              </w:rPr>
              <w:br/>
              <w:t xml:space="preserve">*3 vulnerable groups identified by A2J Assessment (Draft)  </w:t>
            </w:r>
          </w:p>
        </w:tc>
        <w:tc>
          <w:tcPr>
            <w:tcW w:w="477" w:type="pct"/>
            <w:tcBorders>
              <w:top w:val="nil"/>
              <w:left w:val="nil"/>
              <w:bottom w:val="single" w:sz="4" w:space="0" w:color="auto"/>
              <w:right w:val="single" w:sz="4" w:space="0" w:color="auto"/>
            </w:tcBorders>
            <w:shd w:val="clear" w:color="auto" w:fill="auto"/>
            <w:vAlign w:val="center"/>
            <w:hideMark/>
          </w:tcPr>
          <w:p w14:paraId="6B7539C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*FA2J reports</w:t>
            </w:r>
            <w:r w:rsidRPr="00B6462D">
              <w:rPr>
                <w:rFonts w:ascii="Calibri" w:hAnsi="Calibri" w:cs="Calibri"/>
                <w:color w:val="000000"/>
                <w:szCs w:val="22"/>
                <w:lang w:val="en-US"/>
              </w:rPr>
              <w:br/>
              <w:t>*A2J Assessment</w:t>
            </w:r>
            <w:r w:rsidRPr="00B6462D">
              <w:rPr>
                <w:rFonts w:ascii="Calibri" w:hAnsi="Calibri" w:cs="Calibri"/>
                <w:color w:val="000000"/>
                <w:szCs w:val="22"/>
                <w:lang w:val="en-US"/>
              </w:rPr>
              <w:br/>
              <w:t>*Partner annual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0B3684F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*A2J Assessment (Draft) at 79 recommended specific attention to: women (particularly those facing GBV); people with disabilities; and those in remote or isolated areas</w:t>
            </w:r>
          </w:p>
        </w:tc>
      </w:tr>
      <w:tr w:rsidR="00B6462D" w:rsidRPr="00B6462D" w14:paraId="511D78CD" w14:textId="77777777" w:rsidTr="001B49E9">
        <w:trPr>
          <w:trHeight w:val="1800"/>
        </w:trPr>
        <w:tc>
          <w:tcPr>
            <w:tcW w:w="541" w:type="pct"/>
            <w:vMerge/>
            <w:tcBorders>
              <w:top w:val="nil"/>
              <w:left w:val="single" w:sz="4" w:space="0" w:color="auto"/>
              <w:bottom w:val="single" w:sz="4" w:space="0" w:color="000000"/>
              <w:right w:val="single" w:sz="4" w:space="0" w:color="auto"/>
            </w:tcBorders>
            <w:vAlign w:val="center"/>
            <w:hideMark/>
          </w:tcPr>
          <w:p w14:paraId="5317822D"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47E9DC14"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71ACBC09"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0AB69E22"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C. </w:t>
            </w:r>
          </w:p>
        </w:tc>
        <w:tc>
          <w:tcPr>
            <w:tcW w:w="690" w:type="pct"/>
            <w:tcBorders>
              <w:top w:val="nil"/>
              <w:left w:val="nil"/>
              <w:bottom w:val="single" w:sz="4" w:space="0" w:color="auto"/>
              <w:right w:val="single" w:sz="4" w:space="0" w:color="auto"/>
            </w:tcBorders>
            <w:shd w:val="clear" w:color="auto" w:fill="auto"/>
            <w:vAlign w:val="center"/>
            <w:hideMark/>
          </w:tcPr>
          <w:p w14:paraId="1ADD316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was the theory of change presented in the outcome model a relevant and appropriate vision on which to base the initiative? </w:t>
            </w:r>
          </w:p>
        </w:tc>
        <w:tc>
          <w:tcPr>
            <w:tcW w:w="576" w:type="pct"/>
            <w:tcBorders>
              <w:top w:val="nil"/>
              <w:left w:val="nil"/>
              <w:bottom w:val="single" w:sz="4" w:space="0" w:color="auto"/>
              <w:right w:val="single" w:sz="4" w:space="0" w:color="auto"/>
            </w:tcBorders>
            <w:shd w:val="clear" w:color="auto" w:fill="auto"/>
            <w:vAlign w:val="center"/>
            <w:hideMark/>
          </w:tcPr>
          <w:p w14:paraId="32BC247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*Increased / decreased incidence of duty bearer alignment of resources to target populations</w:t>
            </w:r>
            <w:r w:rsidRPr="00B6462D">
              <w:rPr>
                <w:rFonts w:ascii="Calibri" w:hAnsi="Calibri" w:cs="Calibri"/>
                <w:color w:val="000000"/>
                <w:szCs w:val="22"/>
                <w:lang w:val="en-US"/>
              </w:rPr>
              <w:br/>
              <w:t>*Increased / decreased incidence of target population claiming rights with partner duty holders</w:t>
            </w:r>
          </w:p>
        </w:tc>
        <w:tc>
          <w:tcPr>
            <w:tcW w:w="523" w:type="pct"/>
            <w:tcBorders>
              <w:top w:val="nil"/>
              <w:left w:val="nil"/>
              <w:bottom w:val="single" w:sz="4" w:space="0" w:color="auto"/>
              <w:right w:val="single" w:sz="4" w:space="0" w:color="auto"/>
            </w:tcBorders>
            <w:shd w:val="clear" w:color="auto" w:fill="auto"/>
            <w:vAlign w:val="center"/>
            <w:hideMark/>
          </w:tcPr>
          <w:p w14:paraId="76CFB4FB" w14:textId="54840A06"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*year/year changes in partner budgets aligned to service delivery to target populations</w:t>
            </w:r>
            <w:r w:rsidRPr="00B6462D">
              <w:rPr>
                <w:rFonts w:ascii="Calibri" w:hAnsi="Calibri" w:cs="Calibri"/>
                <w:color w:val="000000"/>
                <w:szCs w:val="22"/>
                <w:lang w:val="en-US"/>
              </w:rPr>
              <w:br/>
              <w:t xml:space="preserve">*year/year changes in number of </w:t>
            </w:r>
            <w:r w:rsidR="00232F50" w:rsidRPr="00B6462D">
              <w:rPr>
                <w:rFonts w:ascii="Calibri" w:hAnsi="Calibri" w:cs="Calibri"/>
                <w:color w:val="000000"/>
                <w:szCs w:val="22"/>
                <w:lang w:val="en-US"/>
              </w:rPr>
              <w:t>individuals</w:t>
            </w:r>
            <w:r w:rsidRPr="00B6462D">
              <w:rPr>
                <w:rFonts w:ascii="Calibri" w:hAnsi="Calibri" w:cs="Calibri"/>
                <w:color w:val="000000"/>
                <w:szCs w:val="22"/>
                <w:lang w:val="en-US"/>
              </w:rPr>
              <w:t xml:space="preserve"> from target populations claiming rights</w:t>
            </w:r>
          </w:p>
        </w:tc>
        <w:tc>
          <w:tcPr>
            <w:tcW w:w="600" w:type="pct"/>
            <w:tcBorders>
              <w:top w:val="nil"/>
              <w:left w:val="nil"/>
              <w:bottom w:val="single" w:sz="4" w:space="0" w:color="auto"/>
              <w:right w:val="single" w:sz="4" w:space="0" w:color="auto"/>
            </w:tcBorders>
            <w:shd w:val="clear" w:color="auto" w:fill="auto"/>
            <w:vAlign w:val="center"/>
            <w:hideMark/>
          </w:tcPr>
          <w:p w14:paraId="195EF38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*Data requested: not available through public sources</w:t>
            </w:r>
          </w:p>
        </w:tc>
        <w:tc>
          <w:tcPr>
            <w:tcW w:w="477" w:type="pct"/>
            <w:tcBorders>
              <w:top w:val="nil"/>
              <w:left w:val="nil"/>
              <w:bottom w:val="single" w:sz="4" w:space="0" w:color="auto"/>
              <w:right w:val="single" w:sz="4" w:space="0" w:color="auto"/>
            </w:tcBorders>
            <w:shd w:val="clear" w:color="auto" w:fill="auto"/>
            <w:vAlign w:val="center"/>
            <w:hideMark/>
          </w:tcPr>
          <w:p w14:paraId="6AB13CB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*FA2J reports</w:t>
            </w:r>
            <w:r w:rsidRPr="00B6462D">
              <w:rPr>
                <w:rFonts w:ascii="Calibri" w:hAnsi="Calibri" w:cs="Calibri"/>
                <w:color w:val="000000"/>
                <w:szCs w:val="22"/>
                <w:lang w:val="en-US"/>
              </w:rPr>
              <w:br/>
              <w:t>*A2J Assessment</w:t>
            </w:r>
            <w:r w:rsidRPr="00B6462D">
              <w:rPr>
                <w:rFonts w:ascii="Calibri" w:hAnsi="Calibri" w:cs="Calibri"/>
                <w:color w:val="000000"/>
                <w:szCs w:val="22"/>
                <w:lang w:val="en-US"/>
              </w:rPr>
              <w:br/>
              <w:t>*Partner annual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2C72F493"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*LAC data request pending</w:t>
            </w:r>
          </w:p>
        </w:tc>
      </w:tr>
      <w:tr w:rsidR="00B6462D" w:rsidRPr="00B6462D" w14:paraId="1CCBFEBD" w14:textId="77777777" w:rsidTr="001B49E9">
        <w:trPr>
          <w:trHeight w:val="2100"/>
        </w:trPr>
        <w:tc>
          <w:tcPr>
            <w:tcW w:w="541" w:type="pct"/>
            <w:vMerge/>
            <w:tcBorders>
              <w:top w:val="nil"/>
              <w:left w:val="single" w:sz="4" w:space="0" w:color="auto"/>
              <w:bottom w:val="single" w:sz="4" w:space="0" w:color="000000"/>
              <w:right w:val="single" w:sz="4" w:space="0" w:color="auto"/>
            </w:tcBorders>
            <w:vAlign w:val="center"/>
            <w:hideMark/>
          </w:tcPr>
          <w:p w14:paraId="72B042A9"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6EFA46B3"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1277443B"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04814103"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D.</w:t>
            </w:r>
          </w:p>
        </w:tc>
        <w:tc>
          <w:tcPr>
            <w:tcW w:w="690" w:type="pct"/>
            <w:tcBorders>
              <w:top w:val="nil"/>
              <w:left w:val="nil"/>
              <w:bottom w:val="single" w:sz="4" w:space="0" w:color="auto"/>
              <w:right w:val="single" w:sz="4" w:space="0" w:color="auto"/>
            </w:tcBorders>
            <w:shd w:val="clear" w:color="auto" w:fill="auto"/>
            <w:vAlign w:val="center"/>
            <w:hideMark/>
          </w:tcPr>
          <w:p w14:paraId="6DA7BEB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To what extent is the project likely to produce useful information for later evaluations?</w:t>
            </w:r>
          </w:p>
        </w:tc>
        <w:tc>
          <w:tcPr>
            <w:tcW w:w="576" w:type="pct"/>
            <w:tcBorders>
              <w:top w:val="nil"/>
              <w:left w:val="nil"/>
              <w:bottom w:val="single" w:sz="4" w:space="0" w:color="auto"/>
              <w:right w:val="single" w:sz="4" w:space="0" w:color="auto"/>
            </w:tcBorders>
            <w:shd w:val="clear" w:color="auto" w:fill="auto"/>
            <w:vAlign w:val="center"/>
            <w:hideMark/>
          </w:tcPr>
          <w:p w14:paraId="574B8BC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of increased availability of refined A2J related baseline data</w:t>
            </w:r>
            <w:r w:rsidRPr="00B6462D">
              <w:rPr>
                <w:rFonts w:ascii="Calibri" w:hAnsi="Calibri" w:cs="Calibri"/>
                <w:color w:val="000000"/>
                <w:szCs w:val="22"/>
                <w:lang w:val="en-US"/>
              </w:rPr>
              <w:br/>
              <w:t xml:space="preserve">*Evidence of increased availability of primary data from duty bearer (case tracking, </w:t>
            </w:r>
            <w:proofErr w:type="spellStart"/>
            <w:r w:rsidRPr="00B6462D">
              <w:rPr>
                <w:rFonts w:ascii="Calibri" w:hAnsi="Calibri" w:cs="Calibri"/>
                <w:color w:val="000000"/>
                <w:szCs w:val="22"/>
                <w:lang w:val="en-US"/>
              </w:rPr>
              <w:t>etc</w:t>
            </w:r>
            <w:proofErr w:type="spellEnd"/>
            <w:r w:rsidRPr="00B6462D">
              <w:rPr>
                <w:rFonts w:ascii="Calibri" w:hAnsi="Calibri" w:cs="Calibri"/>
                <w:color w:val="000000"/>
                <w:szCs w:val="22"/>
                <w:lang w:val="en-US"/>
              </w:rPr>
              <w:t xml:space="preserve">) and right holder (access to hotline, </w:t>
            </w:r>
            <w:proofErr w:type="spellStart"/>
            <w:r w:rsidRPr="00B6462D">
              <w:rPr>
                <w:rFonts w:ascii="Calibri" w:hAnsi="Calibri" w:cs="Calibri"/>
                <w:color w:val="000000"/>
                <w:szCs w:val="22"/>
                <w:lang w:val="en-US"/>
              </w:rPr>
              <w:t>etc</w:t>
            </w:r>
            <w:proofErr w:type="spellEnd"/>
            <w:r w:rsidRPr="00B6462D">
              <w:rPr>
                <w:rFonts w:ascii="Calibri" w:hAnsi="Calibri" w:cs="Calibri"/>
                <w:color w:val="000000"/>
                <w:szCs w:val="22"/>
                <w:lang w:val="en-US"/>
              </w:rPr>
              <w:t>) partners</w:t>
            </w:r>
          </w:p>
        </w:tc>
        <w:tc>
          <w:tcPr>
            <w:tcW w:w="523" w:type="pct"/>
            <w:tcBorders>
              <w:top w:val="nil"/>
              <w:left w:val="nil"/>
              <w:bottom w:val="single" w:sz="4" w:space="0" w:color="auto"/>
              <w:right w:val="single" w:sz="4" w:space="0" w:color="auto"/>
            </w:tcBorders>
            <w:shd w:val="clear" w:color="auto" w:fill="auto"/>
            <w:vAlign w:val="center"/>
            <w:hideMark/>
          </w:tcPr>
          <w:p w14:paraId="083D43E8" w14:textId="74E88655"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*Number of baseline studies completed to international standard</w:t>
            </w:r>
            <w:r w:rsidRPr="00B6462D">
              <w:rPr>
                <w:rFonts w:ascii="Calibri" w:hAnsi="Calibri" w:cs="Calibri"/>
                <w:color w:val="000000"/>
                <w:szCs w:val="22"/>
                <w:lang w:val="en-US"/>
              </w:rPr>
              <w:br/>
              <w:t>*Increase in availability of primary data related to justice services for target populations from key part</w:t>
            </w:r>
            <w:r w:rsidR="001B49E9">
              <w:rPr>
                <w:rFonts w:ascii="Calibri" w:hAnsi="Calibri" w:cs="Calibri"/>
                <w:color w:val="000000"/>
                <w:szCs w:val="22"/>
                <w:lang w:val="en-US"/>
              </w:rPr>
              <w:t>ners</w:t>
            </w:r>
            <w:r w:rsidRPr="00B6462D">
              <w:rPr>
                <w:rFonts w:ascii="Calibri" w:hAnsi="Calibri" w:cs="Calibri"/>
                <w:color w:val="000000"/>
                <w:szCs w:val="22"/>
                <w:lang w:val="en-US"/>
              </w:rPr>
              <w:t xml:space="preserve"> </w:t>
            </w:r>
          </w:p>
        </w:tc>
        <w:tc>
          <w:tcPr>
            <w:tcW w:w="600" w:type="pct"/>
            <w:tcBorders>
              <w:top w:val="nil"/>
              <w:left w:val="nil"/>
              <w:bottom w:val="single" w:sz="4" w:space="0" w:color="auto"/>
              <w:right w:val="single" w:sz="4" w:space="0" w:color="auto"/>
            </w:tcBorders>
            <w:shd w:val="clear" w:color="auto" w:fill="auto"/>
            <w:vAlign w:val="center"/>
            <w:hideMark/>
          </w:tcPr>
          <w:p w14:paraId="3162D820" w14:textId="72E082EF"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*While A2J Assessment drafted, not complete at the time of the </w:t>
            </w:r>
            <w:r w:rsidR="00111B37">
              <w:rPr>
                <w:rFonts w:ascii="Calibri" w:hAnsi="Calibri" w:cs="Calibri"/>
                <w:color w:val="000000"/>
                <w:szCs w:val="22"/>
                <w:lang w:val="en-US"/>
              </w:rPr>
              <w:t>MTE</w:t>
            </w:r>
            <w:r w:rsidRPr="00B6462D">
              <w:rPr>
                <w:rFonts w:ascii="Calibri" w:hAnsi="Calibri" w:cs="Calibri"/>
                <w:color w:val="000000"/>
                <w:szCs w:val="22"/>
                <w:lang w:val="en-US"/>
              </w:rPr>
              <w:t xml:space="preserve"> - some signs that A2J Assess may not provide enduring baseline for partners</w:t>
            </w:r>
          </w:p>
        </w:tc>
        <w:tc>
          <w:tcPr>
            <w:tcW w:w="477" w:type="pct"/>
            <w:tcBorders>
              <w:top w:val="nil"/>
              <w:left w:val="nil"/>
              <w:bottom w:val="single" w:sz="4" w:space="0" w:color="auto"/>
              <w:right w:val="single" w:sz="4" w:space="0" w:color="auto"/>
            </w:tcBorders>
            <w:shd w:val="clear" w:color="auto" w:fill="auto"/>
            <w:vAlign w:val="center"/>
            <w:hideMark/>
          </w:tcPr>
          <w:p w14:paraId="380A09FC"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*FA2J reports</w:t>
            </w:r>
            <w:r w:rsidRPr="00B6462D">
              <w:rPr>
                <w:rFonts w:ascii="Calibri" w:hAnsi="Calibri" w:cs="Calibri"/>
                <w:color w:val="000000"/>
                <w:szCs w:val="22"/>
                <w:lang w:val="en-US"/>
              </w:rPr>
              <w:br/>
              <w:t>*A2J Assessment</w:t>
            </w:r>
            <w:r w:rsidRPr="00B6462D">
              <w:rPr>
                <w:rFonts w:ascii="Calibri" w:hAnsi="Calibri" w:cs="Calibri"/>
                <w:color w:val="000000"/>
                <w:szCs w:val="22"/>
                <w:lang w:val="en-US"/>
              </w:rPr>
              <w:br/>
              <w:t>*Partner annual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742DD18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*Note that Balancing the Scales was produced in 2018, which provides substantial baseline information independently from FA2J</w:t>
            </w:r>
          </w:p>
        </w:tc>
      </w:tr>
      <w:tr w:rsidR="00B6462D" w:rsidRPr="00B6462D" w14:paraId="3422FC5F" w14:textId="77777777" w:rsidTr="001B49E9">
        <w:trPr>
          <w:trHeight w:val="1800"/>
        </w:trPr>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58F85247" w14:textId="77777777" w:rsidR="00B6462D" w:rsidRPr="00B6462D" w:rsidRDefault="00B6462D" w:rsidP="00B6462D">
            <w:pPr>
              <w:jc w:val="center"/>
              <w:rPr>
                <w:rFonts w:ascii="Calibri" w:hAnsi="Calibri" w:cs="Calibri"/>
                <w:b/>
                <w:bCs/>
                <w:color w:val="000000"/>
                <w:szCs w:val="22"/>
                <w:lang w:val="en-US"/>
              </w:rPr>
            </w:pPr>
            <w:r w:rsidRPr="00B6462D">
              <w:rPr>
                <w:rFonts w:ascii="Calibri" w:hAnsi="Calibri" w:cs="Calibri"/>
                <w:b/>
                <w:bCs/>
                <w:color w:val="000000"/>
                <w:szCs w:val="22"/>
                <w:lang w:val="en-US"/>
              </w:rPr>
              <w:t>Efficiency</w:t>
            </w:r>
          </w:p>
        </w:tc>
        <w:tc>
          <w:tcPr>
            <w:tcW w:w="159" w:type="pct"/>
            <w:vMerge w:val="restart"/>
            <w:tcBorders>
              <w:top w:val="nil"/>
              <w:left w:val="single" w:sz="4" w:space="0" w:color="auto"/>
              <w:bottom w:val="single" w:sz="4" w:space="0" w:color="000000"/>
              <w:right w:val="single" w:sz="4" w:space="0" w:color="auto"/>
            </w:tcBorders>
            <w:shd w:val="clear" w:color="auto" w:fill="auto"/>
            <w:vAlign w:val="center"/>
            <w:hideMark/>
          </w:tcPr>
          <w:p w14:paraId="497961C8"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3.</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50A91663"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As a function of resource utilization, how well has the project delivered the expected results? </w:t>
            </w:r>
          </w:p>
        </w:tc>
        <w:tc>
          <w:tcPr>
            <w:tcW w:w="154" w:type="pct"/>
            <w:tcBorders>
              <w:top w:val="nil"/>
              <w:left w:val="nil"/>
              <w:bottom w:val="single" w:sz="4" w:space="0" w:color="auto"/>
              <w:right w:val="single" w:sz="4" w:space="0" w:color="auto"/>
            </w:tcBorders>
            <w:shd w:val="clear" w:color="auto" w:fill="auto"/>
            <w:vAlign w:val="center"/>
            <w:hideMark/>
          </w:tcPr>
          <w:p w14:paraId="01CCC0EA"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A.</w:t>
            </w:r>
          </w:p>
        </w:tc>
        <w:tc>
          <w:tcPr>
            <w:tcW w:w="690" w:type="pct"/>
            <w:tcBorders>
              <w:top w:val="nil"/>
              <w:left w:val="nil"/>
              <w:bottom w:val="single" w:sz="4" w:space="0" w:color="auto"/>
              <w:right w:val="single" w:sz="4" w:space="0" w:color="auto"/>
            </w:tcBorders>
            <w:shd w:val="clear" w:color="auto" w:fill="auto"/>
            <w:vAlign w:val="center"/>
            <w:hideMark/>
          </w:tcPr>
          <w:p w14:paraId="27118888"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With regard to use of resources, what is the quality/efficiency of project management and monitoring in light of the project’s operational environment?</w:t>
            </w:r>
          </w:p>
        </w:tc>
        <w:tc>
          <w:tcPr>
            <w:tcW w:w="576" w:type="pct"/>
            <w:tcBorders>
              <w:top w:val="nil"/>
              <w:left w:val="nil"/>
              <w:bottom w:val="single" w:sz="4" w:space="0" w:color="auto"/>
              <w:right w:val="single" w:sz="4" w:space="0" w:color="auto"/>
            </w:tcBorders>
            <w:shd w:val="clear" w:color="auto" w:fill="auto"/>
            <w:vAlign w:val="center"/>
            <w:hideMark/>
          </w:tcPr>
          <w:p w14:paraId="66AF93BC"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*Incidences of monitoring products informing program direction</w:t>
            </w:r>
            <w:r w:rsidRPr="00B6462D">
              <w:rPr>
                <w:rFonts w:ascii="Calibri" w:hAnsi="Calibri" w:cs="Calibri"/>
                <w:color w:val="000000"/>
                <w:szCs w:val="22"/>
                <w:lang w:val="en-US"/>
              </w:rPr>
              <w:br/>
              <w:t>*Incidences of implementation issues being resolved through governance mechanisms</w:t>
            </w:r>
          </w:p>
        </w:tc>
        <w:tc>
          <w:tcPr>
            <w:tcW w:w="523" w:type="pct"/>
            <w:tcBorders>
              <w:top w:val="nil"/>
              <w:left w:val="nil"/>
              <w:bottom w:val="single" w:sz="4" w:space="0" w:color="auto"/>
              <w:right w:val="single" w:sz="4" w:space="0" w:color="auto"/>
            </w:tcBorders>
            <w:shd w:val="clear" w:color="auto" w:fill="auto"/>
            <w:vAlign w:val="center"/>
            <w:hideMark/>
          </w:tcPr>
          <w:p w14:paraId="78C38B5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*Resource allocation / utilization by output</w:t>
            </w:r>
            <w:r w:rsidRPr="00B6462D">
              <w:rPr>
                <w:rFonts w:ascii="Calibri" w:hAnsi="Calibri" w:cs="Calibri"/>
                <w:color w:val="000000"/>
                <w:szCs w:val="22"/>
                <w:lang w:val="en-US"/>
              </w:rPr>
              <w:br/>
              <w:t>*# of implementation issues raised and addressed through project board</w:t>
            </w:r>
          </w:p>
        </w:tc>
        <w:tc>
          <w:tcPr>
            <w:tcW w:w="600" w:type="pct"/>
            <w:tcBorders>
              <w:top w:val="nil"/>
              <w:left w:val="nil"/>
              <w:bottom w:val="single" w:sz="4" w:space="0" w:color="auto"/>
              <w:right w:val="single" w:sz="4" w:space="0" w:color="auto"/>
            </w:tcBorders>
            <w:shd w:val="clear" w:color="000000" w:fill="FFFFFF"/>
            <w:vAlign w:val="center"/>
            <w:hideMark/>
          </w:tcPr>
          <w:p w14:paraId="00C51546" w14:textId="29131442"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*output budgets from FA2J</w:t>
            </w:r>
            <w:r w:rsidRPr="00B6462D">
              <w:rPr>
                <w:rFonts w:ascii="Calibri" w:hAnsi="Calibri" w:cs="Calibri"/>
                <w:color w:val="000000"/>
                <w:szCs w:val="22"/>
                <w:lang w:val="en-US"/>
              </w:rPr>
              <w:br/>
              <w:t xml:space="preserve">*Issues raised but not resolved through PB as of date of </w:t>
            </w:r>
            <w:r w:rsidR="00111B37">
              <w:rPr>
                <w:rFonts w:ascii="Calibri" w:hAnsi="Calibri" w:cs="Calibri"/>
                <w:color w:val="000000"/>
                <w:szCs w:val="22"/>
                <w:lang w:val="en-US"/>
              </w:rPr>
              <w:t>MTE</w:t>
            </w:r>
          </w:p>
        </w:tc>
        <w:tc>
          <w:tcPr>
            <w:tcW w:w="477" w:type="pct"/>
            <w:tcBorders>
              <w:top w:val="nil"/>
              <w:left w:val="nil"/>
              <w:bottom w:val="single" w:sz="4" w:space="0" w:color="auto"/>
              <w:right w:val="single" w:sz="4" w:space="0" w:color="auto"/>
            </w:tcBorders>
            <w:shd w:val="clear" w:color="000000" w:fill="FFFFFF"/>
            <w:vAlign w:val="center"/>
            <w:hideMark/>
          </w:tcPr>
          <w:p w14:paraId="23CDC65E"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*FA2J reports</w:t>
            </w:r>
            <w:r w:rsidRPr="00B6462D">
              <w:rPr>
                <w:rFonts w:ascii="Calibri" w:hAnsi="Calibri" w:cs="Calibri"/>
                <w:color w:val="000000"/>
                <w:szCs w:val="22"/>
                <w:lang w:val="en-US"/>
              </w:rPr>
              <w:br/>
              <w:t>*A2J Assessment</w:t>
            </w:r>
            <w:r w:rsidRPr="00B6462D">
              <w:rPr>
                <w:rFonts w:ascii="Calibri" w:hAnsi="Calibri" w:cs="Calibri"/>
                <w:color w:val="000000"/>
                <w:szCs w:val="22"/>
                <w:lang w:val="en-US"/>
              </w:rPr>
              <w:br/>
              <w:t>*Project board meeting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000000" w:fill="FFFFFF"/>
            <w:vAlign w:val="center"/>
            <w:hideMark/>
          </w:tcPr>
          <w:p w14:paraId="283FD6D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*3 major implementation issues relating to procurement were reviewed: all raised to PB, but none resulted in agreed refinements to core project documents</w:t>
            </w:r>
          </w:p>
        </w:tc>
      </w:tr>
      <w:tr w:rsidR="00B6462D" w:rsidRPr="00B6462D" w14:paraId="3477A3D1" w14:textId="77777777" w:rsidTr="001B49E9">
        <w:trPr>
          <w:trHeight w:val="2100"/>
        </w:trPr>
        <w:tc>
          <w:tcPr>
            <w:tcW w:w="541" w:type="pct"/>
            <w:vMerge/>
            <w:tcBorders>
              <w:top w:val="nil"/>
              <w:left w:val="single" w:sz="4" w:space="0" w:color="auto"/>
              <w:bottom w:val="single" w:sz="4" w:space="0" w:color="000000"/>
              <w:right w:val="single" w:sz="4" w:space="0" w:color="auto"/>
            </w:tcBorders>
            <w:vAlign w:val="center"/>
            <w:hideMark/>
          </w:tcPr>
          <w:p w14:paraId="3D38920E"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3E47F47F"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697B805B"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41F80331"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B. </w:t>
            </w:r>
          </w:p>
        </w:tc>
        <w:tc>
          <w:tcPr>
            <w:tcW w:w="690" w:type="pct"/>
            <w:tcBorders>
              <w:top w:val="nil"/>
              <w:left w:val="nil"/>
              <w:bottom w:val="single" w:sz="4" w:space="0" w:color="auto"/>
              <w:right w:val="single" w:sz="4" w:space="0" w:color="auto"/>
            </w:tcBorders>
            <w:shd w:val="clear" w:color="auto" w:fill="auto"/>
            <w:vAlign w:val="center"/>
            <w:hideMark/>
          </w:tcPr>
          <w:p w14:paraId="629F4A5D"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How well are the project activities being managed and monitored by programme staff? </w:t>
            </w:r>
          </w:p>
        </w:tc>
        <w:tc>
          <w:tcPr>
            <w:tcW w:w="576" w:type="pct"/>
            <w:tcBorders>
              <w:top w:val="nil"/>
              <w:left w:val="nil"/>
              <w:bottom w:val="single" w:sz="4" w:space="0" w:color="auto"/>
              <w:right w:val="single" w:sz="4" w:space="0" w:color="auto"/>
            </w:tcBorders>
            <w:shd w:val="clear" w:color="auto" w:fill="auto"/>
            <w:vAlign w:val="center"/>
            <w:hideMark/>
          </w:tcPr>
          <w:p w14:paraId="13F4AA4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on frequency and accuracy of scheduled project reporting</w:t>
            </w:r>
          </w:p>
        </w:tc>
        <w:tc>
          <w:tcPr>
            <w:tcW w:w="523" w:type="pct"/>
            <w:tcBorders>
              <w:top w:val="nil"/>
              <w:left w:val="nil"/>
              <w:bottom w:val="single" w:sz="4" w:space="0" w:color="auto"/>
              <w:right w:val="single" w:sz="4" w:space="0" w:color="auto"/>
            </w:tcBorders>
            <w:shd w:val="clear" w:color="auto" w:fill="auto"/>
            <w:vAlign w:val="center"/>
            <w:hideMark/>
          </w:tcPr>
          <w:p w14:paraId="2C352D20"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of scheduled reports produced +/- 2 months of schedule</w:t>
            </w:r>
            <w:r w:rsidRPr="00B6462D">
              <w:rPr>
                <w:rFonts w:ascii="Calibri" w:hAnsi="Calibri" w:cs="Calibri"/>
                <w:color w:val="000000"/>
                <w:szCs w:val="22"/>
                <w:lang w:val="en-US"/>
              </w:rPr>
              <w:br/>
              <w:t>*% of planned products produced +/- 2 months of schedule</w:t>
            </w:r>
          </w:p>
        </w:tc>
        <w:tc>
          <w:tcPr>
            <w:tcW w:w="600" w:type="pct"/>
            <w:tcBorders>
              <w:top w:val="nil"/>
              <w:left w:val="nil"/>
              <w:bottom w:val="single" w:sz="4" w:space="0" w:color="auto"/>
              <w:right w:val="single" w:sz="4" w:space="0" w:color="auto"/>
            </w:tcBorders>
            <w:shd w:val="clear" w:color="auto" w:fill="auto"/>
            <w:vAlign w:val="center"/>
            <w:hideMark/>
          </w:tcPr>
          <w:p w14:paraId="0F10FB78"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*2 Annual Reports produced on schedule </w:t>
            </w:r>
          </w:p>
        </w:tc>
        <w:tc>
          <w:tcPr>
            <w:tcW w:w="477" w:type="pct"/>
            <w:tcBorders>
              <w:top w:val="nil"/>
              <w:left w:val="nil"/>
              <w:bottom w:val="single" w:sz="4" w:space="0" w:color="auto"/>
              <w:right w:val="single" w:sz="4" w:space="0" w:color="auto"/>
            </w:tcBorders>
            <w:shd w:val="clear" w:color="auto" w:fill="auto"/>
            <w:vAlign w:val="center"/>
            <w:hideMark/>
          </w:tcPr>
          <w:p w14:paraId="198BF21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*FA2J reports </w:t>
            </w:r>
            <w:r w:rsidRPr="00B6462D">
              <w:rPr>
                <w:rFonts w:ascii="Calibri" w:hAnsi="Calibri" w:cs="Calibri"/>
                <w:color w:val="000000"/>
                <w:szCs w:val="22"/>
                <w:lang w:val="en-US"/>
              </w:rPr>
              <w:br/>
              <w:t>*FA2J budget documents and reports</w:t>
            </w:r>
          </w:p>
        </w:tc>
        <w:tc>
          <w:tcPr>
            <w:tcW w:w="606" w:type="pct"/>
            <w:tcBorders>
              <w:top w:val="nil"/>
              <w:left w:val="nil"/>
              <w:bottom w:val="single" w:sz="4" w:space="0" w:color="auto"/>
              <w:right w:val="single" w:sz="4" w:space="0" w:color="auto"/>
            </w:tcBorders>
            <w:shd w:val="clear" w:color="auto" w:fill="auto"/>
            <w:vAlign w:val="center"/>
            <w:hideMark/>
          </w:tcPr>
          <w:p w14:paraId="28D2A7A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*Only annual reports, case reports,  and PB meetings are being produced on schedule; other elements reviewed are more than 6 months outside of scheduled dates without PB agreements on impact</w:t>
            </w:r>
          </w:p>
        </w:tc>
      </w:tr>
      <w:tr w:rsidR="00B6462D" w:rsidRPr="00B6462D" w14:paraId="0731DEA4" w14:textId="77777777" w:rsidTr="001B49E9">
        <w:trPr>
          <w:trHeight w:val="1500"/>
        </w:trPr>
        <w:tc>
          <w:tcPr>
            <w:tcW w:w="541" w:type="pct"/>
            <w:vMerge/>
            <w:tcBorders>
              <w:top w:val="nil"/>
              <w:left w:val="single" w:sz="4" w:space="0" w:color="auto"/>
              <w:bottom w:val="single" w:sz="4" w:space="0" w:color="000000"/>
              <w:right w:val="single" w:sz="4" w:space="0" w:color="auto"/>
            </w:tcBorders>
            <w:vAlign w:val="center"/>
            <w:hideMark/>
          </w:tcPr>
          <w:p w14:paraId="6CD44817"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26DE78EB"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3FD18BD7"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64EE80FC"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C. </w:t>
            </w:r>
          </w:p>
        </w:tc>
        <w:tc>
          <w:tcPr>
            <w:tcW w:w="690" w:type="pct"/>
            <w:tcBorders>
              <w:top w:val="nil"/>
              <w:left w:val="nil"/>
              <w:bottom w:val="single" w:sz="4" w:space="0" w:color="auto"/>
              <w:right w:val="single" w:sz="4" w:space="0" w:color="auto"/>
            </w:tcBorders>
            <w:shd w:val="clear" w:color="auto" w:fill="auto"/>
            <w:vAlign w:val="center"/>
            <w:hideMark/>
          </w:tcPr>
          <w:p w14:paraId="2CD7212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is the project demonstrating value for money with outputs being delivered on time and at expected cost? </w:t>
            </w:r>
          </w:p>
        </w:tc>
        <w:tc>
          <w:tcPr>
            <w:tcW w:w="576" w:type="pct"/>
            <w:tcBorders>
              <w:top w:val="nil"/>
              <w:left w:val="nil"/>
              <w:bottom w:val="single" w:sz="4" w:space="0" w:color="auto"/>
              <w:right w:val="single" w:sz="4" w:space="0" w:color="auto"/>
            </w:tcBorders>
            <w:shd w:val="clear" w:color="auto" w:fill="auto"/>
            <w:vAlign w:val="center"/>
            <w:hideMark/>
          </w:tcPr>
          <w:p w14:paraId="541EEA2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that planned products and outputs necessary to advance the theory of change are being delivered in a timely and cost efficient manner</w:t>
            </w:r>
          </w:p>
        </w:tc>
        <w:tc>
          <w:tcPr>
            <w:tcW w:w="523" w:type="pct"/>
            <w:tcBorders>
              <w:top w:val="nil"/>
              <w:left w:val="nil"/>
              <w:bottom w:val="single" w:sz="4" w:space="0" w:color="auto"/>
              <w:right w:val="single" w:sz="4" w:space="0" w:color="auto"/>
            </w:tcBorders>
            <w:shd w:val="clear" w:color="000000" w:fill="FFFFFF"/>
            <w:vAlign w:val="center"/>
            <w:hideMark/>
          </w:tcPr>
          <w:p w14:paraId="410A6523"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of planned activities/products per output completed on time</w:t>
            </w:r>
            <w:r w:rsidRPr="00B6462D">
              <w:rPr>
                <w:rFonts w:ascii="Calibri" w:hAnsi="Calibri" w:cs="Calibri"/>
                <w:color w:val="000000"/>
                <w:szCs w:val="22"/>
                <w:lang w:val="en-US"/>
              </w:rPr>
              <w:br/>
              <w:t>*% variance between activity projected costs against actual costs</w:t>
            </w:r>
          </w:p>
        </w:tc>
        <w:tc>
          <w:tcPr>
            <w:tcW w:w="600" w:type="pct"/>
            <w:tcBorders>
              <w:top w:val="nil"/>
              <w:left w:val="nil"/>
              <w:bottom w:val="single" w:sz="4" w:space="0" w:color="auto"/>
              <w:right w:val="single" w:sz="4" w:space="0" w:color="auto"/>
            </w:tcBorders>
            <w:shd w:val="clear" w:color="000000" w:fill="FFFFFF"/>
            <w:vAlign w:val="center"/>
            <w:hideMark/>
          </w:tcPr>
          <w:p w14:paraId="46D6D0AC" w14:textId="7E715016"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*Less than 20% of planned activities / products </w:t>
            </w:r>
            <w:r w:rsidR="001B49E9" w:rsidRPr="00B6462D">
              <w:rPr>
                <w:rFonts w:ascii="Calibri" w:hAnsi="Calibri" w:cs="Calibri"/>
                <w:color w:val="000000"/>
                <w:szCs w:val="22"/>
                <w:lang w:val="en-US"/>
              </w:rPr>
              <w:t>originally</w:t>
            </w:r>
            <w:r w:rsidRPr="00B6462D">
              <w:rPr>
                <w:rFonts w:ascii="Calibri" w:hAnsi="Calibri" w:cs="Calibri"/>
                <w:color w:val="000000"/>
                <w:szCs w:val="22"/>
                <w:lang w:val="en-US"/>
              </w:rPr>
              <w:t xml:space="preserve"> planned are complete as of 4/2019</w:t>
            </w:r>
            <w:r w:rsidRPr="00B6462D">
              <w:rPr>
                <w:rFonts w:ascii="Calibri" w:hAnsi="Calibri" w:cs="Calibri"/>
                <w:color w:val="000000"/>
                <w:szCs w:val="22"/>
                <w:lang w:val="en-US"/>
              </w:rPr>
              <w:br/>
              <w:t>*Costs have been well managed and variances documented for PB</w:t>
            </w:r>
          </w:p>
        </w:tc>
        <w:tc>
          <w:tcPr>
            <w:tcW w:w="477" w:type="pct"/>
            <w:tcBorders>
              <w:top w:val="nil"/>
              <w:left w:val="nil"/>
              <w:bottom w:val="single" w:sz="4" w:space="0" w:color="auto"/>
              <w:right w:val="single" w:sz="4" w:space="0" w:color="auto"/>
            </w:tcBorders>
            <w:shd w:val="clear" w:color="000000" w:fill="FFFFFF"/>
            <w:vAlign w:val="center"/>
            <w:hideMark/>
          </w:tcPr>
          <w:p w14:paraId="3A1031F9"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*FA2J reports </w:t>
            </w:r>
            <w:r w:rsidRPr="00B6462D">
              <w:rPr>
                <w:rFonts w:ascii="Calibri" w:hAnsi="Calibri" w:cs="Calibri"/>
                <w:color w:val="000000"/>
                <w:szCs w:val="22"/>
                <w:lang w:val="en-US"/>
              </w:rPr>
              <w:br/>
              <w:t>*FA2J budget documents and reports</w:t>
            </w:r>
          </w:p>
        </w:tc>
        <w:tc>
          <w:tcPr>
            <w:tcW w:w="606" w:type="pct"/>
            <w:tcBorders>
              <w:top w:val="nil"/>
              <w:left w:val="nil"/>
              <w:bottom w:val="single" w:sz="4" w:space="0" w:color="auto"/>
              <w:right w:val="single" w:sz="4" w:space="0" w:color="auto"/>
            </w:tcBorders>
            <w:shd w:val="clear" w:color="000000" w:fill="FFFFFF"/>
            <w:vAlign w:val="center"/>
            <w:hideMark/>
          </w:tcPr>
          <w:p w14:paraId="1A59EEF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*In light of low completion rate against original targets, the time variance dimension was not reviewed in detail</w:t>
            </w:r>
          </w:p>
        </w:tc>
      </w:tr>
      <w:tr w:rsidR="00B6462D" w:rsidRPr="00B6462D" w14:paraId="2B7DEA0C" w14:textId="77777777" w:rsidTr="001B49E9">
        <w:trPr>
          <w:trHeight w:val="1500"/>
        </w:trPr>
        <w:tc>
          <w:tcPr>
            <w:tcW w:w="541" w:type="pct"/>
            <w:vMerge/>
            <w:tcBorders>
              <w:top w:val="nil"/>
              <w:left w:val="single" w:sz="4" w:space="0" w:color="auto"/>
              <w:bottom w:val="single" w:sz="4" w:space="0" w:color="000000"/>
              <w:right w:val="single" w:sz="4" w:space="0" w:color="auto"/>
            </w:tcBorders>
            <w:vAlign w:val="center"/>
            <w:hideMark/>
          </w:tcPr>
          <w:p w14:paraId="1F36E9AF"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18AFA995"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260965CA"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5192B3C0"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D. </w:t>
            </w:r>
          </w:p>
        </w:tc>
        <w:tc>
          <w:tcPr>
            <w:tcW w:w="690" w:type="pct"/>
            <w:tcBorders>
              <w:top w:val="nil"/>
              <w:left w:val="nil"/>
              <w:bottom w:val="single" w:sz="4" w:space="0" w:color="auto"/>
              <w:right w:val="single" w:sz="4" w:space="0" w:color="auto"/>
            </w:tcBorders>
            <w:shd w:val="clear" w:color="auto" w:fill="auto"/>
            <w:vAlign w:val="center"/>
            <w:hideMark/>
          </w:tcPr>
          <w:p w14:paraId="04069D8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Are there more efficient ways to deliver the same outputs and realize the same outcomes? </w:t>
            </w:r>
          </w:p>
        </w:tc>
        <w:tc>
          <w:tcPr>
            <w:tcW w:w="576" w:type="pct"/>
            <w:tcBorders>
              <w:top w:val="nil"/>
              <w:left w:val="nil"/>
              <w:bottom w:val="single" w:sz="4" w:space="0" w:color="auto"/>
              <w:right w:val="single" w:sz="4" w:space="0" w:color="auto"/>
            </w:tcBorders>
            <w:shd w:val="clear" w:color="auto" w:fill="auto"/>
            <w:vAlign w:val="center"/>
            <w:hideMark/>
          </w:tcPr>
          <w:p w14:paraId="0CD5F02E"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*Identified alternative partners or modalities for activity implementation </w:t>
            </w:r>
          </w:p>
        </w:tc>
        <w:tc>
          <w:tcPr>
            <w:tcW w:w="523" w:type="pct"/>
            <w:tcBorders>
              <w:top w:val="nil"/>
              <w:left w:val="nil"/>
              <w:bottom w:val="single" w:sz="4" w:space="0" w:color="auto"/>
              <w:right w:val="single" w:sz="4" w:space="0" w:color="auto"/>
            </w:tcBorders>
            <w:shd w:val="clear" w:color="auto" w:fill="auto"/>
            <w:vAlign w:val="center"/>
            <w:hideMark/>
          </w:tcPr>
          <w:p w14:paraId="066BC7A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alternative partners or modalities identified for implementation</w:t>
            </w:r>
            <w:r w:rsidRPr="00B6462D">
              <w:rPr>
                <w:rFonts w:ascii="Calibri" w:hAnsi="Calibri" w:cs="Calibri"/>
                <w:color w:val="000000"/>
                <w:szCs w:val="22"/>
                <w:lang w:val="en-US"/>
              </w:rPr>
              <w:br w:type="page"/>
              <w:t>*# considered by project management / board</w:t>
            </w:r>
          </w:p>
        </w:tc>
        <w:tc>
          <w:tcPr>
            <w:tcW w:w="600" w:type="pct"/>
            <w:tcBorders>
              <w:top w:val="nil"/>
              <w:left w:val="nil"/>
              <w:bottom w:val="single" w:sz="4" w:space="0" w:color="auto"/>
              <w:right w:val="single" w:sz="4" w:space="0" w:color="auto"/>
            </w:tcBorders>
            <w:shd w:val="clear" w:color="auto" w:fill="auto"/>
            <w:vAlign w:val="center"/>
            <w:hideMark/>
          </w:tcPr>
          <w:p w14:paraId="6FD78C03"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1 alternative modality, a Letter of Agreement for large scale procurement, was identified for a complex product</w:t>
            </w:r>
          </w:p>
        </w:tc>
        <w:tc>
          <w:tcPr>
            <w:tcW w:w="477" w:type="pct"/>
            <w:tcBorders>
              <w:top w:val="nil"/>
              <w:left w:val="nil"/>
              <w:bottom w:val="single" w:sz="4" w:space="0" w:color="auto"/>
              <w:right w:val="single" w:sz="4" w:space="0" w:color="auto"/>
            </w:tcBorders>
            <w:shd w:val="clear" w:color="auto" w:fill="auto"/>
            <w:vAlign w:val="center"/>
            <w:hideMark/>
          </w:tcPr>
          <w:p w14:paraId="3B23455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*FA2J reports</w:t>
            </w:r>
            <w:r w:rsidRPr="00B6462D">
              <w:rPr>
                <w:rFonts w:ascii="Calibri" w:hAnsi="Calibri" w:cs="Calibri"/>
                <w:color w:val="000000"/>
                <w:szCs w:val="22"/>
                <w:lang w:val="en-US"/>
              </w:rPr>
              <w:br w:type="page"/>
              <w:t>*Project board meeting reports</w:t>
            </w:r>
            <w:r w:rsidRPr="00B6462D">
              <w:rPr>
                <w:rFonts w:ascii="Calibri" w:hAnsi="Calibri" w:cs="Calibri"/>
                <w:color w:val="000000"/>
                <w:szCs w:val="22"/>
                <w:lang w:val="en-US"/>
              </w:rPr>
              <w:br w:type="page"/>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5327734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*The focus on procurement issues at the activity level has limited attention to exploration for higher level (output and outcome) alternative modalities</w:t>
            </w:r>
          </w:p>
        </w:tc>
      </w:tr>
      <w:tr w:rsidR="00B6462D" w:rsidRPr="00B6462D" w14:paraId="6F3F2CB2" w14:textId="77777777" w:rsidTr="001B49E9">
        <w:trPr>
          <w:trHeight w:val="1800"/>
        </w:trPr>
        <w:tc>
          <w:tcPr>
            <w:tcW w:w="541" w:type="pct"/>
            <w:vMerge/>
            <w:tcBorders>
              <w:top w:val="nil"/>
              <w:left w:val="single" w:sz="4" w:space="0" w:color="auto"/>
              <w:bottom w:val="single" w:sz="4" w:space="0" w:color="000000"/>
              <w:right w:val="single" w:sz="4" w:space="0" w:color="auto"/>
            </w:tcBorders>
            <w:vAlign w:val="center"/>
            <w:hideMark/>
          </w:tcPr>
          <w:p w14:paraId="188888E2"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48F7F442"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6B625D9E"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37AE67D7"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E. </w:t>
            </w:r>
          </w:p>
        </w:tc>
        <w:tc>
          <w:tcPr>
            <w:tcW w:w="690" w:type="pct"/>
            <w:tcBorders>
              <w:top w:val="nil"/>
              <w:left w:val="nil"/>
              <w:bottom w:val="single" w:sz="4" w:space="0" w:color="auto"/>
              <w:right w:val="single" w:sz="4" w:space="0" w:color="auto"/>
            </w:tcBorders>
            <w:shd w:val="clear" w:color="auto" w:fill="auto"/>
            <w:vAlign w:val="center"/>
            <w:hideMark/>
          </w:tcPr>
          <w:p w14:paraId="38D27D3F" w14:textId="281844DA"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is the M&amp;E system fit for purpose to track and </w:t>
            </w:r>
            <w:r w:rsidR="001B49E9" w:rsidRPr="00B6462D">
              <w:rPr>
                <w:rFonts w:ascii="Calibri" w:hAnsi="Calibri" w:cs="Calibri"/>
                <w:color w:val="000000"/>
                <w:szCs w:val="22"/>
                <w:lang w:val="en-US"/>
              </w:rPr>
              <w:t>analyze</w:t>
            </w:r>
            <w:r w:rsidRPr="00B6462D">
              <w:rPr>
                <w:rFonts w:ascii="Calibri" w:hAnsi="Calibri" w:cs="Calibri"/>
                <w:color w:val="000000"/>
                <w:szCs w:val="22"/>
                <w:lang w:val="en-US"/>
              </w:rPr>
              <w:t xml:space="preserve"> meaningful data at all levels of the results chain from activities to outcome to impact? </w:t>
            </w:r>
          </w:p>
        </w:tc>
        <w:tc>
          <w:tcPr>
            <w:tcW w:w="576" w:type="pct"/>
            <w:tcBorders>
              <w:top w:val="nil"/>
              <w:left w:val="nil"/>
              <w:bottom w:val="single" w:sz="4" w:space="0" w:color="auto"/>
              <w:right w:val="single" w:sz="4" w:space="0" w:color="auto"/>
            </w:tcBorders>
            <w:shd w:val="clear" w:color="auto" w:fill="auto"/>
            <w:vAlign w:val="center"/>
            <w:hideMark/>
          </w:tcPr>
          <w:p w14:paraId="7E1BA11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that M&amp;E systems are / are not informing relevant decision making processes</w:t>
            </w:r>
            <w:r w:rsidRPr="00B6462D">
              <w:rPr>
                <w:rFonts w:ascii="Calibri" w:hAnsi="Calibri" w:cs="Calibri"/>
                <w:color w:val="000000"/>
                <w:szCs w:val="22"/>
                <w:lang w:val="en-US"/>
              </w:rPr>
              <w:br/>
              <w:t xml:space="preserve">*Evidence that M&amp;E systems are / are not capturing relevant information at activity / output / outcome levels </w:t>
            </w:r>
          </w:p>
        </w:tc>
        <w:tc>
          <w:tcPr>
            <w:tcW w:w="523" w:type="pct"/>
            <w:tcBorders>
              <w:top w:val="nil"/>
              <w:left w:val="nil"/>
              <w:bottom w:val="single" w:sz="4" w:space="0" w:color="auto"/>
              <w:right w:val="single" w:sz="4" w:space="0" w:color="auto"/>
            </w:tcBorders>
            <w:shd w:val="clear" w:color="auto" w:fill="auto"/>
            <w:vAlign w:val="center"/>
            <w:hideMark/>
          </w:tcPr>
          <w:p w14:paraId="04FEF873"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M&amp;E products reviewed and acted on by governance systems</w:t>
            </w:r>
          </w:p>
        </w:tc>
        <w:tc>
          <w:tcPr>
            <w:tcW w:w="600" w:type="pct"/>
            <w:tcBorders>
              <w:top w:val="nil"/>
              <w:left w:val="nil"/>
              <w:bottom w:val="single" w:sz="4" w:space="0" w:color="auto"/>
              <w:right w:val="single" w:sz="4" w:space="0" w:color="auto"/>
            </w:tcBorders>
            <w:shd w:val="clear" w:color="auto" w:fill="auto"/>
            <w:vAlign w:val="center"/>
            <w:hideMark/>
          </w:tcPr>
          <w:p w14:paraId="448DFD3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*M&amp;E systems are not informing refinement of programming</w:t>
            </w:r>
            <w:r w:rsidRPr="00B6462D">
              <w:rPr>
                <w:rFonts w:ascii="Calibri" w:hAnsi="Calibri" w:cs="Calibri"/>
                <w:color w:val="000000"/>
                <w:szCs w:val="22"/>
                <w:lang w:val="en-US"/>
              </w:rPr>
              <w:br/>
              <w:t>*M&amp;E systems are not informing partner strategic planning</w:t>
            </w:r>
          </w:p>
        </w:tc>
        <w:tc>
          <w:tcPr>
            <w:tcW w:w="477" w:type="pct"/>
            <w:tcBorders>
              <w:top w:val="nil"/>
              <w:left w:val="nil"/>
              <w:bottom w:val="single" w:sz="4" w:space="0" w:color="auto"/>
              <w:right w:val="single" w:sz="4" w:space="0" w:color="auto"/>
            </w:tcBorders>
            <w:shd w:val="clear" w:color="auto" w:fill="auto"/>
            <w:vAlign w:val="center"/>
            <w:hideMark/>
          </w:tcPr>
          <w:p w14:paraId="1637EB9E"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*FA2J reports</w:t>
            </w:r>
            <w:r w:rsidRPr="00B6462D">
              <w:rPr>
                <w:rFonts w:ascii="Calibri" w:hAnsi="Calibri" w:cs="Calibri"/>
                <w:color w:val="000000"/>
                <w:szCs w:val="22"/>
                <w:lang w:val="en-US"/>
              </w:rPr>
              <w:br/>
              <w:t>*Project board meeting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7A56CE8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*The M&amp;E frameworks remain relevant, however appear </w:t>
            </w:r>
            <w:proofErr w:type="spellStart"/>
            <w:r w:rsidRPr="00B6462D">
              <w:rPr>
                <w:rFonts w:ascii="Calibri" w:hAnsi="Calibri" w:cs="Calibri"/>
                <w:color w:val="000000"/>
                <w:szCs w:val="22"/>
                <w:lang w:val="en-US"/>
              </w:rPr>
              <w:t>underutlized</w:t>
            </w:r>
            <w:proofErr w:type="spellEnd"/>
            <w:r w:rsidRPr="00B6462D">
              <w:rPr>
                <w:rFonts w:ascii="Calibri" w:hAnsi="Calibri" w:cs="Calibri"/>
                <w:color w:val="000000"/>
                <w:szCs w:val="22"/>
                <w:lang w:val="en-US"/>
              </w:rPr>
              <w:t xml:space="preserve"> in informing PB decision making; there have not been any approved revisions to the M&amp;E framework during the review period</w:t>
            </w:r>
          </w:p>
        </w:tc>
      </w:tr>
      <w:tr w:rsidR="00B6462D" w:rsidRPr="00B6462D" w14:paraId="18CB1A53" w14:textId="77777777" w:rsidTr="001B49E9">
        <w:trPr>
          <w:trHeight w:val="2100"/>
        </w:trPr>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65A2A677" w14:textId="77777777" w:rsidR="00B6462D" w:rsidRPr="00B6462D" w:rsidRDefault="00B6462D" w:rsidP="00B6462D">
            <w:pPr>
              <w:jc w:val="center"/>
              <w:rPr>
                <w:rFonts w:ascii="Calibri" w:hAnsi="Calibri" w:cs="Calibri"/>
                <w:b/>
                <w:bCs/>
                <w:color w:val="000000"/>
                <w:szCs w:val="22"/>
                <w:lang w:val="en-US"/>
              </w:rPr>
            </w:pPr>
            <w:r w:rsidRPr="00B6462D">
              <w:rPr>
                <w:rFonts w:ascii="Calibri" w:hAnsi="Calibri" w:cs="Calibri"/>
                <w:b/>
                <w:bCs/>
                <w:color w:val="000000"/>
                <w:szCs w:val="22"/>
                <w:lang w:val="en-US"/>
              </w:rPr>
              <w:lastRenderedPageBreak/>
              <w:t>Sustainability</w:t>
            </w:r>
          </w:p>
        </w:tc>
        <w:tc>
          <w:tcPr>
            <w:tcW w:w="159" w:type="pct"/>
            <w:vMerge w:val="restart"/>
            <w:tcBorders>
              <w:top w:val="nil"/>
              <w:left w:val="single" w:sz="4" w:space="0" w:color="auto"/>
              <w:bottom w:val="single" w:sz="4" w:space="0" w:color="000000"/>
              <w:right w:val="single" w:sz="4" w:space="0" w:color="auto"/>
            </w:tcBorders>
            <w:shd w:val="clear" w:color="auto" w:fill="auto"/>
            <w:vAlign w:val="center"/>
            <w:hideMark/>
          </w:tcPr>
          <w:p w14:paraId="2BD92289"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4.</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440EAC8C"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are project results likely to be sustainable? </w:t>
            </w:r>
          </w:p>
        </w:tc>
        <w:tc>
          <w:tcPr>
            <w:tcW w:w="154" w:type="pct"/>
            <w:tcBorders>
              <w:top w:val="nil"/>
              <w:left w:val="nil"/>
              <w:bottom w:val="single" w:sz="4" w:space="0" w:color="auto"/>
              <w:right w:val="single" w:sz="4" w:space="0" w:color="auto"/>
            </w:tcBorders>
            <w:shd w:val="clear" w:color="auto" w:fill="auto"/>
            <w:vAlign w:val="center"/>
            <w:hideMark/>
          </w:tcPr>
          <w:p w14:paraId="01FE5B58"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A. </w:t>
            </w:r>
          </w:p>
        </w:tc>
        <w:tc>
          <w:tcPr>
            <w:tcW w:w="690" w:type="pct"/>
            <w:tcBorders>
              <w:top w:val="nil"/>
              <w:left w:val="nil"/>
              <w:bottom w:val="single" w:sz="4" w:space="0" w:color="auto"/>
              <w:right w:val="single" w:sz="4" w:space="0" w:color="auto"/>
            </w:tcBorders>
            <w:shd w:val="clear" w:color="auto" w:fill="auto"/>
            <w:vAlign w:val="center"/>
            <w:hideMark/>
          </w:tcPr>
          <w:p w14:paraId="1602E25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What indications are there that the project results will be or have been sustained, e.g. through requisite capacities (systems, structures, staff, etc.)? </w:t>
            </w:r>
          </w:p>
        </w:tc>
        <w:tc>
          <w:tcPr>
            <w:tcW w:w="576" w:type="pct"/>
            <w:tcBorders>
              <w:top w:val="nil"/>
              <w:left w:val="nil"/>
              <w:bottom w:val="single" w:sz="4" w:space="0" w:color="auto"/>
              <w:right w:val="single" w:sz="4" w:space="0" w:color="auto"/>
            </w:tcBorders>
            <w:shd w:val="clear" w:color="auto" w:fill="auto"/>
            <w:vAlign w:val="center"/>
            <w:hideMark/>
          </w:tcPr>
          <w:p w14:paraId="07B1CCE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that support to key partners (LAC and JD) is being integrated into internal systems and processes</w:t>
            </w:r>
            <w:r w:rsidRPr="00B6462D">
              <w:rPr>
                <w:rFonts w:ascii="Calibri" w:hAnsi="Calibri" w:cs="Calibri"/>
                <w:color w:val="000000"/>
                <w:szCs w:val="22"/>
                <w:lang w:val="en-US"/>
              </w:rPr>
              <w:br/>
              <w:t>*Evidence that accompaniment services to target populations (vulnerable and poor) are being integrated into CSO systems (or external support mechanisms)</w:t>
            </w:r>
          </w:p>
        </w:tc>
        <w:tc>
          <w:tcPr>
            <w:tcW w:w="523" w:type="pct"/>
            <w:tcBorders>
              <w:top w:val="nil"/>
              <w:left w:val="nil"/>
              <w:bottom w:val="single" w:sz="4" w:space="0" w:color="auto"/>
              <w:right w:val="single" w:sz="4" w:space="0" w:color="auto"/>
            </w:tcBorders>
            <w:shd w:val="clear" w:color="auto" w:fill="auto"/>
            <w:vAlign w:val="center"/>
            <w:hideMark/>
          </w:tcPr>
          <w:p w14:paraId="4B0E3AE4" w14:textId="26A5CC0F"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of products in relevant outputs integrated into LAC/JD internal policies and procedures</w:t>
            </w:r>
            <w:r w:rsidRPr="00B6462D">
              <w:rPr>
                <w:rFonts w:ascii="Calibri" w:hAnsi="Calibri" w:cs="Calibri"/>
                <w:color w:val="000000"/>
                <w:szCs w:val="22"/>
                <w:lang w:val="en-US"/>
              </w:rPr>
              <w:br/>
              <w:t>*# of CSOs sup</w:t>
            </w:r>
            <w:r w:rsidR="001B49E9">
              <w:rPr>
                <w:rFonts w:ascii="Calibri" w:hAnsi="Calibri" w:cs="Calibri"/>
                <w:color w:val="000000"/>
                <w:szCs w:val="22"/>
                <w:lang w:val="en-US"/>
              </w:rPr>
              <w:t>p</w:t>
            </w:r>
            <w:r w:rsidRPr="00B6462D">
              <w:rPr>
                <w:rFonts w:ascii="Calibri" w:hAnsi="Calibri" w:cs="Calibri"/>
                <w:color w:val="000000"/>
                <w:szCs w:val="22"/>
                <w:lang w:val="en-US"/>
              </w:rPr>
              <w:t>orted through FA2J that have developed internal frameworks to support accompaniment services</w:t>
            </w:r>
          </w:p>
        </w:tc>
        <w:tc>
          <w:tcPr>
            <w:tcW w:w="600" w:type="pct"/>
            <w:tcBorders>
              <w:top w:val="nil"/>
              <w:left w:val="nil"/>
              <w:bottom w:val="single" w:sz="4" w:space="0" w:color="auto"/>
              <w:right w:val="single" w:sz="4" w:space="0" w:color="auto"/>
            </w:tcBorders>
            <w:shd w:val="clear" w:color="auto" w:fill="auto"/>
            <w:vAlign w:val="center"/>
            <w:hideMark/>
          </w:tcPr>
          <w:p w14:paraId="7BF62487" w14:textId="10954AA2"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*Draft LAC strategic plan has been used in partner management cycle</w:t>
            </w:r>
            <w:r w:rsidRPr="00B6462D">
              <w:rPr>
                <w:rFonts w:ascii="Calibri" w:hAnsi="Calibri" w:cs="Calibri"/>
                <w:color w:val="000000"/>
                <w:szCs w:val="22"/>
                <w:lang w:val="en-US"/>
              </w:rPr>
              <w:br/>
              <w:t xml:space="preserve">*No CSO partners engaged in accompaniment services at time of </w:t>
            </w:r>
            <w:r w:rsidR="00111B37">
              <w:rPr>
                <w:rFonts w:ascii="Calibri" w:hAnsi="Calibri" w:cs="Calibri"/>
                <w:color w:val="000000"/>
                <w:szCs w:val="22"/>
                <w:lang w:val="en-US"/>
              </w:rPr>
              <w:t>MTE</w:t>
            </w:r>
            <w:r w:rsidRPr="00B6462D">
              <w:rPr>
                <w:rFonts w:ascii="Calibri" w:hAnsi="Calibri" w:cs="Calibri"/>
                <w:color w:val="000000"/>
                <w:szCs w:val="22"/>
                <w:lang w:val="en-US"/>
              </w:rPr>
              <w:t xml:space="preserve"> (grants issued, but interviews suggest CSO focus on research and outreach)</w:t>
            </w:r>
          </w:p>
        </w:tc>
        <w:tc>
          <w:tcPr>
            <w:tcW w:w="477" w:type="pct"/>
            <w:tcBorders>
              <w:top w:val="nil"/>
              <w:left w:val="nil"/>
              <w:bottom w:val="single" w:sz="4" w:space="0" w:color="auto"/>
              <w:right w:val="single" w:sz="4" w:space="0" w:color="auto"/>
            </w:tcBorders>
            <w:shd w:val="clear" w:color="auto" w:fill="auto"/>
            <w:vAlign w:val="center"/>
            <w:hideMark/>
          </w:tcPr>
          <w:p w14:paraId="2CE437D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4A401DFC"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*The anticipation of baseline research may have delayed the creation of functional working groups with partners that can internalize products</w:t>
            </w:r>
          </w:p>
        </w:tc>
      </w:tr>
      <w:tr w:rsidR="00B6462D" w:rsidRPr="00B6462D" w14:paraId="412EFC36" w14:textId="77777777" w:rsidTr="001B49E9">
        <w:trPr>
          <w:trHeight w:val="2100"/>
        </w:trPr>
        <w:tc>
          <w:tcPr>
            <w:tcW w:w="541" w:type="pct"/>
            <w:vMerge/>
            <w:tcBorders>
              <w:top w:val="nil"/>
              <w:left w:val="single" w:sz="4" w:space="0" w:color="auto"/>
              <w:bottom w:val="single" w:sz="4" w:space="0" w:color="000000"/>
              <w:right w:val="single" w:sz="4" w:space="0" w:color="auto"/>
            </w:tcBorders>
            <w:vAlign w:val="center"/>
            <w:hideMark/>
          </w:tcPr>
          <w:p w14:paraId="42BDAA75"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01412F36"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3CBCE2E4"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3559081E"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B. </w:t>
            </w:r>
          </w:p>
        </w:tc>
        <w:tc>
          <w:tcPr>
            <w:tcW w:w="690" w:type="pct"/>
            <w:tcBorders>
              <w:top w:val="nil"/>
              <w:left w:val="nil"/>
              <w:bottom w:val="single" w:sz="4" w:space="0" w:color="auto"/>
              <w:right w:val="single" w:sz="4" w:space="0" w:color="auto"/>
            </w:tcBorders>
            <w:shd w:val="clear" w:color="auto" w:fill="auto"/>
            <w:vAlign w:val="center"/>
            <w:hideMark/>
          </w:tcPr>
          <w:p w14:paraId="33992A2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are policy and regulatory frameworks in place that will support the continuation of benefits? </w:t>
            </w:r>
          </w:p>
        </w:tc>
        <w:tc>
          <w:tcPr>
            <w:tcW w:w="576" w:type="pct"/>
            <w:tcBorders>
              <w:top w:val="nil"/>
              <w:left w:val="nil"/>
              <w:bottom w:val="single" w:sz="4" w:space="0" w:color="auto"/>
              <w:right w:val="single" w:sz="4" w:space="0" w:color="auto"/>
            </w:tcBorders>
            <w:shd w:val="clear" w:color="auto" w:fill="auto"/>
            <w:vAlign w:val="center"/>
            <w:hideMark/>
          </w:tcPr>
          <w:p w14:paraId="15F42B43" w14:textId="591583C9"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*Evidence that Government of Fiji or key partner policy and regulatory frameworks support independent engagement in </w:t>
            </w:r>
            <w:r w:rsidR="00232F50" w:rsidRPr="00B6462D">
              <w:rPr>
                <w:rFonts w:ascii="Calibri" w:hAnsi="Calibri" w:cs="Calibri"/>
                <w:color w:val="000000"/>
                <w:szCs w:val="22"/>
                <w:lang w:val="en-US"/>
              </w:rPr>
              <w:t>providing</w:t>
            </w:r>
            <w:r w:rsidRPr="00B6462D">
              <w:rPr>
                <w:rFonts w:ascii="Calibri" w:hAnsi="Calibri" w:cs="Calibri"/>
                <w:color w:val="000000"/>
                <w:szCs w:val="22"/>
                <w:lang w:val="en-US"/>
              </w:rPr>
              <w:t xml:space="preserve"> A2J services to target populations</w:t>
            </w:r>
          </w:p>
        </w:tc>
        <w:tc>
          <w:tcPr>
            <w:tcW w:w="523" w:type="pct"/>
            <w:tcBorders>
              <w:top w:val="nil"/>
              <w:left w:val="nil"/>
              <w:bottom w:val="single" w:sz="4" w:space="0" w:color="auto"/>
              <w:right w:val="single" w:sz="4" w:space="0" w:color="auto"/>
            </w:tcBorders>
            <w:shd w:val="clear" w:color="auto" w:fill="auto"/>
            <w:vAlign w:val="center"/>
            <w:hideMark/>
          </w:tcPr>
          <w:p w14:paraId="532C692E"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National policies supporting A2J services to target populations</w:t>
            </w:r>
            <w:r w:rsidRPr="00B6462D">
              <w:rPr>
                <w:rFonts w:ascii="Calibri" w:hAnsi="Calibri" w:cs="Calibri"/>
                <w:color w:val="000000"/>
                <w:szCs w:val="22"/>
                <w:lang w:val="en-US"/>
              </w:rPr>
              <w:br/>
              <w:t xml:space="preserve">*# endorsed key government partner strategic plans that support A2J </w:t>
            </w:r>
            <w:r w:rsidRPr="00B6462D">
              <w:rPr>
                <w:rFonts w:ascii="Calibri" w:hAnsi="Calibri" w:cs="Calibri"/>
                <w:color w:val="000000"/>
                <w:szCs w:val="22"/>
                <w:lang w:val="en-US"/>
              </w:rPr>
              <w:lastRenderedPageBreak/>
              <w:t xml:space="preserve">service delivery to target populations </w:t>
            </w:r>
          </w:p>
        </w:tc>
        <w:tc>
          <w:tcPr>
            <w:tcW w:w="600" w:type="pct"/>
            <w:tcBorders>
              <w:top w:val="nil"/>
              <w:left w:val="nil"/>
              <w:bottom w:val="single" w:sz="4" w:space="0" w:color="auto"/>
              <w:right w:val="single" w:sz="4" w:space="0" w:color="auto"/>
            </w:tcBorders>
            <w:shd w:val="clear" w:color="auto" w:fill="auto"/>
            <w:vAlign w:val="center"/>
            <w:hideMark/>
          </w:tcPr>
          <w:p w14:paraId="69CBDA4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 Fiji National Development Policy supportive of A2J and duty bearers and rights holders (FDPF) report consistent support from government</w:t>
            </w:r>
            <w:r w:rsidRPr="00B6462D">
              <w:rPr>
                <w:rFonts w:ascii="Calibri" w:hAnsi="Calibri" w:cs="Calibri"/>
                <w:color w:val="000000"/>
                <w:szCs w:val="22"/>
                <w:lang w:val="en-US"/>
              </w:rPr>
              <w:br/>
              <w:t xml:space="preserve">* Partner strategic plans </w:t>
            </w:r>
            <w:r w:rsidRPr="00B6462D">
              <w:rPr>
                <w:rFonts w:ascii="Calibri" w:hAnsi="Calibri" w:cs="Calibri"/>
                <w:color w:val="000000"/>
                <w:szCs w:val="22"/>
                <w:lang w:val="en-US"/>
              </w:rPr>
              <w:lastRenderedPageBreak/>
              <w:t>not endorsed as of 4/2019</w:t>
            </w:r>
          </w:p>
        </w:tc>
        <w:tc>
          <w:tcPr>
            <w:tcW w:w="477" w:type="pct"/>
            <w:tcBorders>
              <w:top w:val="nil"/>
              <w:left w:val="nil"/>
              <w:bottom w:val="single" w:sz="4" w:space="0" w:color="auto"/>
              <w:right w:val="single" w:sz="4" w:space="0" w:color="auto"/>
            </w:tcBorders>
            <w:shd w:val="clear" w:color="auto" w:fill="auto"/>
            <w:vAlign w:val="center"/>
            <w:hideMark/>
          </w:tcPr>
          <w:p w14:paraId="4C80F9EE"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*National Development Plan</w:t>
            </w:r>
            <w:r w:rsidRPr="00B6462D">
              <w:rPr>
                <w:rFonts w:ascii="Calibri" w:hAnsi="Calibri" w:cs="Calibri"/>
                <w:color w:val="000000"/>
                <w:szCs w:val="22"/>
                <w:lang w:val="en-US"/>
              </w:rPr>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0B010524" w14:textId="50BA401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 The development of a strategic plan was noted as very useful by the LAC, however neither the LAC nor JD have endorsed 5 Year strategic plans as of 4/2019. FA2J support to a </w:t>
            </w:r>
            <w:r w:rsidRPr="00B6462D">
              <w:rPr>
                <w:rFonts w:ascii="Calibri" w:hAnsi="Calibri" w:cs="Calibri"/>
                <w:color w:val="000000"/>
                <w:szCs w:val="22"/>
                <w:lang w:val="en-US"/>
              </w:rPr>
              <w:lastRenderedPageBreak/>
              <w:t xml:space="preserve">healthy strategic planning/budgeting cycle within partners is </w:t>
            </w:r>
            <w:r w:rsidR="00232F50" w:rsidRPr="00B6462D">
              <w:rPr>
                <w:rFonts w:ascii="Calibri" w:hAnsi="Calibri" w:cs="Calibri"/>
                <w:color w:val="000000"/>
                <w:szCs w:val="22"/>
                <w:lang w:val="en-US"/>
              </w:rPr>
              <w:t>therefore</w:t>
            </w:r>
            <w:r w:rsidRPr="00B6462D">
              <w:rPr>
                <w:rFonts w:ascii="Calibri" w:hAnsi="Calibri" w:cs="Calibri"/>
                <w:color w:val="000000"/>
                <w:szCs w:val="22"/>
                <w:lang w:val="en-US"/>
              </w:rPr>
              <w:t xml:space="preserve"> not demonstrated</w:t>
            </w:r>
          </w:p>
        </w:tc>
      </w:tr>
      <w:tr w:rsidR="00B6462D" w:rsidRPr="00B6462D" w14:paraId="0F4D43CD" w14:textId="77777777" w:rsidTr="001B49E9">
        <w:trPr>
          <w:trHeight w:val="1500"/>
        </w:trPr>
        <w:tc>
          <w:tcPr>
            <w:tcW w:w="541" w:type="pct"/>
            <w:vMerge/>
            <w:tcBorders>
              <w:top w:val="nil"/>
              <w:left w:val="single" w:sz="4" w:space="0" w:color="auto"/>
              <w:bottom w:val="single" w:sz="4" w:space="0" w:color="000000"/>
              <w:right w:val="single" w:sz="4" w:space="0" w:color="auto"/>
            </w:tcBorders>
            <w:vAlign w:val="center"/>
            <w:hideMark/>
          </w:tcPr>
          <w:p w14:paraId="428E7E0E"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6F86C223"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1FD2BDDD"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72CA9894"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C. </w:t>
            </w:r>
          </w:p>
        </w:tc>
        <w:tc>
          <w:tcPr>
            <w:tcW w:w="690" w:type="pct"/>
            <w:tcBorders>
              <w:top w:val="nil"/>
              <w:left w:val="nil"/>
              <w:bottom w:val="single" w:sz="4" w:space="0" w:color="auto"/>
              <w:right w:val="single" w:sz="4" w:space="0" w:color="auto"/>
            </w:tcBorders>
            <w:shd w:val="clear" w:color="auto" w:fill="auto"/>
            <w:vAlign w:val="center"/>
            <w:hideMark/>
          </w:tcPr>
          <w:p w14:paraId="614C690A"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How will concerns for gender equity, human rights, and human development be taken forward by primary stakeholders? </w:t>
            </w:r>
          </w:p>
        </w:tc>
        <w:tc>
          <w:tcPr>
            <w:tcW w:w="576" w:type="pct"/>
            <w:tcBorders>
              <w:top w:val="nil"/>
              <w:left w:val="nil"/>
              <w:bottom w:val="single" w:sz="4" w:space="0" w:color="auto"/>
              <w:right w:val="single" w:sz="4" w:space="0" w:color="auto"/>
            </w:tcBorders>
            <w:shd w:val="clear" w:color="auto" w:fill="auto"/>
            <w:vAlign w:val="center"/>
            <w:hideMark/>
          </w:tcPr>
          <w:p w14:paraId="4B66877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that gender equity, human rights, and human development are being used to guide strategic planning / operations by primary stakeholders</w:t>
            </w:r>
          </w:p>
        </w:tc>
        <w:tc>
          <w:tcPr>
            <w:tcW w:w="523" w:type="pct"/>
            <w:tcBorders>
              <w:top w:val="nil"/>
              <w:left w:val="nil"/>
              <w:bottom w:val="single" w:sz="4" w:space="0" w:color="auto"/>
              <w:right w:val="single" w:sz="4" w:space="0" w:color="auto"/>
            </w:tcBorders>
            <w:shd w:val="clear" w:color="auto" w:fill="auto"/>
            <w:vAlign w:val="center"/>
            <w:hideMark/>
          </w:tcPr>
          <w:p w14:paraId="3767AA1C"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 endorsed key government and CSO partner strategic plans that support gender equity, human rights, and human development </w:t>
            </w:r>
          </w:p>
        </w:tc>
        <w:tc>
          <w:tcPr>
            <w:tcW w:w="600" w:type="pct"/>
            <w:tcBorders>
              <w:top w:val="nil"/>
              <w:left w:val="nil"/>
              <w:bottom w:val="single" w:sz="4" w:space="0" w:color="auto"/>
              <w:right w:val="single" w:sz="4" w:space="0" w:color="auto"/>
            </w:tcBorders>
            <w:shd w:val="clear" w:color="auto" w:fill="auto"/>
            <w:vAlign w:val="center"/>
            <w:hideMark/>
          </w:tcPr>
          <w:p w14:paraId="1EF5D1C2" w14:textId="4896F499"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 0 </w:t>
            </w:r>
            <w:r w:rsidR="00232F50" w:rsidRPr="00B6462D">
              <w:rPr>
                <w:rFonts w:ascii="Calibri" w:hAnsi="Calibri" w:cs="Calibri"/>
                <w:color w:val="000000"/>
                <w:szCs w:val="22"/>
                <w:lang w:val="en-US"/>
              </w:rPr>
              <w:t>Strategic</w:t>
            </w:r>
            <w:r w:rsidRPr="00B6462D">
              <w:rPr>
                <w:rFonts w:ascii="Calibri" w:hAnsi="Calibri" w:cs="Calibri"/>
                <w:color w:val="000000"/>
                <w:szCs w:val="22"/>
                <w:lang w:val="en-US"/>
              </w:rPr>
              <w:t xml:space="preserve"> Plans endorsed and implemented to carry forward human rights concerns </w:t>
            </w:r>
          </w:p>
        </w:tc>
        <w:tc>
          <w:tcPr>
            <w:tcW w:w="477" w:type="pct"/>
            <w:tcBorders>
              <w:top w:val="nil"/>
              <w:left w:val="nil"/>
              <w:bottom w:val="single" w:sz="4" w:space="0" w:color="auto"/>
              <w:right w:val="single" w:sz="4" w:space="0" w:color="auto"/>
            </w:tcBorders>
            <w:shd w:val="clear" w:color="auto" w:fill="auto"/>
            <w:vAlign w:val="center"/>
            <w:hideMark/>
          </w:tcPr>
          <w:p w14:paraId="577CD44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6AE932C3" w14:textId="296DA045"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 Government partners report strong alignment to </w:t>
            </w:r>
            <w:r w:rsidR="00232F50" w:rsidRPr="00B6462D">
              <w:rPr>
                <w:rFonts w:ascii="Calibri" w:hAnsi="Calibri" w:cs="Calibri"/>
                <w:color w:val="000000"/>
                <w:szCs w:val="22"/>
                <w:lang w:val="en-US"/>
              </w:rPr>
              <w:t>government</w:t>
            </w:r>
            <w:r w:rsidRPr="00B6462D">
              <w:rPr>
                <w:rFonts w:ascii="Calibri" w:hAnsi="Calibri" w:cs="Calibri"/>
                <w:color w:val="000000"/>
                <w:szCs w:val="22"/>
                <w:lang w:val="en-US"/>
              </w:rPr>
              <w:t xml:space="preserve"> Development Plan and budget processes; these efforts may have been incidentally supported by FA2J contributions</w:t>
            </w:r>
          </w:p>
        </w:tc>
      </w:tr>
      <w:tr w:rsidR="00B6462D" w:rsidRPr="00B6462D" w14:paraId="204C5878" w14:textId="77777777" w:rsidTr="001B49E9">
        <w:trPr>
          <w:trHeight w:val="3300"/>
        </w:trPr>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222EC4C0" w14:textId="77777777" w:rsidR="00B6462D" w:rsidRPr="00B6462D" w:rsidRDefault="00B6462D" w:rsidP="00B6462D">
            <w:pPr>
              <w:jc w:val="center"/>
              <w:rPr>
                <w:rFonts w:ascii="Calibri" w:hAnsi="Calibri" w:cs="Calibri"/>
                <w:b/>
                <w:bCs/>
                <w:color w:val="000000"/>
                <w:szCs w:val="22"/>
                <w:lang w:val="en-US"/>
              </w:rPr>
            </w:pPr>
            <w:r w:rsidRPr="00B6462D">
              <w:rPr>
                <w:rFonts w:ascii="Calibri" w:hAnsi="Calibri" w:cs="Calibri"/>
                <w:b/>
                <w:bCs/>
                <w:color w:val="000000"/>
                <w:szCs w:val="22"/>
                <w:lang w:val="en-US"/>
              </w:rPr>
              <w:lastRenderedPageBreak/>
              <w:t>Partnership Strategy</w:t>
            </w:r>
          </w:p>
        </w:tc>
        <w:tc>
          <w:tcPr>
            <w:tcW w:w="159" w:type="pct"/>
            <w:vMerge w:val="restart"/>
            <w:tcBorders>
              <w:top w:val="nil"/>
              <w:left w:val="single" w:sz="4" w:space="0" w:color="auto"/>
              <w:bottom w:val="single" w:sz="4" w:space="0" w:color="000000"/>
              <w:right w:val="single" w:sz="4" w:space="0" w:color="auto"/>
            </w:tcBorders>
            <w:shd w:val="clear" w:color="auto" w:fill="auto"/>
            <w:vAlign w:val="center"/>
            <w:hideMark/>
          </w:tcPr>
          <w:p w14:paraId="773EB2D8"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5.</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3B5FF20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were partnership modalities conducive to the delivery of outputs? </w:t>
            </w:r>
          </w:p>
        </w:tc>
        <w:tc>
          <w:tcPr>
            <w:tcW w:w="154" w:type="pct"/>
            <w:tcBorders>
              <w:top w:val="nil"/>
              <w:left w:val="nil"/>
              <w:bottom w:val="single" w:sz="4" w:space="0" w:color="auto"/>
              <w:right w:val="single" w:sz="4" w:space="0" w:color="auto"/>
            </w:tcBorders>
            <w:shd w:val="clear" w:color="auto" w:fill="auto"/>
            <w:vAlign w:val="center"/>
            <w:hideMark/>
          </w:tcPr>
          <w:p w14:paraId="6AD56749"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A. </w:t>
            </w:r>
          </w:p>
        </w:tc>
        <w:tc>
          <w:tcPr>
            <w:tcW w:w="690" w:type="pct"/>
            <w:tcBorders>
              <w:top w:val="nil"/>
              <w:left w:val="nil"/>
              <w:bottom w:val="single" w:sz="4" w:space="0" w:color="auto"/>
              <w:right w:val="single" w:sz="4" w:space="0" w:color="auto"/>
            </w:tcBorders>
            <w:shd w:val="clear" w:color="auto" w:fill="auto"/>
            <w:vAlign w:val="center"/>
            <w:hideMark/>
          </w:tcPr>
          <w:p w14:paraId="17E84CD0"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Are there current or potential complementarities or overlaps with existing partners’ programmes: what has been the contribution of other UNDP projects, partners, and other organizations to the project results?</w:t>
            </w:r>
          </w:p>
        </w:tc>
        <w:tc>
          <w:tcPr>
            <w:tcW w:w="576" w:type="pct"/>
            <w:tcBorders>
              <w:top w:val="nil"/>
              <w:left w:val="nil"/>
              <w:bottom w:val="single" w:sz="4" w:space="0" w:color="auto"/>
              <w:right w:val="single" w:sz="4" w:space="0" w:color="auto"/>
            </w:tcBorders>
            <w:shd w:val="clear" w:color="auto" w:fill="auto"/>
            <w:vAlign w:val="center"/>
            <w:hideMark/>
          </w:tcPr>
          <w:p w14:paraId="45D7939D"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*Evidence of UNDP and other partners programming in the A2J space in a manner that complements or overlaps with project activities </w:t>
            </w:r>
          </w:p>
        </w:tc>
        <w:tc>
          <w:tcPr>
            <w:tcW w:w="523" w:type="pct"/>
            <w:tcBorders>
              <w:top w:val="nil"/>
              <w:left w:val="nil"/>
              <w:bottom w:val="single" w:sz="4" w:space="0" w:color="auto"/>
              <w:right w:val="single" w:sz="4" w:space="0" w:color="auto"/>
            </w:tcBorders>
            <w:shd w:val="clear" w:color="auto" w:fill="auto"/>
            <w:vAlign w:val="center"/>
            <w:hideMark/>
          </w:tcPr>
          <w:p w14:paraId="7A46D5E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existing CSO partners targeting the same vulnerable and poor populations to improve A2J</w:t>
            </w:r>
            <w:r w:rsidRPr="00B6462D">
              <w:rPr>
                <w:rFonts w:ascii="Calibri" w:hAnsi="Calibri" w:cs="Calibri"/>
                <w:color w:val="000000"/>
                <w:szCs w:val="22"/>
                <w:lang w:val="en-US"/>
              </w:rPr>
              <w:br/>
              <w:t>*# UNDP projects or partners contributing to project results</w:t>
            </w:r>
          </w:p>
        </w:tc>
        <w:tc>
          <w:tcPr>
            <w:tcW w:w="600" w:type="pct"/>
            <w:tcBorders>
              <w:top w:val="nil"/>
              <w:left w:val="nil"/>
              <w:bottom w:val="single" w:sz="4" w:space="0" w:color="auto"/>
              <w:right w:val="single" w:sz="4" w:space="0" w:color="auto"/>
            </w:tcBorders>
            <w:shd w:val="clear" w:color="auto" w:fill="auto"/>
            <w:vAlign w:val="center"/>
            <w:hideMark/>
          </w:tcPr>
          <w:p w14:paraId="0A8835DE"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*In addition to 3 CSOs engaged through grant, 2 major CSO partners identified in similar space</w:t>
            </w:r>
            <w:r w:rsidRPr="00B6462D">
              <w:rPr>
                <w:rFonts w:ascii="Calibri" w:hAnsi="Calibri" w:cs="Calibri"/>
                <w:color w:val="000000"/>
                <w:szCs w:val="22"/>
                <w:lang w:val="en-US"/>
              </w:rPr>
              <w:br/>
              <w:t>* In addition to FA2J, 2 additional UNDP projects in ROL space; UN Women in GBV space; UNICEF in justice space; UNOHCHR in human rights space (disabilities, justice, gender equity)</w:t>
            </w:r>
          </w:p>
        </w:tc>
        <w:tc>
          <w:tcPr>
            <w:tcW w:w="477" w:type="pct"/>
            <w:tcBorders>
              <w:top w:val="nil"/>
              <w:left w:val="nil"/>
              <w:bottom w:val="single" w:sz="4" w:space="0" w:color="auto"/>
              <w:right w:val="single" w:sz="4" w:space="0" w:color="auto"/>
            </w:tcBorders>
            <w:shd w:val="clear" w:color="auto" w:fill="auto"/>
            <w:vAlign w:val="center"/>
            <w:hideMark/>
          </w:tcPr>
          <w:p w14:paraId="2687356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2C1798C4" w14:textId="7251874D"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*Clear overlap in A2J assessment space as both UNDP and Fiji Women</w:t>
            </w:r>
            <w:r w:rsidR="00232F50">
              <w:rPr>
                <w:rFonts w:ascii="Calibri" w:hAnsi="Calibri" w:cs="Calibri"/>
                <w:color w:val="000000"/>
                <w:szCs w:val="22"/>
                <w:lang w:val="en-US"/>
              </w:rPr>
              <w:t>’</w:t>
            </w:r>
            <w:r w:rsidRPr="00B6462D">
              <w:rPr>
                <w:rFonts w:ascii="Calibri" w:hAnsi="Calibri" w:cs="Calibri"/>
                <w:color w:val="000000"/>
                <w:szCs w:val="22"/>
                <w:lang w:val="en-US"/>
              </w:rPr>
              <w:t xml:space="preserve">s Rights Movement conducted A2J research during the </w:t>
            </w:r>
            <w:r w:rsidR="00111B37">
              <w:rPr>
                <w:rFonts w:ascii="Calibri" w:hAnsi="Calibri" w:cs="Calibri"/>
                <w:color w:val="000000"/>
                <w:szCs w:val="22"/>
                <w:lang w:val="en-US"/>
              </w:rPr>
              <w:t>MTE</w:t>
            </w:r>
            <w:r w:rsidRPr="00B6462D">
              <w:rPr>
                <w:rFonts w:ascii="Calibri" w:hAnsi="Calibri" w:cs="Calibri"/>
                <w:color w:val="000000"/>
                <w:szCs w:val="22"/>
                <w:lang w:val="en-US"/>
              </w:rPr>
              <w:t xml:space="preserve"> period; the assessments can be viewed as complementary, however they were not directly coordinated and both can benefit from a coordinated approach on how they can contribute to partner strategic review and planning</w:t>
            </w:r>
          </w:p>
        </w:tc>
      </w:tr>
      <w:tr w:rsidR="00B6462D" w:rsidRPr="00B6462D" w14:paraId="206AA0B2" w14:textId="77777777" w:rsidTr="001B49E9">
        <w:trPr>
          <w:trHeight w:val="1500"/>
        </w:trPr>
        <w:tc>
          <w:tcPr>
            <w:tcW w:w="541" w:type="pct"/>
            <w:vMerge/>
            <w:tcBorders>
              <w:top w:val="nil"/>
              <w:left w:val="single" w:sz="4" w:space="0" w:color="auto"/>
              <w:bottom w:val="single" w:sz="4" w:space="0" w:color="000000"/>
              <w:right w:val="single" w:sz="4" w:space="0" w:color="auto"/>
            </w:tcBorders>
            <w:vAlign w:val="center"/>
            <w:hideMark/>
          </w:tcPr>
          <w:p w14:paraId="2BEAAF17"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654BC15F"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2646464F"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710414A5"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B. </w:t>
            </w:r>
          </w:p>
        </w:tc>
        <w:tc>
          <w:tcPr>
            <w:tcW w:w="690" w:type="pct"/>
            <w:tcBorders>
              <w:top w:val="nil"/>
              <w:left w:val="nil"/>
              <w:bottom w:val="single" w:sz="4" w:space="0" w:color="auto"/>
              <w:right w:val="single" w:sz="4" w:space="0" w:color="auto"/>
            </w:tcBorders>
            <w:shd w:val="clear" w:color="auto" w:fill="auto"/>
            <w:vAlign w:val="center"/>
            <w:hideMark/>
          </w:tcPr>
          <w:p w14:paraId="4498F6E0"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How have partnerships affected the progress towards achieving the outputs? </w:t>
            </w:r>
          </w:p>
        </w:tc>
        <w:tc>
          <w:tcPr>
            <w:tcW w:w="576" w:type="pct"/>
            <w:tcBorders>
              <w:top w:val="nil"/>
              <w:left w:val="nil"/>
              <w:bottom w:val="single" w:sz="4" w:space="0" w:color="auto"/>
              <w:right w:val="single" w:sz="4" w:space="0" w:color="auto"/>
            </w:tcBorders>
            <w:shd w:val="clear" w:color="auto" w:fill="auto"/>
            <w:vAlign w:val="center"/>
            <w:hideMark/>
          </w:tcPr>
          <w:p w14:paraId="3B43CFC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*Incidences of partnerships positively / negatively affecting progress </w:t>
            </w:r>
          </w:p>
        </w:tc>
        <w:tc>
          <w:tcPr>
            <w:tcW w:w="523" w:type="pct"/>
            <w:tcBorders>
              <w:top w:val="nil"/>
              <w:left w:val="nil"/>
              <w:bottom w:val="single" w:sz="4" w:space="0" w:color="auto"/>
              <w:right w:val="single" w:sz="4" w:space="0" w:color="auto"/>
            </w:tcBorders>
            <w:shd w:val="clear" w:color="auto" w:fill="auto"/>
            <w:vAlign w:val="center"/>
            <w:hideMark/>
          </w:tcPr>
          <w:p w14:paraId="3388094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partnerships leveraged to achieve outputs</w:t>
            </w:r>
          </w:p>
        </w:tc>
        <w:tc>
          <w:tcPr>
            <w:tcW w:w="600" w:type="pct"/>
            <w:tcBorders>
              <w:top w:val="nil"/>
              <w:left w:val="nil"/>
              <w:bottom w:val="single" w:sz="4" w:space="0" w:color="auto"/>
              <w:right w:val="single" w:sz="4" w:space="0" w:color="auto"/>
            </w:tcBorders>
            <w:shd w:val="clear" w:color="auto" w:fill="auto"/>
            <w:vAlign w:val="center"/>
            <w:hideMark/>
          </w:tcPr>
          <w:p w14:paraId="04D88A7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*3 partnerships with grantee CSOs</w:t>
            </w:r>
            <w:r w:rsidRPr="00B6462D">
              <w:rPr>
                <w:rFonts w:ascii="Calibri" w:hAnsi="Calibri" w:cs="Calibri"/>
                <w:color w:val="000000"/>
                <w:szCs w:val="22"/>
                <w:lang w:val="en-US"/>
              </w:rPr>
              <w:br/>
              <w:t xml:space="preserve">*1 linked actor not engaged (FWRM </w:t>
            </w:r>
            <w:r w:rsidRPr="00B6462D">
              <w:rPr>
                <w:rFonts w:ascii="Calibri" w:hAnsi="Calibri" w:cs="Calibri"/>
                <w:color w:val="000000"/>
                <w:szCs w:val="22"/>
                <w:lang w:val="en-US"/>
              </w:rPr>
              <w:lastRenderedPageBreak/>
              <w:t xml:space="preserve">interview) and 1 UN Agency seeking more engagement </w:t>
            </w:r>
          </w:p>
        </w:tc>
        <w:tc>
          <w:tcPr>
            <w:tcW w:w="477" w:type="pct"/>
            <w:tcBorders>
              <w:top w:val="nil"/>
              <w:left w:val="nil"/>
              <w:bottom w:val="single" w:sz="4" w:space="0" w:color="auto"/>
              <w:right w:val="single" w:sz="4" w:space="0" w:color="auto"/>
            </w:tcBorders>
            <w:shd w:val="clear" w:color="auto" w:fill="auto"/>
            <w:vAlign w:val="center"/>
            <w:hideMark/>
          </w:tcPr>
          <w:p w14:paraId="0243B38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7A4ABE1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*While relationships with both FA2J government partners and other sector </w:t>
            </w:r>
            <w:r w:rsidRPr="00B6462D">
              <w:rPr>
                <w:rFonts w:ascii="Calibri" w:hAnsi="Calibri" w:cs="Calibri"/>
                <w:color w:val="000000"/>
                <w:szCs w:val="22"/>
                <w:lang w:val="en-US"/>
              </w:rPr>
              <w:lastRenderedPageBreak/>
              <w:t>partners, such as DPP and FPF, are well developed, strategic partnerships at the outcome / output level are limited</w:t>
            </w:r>
          </w:p>
        </w:tc>
      </w:tr>
      <w:tr w:rsidR="00B6462D" w:rsidRPr="00B6462D" w14:paraId="1787E2C5" w14:textId="77777777" w:rsidTr="001B49E9">
        <w:trPr>
          <w:trHeight w:val="2100"/>
        </w:trPr>
        <w:tc>
          <w:tcPr>
            <w:tcW w:w="541" w:type="pct"/>
            <w:vMerge/>
            <w:tcBorders>
              <w:top w:val="nil"/>
              <w:left w:val="single" w:sz="4" w:space="0" w:color="auto"/>
              <w:bottom w:val="single" w:sz="4" w:space="0" w:color="000000"/>
              <w:right w:val="single" w:sz="4" w:space="0" w:color="auto"/>
            </w:tcBorders>
            <w:vAlign w:val="center"/>
            <w:hideMark/>
          </w:tcPr>
          <w:p w14:paraId="35A3834A"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5CF07151"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0F381C8D"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76AC04D1"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C. </w:t>
            </w:r>
          </w:p>
        </w:tc>
        <w:tc>
          <w:tcPr>
            <w:tcW w:w="690" w:type="pct"/>
            <w:tcBorders>
              <w:top w:val="nil"/>
              <w:left w:val="nil"/>
              <w:bottom w:val="single" w:sz="4" w:space="0" w:color="auto"/>
              <w:right w:val="single" w:sz="4" w:space="0" w:color="auto"/>
            </w:tcBorders>
            <w:shd w:val="clear" w:color="auto" w:fill="auto"/>
            <w:vAlign w:val="center"/>
            <w:hideMark/>
          </w:tcPr>
          <w:p w14:paraId="4041BD9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Has UNDP worked effectively with partners to deliver on this current initiative?</w:t>
            </w:r>
          </w:p>
        </w:tc>
        <w:tc>
          <w:tcPr>
            <w:tcW w:w="576" w:type="pct"/>
            <w:tcBorders>
              <w:top w:val="nil"/>
              <w:left w:val="nil"/>
              <w:bottom w:val="single" w:sz="4" w:space="0" w:color="auto"/>
              <w:right w:val="single" w:sz="4" w:space="0" w:color="auto"/>
            </w:tcBorders>
            <w:shd w:val="clear" w:color="auto" w:fill="auto"/>
            <w:vAlign w:val="center"/>
            <w:hideMark/>
          </w:tcPr>
          <w:p w14:paraId="3513007B" w14:textId="3CC0831E"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*Degree to which UNDP has identified and, if available, worked with partners</w:t>
            </w:r>
          </w:p>
        </w:tc>
        <w:tc>
          <w:tcPr>
            <w:tcW w:w="523" w:type="pct"/>
            <w:tcBorders>
              <w:top w:val="nil"/>
              <w:left w:val="nil"/>
              <w:bottom w:val="single" w:sz="4" w:space="0" w:color="auto"/>
              <w:right w:val="single" w:sz="4" w:space="0" w:color="auto"/>
            </w:tcBorders>
            <w:shd w:val="clear" w:color="auto" w:fill="auto"/>
            <w:vAlign w:val="center"/>
            <w:hideMark/>
          </w:tcPr>
          <w:p w14:paraId="3506321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partnerships leveraged to achieve outputs</w:t>
            </w:r>
          </w:p>
        </w:tc>
        <w:tc>
          <w:tcPr>
            <w:tcW w:w="600" w:type="pct"/>
            <w:tcBorders>
              <w:top w:val="nil"/>
              <w:left w:val="nil"/>
              <w:bottom w:val="single" w:sz="4" w:space="0" w:color="auto"/>
              <w:right w:val="single" w:sz="4" w:space="0" w:color="auto"/>
            </w:tcBorders>
            <w:shd w:val="clear" w:color="auto" w:fill="auto"/>
            <w:vAlign w:val="center"/>
            <w:hideMark/>
          </w:tcPr>
          <w:p w14:paraId="49BD9505"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*3 partnerships with grantee CSOs</w:t>
            </w:r>
            <w:r w:rsidRPr="00B6462D">
              <w:rPr>
                <w:rFonts w:ascii="Calibri" w:hAnsi="Calibri" w:cs="Calibri"/>
                <w:color w:val="000000"/>
                <w:szCs w:val="22"/>
                <w:lang w:val="en-US"/>
              </w:rPr>
              <w:br/>
              <w:t xml:space="preserve">*1 linked actor not engaged (interview FWRM) and 1 UN Agency seeking more engagement </w:t>
            </w:r>
            <w:r w:rsidRPr="00B6462D">
              <w:rPr>
                <w:rFonts w:ascii="Calibri" w:hAnsi="Calibri" w:cs="Calibri"/>
                <w:color w:val="000000"/>
                <w:szCs w:val="22"/>
                <w:lang w:val="en-US"/>
              </w:rPr>
              <w:br/>
              <w:t>*4 supplier partnerships, including 2 international, developed</w:t>
            </w:r>
          </w:p>
        </w:tc>
        <w:tc>
          <w:tcPr>
            <w:tcW w:w="477" w:type="pct"/>
            <w:tcBorders>
              <w:top w:val="nil"/>
              <w:left w:val="nil"/>
              <w:bottom w:val="single" w:sz="4" w:space="0" w:color="auto"/>
              <w:right w:val="single" w:sz="4" w:space="0" w:color="auto"/>
            </w:tcBorders>
            <w:shd w:val="clear" w:color="auto" w:fill="auto"/>
            <w:vAlign w:val="center"/>
            <w:hideMark/>
          </w:tcPr>
          <w:p w14:paraId="090ABEC8"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7C45A99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*Difficult dimensions to several outputs have required extensive time commitment, however these have not yet led to completed outputs; the shift in scope (time) has not been clearly documented in M&amp;E frameworks and workplans</w:t>
            </w:r>
          </w:p>
        </w:tc>
      </w:tr>
      <w:tr w:rsidR="00B6462D" w:rsidRPr="00B6462D" w14:paraId="52FD8416" w14:textId="77777777" w:rsidTr="001B49E9">
        <w:trPr>
          <w:trHeight w:val="1800"/>
        </w:trPr>
        <w:tc>
          <w:tcPr>
            <w:tcW w:w="541" w:type="pct"/>
            <w:vMerge/>
            <w:tcBorders>
              <w:top w:val="nil"/>
              <w:left w:val="single" w:sz="4" w:space="0" w:color="auto"/>
              <w:bottom w:val="single" w:sz="4" w:space="0" w:color="000000"/>
              <w:right w:val="single" w:sz="4" w:space="0" w:color="auto"/>
            </w:tcBorders>
            <w:vAlign w:val="center"/>
            <w:hideMark/>
          </w:tcPr>
          <w:p w14:paraId="53135C08"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single" w:sz="4" w:space="0" w:color="000000"/>
              <w:right w:val="single" w:sz="4" w:space="0" w:color="auto"/>
            </w:tcBorders>
            <w:vAlign w:val="center"/>
            <w:hideMark/>
          </w:tcPr>
          <w:p w14:paraId="28BE8F27"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31868264"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10450B26"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D. </w:t>
            </w:r>
          </w:p>
        </w:tc>
        <w:tc>
          <w:tcPr>
            <w:tcW w:w="690" w:type="pct"/>
            <w:tcBorders>
              <w:top w:val="nil"/>
              <w:left w:val="nil"/>
              <w:bottom w:val="single" w:sz="4" w:space="0" w:color="auto"/>
              <w:right w:val="single" w:sz="4" w:space="0" w:color="auto"/>
            </w:tcBorders>
            <w:shd w:val="clear" w:color="auto" w:fill="auto"/>
            <w:vAlign w:val="center"/>
            <w:hideMark/>
          </w:tcPr>
          <w:p w14:paraId="43C97BF5"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How effective has UNDP been in partnering with civil society (where applicable) and the private sector to promote access to </w:t>
            </w:r>
            <w:r w:rsidRPr="00B6462D">
              <w:rPr>
                <w:rFonts w:ascii="Calibri" w:hAnsi="Calibri" w:cs="Calibri"/>
                <w:color w:val="000000"/>
                <w:szCs w:val="22"/>
                <w:lang w:val="en-US"/>
              </w:rPr>
              <w:lastRenderedPageBreak/>
              <w:t xml:space="preserve">justice in the country? </w:t>
            </w:r>
          </w:p>
        </w:tc>
        <w:tc>
          <w:tcPr>
            <w:tcW w:w="576" w:type="pct"/>
            <w:tcBorders>
              <w:top w:val="nil"/>
              <w:left w:val="nil"/>
              <w:bottom w:val="single" w:sz="4" w:space="0" w:color="auto"/>
              <w:right w:val="single" w:sz="4" w:space="0" w:color="auto"/>
            </w:tcBorders>
            <w:shd w:val="clear" w:color="auto" w:fill="auto"/>
            <w:vAlign w:val="center"/>
            <w:hideMark/>
          </w:tcPr>
          <w:p w14:paraId="23A546F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*Incidences of civil society partnerships as positive factor in implementation</w:t>
            </w:r>
            <w:r w:rsidRPr="00B6462D">
              <w:rPr>
                <w:rFonts w:ascii="Calibri" w:hAnsi="Calibri" w:cs="Calibri"/>
                <w:color w:val="000000"/>
                <w:szCs w:val="22"/>
                <w:lang w:val="en-US"/>
              </w:rPr>
              <w:br/>
            </w:r>
            <w:r w:rsidRPr="00B6462D">
              <w:rPr>
                <w:rFonts w:ascii="Calibri" w:hAnsi="Calibri" w:cs="Calibri"/>
                <w:color w:val="000000"/>
                <w:szCs w:val="22"/>
                <w:lang w:val="en-US"/>
              </w:rPr>
              <w:lastRenderedPageBreak/>
              <w:t>*Incidents of private sector as positive factor in implementation</w:t>
            </w:r>
          </w:p>
        </w:tc>
        <w:tc>
          <w:tcPr>
            <w:tcW w:w="523" w:type="pct"/>
            <w:tcBorders>
              <w:top w:val="nil"/>
              <w:left w:val="nil"/>
              <w:bottom w:val="single" w:sz="4" w:space="0" w:color="auto"/>
              <w:right w:val="single" w:sz="4" w:space="0" w:color="auto"/>
            </w:tcBorders>
            <w:shd w:val="clear" w:color="auto" w:fill="auto"/>
            <w:vAlign w:val="center"/>
            <w:hideMark/>
          </w:tcPr>
          <w:p w14:paraId="16A026DC" w14:textId="4072F056"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 xml:space="preserve">*# CSO partners positively engaged in planned activities </w:t>
            </w:r>
            <w:r w:rsidRPr="00B6462D">
              <w:rPr>
                <w:rFonts w:ascii="Calibri" w:hAnsi="Calibri" w:cs="Calibri"/>
                <w:color w:val="000000"/>
                <w:szCs w:val="22"/>
                <w:lang w:val="en-US"/>
              </w:rPr>
              <w:br/>
              <w:t xml:space="preserve">*# private </w:t>
            </w:r>
            <w:r w:rsidRPr="00B6462D">
              <w:rPr>
                <w:rFonts w:ascii="Calibri" w:hAnsi="Calibri" w:cs="Calibri"/>
                <w:color w:val="000000"/>
                <w:szCs w:val="22"/>
                <w:lang w:val="en-US"/>
              </w:rPr>
              <w:lastRenderedPageBreak/>
              <w:t>sector partners positively engaged in planned activities</w:t>
            </w:r>
          </w:p>
        </w:tc>
        <w:tc>
          <w:tcPr>
            <w:tcW w:w="600" w:type="pct"/>
            <w:tcBorders>
              <w:top w:val="nil"/>
              <w:left w:val="nil"/>
              <w:bottom w:val="single" w:sz="4" w:space="0" w:color="auto"/>
              <w:right w:val="single" w:sz="4" w:space="0" w:color="auto"/>
            </w:tcBorders>
            <w:shd w:val="clear" w:color="auto" w:fill="auto"/>
            <w:vAlign w:val="center"/>
            <w:hideMark/>
          </w:tcPr>
          <w:p w14:paraId="18FF7115"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 xml:space="preserve">*3 CSO partners engaged </w:t>
            </w:r>
            <w:r w:rsidRPr="00B6462D">
              <w:rPr>
                <w:rFonts w:ascii="Calibri" w:hAnsi="Calibri" w:cs="Calibri"/>
                <w:color w:val="000000"/>
                <w:szCs w:val="22"/>
                <w:lang w:val="en-US"/>
              </w:rPr>
              <w:br/>
              <w:t xml:space="preserve">*3 private sector partners engaged (2 finalist for case management / </w:t>
            </w:r>
            <w:r w:rsidRPr="00B6462D">
              <w:rPr>
                <w:rFonts w:ascii="Calibri" w:hAnsi="Calibri" w:cs="Calibri"/>
                <w:color w:val="000000"/>
                <w:szCs w:val="22"/>
                <w:lang w:val="en-US"/>
              </w:rPr>
              <w:lastRenderedPageBreak/>
              <w:t>Lexis Nexis) with sector at advanced level</w:t>
            </w:r>
          </w:p>
        </w:tc>
        <w:tc>
          <w:tcPr>
            <w:tcW w:w="477" w:type="pct"/>
            <w:tcBorders>
              <w:top w:val="nil"/>
              <w:left w:val="nil"/>
              <w:bottom w:val="single" w:sz="4" w:space="0" w:color="auto"/>
              <w:right w:val="single" w:sz="4" w:space="0" w:color="auto"/>
            </w:tcBorders>
            <w:shd w:val="clear" w:color="auto" w:fill="auto"/>
            <w:vAlign w:val="center"/>
            <w:hideMark/>
          </w:tcPr>
          <w:p w14:paraId="1AA1FE1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539D4218"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*Engagement with CSOs was delayed until late 2018 and is limited primarily to grantees; there is an </w:t>
            </w:r>
            <w:r w:rsidRPr="00B6462D">
              <w:rPr>
                <w:rFonts w:ascii="Calibri" w:hAnsi="Calibri" w:cs="Calibri"/>
                <w:color w:val="000000"/>
                <w:szCs w:val="22"/>
                <w:lang w:val="en-US"/>
              </w:rPr>
              <w:lastRenderedPageBreak/>
              <w:t>opportunity for strategically reviewing options for both FA2J and direct partner engagement with the larger CSO community</w:t>
            </w:r>
          </w:p>
        </w:tc>
      </w:tr>
      <w:tr w:rsidR="00B6462D" w:rsidRPr="00B6462D" w14:paraId="72CA7CEB" w14:textId="77777777" w:rsidTr="001B49E9">
        <w:trPr>
          <w:trHeight w:val="2400"/>
        </w:trPr>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62C11303" w14:textId="77777777" w:rsidR="00B6462D" w:rsidRPr="00B6462D" w:rsidRDefault="00B6462D" w:rsidP="00B6462D">
            <w:pPr>
              <w:jc w:val="center"/>
              <w:rPr>
                <w:rFonts w:ascii="Calibri" w:hAnsi="Calibri" w:cs="Calibri"/>
                <w:b/>
                <w:bCs/>
                <w:color w:val="000000"/>
                <w:szCs w:val="22"/>
                <w:lang w:val="en-US"/>
              </w:rPr>
            </w:pPr>
            <w:r w:rsidRPr="00B6462D">
              <w:rPr>
                <w:rFonts w:ascii="Calibri" w:hAnsi="Calibri" w:cs="Calibri"/>
                <w:b/>
                <w:bCs/>
                <w:color w:val="000000"/>
                <w:szCs w:val="22"/>
                <w:lang w:val="en-US"/>
              </w:rPr>
              <w:lastRenderedPageBreak/>
              <w:t>Impact</w:t>
            </w:r>
          </w:p>
        </w:tc>
        <w:tc>
          <w:tcPr>
            <w:tcW w:w="159" w:type="pct"/>
            <w:vMerge w:val="restart"/>
            <w:tcBorders>
              <w:top w:val="nil"/>
              <w:left w:val="single" w:sz="4" w:space="0" w:color="auto"/>
              <w:bottom w:val="nil"/>
              <w:right w:val="single" w:sz="4" w:space="0" w:color="auto"/>
            </w:tcBorders>
            <w:shd w:val="clear" w:color="auto" w:fill="auto"/>
            <w:vAlign w:val="center"/>
            <w:hideMark/>
          </w:tcPr>
          <w:p w14:paraId="24033DD2"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6.</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2B677210"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Is the FA2J project progressing against its stated or other implied outcomes?</w:t>
            </w:r>
          </w:p>
        </w:tc>
        <w:tc>
          <w:tcPr>
            <w:tcW w:w="154" w:type="pct"/>
            <w:tcBorders>
              <w:top w:val="nil"/>
              <w:left w:val="nil"/>
              <w:bottom w:val="single" w:sz="4" w:space="0" w:color="auto"/>
              <w:right w:val="single" w:sz="4" w:space="0" w:color="auto"/>
            </w:tcBorders>
            <w:shd w:val="clear" w:color="auto" w:fill="auto"/>
            <w:vAlign w:val="center"/>
            <w:hideMark/>
          </w:tcPr>
          <w:p w14:paraId="3A8FA24F"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A. </w:t>
            </w:r>
          </w:p>
        </w:tc>
        <w:tc>
          <w:tcPr>
            <w:tcW w:w="690" w:type="pct"/>
            <w:tcBorders>
              <w:top w:val="nil"/>
              <w:left w:val="nil"/>
              <w:bottom w:val="single" w:sz="4" w:space="0" w:color="auto"/>
              <w:right w:val="single" w:sz="4" w:space="0" w:color="auto"/>
            </w:tcBorders>
            <w:shd w:val="clear" w:color="auto" w:fill="auto"/>
            <w:vAlign w:val="center"/>
            <w:hideMark/>
          </w:tcPr>
          <w:p w14:paraId="33528A0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On the basis of project design and performance to date, what is the likelihood of the project contributing directly, either positively or negatively, to the project’s expected final outcome set in Sub Regional Programme Documents (SRPD)?</w:t>
            </w:r>
          </w:p>
        </w:tc>
        <w:tc>
          <w:tcPr>
            <w:tcW w:w="576" w:type="pct"/>
            <w:tcBorders>
              <w:top w:val="nil"/>
              <w:left w:val="nil"/>
              <w:bottom w:val="single" w:sz="4" w:space="0" w:color="auto"/>
              <w:right w:val="single" w:sz="4" w:space="0" w:color="auto"/>
            </w:tcBorders>
            <w:shd w:val="clear" w:color="auto" w:fill="auto"/>
            <w:vAlign w:val="center"/>
            <w:hideMark/>
          </w:tcPr>
          <w:p w14:paraId="008582B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*Evidence of continuing progress towards outcome set in SRPD </w:t>
            </w:r>
          </w:p>
        </w:tc>
        <w:tc>
          <w:tcPr>
            <w:tcW w:w="523" w:type="pct"/>
            <w:tcBorders>
              <w:top w:val="nil"/>
              <w:left w:val="nil"/>
              <w:bottom w:val="single" w:sz="4" w:space="0" w:color="auto"/>
              <w:right w:val="single" w:sz="4" w:space="0" w:color="auto"/>
            </w:tcBorders>
            <w:shd w:val="clear" w:color="auto" w:fill="auto"/>
            <w:vAlign w:val="center"/>
            <w:hideMark/>
          </w:tcPr>
          <w:p w14:paraId="1CF44FFE"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planned milestones (planned under SRPD outcome) met by mid-term review date (31 March 2019)</w:t>
            </w:r>
          </w:p>
        </w:tc>
        <w:tc>
          <w:tcPr>
            <w:tcW w:w="600" w:type="pct"/>
            <w:tcBorders>
              <w:top w:val="nil"/>
              <w:left w:val="nil"/>
              <w:bottom w:val="single" w:sz="4" w:space="0" w:color="auto"/>
              <w:right w:val="single" w:sz="4" w:space="0" w:color="auto"/>
            </w:tcBorders>
            <w:shd w:val="clear" w:color="auto" w:fill="auto"/>
            <w:vAlign w:val="center"/>
            <w:hideMark/>
          </w:tcPr>
          <w:p w14:paraId="63AD8EE0"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*Milestones not integrated into project plan; 0 milestones met</w:t>
            </w:r>
          </w:p>
        </w:tc>
        <w:tc>
          <w:tcPr>
            <w:tcW w:w="477" w:type="pct"/>
            <w:tcBorders>
              <w:top w:val="nil"/>
              <w:left w:val="nil"/>
              <w:bottom w:val="single" w:sz="4" w:space="0" w:color="auto"/>
              <w:right w:val="single" w:sz="4" w:space="0" w:color="auto"/>
            </w:tcBorders>
            <w:shd w:val="clear" w:color="auto" w:fill="auto"/>
            <w:vAlign w:val="center"/>
            <w:hideMark/>
          </w:tcPr>
          <w:p w14:paraId="144F1749"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393CF68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*Both the relevance and difficulty of outputs to the sector highlight the importance of the UNDP role; however, given delays the need for robust partner engagement in procurement, roll-out and training for anticipated outputs will be determinative as to FA2J's direct contribution to outcome</w:t>
            </w:r>
          </w:p>
        </w:tc>
      </w:tr>
      <w:tr w:rsidR="00B6462D" w:rsidRPr="00B6462D" w14:paraId="7F342486" w14:textId="77777777" w:rsidTr="001B49E9">
        <w:trPr>
          <w:trHeight w:val="3000"/>
        </w:trPr>
        <w:tc>
          <w:tcPr>
            <w:tcW w:w="541" w:type="pct"/>
            <w:vMerge/>
            <w:tcBorders>
              <w:top w:val="nil"/>
              <w:left w:val="single" w:sz="4" w:space="0" w:color="auto"/>
              <w:bottom w:val="single" w:sz="4" w:space="0" w:color="000000"/>
              <w:right w:val="single" w:sz="4" w:space="0" w:color="auto"/>
            </w:tcBorders>
            <w:vAlign w:val="center"/>
            <w:hideMark/>
          </w:tcPr>
          <w:p w14:paraId="5D274871" w14:textId="77777777" w:rsidR="00B6462D" w:rsidRPr="00B6462D" w:rsidRDefault="00B6462D" w:rsidP="00B6462D">
            <w:pPr>
              <w:rPr>
                <w:rFonts w:ascii="Calibri" w:hAnsi="Calibri" w:cs="Calibri"/>
                <w:b/>
                <w:bCs/>
                <w:color w:val="000000"/>
                <w:szCs w:val="22"/>
                <w:lang w:val="en-US"/>
              </w:rPr>
            </w:pPr>
          </w:p>
        </w:tc>
        <w:tc>
          <w:tcPr>
            <w:tcW w:w="159" w:type="pct"/>
            <w:vMerge/>
            <w:tcBorders>
              <w:top w:val="nil"/>
              <w:left w:val="single" w:sz="4" w:space="0" w:color="auto"/>
              <w:bottom w:val="nil"/>
              <w:right w:val="single" w:sz="4" w:space="0" w:color="auto"/>
            </w:tcBorders>
            <w:vAlign w:val="center"/>
            <w:hideMark/>
          </w:tcPr>
          <w:p w14:paraId="471307AB"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401A052F"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center"/>
            <w:hideMark/>
          </w:tcPr>
          <w:p w14:paraId="4145C2A7"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B. </w:t>
            </w:r>
          </w:p>
        </w:tc>
        <w:tc>
          <w:tcPr>
            <w:tcW w:w="690" w:type="pct"/>
            <w:tcBorders>
              <w:top w:val="nil"/>
              <w:left w:val="nil"/>
              <w:bottom w:val="single" w:sz="4" w:space="0" w:color="auto"/>
              <w:right w:val="single" w:sz="4" w:space="0" w:color="auto"/>
            </w:tcBorders>
            <w:shd w:val="clear" w:color="auto" w:fill="auto"/>
            <w:vAlign w:val="center"/>
            <w:hideMark/>
          </w:tcPr>
          <w:p w14:paraId="2C494DB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On the basis of project design and performance to date, what is likelihood that project will have any unintended impacts? </w:t>
            </w:r>
          </w:p>
        </w:tc>
        <w:tc>
          <w:tcPr>
            <w:tcW w:w="576" w:type="pct"/>
            <w:tcBorders>
              <w:top w:val="nil"/>
              <w:left w:val="nil"/>
              <w:bottom w:val="single" w:sz="4" w:space="0" w:color="auto"/>
              <w:right w:val="single" w:sz="4" w:space="0" w:color="auto"/>
            </w:tcBorders>
            <w:shd w:val="clear" w:color="auto" w:fill="auto"/>
            <w:vAlign w:val="center"/>
            <w:hideMark/>
          </w:tcPr>
          <w:p w14:paraId="1336750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of positive / negative impacts not captured in theory of chance</w:t>
            </w:r>
          </w:p>
        </w:tc>
        <w:tc>
          <w:tcPr>
            <w:tcW w:w="523" w:type="pct"/>
            <w:tcBorders>
              <w:top w:val="nil"/>
              <w:left w:val="nil"/>
              <w:bottom w:val="single" w:sz="4" w:space="0" w:color="auto"/>
              <w:right w:val="single" w:sz="4" w:space="0" w:color="auto"/>
            </w:tcBorders>
            <w:shd w:val="clear" w:color="auto" w:fill="auto"/>
            <w:vAlign w:val="center"/>
            <w:hideMark/>
          </w:tcPr>
          <w:p w14:paraId="2B33DBA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unintended potential impacts identified</w:t>
            </w:r>
          </w:p>
        </w:tc>
        <w:tc>
          <w:tcPr>
            <w:tcW w:w="600" w:type="pct"/>
            <w:tcBorders>
              <w:top w:val="nil"/>
              <w:left w:val="nil"/>
              <w:bottom w:val="single" w:sz="4" w:space="0" w:color="auto"/>
              <w:right w:val="single" w:sz="4" w:space="0" w:color="auto"/>
            </w:tcBorders>
            <w:shd w:val="clear" w:color="auto" w:fill="auto"/>
            <w:vAlign w:val="center"/>
            <w:hideMark/>
          </w:tcPr>
          <w:p w14:paraId="7F7DFD7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*FA2J linked Fiji with Lexis Nexis and addressed key IP issue that will face other PICs</w:t>
            </w:r>
            <w:r w:rsidRPr="00B6462D">
              <w:rPr>
                <w:rFonts w:ascii="Calibri" w:hAnsi="Calibri" w:cs="Calibri"/>
                <w:color w:val="000000"/>
                <w:szCs w:val="22"/>
                <w:lang w:val="en-US"/>
              </w:rPr>
              <w:br/>
              <w:t>*FA2J challenges with engaging CSO community may exacerbate historical friction between government / CSO actors</w:t>
            </w:r>
          </w:p>
        </w:tc>
        <w:tc>
          <w:tcPr>
            <w:tcW w:w="477" w:type="pct"/>
            <w:tcBorders>
              <w:top w:val="nil"/>
              <w:left w:val="nil"/>
              <w:bottom w:val="single" w:sz="4" w:space="0" w:color="auto"/>
              <w:right w:val="single" w:sz="4" w:space="0" w:color="auto"/>
            </w:tcBorders>
            <w:shd w:val="clear" w:color="auto" w:fill="auto"/>
            <w:vAlign w:val="center"/>
            <w:hideMark/>
          </w:tcPr>
          <w:p w14:paraId="1F71A4BC"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65C9865A"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*The complex procurements facilitated by FA2J have the unintended impact of linking PICs to global justice resources</w:t>
            </w:r>
            <w:r w:rsidRPr="00B6462D">
              <w:rPr>
                <w:rFonts w:ascii="Calibri" w:hAnsi="Calibri" w:cs="Calibri"/>
                <w:color w:val="000000"/>
                <w:szCs w:val="22"/>
                <w:lang w:val="en-US"/>
              </w:rPr>
              <w:br/>
              <w:t xml:space="preserve">*FA2J worked through the implementation period during a period where CSO/government dynamics were very complex; however, FA2J is now in a position to work with partners to create opportunities for positive engagement between civil society and government </w:t>
            </w:r>
          </w:p>
        </w:tc>
      </w:tr>
      <w:tr w:rsidR="00B6462D" w:rsidRPr="00B6462D" w14:paraId="4B5D1C78" w14:textId="77777777" w:rsidTr="001B49E9">
        <w:trPr>
          <w:trHeight w:val="3900"/>
        </w:trPr>
        <w:tc>
          <w:tcPr>
            <w:tcW w:w="541" w:type="pct"/>
            <w:vMerge w:val="restart"/>
            <w:tcBorders>
              <w:top w:val="nil"/>
              <w:left w:val="single" w:sz="4" w:space="0" w:color="auto"/>
              <w:bottom w:val="single" w:sz="4" w:space="0" w:color="000000"/>
              <w:right w:val="single" w:sz="4" w:space="0" w:color="auto"/>
            </w:tcBorders>
            <w:shd w:val="clear" w:color="auto" w:fill="auto"/>
            <w:vAlign w:val="center"/>
            <w:hideMark/>
          </w:tcPr>
          <w:p w14:paraId="0E6A3639" w14:textId="77777777" w:rsidR="00B6462D" w:rsidRPr="00B6462D" w:rsidRDefault="00B6462D" w:rsidP="00B6462D">
            <w:pPr>
              <w:jc w:val="center"/>
              <w:rPr>
                <w:rFonts w:ascii="Calibri" w:hAnsi="Calibri" w:cs="Calibri"/>
                <w:b/>
                <w:bCs/>
                <w:color w:val="000000"/>
                <w:szCs w:val="22"/>
                <w:lang w:val="en-US"/>
              </w:rPr>
            </w:pPr>
            <w:r w:rsidRPr="00B6462D">
              <w:rPr>
                <w:rFonts w:ascii="Calibri" w:hAnsi="Calibri" w:cs="Calibri"/>
                <w:b/>
                <w:bCs/>
                <w:color w:val="000000"/>
                <w:szCs w:val="22"/>
                <w:lang w:val="en-US"/>
              </w:rPr>
              <w:lastRenderedPageBreak/>
              <w:t>Gender</w:t>
            </w:r>
          </w:p>
        </w:tc>
        <w:tc>
          <w:tcPr>
            <w:tcW w:w="1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EE0D5"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7.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1EF400B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has gender been addressed in the design, implementation, and monitoring of Access to Justice interventions and is gender marker data assigned to this project representative of reality? </w:t>
            </w:r>
          </w:p>
        </w:tc>
        <w:tc>
          <w:tcPr>
            <w:tcW w:w="154" w:type="pct"/>
            <w:tcBorders>
              <w:top w:val="nil"/>
              <w:left w:val="nil"/>
              <w:bottom w:val="single" w:sz="4" w:space="0" w:color="auto"/>
              <w:right w:val="single" w:sz="4" w:space="0" w:color="auto"/>
            </w:tcBorders>
            <w:shd w:val="clear" w:color="auto" w:fill="auto"/>
            <w:vAlign w:val="bottom"/>
            <w:hideMark/>
          </w:tcPr>
          <w:p w14:paraId="11CCC600"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A. </w:t>
            </w:r>
          </w:p>
        </w:tc>
        <w:tc>
          <w:tcPr>
            <w:tcW w:w="690" w:type="pct"/>
            <w:tcBorders>
              <w:top w:val="nil"/>
              <w:left w:val="nil"/>
              <w:bottom w:val="single" w:sz="4" w:space="0" w:color="auto"/>
              <w:right w:val="single" w:sz="4" w:space="0" w:color="auto"/>
            </w:tcBorders>
            <w:shd w:val="clear" w:color="auto" w:fill="auto"/>
            <w:vAlign w:val="center"/>
            <w:hideMark/>
          </w:tcPr>
          <w:p w14:paraId="77D4AD1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How were gender issues implemented as a cross-cutting theme - did the project give sufficient attention to promote gender equality and gender sensitivity? </w:t>
            </w:r>
          </w:p>
        </w:tc>
        <w:tc>
          <w:tcPr>
            <w:tcW w:w="576" w:type="pct"/>
            <w:tcBorders>
              <w:top w:val="nil"/>
              <w:left w:val="nil"/>
              <w:bottom w:val="single" w:sz="4" w:space="0" w:color="auto"/>
              <w:right w:val="single" w:sz="4" w:space="0" w:color="auto"/>
            </w:tcBorders>
            <w:shd w:val="clear" w:color="auto" w:fill="auto"/>
            <w:vAlign w:val="center"/>
            <w:hideMark/>
          </w:tcPr>
          <w:p w14:paraId="350122F3"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*Evidence of gender focus or component in activities </w:t>
            </w:r>
          </w:p>
        </w:tc>
        <w:tc>
          <w:tcPr>
            <w:tcW w:w="523" w:type="pct"/>
            <w:tcBorders>
              <w:top w:val="nil"/>
              <w:left w:val="nil"/>
              <w:bottom w:val="single" w:sz="4" w:space="0" w:color="auto"/>
              <w:right w:val="single" w:sz="4" w:space="0" w:color="auto"/>
            </w:tcBorders>
            <w:shd w:val="clear" w:color="auto" w:fill="auto"/>
            <w:vAlign w:val="center"/>
            <w:hideMark/>
          </w:tcPr>
          <w:p w14:paraId="07A684C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activities with a gender focus or component</w:t>
            </w:r>
            <w:r w:rsidRPr="00B6462D">
              <w:rPr>
                <w:rFonts w:ascii="Calibri" w:hAnsi="Calibri" w:cs="Calibri"/>
                <w:color w:val="000000"/>
                <w:szCs w:val="22"/>
                <w:lang w:val="en-US"/>
              </w:rPr>
              <w:br w:type="page"/>
              <w:t>*# females / # males directly engaged through project activities</w:t>
            </w:r>
            <w:r w:rsidRPr="00B6462D">
              <w:rPr>
                <w:rFonts w:ascii="Calibri" w:hAnsi="Calibri" w:cs="Calibri"/>
                <w:color w:val="000000"/>
                <w:szCs w:val="22"/>
                <w:lang w:val="en-US"/>
              </w:rPr>
              <w:br w:type="page"/>
              <w:t>*% change in gender balance in key partner staffing</w:t>
            </w:r>
          </w:p>
        </w:tc>
        <w:tc>
          <w:tcPr>
            <w:tcW w:w="600" w:type="pct"/>
            <w:tcBorders>
              <w:top w:val="nil"/>
              <w:left w:val="nil"/>
              <w:bottom w:val="single" w:sz="4" w:space="0" w:color="auto"/>
              <w:right w:val="single" w:sz="4" w:space="0" w:color="auto"/>
            </w:tcBorders>
            <w:shd w:val="clear" w:color="auto" w:fill="auto"/>
            <w:vAlign w:val="center"/>
            <w:hideMark/>
          </w:tcPr>
          <w:p w14:paraId="1A412249" w14:textId="4C47A065"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*2 grants issued 2018 have gender focus; Institutional strengthening activities gender neutral - designed to contribute data to later review</w:t>
            </w:r>
            <w:r w:rsidRPr="00B6462D">
              <w:rPr>
                <w:rFonts w:ascii="Calibri" w:hAnsi="Calibri" w:cs="Calibri"/>
                <w:color w:val="000000"/>
                <w:szCs w:val="22"/>
                <w:lang w:val="en-US"/>
              </w:rPr>
              <w:br w:type="page"/>
              <w:t xml:space="preserve">*Limited </w:t>
            </w:r>
            <w:r w:rsidR="00232F50" w:rsidRPr="00B6462D">
              <w:rPr>
                <w:rFonts w:ascii="Calibri" w:hAnsi="Calibri" w:cs="Calibri"/>
                <w:color w:val="000000"/>
                <w:szCs w:val="22"/>
                <w:lang w:val="en-US"/>
              </w:rPr>
              <w:t>disaggregated</w:t>
            </w:r>
            <w:r w:rsidRPr="00B6462D">
              <w:rPr>
                <w:rFonts w:ascii="Calibri" w:hAnsi="Calibri" w:cs="Calibri"/>
                <w:color w:val="000000"/>
                <w:szCs w:val="22"/>
                <w:lang w:val="en-US"/>
              </w:rPr>
              <w:t xml:space="preserve"> data in reporting with exception of activity-level attendance</w:t>
            </w:r>
            <w:r w:rsidRPr="00B6462D">
              <w:rPr>
                <w:rFonts w:ascii="Calibri" w:hAnsi="Calibri" w:cs="Calibri"/>
                <w:color w:val="000000"/>
                <w:szCs w:val="22"/>
                <w:lang w:val="en-US"/>
              </w:rPr>
              <w:br w:type="page"/>
              <w:t xml:space="preserve">*JD gender balance stable / LAC gender balance not confirmed to date </w:t>
            </w:r>
          </w:p>
        </w:tc>
        <w:tc>
          <w:tcPr>
            <w:tcW w:w="477" w:type="pct"/>
            <w:tcBorders>
              <w:top w:val="nil"/>
              <w:left w:val="nil"/>
              <w:bottom w:val="single" w:sz="4" w:space="0" w:color="auto"/>
              <w:right w:val="single" w:sz="4" w:space="0" w:color="auto"/>
            </w:tcBorders>
            <w:shd w:val="clear" w:color="auto" w:fill="auto"/>
            <w:vAlign w:val="center"/>
            <w:hideMark/>
          </w:tcPr>
          <w:p w14:paraId="4FCD096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ype="page"/>
              <w:t>*FA2J reports</w:t>
            </w:r>
            <w:r w:rsidRPr="00B6462D">
              <w:rPr>
                <w:rFonts w:ascii="Calibri" w:hAnsi="Calibri" w:cs="Calibri"/>
                <w:color w:val="000000"/>
                <w:szCs w:val="22"/>
                <w:lang w:val="en-US"/>
              </w:rPr>
              <w:br w:type="page"/>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07EDDDA8" w14:textId="37272EE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*Only the grants issued in 2018 contained an "explicit gender focus"; while other </w:t>
            </w:r>
            <w:proofErr w:type="spellStart"/>
            <w:r w:rsidRPr="00B6462D">
              <w:rPr>
                <w:rFonts w:ascii="Calibri" w:hAnsi="Calibri" w:cs="Calibri"/>
                <w:color w:val="000000"/>
                <w:szCs w:val="22"/>
                <w:lang w:val="en-US"/>
              </w:rPr>
              <w:t>activies</w:t>
            </w:r>
            <w:proofErr w:type="spellEnd"/>
            <w:r w:rsidRPr="00B6462D">
              <w:rPr>
                <w:rFonts w:ascii="Calibri" w:hAnsi="Calibri" w:cs="Calibri"/>
                <w:color w:val="000000"/>
                <w:szCs w:val="22"/>
                <w:lang w:val="en-US"/>
              </w:rPr>
              <w:t xml:space="preserve"> were gender neutral by nature, several, such as efforts to implement case management systems, are intended to contribute to gender-based analysis and other programming - as these are not in place as of 4/2019, their contributions cannot be assessed as part of the </w:t>
            </w:r>
            <w:r w:rsidR="00111B37">
              <w:rPr>
                <w:rFonts w:ascii="Calibri" w:hAnsi="Calibri" w:cs="Calibri"/>
                <w:color w:val="000000"/>
                <w:szCs w:val="22"/>
                <w:lang w:val="en-US"/>
              </w:rPr>
              <w:t>MTE</w:t>
            </w:r>
            <w:r w:rsidRPr="00B6462D">
              <w:rPr>
                <w:rFonts w:ascii="Calibri" w:hAnsi="Calibri" w:cs="Calibri"/>
                <w:color w:val="000000"/>
                <w:szCs w:val="22"/>
                <w:lang w:val="en-US"/>
              </w:rPr>
              <w:t xml:space="preserve">. FA2J worked with partners to expand female participation in international exchanges, </w:t>
            </w:r>
            <w:r w:rsidRPr="00B6462D">
              <w:rPr>
                <w:rFonts w:ascii="Calibri" w:hAnsi="Calibri" w:cs="Calibri"/>
                <w:color w:val="000000"/>
                <w:szCs w:val="22"/>
                <w:lang w:val="en-US"/>
              </w:rPr>
              <w:lastRenderedPageBreak/>
              <w:t>workshops and other activities</w:t>
            </w:r>
          </w:p>
        </w:tc>
      </w:tr>
      <w:tr w:rsidR="00B6462D" w:rsidRPr="00B6462D" w14:paraId="053993F0" w14:textId="77777777" w:rsidTr="001B49E9">
        <w:trPr>
          <w:trHeight w:val="2700"/>
        </w:trPr>
        <w:tc>
          <w:tcPr>
            <w:tcW w:w="541" w:type="pct"/>
            <w:vMerge/>
            <w:tcBorders>
              <w:top w:val="nil"/>
              <w:left w:val="single" w:sz="4" w:space="0" w:color="auto"/>
              <w:bottom w:val="single" w:sz="4" w:space="0" w:color="000000"/>
              <w:right w:val="single" w:sz="4" w:space="0" w:color="auto"/>
            </w:tcBorders>
            <w:vAlign w:val="center"/>
            <w:hideMark/>
          </w:tcPr>
          <w:p w14:paraId="4E1A0867" w14:textId="77777777" w:rsidR="00B6462D" w:rsidRPr="00B6462D" w:rsidRDefault="00B6462D" w:rsidP="00B6462D">
            <w:pPr>
              <w:rPr>
                <w:rFonts w:ascii="Calibri" w:hAnsi="Calibri" w:cs="Calibri"/>
                <w:b/>
                <w:bCs/>
                <w:color w:val="000000"/>
                <w:szCs w:val="22"/>
                <w:lang w:val="en-US"/>
              </w:rPr>
            </w:pPr>
          </w:p>
        </w:tc>
        <w:tc>
          <w:tcPr>
            <w:tcW w:w="159" w:type="pct"/>
            <w:vMerge/>
            <w:tcBorders>
              <w:top w:val="single" w:sz="4" w:space="0" w:color="auto"/>
              <w:left w:val="single" w:sz="4" w:space="0" w:color="auto"/>
              <w:bottom w:val="single" w:sz="4" w:space="0" w:color="000000"/>
              <w:right w:val="single" w:sz="4" w:space="0" w:color="auto"/>
            </w:tcBorders>
            <w:vAlign w:val="center"/>
            <w:hideMark/>
          </w:tcPr>
          <w:p w14:paraId="57C124F8"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27B417DC"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bottom"/>
            <w:hideMark/>
          </w:tcPr>
          <w:p w14:paraId="43041DA0"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B. </w:t>
            </w:r>
          </w:p>
        </w:tc>
        <w:tc>
          <w:tcPr>
            <w:tcW w:w="690" w:type="pct"/>
            <w:tcBorders>
              <w:top w:val="nil"/>
              <w:left w:val="nil"/>
              <w:bottom w:val="single" w:sz="4" w:space="0" w:color="auto"/>
              <w:right w:val="single" w:sz="4" w:space="0" w:color="auto"/>
            </w:tcBorders>
            <w:shd w:val="clear" w:color="000000" w:fill="FFFFFF"/>
            <w:vAlign w:val="center"/>
            <w:hideMark/>
          </w:tcPr>
          <w:p w14:paraId="0FF160A4"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To what extent did the project benefit women and men equally?</w:t>
            </w:r>
          </w:p>
        </w:tc>
        <w:tc>
          <w:tcPr>
            <w:tcW w:w="576" w:type="pct"/>
            <w:tcBorders>
              <w:top w:val="nil"/>
              <w:left w:val="nil"/>
              <w:bottom w:val="single" w:sz="4" w:space="0" w:color="auto"/>
              <w:right w:val="single" w:sz="4" w:space="0" w:color="auto"/>
            </w:tcBorders>
            <w:shd w:val="clear" w:color="auto" w:fill="auto"/>
            <w:vAlign w:val="center"/>
            <w:hideMark/>
          </w:tcPr>
          <w:p w14:paraId="3A151B1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*Evidence of gender balance for direct / indirect beneficiaries within key partners and end users through project implementation </w:t>
            </w:r>
          </w:p>
        </w:tc>
        <w:tc>
          <w:tcPr>
            <w:tcW w:w="523" w:type="pct"/>
            <w:tcBorders>
              <w:top w:val="nil"/>
              <w:left w:val="nil"/>
              <w:bottom w:val="single" w:sz="4" w:space="0" w:color="auto"/>
              <w:right w:val="single" w:sz="4" w:space="0" w:color="auto"/>
            </w:tcBorders>
            <w:shd w:val="clear" w:color="auto" w:fill="auto"/>
            <w:vAlign w:val="center"/>
            <w:hideMark/>
          </w:tcPr>
          <w:p w14:paraId="56BC2A73"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activities with a gender focus or component</w:t>
            </w:r>
            <w:r w:rsidRPr="00B6462D">
              <w:rPr>
                <w:rFonts w:ascii="Calibri" w:hAnsi="Calibri" w:cs="Calibri"/>
                <w:color w:val="000000"/>
                <w:szCs w:val="22"/>
                <w:lang w:val="en-US"/>
              </w:rPr>
              <w:br/>
              <w:t>*# females / # males directly engaged through project activities</w:t>
            </w:r>
            <w:r w:rsidRPr="00B6462D">
              <w:rPr>
                <w:rFonts w:ascii="Calibri" w:hAnsi="Calibri" w:cs="Calibri"/>
                <w:color w:val="000000"/>
                <w:szCs w:val="22"/>
                <w:lang w:val="en-US"/>
              </w:rPr>
              <w:br/>
              <w:t>*% change in gender balance in key partner staffing</w:t>
            </w:r>
          </w:p>
        </w:tc>
        <w:tc>
          <w:tcPr>
            <w:tcW w:w="600" w:type="pct"/>
            <w:tcBorders>
              <w:top w:val="nil"/>
              <w:left w:val="nil"/>
              <w:bottom w:val="single" w:sz="4" w:space="0" w:color="auto"/>
              <w:right w:val="single" w:sz="4" w:space="0" w:color="auto"/>
            </w:tcBorders>
            <w:shd w:val="clear" w:color="auto" w:fill="auto"/>
            <w:vAlign w:val="center"/>
            <w:hideMark/>
          </w:tcPr>
          <w:p w14:paraId="0BB55E5D"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*2 grants issued 2018 have gender focus; Institutional strengthening activities gender neutral - designed to contribute data to later review</w:t>
            </w:r>
            <w:r w:rsidRPr="00B6462D">
              <w:rPr>
                <w:rFonts w:ascii="Calibri" w:hAnsi="Calibri" w:cs="Calibri"/>
                <w:color w:val="000000"/>
                <w:szCs w:val="22"/>
                <w:lang w:val="en-US"/>
              </w:rPr>
              <w:br/>
              <w:t>*M&amp;E data not disaggregated in annual report</w:t>
            </w:r>
            <w:r w:rsidRPr="00B6462D">
              <w:rPr>
                <w:rFonts w:ascii="Calibri" w:hAnsi="Calibri" w:cs="Calibri"/>
                <w:color w:val="000000"/>
                <w:szCs w:val="22"/>
                <w:lang w:val="en-US"/>
              </w:rPr>
              <w:br/>
              <w:t xml:space="preserve">*JD gender balance stable / LAC gender balance not </w:t>
            </w:r>
            <w:r w:rsidRPr="00B6462D">
              <w:rPr>
                <w:rFonts w:ascii="Calibri" w:hAnsi="Calibri" w:cs="Calibri"/>
                <w:color w:val="000000"/>
                <w:szCs w:val="22"/>
                <w:lang w:val="en-US"/>
              </w:rPr>
              <w:lastRenderedPageBreak/>
              <w:t xml:space="preserve">confirmed to date </w:t>
            </w:r>
          </w:p>
        </w:tc>
        <w:tc>
          <w:tcPr>
            <w:tcW w:w="477" w:type="pct"/>
            <w:tcBorders>
              <w:top w:val="nil"/>
              <w:left w:val="nil"/>
              <w:bottom w:val="single" w:sz="4" w:space="0" w:color="auto"/>
              <w:right w:val="single" w:sz="4" w:space="0" w:color="auto"/>
            </w:tcBorders>
            <w:shd w:val="clear" w:color="auto" w:fill="auto"/>
            <w:vAlign w:val="center"/>
            <w:hideMark/>
          </w:tcPr>
          <w:p w14:paraId="47F1CE6E"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22893817" w14:textId="0FDA4A8C"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*Benefits from planned activities reached more men than women; due to delays at the output level, the </w:t>
            </w:r>
            <w:r w:rsidR="00111B37">
              <w:rPr>
                <w:rFonts w:ascii="Calibri" w:hAnsi="Calibri" w:cs="Calibri"/>
                <w:color w:val="000000"/>
                <w:szCs w:val="22"/>
                <w:lang w:val="en-US"/>
              </w:rPr>
              <w:t>MTE</w:t>
            </w:r>
            <w:r w:rsidRPr="00B6462D">
              <w:rPr>
                <w:rFonts w:ascii="Calibri" w:hAnsi="Calibri" w:cs="Calibri"/>
                <w:color w:val="000000"/>
                <w:szCs w:val="22"/>
                <w:lang w:val="en-US"/>
              </w:rPr>
              <w:t xml:space="preserve"> could not assess downstream impact (</w:t>
            </w:r>
            <w:proofErr w:type="spellStart"/>
            <w:r w:rsidRPr="00B6462D">
              <w:rPr>
                <w:rFonts w:ascii="Calibri" w:hAnsi="Calibri" w:cs="Calibri"/>
                <w:color w:val="000000"/>
                <w:szCs w:val="22"/>
                <w:lang w:val="en-US"/>
              </w:rPr>
              <w:t>eg</w:t>
            </w:r>
            <w:proofErr w:type="spellEnd"/>
            <w:r w:rsidRPr="00B6462D">
              <w:rPr>
                <w:rFonts w:ascii="Calibri" w:hAnsi="Calibri" w:cs="Calibri"/>
                <w:color w:val="000000"/>
                <w:szCs w:val="22"/>
                <w:lang w:val="en-US"/>
              </w:rPr>
              <w:t xml:space="preserve"> coverage for outreach programs under the grants), which will be critical for the </w:t>
            </w:r>
            <w:r w:rsidRPr="00B6462D">
              <w:rPr>
                <w:rFonts w:ascii="Calibri" w:hAnsi="Calibri" w:cs="Calibri"/>
                <w:color w:val="000000"/>
                <w:szCs w:val="22"/>
                <w:lang w:val="en-US"/>
              </w:rPr>
              <w:lastRenderedPageBreak/>
              <w:t>end of project assessment</w:t>
            </w:r>
          </w:p>
        </w:tc>
      </w:tr>
      <w:tr w:rsidR="00B6462D" w:rsidRPr="00B6462D" w14:paraId="1E607B06" w14:textId="77777777" w:rsidTr="001B49E9">
        <w:trPr>
          <w:trHeight w:val="2100"/>
        </w:trPr>
        <w:tc>
          <w:tcPr>
            <w:tcW w:w="541" w:type="pct"/>
            <w:vMerge/>
            <w:tcBorders>
              <w:top w:val="nil"/>
              <w:left w:val="single" w:sz="4" w:space="0" w:color="auto"/>
              <w:bottom w:val="single" w:sz="4" w:space="0" w:color="000000"/>
              <w:right w:val="single" w:sz="4" w:space="0" w:color="auto"/>
            </w:tcBorders>
            <w:vAlign w:val="center"/>
            <w:hideMark/>
          </w:tcPr>
          <w:p w14:paraId="0CED1FE7" w14:textId="77777777" w:rsidR="00B6462D" w:rsidRPr="00B6462D" w:rsidRDefault="00B6462D" w:rsidP="00B6462D">
            <w:pPr>
              <w:rPr>
                <w:rFonts w:ascii="Calibri" w:hAnsi="Calibri" w:cs="Calibri"/>
                <w:b/>
                <w:bCs/>
                <w:color w:val="000000"/>
                <w:szCs w:val="22"/>
                <w:lang w:val="en-US"/>
              </w:rPr>
            </w:pPr>
          </w:p>
        </w:tc>
        <w:tc>
          <w:tcPr>
            <w:tcW w:w="159" w:type="pct"/>
            <w:vMerge/>
            <w:tcBorders>
              <w:top w:val="single" w:sz="4" w:space="0" w:color="auto"/>
              <w:left w:val="single" w:sz="4" w:space="0" w:color="auto"/>
              <w:bottom w:val="single" w:sz="4" w:space="0" w:color="000000"/>
              <w:right w:val="single" w:sz="4" w:space="0" w:color="auto"/>
            </w:tcBorders>
            <w:vAlign w:val="center"/>
            <w:hideMark/>
          </w:tcPr>
          <w:p w14:paraId="7FED9FDB"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5A1A8493"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bottom"/>
            <w:hideMark/>
          </w:tcPr>
          <w:p w14:paraId="465CEA85"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C. </w:t>
            </w:r>
          </w:p>
        </w:tc>
        <w:tc>
          <w:tcPr>
            <w:tcW w:w="690" w:type="pct"/>
            <w:tcBorders>
              <w:top w:val="nil"/>
              <w:left w:val="nil"/>
              <w:bottom w:val="single" w:sz="4" w:space="0" w:color="auto"/>
              <w:right w:val="single" w:sz="4" w:space="0" w:color="auto"/>
            </w:tcBorders>
            <w:shd w:val="clear" w:color="auto" w:fill="auto"/>
            <w:vAlign w:val="center"/>
            <w:hideMark/>
          </w:tcPr>
          <w:p w14:paraId="759DD877"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To what extent did the project pay attention to effects on marginalized, vulnerable and hard-to-reach groups?</w:t>
            </w:r>
          </w:p>
        </w:tc>
        <w:tc>
          <w:tcPr>
            <w:tcW w:w="576" w:type="pct"/>
            <w:tcBorders>
              <w:top w:val="nil"/>
              <w:left w:val="nil"/>
              <w:bottom w:val="single" w:sz="4" w:space="0" w:color="auto"/>
              <w:right w:val="single" w:sz="4" w:space="0" w:color="auto"/>
            </w:tcBorders>
            <w:shd w:val="clear" w:color="auto" w:fill="auto"/>
            <w:vAlign w:val="center"/>
            <w:hideMark/>
          </w:tcPr>
          <w:p w14:paraId="4386398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as to what extent marginalized, vulnerable and hard-to-reach groups were a focus during activity implementation, M&amp;E, and project management</w:t>
            </w:r>
          </w:p>
        </w:tc>
        <w:tc>
          <w:tcPr>
            <w:tcW w:w="523" w:type="pct"/>
            <w:tcBorders>
              <w:top w:val="nil"/>
              <w:left w:val="nil"/>
              <w:bottom w:val="single" w:sz="4" w:space="0" w:color="auto"/>
              <w:right w:val="single" w:sz="4" w:space="0" w:color="auto"/>
            </w:tcBorders>
            <w:shd w:val="clear" w:color="auto" w:fill="auto"/>
            <w:vAlign w:val="center"/>
            <w:hideMark/>
          </w:tcPr>
          <w:p w14:paraId="0F58CF7A"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activities with a focus or component involving marginalized, vulnerable, and hard-to-reach groups</w:t>
            </w:r>
          </w:p>
        </w:tc>
        <w:tc>
          <w:tcPr>
            <w:tcW w:w="600" w:type="pct"/>
            <w:tcBorders>
              <w:top w:val="nil"/>
              <w:left w:val="nil"/>
              <w:bottom w:val="single" w:sz="4" w:space="0" w:color="auto"/>
              <w:right w:val="single" w:sz="4" w:space="0" w:color="auto"/>
            </w:tcBorders>
            <w:shd w:val="clear" w:color="auto" w:fill="auto"/>
            <w:vAlign w:val="center"/>
            <w:hideMark/>
          </w:tcPr>
          <w:p w14:paraId="5D1C24F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*A2J Assessment dedicated resources to extending to geographically marginalized groups</w:t>
            </w:r>
            <w:r w:rsidRPr="00B6462D">
              <w:rPr>
                <w:rFonts w:ascii="Calibri" w:hAnsi="Calibri" w:cs="Calibri"/>
                <w:color w:val="000000"/>
                <w:szCs w:val="22"/>
                <w:lang w:val="en-US"/>
              </w:rPr>
              <w:br/>
              <w:t>*3 CSO grants directed towards marginalized and vulnerable groups</w:t>
            </w:r>
            <w:r w:rsidRPr="00B6462D">
              <w:rPr>
                <w:rFonts w:ascii="Calibri" w:hAnsi="Calibri" w:cs="Calibri"/>
                <w:color w:val="000000"/>
                <w:szCs w:val="22"/>
                <w:lang w:val="en-US"/>
              </w:rPr>
              <w:br/>
              <w:t>* M&amp;E and project management did not link with rights holders to date</w:t>
            </w:r>
          </w:p>
        </w:tc>
        <w:tc>
          <w:tcPr>
            <w:tcW w:w="477" w:type="pct"/>
            <w:tcBorders>
              <w:top w:val="nil"/>
              <w:left w:val="nil"/>
              <w:bottom w:val="single" w:sz="4" w:space="0" w:color="auto"/>
              <w:right w:val="single" w:sz="4" w:space="0" w:color="auto"/>
            </w:tcBorders>
            <w:shd w:val="clear" w:color="auto" w:fill="auto"/>
            <w:vAlign w:val="center"/>
            <w:hideMark/>
          </w:tcPr>
          <w:p w14:paraId="1BC38ABA"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37ADB75F"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*With over 4000 subjects across all divisions, the A2J Assessment (Draft) is the most comprehensive effort to obtain citizen perspectives to date in Fiji</w:t>
            </w:r>
          </w:p>
        </w:tc>
      </w:tr>
      <w:tr w:rsidR="00B6462D" w:rsidRPr="00B6462D" w14:paraId="7029A09C" w14:textId="77777777" w:rsidTr="001B49E9">
        <w:trPr>
          <w:trHeight w:val="2700"/>
        </w:trPr>
        <w:tc>
          <w:tcPr>
            <w:tcW w:w="541" w:type="pct"/>
            <w:vMerge/>
            <w:tcBorders>
              <w:top w:val="nil"/>
              <w:left w:val="single" w:sz="4" w:space="0" w:color="auto"/>
              <w:bottom w:val="single" w:sz="4" w:space="0" w:color="000000"/>
              <w:right w:val="single" w:sz="4" w:space="0" w:color="auto"/>
            </w:tcBorders>
            <w:vAlign w:val="center"/>
            <w:hideMark/>
          </w:tcPr>
          <w:p w14:paraId="765C61E7" w14:textId="77777777" w:rsidR="00B6462D" w:rsidRPr="00B6462D" w:rsidRDefault="00B6462D" w:rsidP="00B6462D">
            <w:pPr>
              <w:rPr>
                <w:rFonts w:ascii="Calibri" w:hAnsi="Calibri" w:cs="Calibri"/>
                <w:b/>
                <w:bCs/>
                <w:color w:val="000000"/>
                <w:szCs w:val="22"/>
                <w:lang w:val="en-US"/>
              </w:rPr>
            </w:pPr>
          </w:p>
        </w:tc>
        <w:tc>
          <w:tcPr>
            <w:tcW w:w="159" w:type="pct"/>
            <w:vMerge/>
            <w:tcBorders>
              <w:top w:val="single" w:sz="4" w:space="0" w:color="auto"/>
              <w:left w:val="single" w:sz="4" w:space="0" w:color="auto"/>
              <w:bottom w:val="single" w:sz="4" w:space="0" w:color="000000"/>
              <w:right w:val="single" w:sz="4" w:space="0" w:color="auto"/>
            </w:tcBorders>
            <w:vAlign w:val="center"/>
            <w:hideMark/>
          </w:tcPr>
          <w:p w14:paraId="5124DB1F"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0DF70603"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bottom"/>
            <w:hideMark/>
          </w:tcPr>
          <w:p w14:paraId="58AE5B15"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D. </w:t>
            </w:r>
          </w:p>
        </w:tc>
        <w:tc>
          <w:tcPr>
            <w:tcW w:w="690" w:type="pct"/>
            <w:tcBorders>
              <w:top w:val="nil"/>
              <w:left w:val="nil"/>
              <w:bottom w:val="single" w:sz="4" w:space="0" w:color="auto"/>
              <w:right w:val="single" w:sz="4" w:space="0" w:color="auto"/>
            </w:tcBorders>
            <w:shd w:val="clear" w:color="000000" w:fill="FFFFFF"/>
            <w:vAlign w:val="center"/>
            <w:hideMark/>
          </w:tcPr>
          <w:p w14:paraId="33E92519"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was the project informed by human rights treaties and instruments? </w:t>
            </w:r>
          </w:p>
        </w:tc>
        <w:tc>
          <w:tcPr>
            <w:tcW w:w="576" w:type="pct"/>
            <w:tcBorders>
              <w:top w:val="nil"/>
              <w:left w:val="nil"/>
              <w:bottom w:val="single" w:sz="4" w:space="0" w:color="auto"/>
              <w:right w:val="single" w:sz="4" w:space="0" w:color="auto"/>
            </w:tcBorders>
            <w:shd w:val="clear" w:color="auto" w:fill="auto"/>
            <w:vAlign w:val="center"/>
            <w:hideMark/>
          </w:tcPr>
          <w:p w14:paraId="1240FC3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that human rights treaties and instruments contributed to project implementation, M&amp;E, and project management</w:t>
            </w:r>
          </w:p>
        </w:tc>
        <w:tc>
          <w:tcPr>
            <w:tcW w:w="523" w:type="pct"/>
            <w:tcBorders>
              <w:top w:val="nil"/>
              <w:left w:val="nil"/>
              <w:bottom w:val="single" w:sz="4" w:space="0" w:color="auto"/>
              <w:right w:val="single" w:sz="4" w:space="0" w:color="auto"/>
            </w:tcBorders>
            <w:shd w:val="clear" w:color="auto" w:fill="auto"/>
            <w:vAlign w:val="center"/>
            <w:hideMark/>
          </w:tcPr>
          <w:p w14:paraId="62186C1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of indicators linked to human rights treaties and instruments</w:t>
            </w:r>
          </w:p>
        </w:tc>
        <w:tc>
          <w:tcPr>
            <w:tcW w:w="600" w:type="pct"/>
            <w:tcBorders>
              <w:top w:val="nil"/>
              <w:left w:val="nil"/>
              <w:bottom w:val="single" w:sz="4" w:space="0" w:color="auto"/>
              <w:right w:val="single" w:sz="4" w:space="0" w:color="auto"/>
            </w:tcBorders>
            <w:shd w:val="clear" w:color="auto" w:fill="auto"/>
            <w:vAlign w:val="center"/>
            <w:hideMark/>
          </w:tcPr>
          <w:p w14:paraId="5DF6E12E" w14:textId="3FC5CDF3"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 0 indicators linked to human rights treaties and </w:t>
            </w:r>
            <w:r w:rsidR="00232F50" w:rsidRPr="00B6462D">
              <w:rPr>
                <w:rFonts w:ascii="Calibri" w:hAnsi="Calibri" w:cs="Calibri"/>
                <w:color w:val="000000"/>
                <w:szCs w:val="22"/>
                <w:lang w:val="en-US"/>
              </w:rPr>
              <w:t>instruments</w:t>
            </w:r>
            <w:r w:rsidRPr="00B6462D">
              <w:rPr>
                <w:rFonts w:ascii="Calibri" w:hAnsi="Calibri" w:cs="Calibri"/>
                <w:color w:val="000000"/>
                <w:szCs w:val="22"/>
                <w:lang w:val="en-US"/>
              </w:rPr>
              <w:t xml:space="preserve"> (or reports on same)</w:t>
            </w:r>
          </w:p>
        </w:tc>
        <w:tc>
          <w:tcPr>
            <w:tcW w:w="477" w:type="pct"/>
            <w:tcBorders>
              <w:top w:val="nil"/>
              <w:left w:val="nil"/>
              <w:bottom w:val="single" w:sz="4" w:space="0" w:color="auto"/>
              <w:right w:val="single" w:sz="4" w:space="0" w:color="auto"/>
            </w:tcBorders>
            <w:shd w:val="clear" w:color="auto" w:fill="auto"/>
            <w:vAlign w:val="center"/>
            <w:hideMark/>
          </w:tcPr>
          <w:p w14:paraId="6329781A"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*FA2J Description of Action </w:t>
            </w:r>
            <w:r w:rsidRPr="00B6462D">
              <w:rPr>
                <w:rFonts w:ascii="Calibri" w:hAnsi="Calibri" w:cs="Calibri"/>
                <w:color w:val="000000"/>
                <w:szCs w:val="22"/>
                <w:lang w:val="en-US"/>
              </w:rPr>
              <w:br/>
              <w:t xml:space="preserve">*EU Financing Agreement </w:t>
            </w:r>
          </w:p>
        </w:tc>
        <w:tc>
          <w:tcPr>
            <w:tcW w:w="606" w:type="pct"/>
            <w:tcBorders>
              <w:top w:val="nil"/>
              <w:left w:val="nil"/>
              <w:bottom w:val="single" w:sz="4" w:space="0" w:color="auto"/>
              <w:right w:val="single" w:sz="4" w:space="0" w:color="auto"/>
            </w:tcBorders>
            <w:shd w:val="clear" w:color="auto" w:fill="auto"/>
            <w:vAlign w:val="center"/>
            <w:hideMark/>
          </w:tcPr>
          <w:p w14:paraId="48F167D8" w14:textId="059CFC30"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*The FA2J Project Document is linked </w:t>
            </w:r>
            <w:proofErr w:type="spellStart"/>
            <w:r w:rsidRPr="00B6462D">
              <w:rPr>
                <w:rFonts w:ascii="Calibri" w:hAnsi="Calibri" w:cs="Calibri"/>
                <w:color w:val="000000"/>
                <w:szCs w:val="22"/>
                <w:lang w:val="en-US"/>
              </w:rPr>
              <w:t>ot</w:t>
            </w:r>
            <w:proofErr w:type="spellEnd"/>
            <w:r w:rsidRPr="00B6462D">
              <w:rPr>
                <w:rFonts w:ascii="Calibri" w:hAnsi="Calibri" w:cs="Calibri"/>
                <w:color w:val="000000"/>
                <w:szCs w:val="22"/>
                <w:lang w:val="en-US"/>
              </w:rPr>
              <w:t xml:space="preserve"> human rights instruments and perspectives, however the M&amp;E framework and FA2J implementation are not directly linked to human rights instruments; the role of UN </w:t>
            </w:r>
            <w:r w:rsidR="00232F50" w:rsidRPr="00B6462D">
              <w:rPr>
                <w:rFonts w:ascii="Calibri" w:hAnsi="Calibri" w:cs="Calibri"/>
                <w:color w:val="000000"/>
                <w:szCs w:val="22"/>
                <w:lang w:val="en-US"/>
              </w:rPr>
              <w:t>Outcome</w:t>
            </w:r>
            <w:r w:rsidRPr="00B6462D">
              <w:rPr>
                <w:rFonts w:ascii="Calibri" w:hAnsi="Calibri" w:cs="Calibri"/>
                <w:color w:val="000000"/>
                <w:szCs w:val="22"/>
                <w:lang w:val="en-US"/>
              </w:rPr>
              <w:t xml:space="preserve"> Groups may contribute to future engagement of FA2J partners with human rights perspectives</w:t>
            </w:r>
          </w:p>
        </w:tc>
      </w:tr>
      <w:tr w:rsidR="00B6462D" w:rsidRPr="00B6462D" w14:paraId="7884E471" w14:textId="77777777" w:rsidTr="001B49E9">
        <w:trPr>
          <w:trHeight w:val="1200"/>
        </w:trPr>
        <w:tc>
          <w:tcPr>
            <w:tcW w:w="541" w:type="pct"/>
            <w:vMerge/>
            <w:tcBorders>
              <w:top w:val="nil"/>
              <w:left w:val="single" w:sz="4" w:space="0" w:color="auto"/>
              <w:bottom w:val="single" w:sz="4" w:space="0" w:color="000000"/>
              <w:right w:val="single" w:sz="4" w:space="0" w:color="auto"/>
            </w:tcBorders>
            <w:vAlign w:val="center"/>
            <w:hideMark/>
          </w:tcPr>
          <w:p w14:paraId="08036408" w14:textId="77777777" w:rsidR="00B6462D" w:rsidRPr="00B6462D" w:rsidRDefault="00B6462D" w:rsidP="00B6462D">
            <w:pPr>
              <w:rPr>
                <w:rFonts w:ascii="Calibri" w:hAnsi="Calibri" w:cs="Calibri"/>
                <w:b/>
                <w:bCs/>
                <w:color w:val="000000"/>
                <w:szCs w:val="22"/>
                <w:lang w:val="en-US"/>
              </w:rPr>
            </w:pPr>
          </w:p>
        </w:tc>
        <w:tc>
          <w:tcPr>
            <w:tcW w:w="159" w:type="pct"/>
            <w:vMerge/>
            <w:tcBorders>
              <w:top w:val="single" w:sz="4" w:space="0" w:color="auto"/>
              <w:left w:val="single" w:sz="4" w:space="0" w:color="auto"/>
              <w:bottom w:val="single" w:sz="4" w:space="0" w:color="000000"/>
              <w:right w:val="single" w:sz="4" w:space="0" w:color="auto"/>
            </w:tcBorders>
            <w:vAlign w:val="center"/>
            <w:hideMark/>
          </w:tcPr>
          <w:p w14:paraId="052134FE"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65FA9C95"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bottom"/>
            <w:hideMark/>
          </w:tcPr>
          <w:p w14:paraId="5A55F5B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 </w:t>
            </w:r>
          </w:p>
        </w:tc>
        <w:tc>
          <w:tcPr>
            <w:tcW w:w="690" w:type="pct"/>
            <w:tcBorders>
              <w:top w:val="nil"/>
              <w:left w:val="nil"/>
              <w:bottom w:val="single" w:sz="4" w:space="0" w:color="auto"/>
              <w:right w:val="single" w:sz="4" w:space="0" w:color="auto"/>
            </w:tcBorders>
            <w:shd w:val="clear" w:color="auto" w:fill="auto"/>
            <w:vAlign w:val="center"/>
            <w:hideMark/>
          </w:tcPr>
          <w:p w14:paraId="2EBF60E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To what extent did the project identify the relevant human rights claims and obligations? </w:t>
            </w:r>
          </w:p>
        </w:tc>
        <w:tc>
          <w:tcPr>
            <w:tcW w:w="576" w:type="pct"/>
            <w:tcBorders>
              <w:top w:val="nil"/>
              <w:left w:val="nil"/>
              <w:bottom w:val="single" w:sz="4" w:space="0" w:color="auto"/>
              <w:right w:val="single" w:sz="4" w:space="0" w:color="auto"/>
            </w:tcBorders>
            <w:shd w:val="clear" w:color="auto" w:fill="auto"/>
            <w:vAlign w:val="center"/>
            <w:hideMark/>
          </w:tcPr>
          <w:p w14:paraId="7EF5D422" w14:textId="0A54DB3C"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*Evidence that human rights treaties and instruments </w:t>
            </w:r>
            <w:r w:rsidR="00232F50" w:rsidRPr="00B6462D">
              <w:rPr>
                <w:rFonts w:ascii="Calibri" w:hAnsi="Calibri" w:cs="Calibri"/>
                <w:color w:val="000000"/>
                <w:szCs w:val="22"/>
                <w:lang w:val="en-US"/>
              </w:rPr>
              <w:t>contributed</w:t>
            </w:r>
            <w:r w:rsidRPr="00B6462D">
              <w:rPr>
                <w:rFonts w:ascii="Calibri" w:hAnsi="Calibri" w:cs="Calibri"/>
                <w:color w:val="000000"/>
                <w:szCs w:val="22"/>
                <w:lang w:val="en-US"/>
              </w:rPr>
              <w:t xml:space="preserve"> to project implementation, M&amp;E, and </w:t>
            </w:r>
            <w:r w:rsidRPr="00B6462D">
              <w:rPr>
                <w:rFonts w:ascii="Calibri" w:hAnsi="Calibri" w:cs="Calibri"/>
                <w:color w:val="000000"/>
                <w:szCs w:val="22"/>
                <w:lang w:val="en-US"/>
              </w:rPr>
              <w:lastRenderedPageBreak/>
              <w:t>project management</w:t>
            </w:r>
          </w:p>
        </w:tc>
        <w:tc>
          <w:tcPr>
            <w:tcW w:w="523" w:type="pct"/>
            <w:tcBorders>
              <w:top w:val="nil"/>
              <w:left w:val="nil"/>
              <w:bottom w:val="single" w:sz="4" w:space="0" w:color="auto"/>
              <w:right w:val="single" w:sz="4" w:space="0" w:color="auto"/>
            </w:tcBorders>
            <w:shd w:val="clear" w:color="auto" w:fill="auto"/>
            <w:vAlign w:val="center"/>
            <w:hideMark/>
          </w:tcPr>
          <w:p w14:paraId="37D82878"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lastRenderedPageBreak/>
              <w:t>*# of human rights treaties and instruments identified in project documentation</w:t>
            </w:r>
          </w:p>
        </w:tc>
        <w:tc>
          <w:tcPr>
            <w:tcW w:w="600" w:type="pct"/>
            <w:tcBorders>
              <w:top w:val="nil"/>
              <w:left w:val="nil"/>
              <w:bottom w:val="single" w:sz="4" w:space="0" w:color="auto"/>
              <w:right w:val="single" w:sz="4" w:space="0" w:color="auto"/>
            </w:tcBorders>
            <w:shd w:val="clear" w:color="auto" w:fill="auto"/>
            <w:vAlign w:val="center"/>
            <w:hideMark/>
          </w:tcPr>
          <w:p w14:paraId="7A9550D7" w14:textId="39F3D722"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 0 indicators linked to human rights treaties and </w:t>
            </w:r>
            <w:r w:rsidR="00232F50" w:rsidRPr="00B6462D">
              <w:rPr>
                <w:rFonts w:ascii="Calibri" w:hAnsi="Calibri" w:cs="Calibri"/>
                <w:color w:val="000000"/>
                <w:szCs w:val="22"/>
                <w:lang w:val="en-US"/>
              </w:rPr>
              <w:t>instruments</w:t>
            </w:r>
            <w:r w:rsidRPr="00B6462D">
              <w:rPr>
                <w:rFonts w:ascii="Calibri" w:hAnsi="Calibri" w:cs="Calibri"/>
                <w:color w:val="000000"/>
                <w:szCs w:val="22"/>
                <w:lang w:val="en-US"/>
              </w:rPr>
              <w:t xml:space="preserve"> (or reports on same)</w:t>
            </w:r>
          </w:p>
        </w:tc>
        <w:tc>
          <w:tcPr>
            <w:tcW w:w="477" w:type="pct"/>
            <w:tcBorders>
              <w:top w:val="nil"/>
              <w:left w:val="nil"/>
              <w:bottom w:val="single" w:sz="4" w:space="0" w:color="auto"/>
              <w:right w:val="single" w:sz="4" w:space="0" w:color="auto"/>
            </w:tcBorders>
            <w:shd w:val="clear" w:color="auto" w:fill="auto"/>
            <w:vAlign w:val="center"/>
            <w:hideMark/>
          </w:tcPr>
          <w:p w14:paraId="4D4B52B9"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*FA2J Description of Action </w:t>
            </w:r>
            <w:r w:rsidRPr="00B6462D">
              <w:rPr>
                <w:rFonts w:ascii="Calibri" w:hAnsi="Calibri" w:cs="Calibri"/>
                <w:color w:val="000000"/>
                <w:szCs w:val="22"/>
                <w:lang w:val="en-US"/>
              </w:rPr>
              <w:br/>
              <w:t xml:space="preserve">*EU Financing Agreement </w:t>
            </w:r>
          </w:p>
        </w:tc>
        <w:tc>
          <w:tcPr>
            <w:tcW w:w="606" w:type="pct"/>
            <w:tcBorders>
              <w:top w:val="nil"/>
              <w:left w:val="nil"/>
              <w:bottom w:val="single" w:sz="4" w:space="0" w:color="auto"/>
              <w:right w:val="single" w:sz="4" w:space="0" w:color="auto"/>
            </w:tcBorders>
            <w:shd w:val="clear" w:color="auto" w:fill="auto"/>
            <w:vAlign w:val="center"/>
            <w:hideMark/>
          </w:tcPr>
          <w:p w14:paraId="5DB15E8B"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FA2J did not directly engage with this dimension during the review period</w:t>
            </w:r>
          </w:p>
        </w:tc>
      </w:tr>
      <w:tr w:rsidR="00B6462D" w:rsidRPr="00B6462D" w14:paraId="098B14B6" w14:textId="77777777" w:rsidTr="001B49E9">
        <w:trPr>
          <w:trHeight w:val="3900"/>
        </w:trPr>
        <w:tc>
          <w:tcPr>
            <w:tcW w:w="541" w:type="pct"/>
            <w:vMerge/>
            <w:tcBorders>
              <w:top w:val="nil"/>
              <w:left w:val="single" w:sz="4" w:space="0" w:color="auto"/>
              <w:bottom w:val="single" w:sz="4" w:space="0" w:color="000000"/>
              <w:right w:val="single" w:sz="4" w:space="0" w:color="auto"/>
            </w:tcBorders>
            <w:vAlign w:val="center"/>
            <w:hideMark/>
          </w:tcPr>
          <w:p w14:paraId="1D3CBD1D" w14:textId="77777777" w:rsidR="00B6462D" w:rsidRPr="00B6462D" w:rsidRDefault="00B6462D" w:rsidP="00B6462D">
            <w:pPr>
              <w:rPr>
                <w:rFonts w:ascii="Calibri" w:hAnsi="Calibri" w:cs="Calibri"/>
                <w:b/>
                <w:bCs/>
                <w:color w:val="000000"/>
                <w:szCs w:val="22"/>
                <w:lang w:val="en-US"/>
              </w:rPr>
            </w:pPr>
          </w:p>
        </w:tc>
        <w:tc>
          <w:tcPr>
            <w:tcW w:w="159" w:type="pct"/>
            <w:vMerge/>
            <w:tcBorders>
              <w:top w:val="single" w:sz="4" w:space="0" w:color="auto"/>
              <w:left w:val="single" w:sz="4" w:space="0" w:color="auto"/>
              <w:bottom w:val="single" w:sz="4" w:space="0" w:color="000000"/>
              <w:right w:val="single" w:sz="4" w:space="0" w:color="auto"/>
            </w:tcBorders>
            <w:vAlign w:val="center"/>
            <w:hideMark/>
          </w:tcPr>
          <w:p w14:paraId="3E2FB0F7" w14:textId="77777777" w:rsidR="00B6462D" w:rsidRPr="00B6462D" w:rsidRDefault="00B6462D" w:rsidP="00B6462D">
            <w:pPr>
              <w:rPr>
                <w:rFonts w:ascii="Calibri" w:hAnsi="Calibri" w:cs="Calibri"/>
                <w:color w:val="000000"/>
                <w:szCs w:val="22"/>
                <w:lang w:val="en-US"/>
              </w:rPr>
            </w:pPr>
          </w:p>
        </w:tc>
        <w:tc>
          <w:tcPr>
            <w:tcW w:w="674" w:type="pct"/>
            <w:vMerge/>
            <w:tcBorders>
              <w:top w:val="nil"/>
              <w:left w:val="single" w:sz="4" w:space="0" w:color="auto"/>
              <w:bottom w:val="single" w:sz="4" w:space="0" w:color="000000"/>
              <w:right w:val="single" w:sz="4" w:space="0" w:color="auto"/>
            </w:tcBorders>
            <w:vAlign w:val="center"/>
            <w:hideMark/>
          </w:tcPr>
          <w:p w14:paraId="46A4CCBF" w14:textId="77777777" w:rsidR="00B6462D" w:rsidRPr="00B6462D" w:rsidRDefault="00B6462D" w:rsidP="00B6462D">
            <w:pPr>
              <w:rPr>
                <w:rFonts w:ascii="Calibri" w:hAnsi="Calibri" w:cs="Calibri"/>
                <w:color w:val="000000"/>
                <w:szCs w:val="22"/>
                <w:lang w:val="en-US"/>
              </w:rPr>
            </w:pPr>
          </w:p>
        </w:tc>
        <w:tc>
          <w:tcPr>
            <w:tcW w:w="154" w:type="pct"/>
            <w:tcBorders>
              <w:top w:val="nil"/>
              <w:left w:val="nil"/>
              <w:bottom w:val="single" w:sz="4" w:space="0" w:color="auto"/>
              <w:right w:val="single" w:sz="4" w:space="0" w:color="auto"/>
            </w:tcBorders>
            <w:shd w:val="clear" w:color="auto" w:fill="auto"/>
            <w:vAlign w:val="bottom"/>
            <w:hideMark/>
          </w:tcPr>
          <w:p w14:paraId="3B4F8D2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F. </w:t>
            </w:r>
          </w:p>
        </w:tc>
        <w:tc>
          <w:tcPr>
            <w:tcW w:w="690" w:type="pct"/>
            <w:tcBorders>
              <w:top w:val="nil"/>
              <w:left w:val="nil"/>
              <w:bottom w:val="single" w:sz="4" w:space="0" w:color="auto"/>
              <w:right w:val="single" w:sz="4" w:space="0" w:color="auto"/>
            </w:tcBorders>
            <w:shd w:val="clear" w:color="auto" w:fill="auto"/>
            <w:vAlign w:val="center"/>
            <w:hideMark/>
          </w:tcPr>
          <w:p w14:paraId="75E631B5"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How well did the design and implementation of the project address the gaps related to gender identified in the capacity of rights-holder to claim their rights, and of duty-bearers to fulfil their obligations? </w:t>
            </w:r>
          </w:p>
        </w:tc>
        <w:tc>
          <w:tcPr>
            <w:tcW w:w="576" w:type="pct"/>
            <w:tcBorders>
              <w:top w:val="nil"/>
              <w:left w:val="nil"/>
              <w:bottom w:val="single" w:sz="4" w:space="0" w:color="auto"/>
              <w:right w:val="single" w:sz="4" w:space="0" w:color="auto"/>
            </w:tcBorders>
            <w:shd w:val="clear" w:color="auto" w:fill="auto"/>
            <w:vAlign w:val="center"/>
            <w:hideMark/>
          </w:tcPr>
          <w:p w14:paraId="1B0DDD39"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*Evidence that specific gaps were identified and addressed during implementation for rights-holders in target populations and duty bearers in key partners </w:t>
            </w:r>
          </w:p>
        </w:tc>
        <w:tc>
          <w:tcPr>
            <w:tcW w:w="523" w:type="pct"/>
            <w:tcBorders>
              <w:top w:val="nil"/>
              <w:left w:val="nil"/>
              <w:bottom w:val="single" w:sz="4" w:space="0" w:color="auto"/>
              <w:right w:val="single" w:sz="4" w:space="0" w:color="auto"/>
            </w:tcBorders>
            <w:shd w:val="clear" w:color="auto" w:fill="auto"/>
            <w:vAlign w:val="center"/>
            <w:hideMark/>
          </w:tcPr>
          <w:p w14:paraId="7DEC9FE8"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gaps related to gender identified for rights-holders and duty-bearers during design</w:t>
            </w:r>
            <w:r w:rsidRPr="00B6462D">
              <w:rPr>
                <w:rFonts w:ascii="Calibri" w:hAnsi="Calibri" w:cs="Calibri"/>
                <w:color w:val="000000"/>
                <w:szCs w:val="22"/>
                <w:lang w:val="en-US"/>
              </w:rPr>
              <w:br/>
              <w:t xml:space="preserve">*# gaps related to gender identified for rights-holders and duty-bearers during implementation </w:t>
            </w:r>
            <w:r w:rsidRPr="00B6462D">
              <w:rPr>
                <w:rFonts w:ascii="Calibri" w:hAnsi="Calibri" w:cs="Calibri"/>
                <w:color w:val="000000"/>
                <w:szCs w:val="22"/>
                <w:lang w:val="en-US"/>
              </w:rPr>
              <w:br/>
              <w:t>*# gaps related to gender addressed during implementation</w:t>
            </w:r>
          </w:p>
        </w:tc>
        <w:tc>
          <w:tcPr>
            <w:tcW w:w="600" w:type="pct"/>
            <w:tcBorders>
              <w:top w:val="nil"/>
              <w:left w:val="nil"/>
              <w:bottom w:val="single" w:sz="4" w:space="0" w:color="auto"/>
              <w:right w:val="single" w:sz="4" w:space="0" w:color="auto"/>
            </w:tcBorders>
            <w:shd w:val="clear" w:color="auto" w:fill="auto"/>
            <w:vAlign w:val="center"/>
            <w:hideMark/>
          </w:tcPr>
          <w:p w14:paraId="79BF7D11"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2 primary gaps identified in design</w:t>
            </w:r>
            <w:r w:rsidRPr="00B6462D">
              <w:rPr>
                <w:rFonts w:ascii="Calibri" w:hAnsi="Calibri" w:cs="Calibri"/>
                <w:color w:val="000000"/>
                <w:szCs w:val="22"/>
                <w:lang w:val="en-US"/>
              </w:rPr>
              <w:br/>
              <w:t>*Specific institutional (duty bearer) gaps not identified and addressed during 1st half implementation (CJ comments Feb 19 PB Mtg)</w:t>
            </w:r>
            <w:r w:rsidRPr="00B6462D">
              <w:rPr>
                <w:rFonts w:ascii="Calibri" w:hAnsi="Calibri" w:cs="Calibri"/>
                <w:color w:val="000000"/>
                <w:szCs w:val="22"/>
                <w:lang w:val="en-US"/>
              </w:rPr>
              <w:br/>
              <w:t>*Gap of lack of women's access to information identified through draft A2J Assess.</w:t>
            </w:r>
          </w:p>
        </w:tc>
        <w:tc>
          <w:tcPr>
            <w:tcW w:w="477" w:type="pct"/>
            <w:tcBorders>
              <w:top w:val="nil"/>
              <w:left w:val="nil"/>
              <w:bottom w:val="single" w:sz="4" w:space="0" w:color="auto"/>
              <w:right w:val="single" w:sz="4" w:space="0" w:color="auto"/>
            </w:tcBorders>
            <w:shd w:val="clear" w:color="auto" w:fill="auto"/>
            <w:vAlign w:val="center"/>
            <w:hideMark/>
          </w:tcPr>
          <w:p w14:paraId="422DE3B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 xml:space="preserve">*A2J Assessment </w:t>
            </w:r>
            <w:r w:rsidRPr="00B6462D">
              <w:rPr>
                <w:rFonts w:ascii="Calibri" w:hAnsi="Calibri" w:cs="Calibri"/>
                <w:color w:val="000000"/>
                <w:szCs w:val="22"/>
                <w:lang w:val="en-US"/>
              </w:rPr>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7584FA81" w14:textId="516550E9"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*The design of FA2J is built around 2 fundamental gaps relating to gender: 1) access to justice in Fiji required assessment to identify gaps, including those relating to gender, and 2) there was a lack of knowledge amongst </w:t>
            </w:r>
            <w:r w:rsidR="00232F50" w:rsidRPr="00B6462D">
              <w:rPr>
                <w:rFonts w:ascii="Calibri" w:hAnsi="Calibri" w:cs="Calibri"/>
                <w:color w:val="000000"/>
                <w:szCs w:val="22"/>
                <w:lang w:val="en-US"/>
              </w:rPr>
              <w:t>vulnerable</w:t>
            </w:r>
            <w:r w:rsidRPr="00B6462D">
              <w:rPr>
                <w:rFonts w:ascii="Calibri" w:hAnsi="Calibri" w:cs="Calibri"/>
                <w:color w:val="000000"/>
                <w:szCs w:val="22"/>
                <w:lang w:val="en-US"/>
              </w:rPr>
              <w:t xml:space="preserve"> groups as to their rights</w:t>
            </w:r>
            <w:r w:rsidRPr="00B6462D">
              <w:rPr>
                <w:rFonts w:ascii="Calibri" w:hAnsi="Calibri" w:cs="Calibri"/>
                <w:color w:val="000000"/>
                <w:szCs w:val="22"/>
                <w:lang w:val="en-US"/>
              </w:rPr>
              <w:br/>
              <w:t xml:space="preserve">*The delayed completion of the A2J Assessment and, more importantly, its integration into strategic planning and budgeting </w:t>
            </w:r>
            <w:r w:rsidRPr="00B6462D">
              <w:rPr>
                <w:rFonts w:ascii="Calibri" w:hAnsi="Calibri" w:cs="Calibri"/>
                <w:color w:val="000000"/>
                <w:szCs w:val="22"/>
                <w:lang w:val="en-US"/>
              </w:rPr>
              <w:lastRenderedPageBreak/>
              <w:t>systems have delayed concrete contributions to addressing gaps during the period under review</w:t>
            </w:r>
          </w:p>
        </w:tc>
      </w:tr>
      <w:tr w:rsidR="00B6462D" w:rsidRPr="00B6462D" w14:paraId="6AB4E2E0" w14:textId="77777777" w:rsidTr="001B49E9">
        <w:trPr>
          <w:trHeight w:val="3015"/>
        </w:trPr>
        <w:tc>
          <w:tcPr>
            <w:tcW w:w="541" w:type="pct"/>
            <w:tcBorders>
              <w:top w:val="nil"/>
              <w:left w:val="single" w:sz="4" w:space="0" w:color="auto"/>
              <w:bottom w:val="nil"/>
              <w:right w:val="single" w:sz="4" w:space="0" w:color="auto"/>
            </w:tcBorders>
            <w:shd w:val="clear" w:color="auto" w:fill="auto"/>
            <w:vAlign w:val="center"/>
            <w:hideMark/>
          </w:tcPr>
          <w:p w14:paraId="37A648AF" w14:textId="77777777" w:rsidR="00B6462D" w:rsidRPr="00B6462D" w:rsidRDefault="00B6462D" w:rsidP="00B6462D">
            <w:pPr>
              <w:rPr>
                <w:rFonts w:ascii="Calibri" w:hAnsi="Calibri" w:cs="Calibri"/>
                <w:b/>
                <w:bCs/>
                <w:color w:val="000000"/>
                <w:szCs w:val="22"/>
                <w:lang w:val="en-US"/>
              </w:rPr>
            </w:pPr>
            <w:r w:rsidRPr="00B6462D">
              <w:rPr>
                <w:rFonts w:ascii="Calibri" w:hAnsi="Calibri" w:cs="Calibri"/>
                <w:b/>
                <w:bCs/>
                <w:color w:val="000000"/>
                <w:szCs w:val="22"/>
                <w:lang w:val="en-US"/>
              </w:rPr>
              <w:lastRenderedPageBreak/>
              <w:t>Social inclusion</w:t>
            </w:r>
          </w:p>
        </w:tc>
        <w:tc>
          <w:tcPr>
            <w:tcW w:w="159" w:type="pct"/>
            <w:tcBorders>
              <w:top w:val="nil"/>
              <w:left w:val="nil"/>
              <w:bottom w:val="single" w:sz="4" w:space="0" w:color="auto"/>
              <w:right w:val="single" w:sz="4" w:space="0" w:color="auto"/>
            </w:tcBorders>
            <w:shd w:val="clear" w:color="auto" w:fill="auto"/>
            <w:vAlign w:val="center"/>
            <w:hideMark/>
          </w:tcPr>
          <w:p w14:paraId="013F2EC1" w14:textId="77777777" w:rsidR="00B6462D" w:rsidRPr="00B6462D" w:rsidRDefault="00B6462D" w:rsidP="00B6462D">
            <w:pPr>
              <w:jc w:val="center"/>
              <w:rPr>
                <w:rFonts w:ascii="Calibri" w:hAnsi="Calibri" w:cs="Calibri"/>
                <w:color w:val="000000"/>
                <w:szCs w:val="22"/>
                <w:lang w:val="en-US"/>
              </w:rPr>
            </w:pPr>
            <w:r w:rsidRPr="00B6462D">
              <w:rPr>
                <w:rFonts w:ascii="Calibri" w:hAnsi="Calibri" w:cs="Calibri"/>
                <w:color w:val="000000"/>
                <w:szCs w:val="22"/>
                <w:lang w:val="en-US"/>
              </w:rPr>
              <w:t xml:space="preserve">8. </w:t>
            </w:r>
          </w:p>
        </w:tc>
        <w:tc>
          <w:tcPr>
            <w:tcW w:w="674" w:type="pct"/>
            <w:tcBorders>
              <w:top w:val="nil"/>
              <w:left w:val="nil"/>
              <w:bottom w:val="single" w:sz="4" w:space="0" w:color="auto"/>
              <w:right w:val="single" w:sz="4" w:space="0" w:color="auto"/>
            </w:tcBorders>
            <w:shd w:val="clear" w:color="auto" w:fill="auto"/>
            <w:vAlign w:val="center"/>
            <w:hideMark/>
          </w:tcPr>
          <w:p w14:paraId="6FF15908"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How did the project consider the plight and needs of the vulnerable and disadvantaged to promote social equity, for example, women, youth, persons with mental or physical challenges? </w:t>
            </w:r>
          </w:p>
        </w:tc>
        <w:tc>
          <w:tcPr>
            <w:tcW w:w="154" w:type="pct"/>
            <w:tcBorders>
              <w:top w:val="nil"/>
              <w:left w:val="nil"/>
              <w:bottom w:val="single" w:sz="4" w:space="0" w:color="auto"/>
              <w:right w:val="single" w:sz="4" w:space="0" w:color="auto"/>
            </w:tcBorders>
            <w:shd w:val="clear" w:color="auto" w:fill="auto"/>
            <w:vAlign w:val="bottom"/>
            <w:hideMark/>
          </w:tcPr>
          <w:p w14:paraId="18F18D95"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A. </w:t>
            </w:r>
          </w:p>
        </w:tc>
        <w:tc>
          <w:tcPr>
            <w:tcW w:w="690" w:type="pct"/>
            <w:tcBorders>
              <w:top w:val="nil"/>
              <w:left w:val="nil"/>
              <w:bottom w:val="single" w:sz="4" w:space="0" w:color="auto"/>
              <w:right w:val="single" w:sz="4" w:space="0" w:color="auto"/>
            </w:tcBorders>
            <w:shd w:val="clear" w:color="auto" w:fill="auto"/>
            <w:vAlign w:val="center"/>
            <w:hideMark/>
          </w:tcPr>
          <w:p w14:paraId="05D14DF2"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Assess the alignment of program implementation to formally / informally identified target populations</w:t>
            </w:r>
          </w:p>
        </w:tc>
        <w:tc>
          <w:tcPr>
            <w:tcW w:w="576" w:type="pct"/>
            <w:tcBorders>
              <w:top w:val="nil"/>
              <w:left w:val="nil"/>
              <w:bottom w:val="single" w:sz="4" w:space="0" w:color="auto"/>
              <w:right w:val="single" w:sz="4" w:space="0" w:color="auto"/>
            </w:tcBorders>
            <w:shd w:val="clear" w:color="auto" w:fill="auto"/>
            <w:vAlign w:val="center"/>
            <w:hideMark/>
          </w:tcPr>
          <w:p w14:paraId="49A7F4F6"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*Evidence of programmatic activities that have an explicit gender / pro-poor / pro-vulnerable group focus or component</w:t>
            </w:r>
          </w:p>
        </w:tc>
        <w:tc>
          <w:tcPr>
            <w:tcW w:w="523" w:type="pct"/>
            <w:tcBorders>
              <w:top w:val="nil"/>
              <w:left w:val="nil"/>
              <w:bottom w:val="single" w:sz="4" w:space="0" w:color="auto"/>
              <w:right w:val="single" w:sz="4" w:space="0" w:color="auto"/>
            </w:tcBorders>
            <w:shd w:val="clear" w:color="auto" w:fill="auto"/>
            <w:vAlign w:val="center"/>
            <w:hideMark/>
          </w:tcPr>
          <w:p w14:paraId="4B6D561C"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 of programmatic activities that have an explicit gender / pro-poor / pro-vulnerable group focus or component</w:t>
            </w:r>
          </w:p>
        </w:tc>
        <w:tc>
          <w:tcPr>
            <w:tcW w:w="600" w:type="pct"/>
            <w:tcBorders>
              <w:top w:val="nil"/>
              <w:left w:val="nil"/>
              <w:bottom w:val="single" w:sz="4" w:space="0" w:color="auto"/>
              <w:right w:val="single" w:sz="4" w:space="0" w:color="auto"/>
            </w:tcBorders>
            <w:shd w:val="clear" w:color="auto" w:fill="auto"/>
            <w:vAlign w:val="center"/>
            <w:hideMark/>
          </w:tcPr>
          <w:p w14:paraId="3C8D5AB8" w14:textId="36DDE75E"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3 CSO grants have explicit gender / pro -poor (geographic lack of access to opportunities and resources) / pro-vulnerable group (people with disabilities)</w:t>
            </w:r>
          </w:p>
        </w:tc>
        <w:tc>
          <w:tcPr>
            <w:tcW w:w="477" w:type="pct"/>
            <w:tcBorders>
              <w:top w:val="nil"/>
              <w:left w:val="nil"/>
              <w:bottom w:val="single" w:sz="4" w:space="0" w:color="auto"/>
              <w:right w:val="single" w:sz="4" w:space="0" w:color="auto"/>
            </w:tcBorders>
            <w:shd w:val="clear" w:color="auto" w:fill="auto"/>
            <w:vAlign w:val="center"/>
            <w:hideMark/>
          </w:tcPr>
          <w:p w14:paraId="15DE29ED"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br/>
              <w:t>*FA2J reports</w:t>
            </w:r>
            <w:r w:rsidRPr="00B6462D">
              <w:rPr>
                <w:rFonts w:ascii="Calibri" w:hAnsi="Calibri" w:cs="Calibri"/>
                <w:color w:val="000000"/>
                <w:szCs w:val="22"/>
                <w:lang w:val="en-US"/>
              </w:rPr>
              <w:br/>
              <w:t>*Partner interviews</w:t>
            </w:r>
          </w:p>
        </w:tc>
        <w:tc>
          <w:tcPr>
            <w:tcW w:w="606" w:type="pct"/>
            <w:tcBorders>
              <w:top w:val="nil"/>
              <w:left w:val="nil"/>
              <w:bottom w:val="single" w:sz="4" w:space="0" w:color="auto"/>
              <w:right w:val="single" w:sz="4" w:space="0" w:color="auto"/>
            </w:tcBorders>
            <w:shd w:val="clear" w:color="auto" w:fill="auto"/>
            <w:vAlign w:val="center"/>
            <w:hideMark/>
          </w:tcPr>
          <w:p w14:paraId="06FB1DDA" w14:textId="77777777" w:rsidR="00B6462D" w:rsidRPr="00B6462D" w:rsidRDefault="00B6462D" w:rsidP="00B6462D">
            <w:pPr>
              <w:rPr>
                <w:rFonts w:ascii="Calibri" w:hAnsi="Calibri" w:cs="Calibri"/>
                <w:color w:val="000000"/>
                <w:szCs w:val="22"/>
                <w:lang w:val="en-US"/>
              </w:rPr>
            </w:pPr>
            <w:r w:rsidRPr="00B6462D">
              <w:rPr>
                <w:rFonts w:ascii="Calibri" w:hAnsi="Calibri" w:cs="Calibri"/>
                <w:color w:val="000000"/>
                <w:szCs w:val="22"/>
                <w:lang w:val="en-US"/>
              </w:rPr>
              <w:t xml:space="preserve">*The grants issued in 2018 contained an "explicit gender / pro-poor / pro-vulnerable group focus"; the A2J Assessment also directly engages with issues facing these target populations, however it is not yet endorsed as of 4/2019 and </w:t>
            </w:r>
            <w:r w:rsidRPr="00B6462D">
              <w:rPr>
                <w:rFonts w:ascii="Calibri" w:hAnsi="Calibri" w:cs="Calibri"/>
                <w:color w:val="000000"/>
                <w:szCs w:val="22"/>
                <w:lang w:val="en-US"/>
              </w:rPr>
              <w:lastRenderedPageBreak/>
              <w:t>there is not a mechanism in place for integrating the results of the A2J Assessment into partner or project initiatives</w:t>
            </w:r>
          </w:p>
        </w:tc>
      </w:tr>
    </w:tbl>
    <w:p w14:paraId="2843C276" w14:textId="77777777" w:rsidR="006B7214" w:rsidRDefault="006B7214" w:rsidP="0009420A">
      <w:pPr>
        <w:rPr>
          <w:rFonts w:eastAsia="Arial"/>
        </w:rPr>
      </w:pPr>
    </w:p>
    <w:p w14:paraId="5C9AE56B" w14:textId="77777777" w:rsidR="006B7214" w:rsidRDefault="006B7214" w:rsidP="0009420A">
      <w:pPr>
        <w:rPr>
          <w:rFonts w:eastAsia="Arial"/>
        </w:rPr>
      </w:pPr>
    </w:p>
    <w:p w14:paraId="2D36B861" w14:textId="77777777" w:rsidR="006B7214" w:rsidRDefault="006B7214" w:rsidP="0009420A">
      <w:pPr>
        <w:rPr>
          <w:rFonts w:eastAsia="Arial"/>
        </w:rPr>
      </w:pPr>
    </w:p>
    <w:p w14:paraId="275D0A9D" w14:textId="77777777" w:rsidR="00DA5682" w:rsidRDefault="00DA5682" w:rsidP="0009420A">
      <w:pPr>
        <w:rPr>
          <w:rFonts w:eastAsia="Arial"/>
        </w:rPr>
        <w:sectPr w:rsidR="00DA5682" w:rsidSect="00DA5682">
          <w:type w:val="continuous"/>
          <w:pgSz w:w="16838" w:h="11906" w:orient="landscape" w:code="9"/>
          <w:pgMar w:top="1440" w:right="1440" w:bottom="1440" w:left="1440" w:header="720" w:footer="720" w:gutter="0"/>
          <w:cols w:space="720"/>
          <w:titlePg/>
          <w:docGrid w:linePitch="360"/>
        </w:sectPr>
      </w:pPr>
    </w:p>
    <w:p w14:paraId="22C11DFF" w14:textId="26C95AD7" w:rsidR="0009420A" w:rsidRDefault="0009420A" w:rsidP="0009420A">
      <w:pPr>
        <w:pStyle w:val="Heading1"/>
        <w:rPr>
          <w:rFonts w:eastAsia="Arial"/>
        </w:rPr>
      </w:pPr>
      <w:bookmarkStart w:id="32" w:name="_Toc12804589"/>
      <w:r>
        <w:rPr>
          <w:rFonts w:eastAsia="Arial"/>
        </w:rPr>
        <w:lastRenderedPageBreak/>
        <w:t xml:space="preserve">Annex </w:t>
      </w:r>
      <w:r w:rsidR="007679CE">
        <w:rPr>
          <w:rFonts w:eastAsia="Arial"/>
        </w:rPr>
        <w:t>3</w:t>
      </w:r>
      <w:r>
        <w:rPr>
          <w:rFonts w:eastAsia="Arial"/>
        </w:rPr>
        <w:t xml:space="preserve"> – Outcome Model</w:t>
      </w:r>
      <w:bookmarkEnd w:id="32"/>
    </w:p>
    <w:p w14:paraId="52BF17B5" w14:textId="07FD5CD7" w:rsidR="0009420A" w:rsidRDefault="0009420A" w:rsidP="0009420A">
      <w:pPr>
        <w:rPr>
          <w:rFonts w:eastAsia="Arial"/>
        </w:rPr>
      </w:pPr>
    </w:p>
    <w:p w14:paraId="6C0CDAC4" w14:textId="77777777" w:rsidR="0009420A" w:rsidRDefault="0009420A" w:rsidP="0009420A">
      <w:pPr>
        <w:rPr>
          <w:rFonts w:eastAsia="Arial"/>
        </w:rPr>
      </w:pPr>
    </w:p>
    <w:p w14:paraId="2C4918E0" w14:textId="661FD707" w:rsidR="006B7214" w:rsidRDefault="006B7214" w:rsidP="0009420A">
      <w:pPr>
        <w:rPr>
          <w:rFonts w:eastAsia="Arial"/>
        </w:rPr>
        <w:sectPr w:rsidR="006B7214" w:rsidSect="006B7214">
          <w:pgSz w:w="16838" w:h="11906" w:orient="landscape" w:code="9"/>
          <w:pgMar w:top="1440" w:right="1440" w:bottom="1440" w:left="1440" w:header="720" w:footer="720" w:gutter="0"/>
          <w:cols w:space="720"/>
          <w:titlePg/>
          <w:docGrid w:linePitch="360"/>
        </w:sectPr>
      </w:pPr>
      <w:r>
        <w:rPr>
          <w:rFonts w:eastAsia="Arial"/>
          <w:noProof/>
          <w:lang w:val="en-CA" w:eastAsia="en-CA"/>
        </w:rPr>
        <w:drawing>
          <wp:inline distT="0" distB="0" distL="0" distR="0" wp14:anchorId="6FDF06B1" wp14:editId="7B7D6E49">
            <wp:extent cx="8416743" cy="473392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33677" cy="4743449"/>
                    </a:xfrm>
                    <a:prstGeom prst="rect">
                      <a:avLst/>
                    </a:prstGeom>
                    <a:noFill/>
                  </pic:spPr>
                </pic:pic>
              </a:graphicData>
            </a:graphic>
          </wp:inline>
        </w:drawing>
      </w:r>
    </w:p>
    <w:p w14:paraId="668BE1F9" w14:textId="693BD3A4" w:rsidR="0009420A" w:rsidRDefault="00C33545" w:rsidP="0009420A">
      <w:pPr>
        <w:pStyle w:val="Heading1"/>
        <w:rPr>
          <w:rFonts w:eastAsia="Arial"/>
        </w:rPr>
      </w:pPr>
      <w:bookmarkStart w:id="33" w:name="_Toc12804590"/>
      <w:r>
        <w:rPr>
          <w:rFonts w:eastAsia="Arial"/>
        </w:rPr>
        <w:lastRenderedPageBreak/>
        <w:t>A</w:t>
      </w:r>
      <w:r w:rsidR="0009420A">
        <w:rPr>
          <w:rFonts w:eastAsia="Arial"/>
        </w:rPr>
        <w:t xml:space="preserve">nnex </w:t>
      </w:r>
      <w:r w:rsidR="007679CE">
        <w:rPr>
          <w:rFonts w:eastAsia="Arial"/>
        </w:rPr>
        <w:t>4</w:t>
      </w:r>
      <w:r w:rsidR="0009420A">
        <w:rPr>
          <w:rFonts w:eastAsia="Arial"/>
        </w:rPr>
        <w:t xml:space="preserve"> – Reference Documents</w:t>
      </w:r>
      <w:bookmarkEnd w:id="33"/>
    </w:p>
    <w:p w14:paraId="22448A13" w14:textId="3A71B92B" w:rsidR="0009420A" w:rsidRDefault="0009420A" w:rsidP="0009420A">
      <w:pPr>
        <w:rPr>
          <w:rFonts w:eastAsia="Arial"/>
        </w:rPr>
      </w:pPr>
    </w:p>
    <w:p w14:paraId="2C6344D7" w14:textId="4F7862D3" w:rsidR="0009420A" w:rsidRDefault="002B6A90" w:rsidP="0009420A">
      <w:pPr>
        <w:rPr>
          <w:rFonts w:eastAsia="Arial"/>
        </w:rPr>
      </w:pPr>
      <w:r>
        <w:rPr>
          <w:rFonts w:eastAsia="Arial"/>
        </w:rPr>
        <w:t>*Primary source documents through 22 April 2019</w:t>
      </w:r>
    </w:p>
    <w:p w14:paraId="057ABD4B" w14:textId="77777777" w:rsidR="00C33545" w:rsidRPr="00C33545" w:rsidRDefault="00C33545" w:rsidP="00C33545">
      <w:pPr>
        <w:rPr>
          <w:rFonts w:eastAsia="Arial"/>
        </w:rPr>
      </w:pPr>
    </w:p>
    <w:p w14:paraId="70DA836D" w14:textId="77777777" w:rsidR="00C33545" w:rsidRDefault="00C33545" w:rsidP="00C33545">
      <w:pPr>
        <w:rPr>
          <w:rFonts w:eastAsia="Arial"/>
        </w:rPr>
      </w:pPr>
    </w:p>
    <w:tbl>
      <w:tblPr>
        <w:tblStyle w:val="GridTable4-Accent1"/>
        <w:tblW w:w="0" w:type="auto"/>
        <w:tblInd w:w="-635" w:type="dxa"/>
        <w:tblLook w:val="04A0" w:firstRow="1" w:lastRow="0" w:firstColumn="1" w:lastColumn="0" w:noHBand="0" w:noVBand="1"/>
      </w:tblPr>
      <w:tblGrid>
        <w:gridCol w:w="6120"/>
        <w:gridCol w:w="3531"/>
      </w:tblGrid>
      <w:tr w:rsidR="00C33545" w14:paraId="4C4075E8" w14:textId="77777777" w:rsidTr="00C33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14:paraId="1C95365D" w14:textId="524896F9" w:rsidR="00C33545" w:rsidRDefault="00C33545" w:rsidP="00C33545">
            <w:pPr>
              <w:rPr>
                <w:rFonts w:eastAsia="Arial"/>
              </w:rPr>
            </w:pPr>
            <w:bookmarkStart w:id="34" w:name="_Hlk8610320"/>
            <w:r w:rsidRPr="00C33545">
              <w:rPr>
                <w:rFonts w:eastAsia="Arial"/>
                <w:color w:val="FFFFFF" w:themeColor="background1"/>
              </w:rPr>
              <w:t>Document</w:t>
            </w:r>
            <w:r>
              <w:rPr>
                <w:rFonts w:eastAsia="Arial"/>
              </w:rPr>
              <w:t xml:space="preserve"> </w:t>
            </w:r>
          </w:p>
        </w:tc>
        <w:tc>
          <w:tcPr>
            <w:tcW w:w="3531" w:type="dxa"/>
          </w:tcPr>
          <w:p w14:paraId="23534310" w14:textId="745EFB2B" w:rsidR="00C33545" w:rsidRDefault="00C33545" w:rsidP="00C33545">
            <w:pPr>
              <w:cnfStyle w:val="100000000000" w:firstRow="1" w:lastRow="0" w:firstColumn="0" w:lastColumn="0" w:oddVBand="0" w:evenVBand="0" w:oddHBand="0" w:evenHBand="0" w:firstRowFirstColumn="0" w:firstRowLastColumn="0" w:lastRowFirstColumn="0" w:lastRowLastColumn="0"/>
              <w:rPr>
                <w:rFonts w:eastAsia="Arial"/>
              </w:rPr>
            </w:pPr>
            <w:r w:rsidRPr="00C33545">
              <w:rPr>
                <w:rFonts w:eastAsia="Arial"/>
                <w:color w:val="FFFFFF" w:themeColor="background1"/>
              </w:rPr>
              <w:t>Author</w:t>
            </w:r>
          </w:p>
        </w:tc>
      </w:tr>
      <w:tr w:rsidR="00C33545" w14:paraId="2782BC41" w14:textId="77777777" w:rsidTr="00C3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14:paraId="5FF82EDB" w14:textId="0FC2EB91" w:rsidR="00C33545" w:rsidRPr="00C33545" w:rsidRDefault="00C33545" w:rsidP="00C33545">
            <w:pPr>
              <w:rPr>
                <w:rFonts w:eastAsia="Arial"/>
                <w:b w:val="0"/>
                <w:sz w:val="20"/>
              </w:rPr>
            </w:pPr>
            <w:r w:rsidRPr="00C33545">
              <w:rPr>
                <w:rFonts w:eastAsia="Arial"/>
                <w:b w:val="0"/>
                <w:sz w:val="20"/>
              </w:rPr>
              <w:t>Description of the Action of the project “Fiji Access to Justice Project”, FED/2016/ 378-171</w:t>
            </w:r>
          </w:p>
        </w:tc>
        <w:tc>
          <w:tcPr>
            <w:tcW w:w="3531" w:type="dxa"/>
          </w:tcPr>
          <w:p w14:paraId="4F2A5EC6" w14:textId="41D9CC55" w:rsidR="00C33545" w:rsidRPr="00C33545" w:rsidRDefault="00C33545" w:rsidP="00C33545">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UNDP</w:t>
            </w:r>
          </w:p>
        </w:tc>
      </w:tr>
      <w:tr w:rsidR="00C33545" w14:paraId="56E06B0E" w14:textId="77777777" w:rsidTr="00C33545">
        <w:tc>
          <w:tcPr>
            <w:cnfStyle w:val="001000000000" w:firstRow="0" w:lastRow="0" w:firstColumn="1" w:lastColumn="0" w:oddVBand="0" w:evenVBand="0" w:oddHBand="0" w:evenHBand="0" w:firstRowFirstColumn="0" w:firstRowLastColumn="0" w:lastRowFirstColumn="0" w:lastRowLastColumn="0"/>
            <w:tcW w:w="6120" w:type="dxa"/>
          </w:tcPr>
          <w:p w14:paraId="5D7CD9C9" w14:textId="4E8CCC4F" w:rsidR="00C33545" w:rsidRPr="00C33545" w:rsidRDefault="00C33545" w:rsidP="00C33545">
            <w:pPr>
              <w:rPr>
                <w:rFonts w:eastAsia="Arial"/>
                <w:b w:val="0"/>
                <w:sz w:val="20"/>
              </w:rPr>
            </w:pPr>
            <w:r w:rsidRPr="00C33545">
              <w:rPr>
                <w:b w:val="0"/>
              </w:rPr>
              <w:t>Financing Agreement between the European Union and the Republic of Fiji, FED/2015/038-757</w:t>
            </w:r>
          </w:p>
        </w:tc>
        <w:tc>
          <w:tcPr>
            <w:tcW w:w="3531" w:type="dxa"/>
          </w:tcPr>
          <w:p w14:paraId="19BBDB80" w14:textId="6FCC2287" w:rsidR="00C33545" w:rsidRPr="00C33545" w:rsidRDefault="00C33545" w:rsidP="00C33545">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EU</w:t>
            </w:r>
          </w:p>
        </w:tc>
      </w:tr>
      <w:tr w:rsidR="00C33545" w14:paraId="3254009E" w14:textId="77777777" w:rsidTr="00C3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14:paraId="7A77E2B5" w14:textId="6EBA88A2" w:rsidR="00C33545" w:rsidRPr="00C33545" w:rsidRDefault="00C33545" w:rsidP="00C33545">
            <w:pPr>
              <w:rPr>
                <w:rFonts w:eastAsia="Arial"/>
                <w:b w:val="0"/>
                <w:sz w:val="20"/>
              </w:rPr>
            </w:pPr>
            <w:r>
              <w:rPr>
                <w:rFonts w:eastAsia="Arial"/>
                <w:b w:val="0"/>
                <w:sz w:val="20"/>
              </w:rPr>
              <w:t>Year 1 Progress Report, Fiji Access to Justice Project</w:t>
            </w:r>
            <w:r w:rsidR="002B6A90">
              <w:rPr>
                <w:rFonts w:eastAsia="Arial"/>
                <w:b w:val="0"/>
                <w:sz w:val="20"/>
              </w:rPr>
              <w:t>, July 2017</w:t>
            </w:r>
          </w:p>
        </w:tc>
        <w:tc>
          <w:tcPr>
            <w:tcW w:w="3531" w:type="dxa"/>
          </w:tcPr>
          <w:p w14:paraId="644125CC" w14:textId="36139C23" w:rsidR="00C33545" w:rsidRPr="00C33545" w:rsidRDefault="00C33545" w:rsidP="00C33545">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UNDP</w:t>
            </w:r>
          </w:p>
        </w:tc>
      </w:tr>
      <w:tr w:rsidR="00C33545" w14:paraId="789C84DC" w14:textId="77777777" w:rsidTr="00C33545">
        <w:tc>
          <w:tcPr>
            <w:cnfStyle w:val="001000000000" w:firstRow="0" w:lastRow="0" w:firstColumn="1" w:lastColumn="0" w:oddVBand="0" w:evenVBand="0" w:oddHBand="0" w:evenHBand="0" w:firstRowFirstColumn="0" w:firstRowLastColumn="0" w:lastRowFirstColumn="0" w:lastRowLastColumn="0"/>
            <w:tcW w:w="6120" w:type="dxa"/>
          </w:tcPr>
          <w:p w14:paraId="5BA86A64" w14:textId="7DE08B34" w:rsidR="00C33545" w:rsidRPr="00C33545" w:rsidRDefault="00C33545" w:rsidP="00C33545">
            <w:pPr>
              <w:rPr>
                <w:rFonts w:eastAsia="Arial"/>
                <w:b w:val="0"/>
                <w:sz w:val="20"/>
              </w:rPr>
            </w:pPr>
            <w:r>
              <w:rPr>
                <w:rFonts w:eastAsia="Arial"/>
                <w:b w:val="0"/>
                <w:sz w:val="20"/>
              </w:rPr>
              <w:t xml:space="preserve">Year </w:t>
            </w:r>
            <w:r w:rsidR="002B6A90">
              <w:rPr>
                <w:rFonts w:eastAsia="Arial"/>
                <w:b w:val="0"/>
                <w:sz w:val="20"/>
              </w:rPr>
              <w:t>1</w:t>
            </w:r>
            <w:r>
              <w:rPr>
                <w:rFonts w:eastAsia="Arial"/>
                <w:b w:val="0"/>
                <w:sz w:val="20"/>
              </w:rPr>
              <w:t xml:space="preserve"> Progress Report</w:t>
            </w:r>
            <w:r w:rsidR="002B6A90">
              <w:rPr>
                <w:rFonts w:eastAsia="Arial"/>
                <w:b w:val="0"/>
                <w:sz w:val="20"/>
              </w:rPr>
              <w:t xml:space="preserve"> (Revised)</w:t>
            </w:r>
            <w:r>
              <w:rPr>
                <w:rFonts w:eastAsia="Arial"/>
                <w:b w:val="0"/>
                <w:sz w:val="20"/>
              </w:rPr>
              <w:t>, Fiji Access to Justice Project</w:t>
            </w:r>
            <w:r w:rsidR="002B6A90">
              <w:rPr>
                <w:rFonts w:eastAsia="Arial"/>
                <w:b w:val="0"/>
                <w:sz w:val="20"/>
              </w:rPr>
              <w:t>, December 2017</w:t>
            </w:r>
          </w:p>
        </w:tc>
        <w:tc>
          <w:tcPr>
            <w:tcW w:w="3531" w:type="dxa"/>
          </w:tcPr>
          <w:p w14:paraId="6706529F" w14:textId="30AC3D0F" w:rsidR="00C33545" w:rsidRPr="00C33545" w:rsidRDefault="00C33545" w:rsidP="00C33545">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UNDP</w:t>
            </w:r>
          </w:p>
        </w:tc>
      </w:tr>
      <w:tr w:rsidR="002B6A90" w14:paraId="4702309F" w14:textId="77777777" w:rsidTr="00C3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14:paraId="1A6C2E01" w14:textId="48F90F6B" w:rsidR="002B6A90" w:rsidRDefault="002B6A90" w:rsidP="00C33545">
            <w:pPr>
              <w:rPr>
                <w:rFonts w:eastAsia="Arial"/>
                <w:b w:val="0"/>
                <w:sz w:val="20"/>
              </w:rPr>
            </w:pPr>
            <w:r>
              <w:rPr>
                <w:rFonts w:eastAsia="Arial"/>
                <w:b w:val="0"/>
                <w:sz w:val="20"/>
              </w:rPr>
              <w:t>Year 2 Progress Report (DRAFT), Fiji Access to Justice Project, Dec 2018</w:t>
            </w:r>
          </w:p>
        </w:tc>
        <w:tc>
          <w:tcPr>
            <w:tcW w:w="3531" w:type="dxa"/>
          </w:tcPr>
          <w:p w14:paraId="432D96E2" w14:textId="635840CD" w:rsidR="002B6A90" w:rsidRDefault="002B6A90" w:rsidP="00C33545">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UNDP</w:t>
            </w:r>
          </w:p>
        </w:tc>
      </w:tr>
      <w:tr w:rsidR="00C33545" w14:paraId="0260355F" w14:textId="77777777" w:rsidTr="00C33545">
        <w:tc>
          <w:tcPr>
            <w:cnfStyle w:val="001000000000" w:firstRow="0" w:lastRow="0" w:firstColumn="1" w:lastColumn="0" w:oddVBand="0" w:evenVBand="0" w:oddHBand="0" w:evenHBand="0" w:firstRowFirstColumn="0" w:firstRowLastColumn="0" w:lastRowFirstColumn="0" w:lastRowLastColumn="0"/>
            <w:tcW w:w="6120" w:type="dxa"/>
          </w:tcPr>
          <w:p w14:paraId="27A1E9BA" w14:textId="3EA5ABA4" w:rsidR="00C33545" w:rsidRPr="00C33545" w:rsidRDefault="00C33545" w:rsidP="00C33545">
            <w:pPr>
              <w:rPr>
                <w:rFonts w:eastAsia="Arial"/>
                <w:b w:val="0"/>
                <w:sz w:val="20"/>
              </w:rPr>
            </w:pPr>
            <w:r>
              <w:rPr>
                <w:rFonts w:eastAsia="Arial"/>
                <w:b w:val="0"/>
                <w:sz w:val="20"/>
              </w:rPr>
              <w:t>FA2J Project Board Meeting Minutes, 18 Oct 2016</w:t>
            </w:r>
          </w:p>
        </w:tc>
        <w:tc>
          <w:tcPr>
            <w:tcW w:w="3531" w:type="dxa"/>
          </w:tcPr>
          <w:p w14:paraId="09905D84" w14:textId="03B6FF81" w:rsidR="00C33545" w:rsidRPr="00C33545" w:rsidRDefault="002B6A90" w:rsidP="00C33545">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UNDP</w:t>
            </w:r>
          </w:p>
        </w:tc>
      </w:tr>
      <w:tr w:rsidR="00C33545" w14:paraId="0F43A000" w14:textId="77777777" w:rsidTr="00C3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14:paraId="3FEC3BA1" w14:textId="3E081657" w:rsidR="00C33545" w:rsidRPr="00C33545" w:rsidRDefault="00C33545" w:rsidP="00C33545">
            <w:pPr>
              <w:rPr>
                <w:rFonts w:eastAsia="Arial"/>
                <w:b w:val="0"/>
                <w:sz w:val="20"/>
              </w:rPr>
            </w:pPr>
            <w:r>
              <w:rPr>
                <w:rFonts w:eastAsia="Arial"/>
                <w:b w:val="0"/>
                <w:sz w:val="20"/>
              </w:rPr>
              <w:t xml:space="preserve">FA2J Project Board Meeting Minutes, </w:t>
            </w:r>
            <w:r w:rsidR="002B6A90">
              <w:rPr>
                <w:rFonts w:eastAsia="Arial"/>
                <w:b w:val="0"/>
                <w:sz w:val="20"/>
              </w:rPr>
              <w:t>27 June 2017</w:t>
            </w:r>
          </w:p>
        </w:tc>
        <w:tc>
          <w:tcPr>
            <w:tcW w:w="3531" w:type="dxa"/>
          </w:tcPr>
          <w:p w14:paraId="64B85938" w14:textId="1DA39FD8" w:rsidR="00C33545" w:rsidRPr="00C33545" w:rsidRDefault="002B6A90" w:rsidP="00C33545">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UNDP</w:t>
            </w:r>
          </w:p>
        </w:tc>
      </w:tr>
      <w:tr w:rsidR="00C33545" w14:paraId="25326631" w14:textId="77777777" w:rsidTr="00C33545">
        <w:tc>
          <w:tcPr>
            <w:cnfStyle w:val="001000000000" w:firstRow="0" w:lastRow="0" w:firstColumn="1" w:lastColumn="0" w:oddVBand="0" w:evenVBand="0" w:oddHBand="0" w:evenHBand="0" w:firstRowFirstColumn="0" w:firstRowLastColumn="0" w:lastRowFirstColumn="0" w:lastRowLastColumn="0"/>
            <w:tcW w:w="6120" w:type="dxa"/>
          </w:tcPr>
          <w:p w14:paraId="305DCDA2" w14:textId="02E9AD73" w:rsidR="00C33545" w:rsidRPr="00C33545" w:rsidRDefault="00C33545" w:rsidP="00C33545">
            <w:pPr>
              <w:rPr>
                <w:rFonts w:eastAsia="Arial"/>
                <w:b w:val="0"/>
                <w:sz w:val="20"/>
              </w:rPr>
            </w:pPr>
            <w:r>
              <w:rPr>
                <w:rFonts w:eastAsia="Arial"/>
                <w:b w:val="0"/>
                <w:sz w:val="20"/>
              </w:rPr>
              <w:t xml:space="preserve">FA2J Project Board Meeting Minutes, </w:t>
            </w:r>
            <w:r w:rsidR="002B6A90">
              <w:rPr>
                <w:rFonts w:eastAsia="Arial"/>
                <w:b w:val="0"/>
                <w:sz w:val="20"/>
              </w:rPr>
              <w:t>30 Jan 2018</w:t>
            </w:r>
          </w:p>
        </w:tc>
        <w:tc>
          <w:tcPr>
            <w:tcW w:w="3531" w:type="dxa"/>
          </w:tcPr>
          <w:p w14:paraId="19A68B15" w14:textId="2163C488" w:rsidR="00C33545" w:rsidRPr="00C33545" w:rsidRDefault="002B6A90" w:rsidP="00C33545">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UNDP</w:t>
            </w:r>
          </w:p>
        </w:tc>
      </w:tr>
      <w:tr w:rsidR="00C33545" w14:paraId="1F663FCE" w14:textId="77777777" w:rsidTr="00C3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14:paraId="4AB601C9" w14:textId="6BCCA0D4" w:rsidR="00C33545" w:rsidRPr="00C33545" w:rsidRDefault="00C33545" w:rsidP="00C33545">
            <w:pPr>
              <w:rPr>
                <w:rFonts w:eastAsia="Arial"/>
                <w:sz w:val="20"/>
              </w:rPr>
            </w:pPr>
            <w:r>
              <w:rPr>
                <w:rFonts w:eastAsia="Arial"/>
                <w:b w:val="0"/>
                <w:sz w:val="20"/>
              </w:rPr>
              <w:t xml:space="preserve">FA2J Project Board Meeting Minutes, </w:t>
            </w:r>
            <w:r w:rsidR="002B6A90">
              <w:rPr>
                <w:rFonts w:eastAsia="Arial"/>
                <w:b w:val="0"/>
                <w:sz w:val="20"/>
              </w:rPr>
              <w:t>25 June 2018</w:t>
            </w:r>
          </w:p>
        </w:tc>
        <w:tc>
          <w:tcPr>
            <w:tcW w:w="3531" w:type="dxa"/>
          </w:tcPr>
          <w:p w14:paraId="436F4992" w14:textId="38731FE7" w:rsidR="00C33545" w:rsidRPr="00C33545" w:rsidRDefault="002B6A90" w:rsidP="00C33545">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UNDP</w:t>
            </w:r>
          </w:p>
        </w:tc>
      </w:tr>
      <w:tr w:rsidR="00C33545" w14:paraId="043AF2CC" w14:textId="77777777" w:rsidTr="00C33545">
        <w:tc>
          <w:tcPr>
            <w:cnfStyle w:val="001000000000" w:firstRow="0" w:lastRow="0" w:firstColumn="1" w:lastColumn="0" w:oddVBand="0" w:evenVBand="0" w:oddHBand="0" w:evenHBand="0" w:firstRowFirstColumn="0" w:firstRowLastColumn="0" w:lastRowFirstColumn="0" w:lastRowLastColumn="0"/>
            <w:tcW w:w="6120" w:type="dxa"/>
          </w:tcPr>
          <w:p w14:paraId="30AA8C8A" w14:textId="4BC984A3" w:rsidR="00C33545" w:rsidRPr="00C33545" w:rsidRDefault="00C33545" w:rsidP="00C33545">
            <w:pPr>
              <w:rPr>
                <w:rFonts w:eastAsia="Arial"/>
                <w:sz w:val="20"/>
              </w:rPr>
            </w:pPr>
            <w:r>
              <w:rPr>
                <w:rFonts w:eastAsia="Arial"/>
                <w:b w:val="0"/>
                <w:sz w:val="20"/>
              </w:rPr>
              <w:t>FA2J Project Board Meeting Minutes, 1</w:t>
            </w:r>
            <w:r w:rsidR="002B6A90">
              <w:rPr>
                <w:rFonts w:eastAsia="Arial"/>
                <w:b w:val="0"/>
                <w:sz w:val="20"/>
              </w:rPr>
              <w:t>5 Feb 2019</w:t>
            </w:r>
          </w:p>
        </w:tc>
        <w:tc>
          <w:tcPr>
            <w:tcW w:w="3531" w:type="dxa"/>
          </w:tcPr>
          <w:p w14:paraId="19DE67A5" w14:textId="463A6612" w:rsidR="00C33545" w:rsidRPr="00C33545" w:rsidRDefault="002B6A90" w:rsidP="00C33545">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UNDP</w:t>
            </w:r>
          </w:p>
        </w:tc>
      </w:tr>
      <w:tr w:rsidR="00C33545" w14:paraId="51865510" w14:textId="77777777" w:rsidTr="00C3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14:paraId="64812505" w14:textId="6237795F" w:rsidR="00C33545" w:rsidRPr="002B6A90" w:rsidRDefault="002B6A90" w:rsidP="00C33545">
            <w:pPr>
              <w:rPr>
                <w:rFonts w:eastAsia="Arial"/>
                <w:b w:val="0"/>
                <w:sz w:val="20"/>
              </w:rPr>
            </w:pPr>
            <w:r w:rsidRPr="002B6A90">
              <w:rPr>
                <w:rFonts w:eastAsia="Arial"/>
                <w:b w:val="0"/>
                <w:sz w:val="20"/>
              </w:rPr>
              <w:t>Results Oriented Monitoring Report (DRAFT), April 2019</w:t>
            </w:r>
          </w:p>
        </w:tc>
        <w:tc>
          <w:tcPr>
            <w:tcW w:w="3531" w:type="dxa"/>
          </w:tcPr>
          <w:p w14:paraId="49761166" w14:textId="55290A0F" w:rsidR="00C33545" w:rsidRPr="00C33545" w:rsidRDefault="002B6A90" w:rsidP="00C33545">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EU</w:t>
            </w:r>
          </w:p>
        </w:tc>
      </w:tr>
      <w:tr w:rsidR="00C33545" w14:paraId="55885110" w14:textId="77777777" w:rsidTr="00C33545">
        <w:tc>
          <w:tcPr>
            <w:cnfStyle w:val="001000000000" w:firstRow="0" w:lastRow="0" w:firstColumn="1" w:lastColumn="0" w:oddVBand="0" w:evenVBand="0" w:oddHBand="0" w:evenHBand="0" w:firstRowFirstColumn="0" w:firstRowLastColumn="0" w:lastRowFirstColumn="0" w:lastRowLastColumn="0"/>
            <w:tcW w:w="6120" w:type="dxa"/>
          </w:tcPr>
          <w:p w14:paraId="297A2CF1" w14:textId="52E9338B" w:rsidR="00C33545" w:rsidRPr="001B49E9" w:rsidRDefault="00413190" w:rsidP="00C33545">
            <w:pPr>
              <w:rPr>
                <w:rFonts w:eastAsia="Arial"/>
                <w:b w:val="0"/>
                <w:sz w:val="20"/>
              </w:rPr>
            </w:pPr>
            <w:r w:rsidRPr="001B49E9">
              <w:rPr>
                <w:rFonts w:eastAsia="Arial"/>
                <w:b w:val="0"/>
                <w:sz w:val="20"/>
              </w:rPr>
              <w:t>Assessment of Access to Justice in Fiji (DRAFT)</w:t>
            </w:r>
            <w:r w:rsidR="001B49E9" w:rsidRPr="001B49E9">
              <w:rPr>
                <w:rFonts w:eastAsia="Arial"/>
                <w:b w:val="0"/>
                <w:sz w:val="20"/>
              </w:rPr>
              <w:t>, November 2018</w:t>
            </w:r>
          </w:p>
        </w:tc>
        <w:tc>
          <w:tcPr>
            <w:tcW w:w="3531" w:type="dxa"/>
          </w:tcPr>
          <w:p w14:paraId="4F1AE321" w14:textId="04914F9F" w:rsidR="00C33545" w:rsidRPr="00C33545" w:rsidRDefault="00413190" w:rsidP="00C33545">
            <w:pPr>
              <w:cnfStyle w:val="000000000000" w:firstRow="0" w:lastRow="0" w:firstColumn="0" w:lastColumn="0" w:oddVBand="0" w:evenVBand="0" w:oddHBand="0" w:evenHBand="0" w:firstRowFirstColumn="0" w:firstRowLastColumn="0" w:lastRowFirstColumn="0" w:lastRowLastColumn="0"/>
              <w:rPr>
                <w:rFonts w:eastAsia="Arial"/>
                <w:sz w:val="20"/>
              </w:rPr>
            </w:pPr>
            <w:proofErr w:type="spellStart"/>
            <w:r>
              <w:rPr>
                <w:rFonts w:eastAsia="Arial"/>
                <w:sz w:val="20"/>
              </w:rPr>
              <w:t>HiiL</w:t>
            </w:r>
            <w:proofErr w:type="spellEnd"/>
          </w:p>
        </w:tc>
      </w:tr>
      <w:tr w:rsidR="00C33545" w14:paraId="6D6BB044" w14:textId="77777777" w:rsidTr="00C3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tcPr>
          <w:p w14:paraId="699AB81D" w14:textId="77777777" w:rsidR="00C33545" w:rsidRPr="001B49E9" w:rsidRDefault="00C33545" w:rsidP="00C33545">
            <w:pPr>
              <w:rPr>
                <w:rFonts w:eastAsia="Arial"/>
                <w:b w:val="0"/>
                <w:sz w:val="20"/>
              </w:rPr>
            </w:pPr>
          </w:p>
        </w:tc>
        <w:tc>
          <w:tcPr>
            <w:tcW w:w="3531" w:type="dxa"/>
          </w:tcPr>
          <w:p w14:paraId="6F96208D" w14:textId="77777777" w:rsidR="00C33545" w:rsidRPr="00C33545" w:rsidRDefault="00C33545" w:rsidP="00C33545">
            <w:pPr>
              <w:cnfStyle w:val="000000100000" w:firstRow="0" w:lastRow="0" w:firstColumn="0" w:lastColumn="0" w:oddVBand="0" w:evenVBand="0" w:oddHBand="1" w:evenHBand="0" w:firstRowFirstColumn="0" w:firstRowLastColumn="0" w:lastRowFirstColumn="0" w:lastRowLastColumn="0"/>
              <w:rPr>
                <w:rFonts w:eastAsia="Arial"/>
                <w:sz w:val="20"/>
              </w:rPr>
            </w:pPr>
          </w:p>
        </w:tc>
      </w:tr>
      <w:tr w:rsidR="00BD34F4" w14:paraId="4A75E128" w14:textId="77777777" w:rsidTr="00C33545">
        <w:tc>
          <w:tcPr>
            <w:cnfStyle w:val="001000000000" w:firstRow="0" w:lastRow="0" w:firstColumn="1" w:lastColumn="0" w:oddVBand="0" w:evenVBand="0" w:oddHBand="0" w:evenHBand="0" w:firstRowFirstColumn="0" w:firstRowLastColumn="0" w:lastRowFirstColumn="0" w:lastRowLastColumn="0"/>
            <w:tcW w:w="6120" w:type="dxa"/>
          </w:tcPr>
          <w:p w14:paraId="6D7C4F38" w14:textId="77777777" w:rsidR="00BD34F4" w:rsidRPr="001B49E9" w:rsidRDefault="00BD34F4" w:rsidP="00C33545">
            <w:pPr>
              <w:rPr>
                <w:rFonts w:eastAsia="Arial"/>
                <w:b w:val="0"/>
                <w:sz w:val="20"/>
              </w:rPr>
            </w:pPr>
          </w:p>
        </w:tc>
        <w:tc>
          <w:tcPr>
            <w:tcW w:w="3531" w:type="dxa"/>
          </w:tcPr>
          <w:p w14:paraId="54F808C9" w14:textId="77777777" w:rsidR="00BD34F4" w:rsidRPr="00C33545" w:rsidRDefault="00BD34F4" w:rsidP="00C33545">
            <w:pPr>
              <w:cnfStyle w:val="000000000000" w:firstRow="0" w:lastRow="0" w:firstColumn="0" w:lastColumn="0" w:oddVBand="0" w:evenVBand="0" w:oddHBand="0" w:evenHBand="0" w:firstRowFirstColumn="0" w:firstRowLastColumn="0" w:lastRowFirstColumn="0" w:lastRowLastColumn="0"/>
              <w:rPr>
                <w:rFonts w:eastAsia="Arial"/>
                <w:sz w:val="20"/>
              </w:rPr>
            </w:pPr>
          </w:p>
        </w:tc>
      </w:tr>
      <w:bookmarkEnd w:id="34"/>
    </w:tbl>
    <w:p w14:paraId="7704B0E5" w14:textId="77777777" w:rsidR="00C33545" w:rsidRDefault="00C33545" w:rsidP="00C33545">
      <w:pPr>
        <w:rPr>
          <w:rFonts w:eastAsia="Arial"/>
        </w:rPr>
      </w:pPr>
    </w:p>
    <w:p w14:paraId="37C00A95" w14:textId="77777777" w:rsidR="00C33545" w:rsidRDefault="00C33545" w:rsidP="00C33545">
      <w:pPr>
        <w:rPr>
          <w:rFonts w:eastAsia="Arial"/>
        </w:rPr>
      </w:pPr>
    </w:p>
    <w:p w14:paraId="6B8188B1" w14:textId="0A0332C9" w:rsidR="00C33545" w:rsidRPr="00C33545" w:rsidRDefault="00C33545" w:rsidP="00C33545">
      <w:pPr>
        <w:rPr>
          <w:rFonts w:eastAsia="Arial"/>
        </w:rPr>
        <w:sectPr w:rsidR="00C33545" w:rsidRPr="00C33545" w:rsidSect="005215AF">
          <w:pgSz w:w="11906" w:h="16838" w:code="9"/>
          <w:pgMar w:top="1440" w:right="1440" w:bottom="1440" w:left="1440" w:header="720" w:footer="720" w:gutter="0"/>
          <w:cols w:space="720"/>
          <w:titlePg/>
          <w:docGrid w:linePitch="360"/>
        </w:sectPr>
      </w:pPr>
    </w:p>
    <w:p w14:paraId="00C98851" w14:textId="401B8217" w:rsidR="0009420A" w:rsidRDefault="00D86FF0" w:rsidP="00B342F3">
      <w:pPr>
        <w:pStyle w:val="Heading1"/>
        <w:rPr>
          <w:rFonts w:eastAsia="Arial"/>
        </w:rPr>
      </w:pPr>
      <w:bookmarkStart w:id="35" w:name="_Toc12804591"/>
      <w:r>
        <w:rPr>
          <w:rFonts w:eastAsia="Arial"/>
        </w:rPr>
        <w:lastRenderedPageBreak/>
        <w:t xml:space="preserve">Annex </w:t>
      </w:r>
      <w:r w:rsidR="007679CE">
        <w:rPr>
          <w:rFonts w:eastAsia="Arial"/>
        </w:rPr>
        <w:t>5</w:t>
      </w:r>
      <w:r>
        <w:rPr>
          <w:rFonts w:eastAsia="Arial"/>
        </w:rPr>
        <w:t xml:space="preserve"> – Interviews</w:t>
      </w:r>
      <w:bookmarkEnd w:id="35"/>
    </w:p>
    <w:p w14:paraId="354E0692" w14:textId="0D5ED4F3" w:rsidR="00D86FF0" w:rsidRDefault="00D86FF0" w:rsidP="00BD34F4">
      <w:pPr>
        <w:rPr>
          <w:rFonts w:eastAsia="Arial"/>
        </w:rPr>
      </w:pPr>
    </w:p>
    <w:tbl>
      <w:tblPr>
        <w:tblStyle w:val="GridTable4-Accent1"/>
        <w:tblW w:w="0" w:type="auto"/>
        <w:tblInd w:w="-635" w:type="dxa"/>
        <w:tblLayout w:type="fixed"/>
        <w:tblLook w:val="04A0" w:firstRow="1" w:lastRow="0" w:firstColumn="1" w:lastColumn="0" w:noHBand="0" w:noVBand="1"/>
      </w:tblPr>
      <w:tblGrid>
        <w:gridCol w:w="900"/>
        <w:gridCol w:w="2790"/>
        <w:gridCol w:w="2250"/>
        <w:gridCol w:w="3510"/>
        <w:gridCol w:w="3600"/>
        <w:gridCol w:w="1080"/>
      </w:tblGrid>
      <w:tr w:rsidR="00B12FD0" w14:paraId="5930C110" w14:textId="5C66B3FF" w:rsidTr="00B34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7C032D62" w14:textId="60DFE53F" w:rsidR="00B12FD0" w:rsidRDefault="00B12FD0" w:rsidP="00D86FF0">
            <w:pPr>
              <w:rPr>
                <w:rFonts w:eastAsia="Arial"/>
              </w:rPr>
            </w:pPr>
            <w:bookmarkStart w:id="36" w:name="_Hlk8826175"/>
            <w:r>
              <w:rPr>
                <w:rFonts w:eastAsia="Arial"/>
                <w:color w:val="FFFFFF" w:themeColor="background1"/>
              </w:rPr>
              <w:t>Date</w:t>
            </w:r>
            <w:r>
              <w:rPr>
                <w:rFonts w:eastAsia="Arial"/>
              </w:rPr>
              <w:t xml:space="preserve"> </w:t>
            </w:r>
          </w:p>
        </w:tc>
        <w:tc>
          <w:tcPr>
            <w:tcW w:w="2790" w:type="dxa"/>
          </w:tcPr>
          <w:p w14:paraId="20F103F0" w14:textId="16B192F0" w:rsidR="00B12FD0" w:rsidRDefault="00B12FD0" w:rsidP="00D86FF0">
            <w:pPr>
              <w:cnfStyle w:val="100000000000" w:firstRow="1" w:lastRow="0" w:firstColumn="0" w:lastColumn="0" w:oddVBand="0" w:evenVBand="0" w:oddHBand="0" w:evenHBand="0" w:firstRowFirstColumn="0" w:firstRowLastColumn="0" w:lastRowFirstColumn="0" w:lastRowLastColumn="0"/>
              <w:rPr>
                <w:rFonts w:eastAsia="Arial"/>
              </w:rPr>
            </w:pPr>
            <w:r>
              <w:rPr>
                <w:rFonts w:eastAsia="Arial"/>
                <w:color w:val="FFFFFF" w:themeColor="background1"/>
              </w:rPr>
              <w:t>Organization</w:t>
            </w:r>
          </w:p>
        </w:tc>
        <w:tc>
          <w:tcPr>
            <w:tcW w:w="2250" w:type="dxa"/>
          </w:tcPr>
          <w:p w14:paraId="2820C7EF" w14:textId="1C035782" w:rsidR="00B12FD0" w:rsidRDefault="00B12FD0" w:rsidP="00D86FF0">
            <w:pPr>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Pr>
                <w:rFonts w:eastAsia="Arial"/>
                <w:color w:val="FFFFFF" w:themeColor="background1"/>
              </w:rPr>
              <w:t>Name</w:t>
            </w:r>
          </w:p>
        </w:tc>
        <w:tc>
          <w:tcPr>
            <w:tcW w:w="3510" w:type="dxa"/>
          </w:tcPr>
          <w:p w14:paraId="4C879948" w14:textId="2EB89A90" w:rsidR="00B12FD0" w:rsidRDefault="00B12FD0" w:rsidP="00D86FF0">
            <w:pPr>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Pr>
                <w:rFonts w:eastAsia="Arial"/>
                <w:color w:val="FFFFFF" w:themeColor="background1"/>
              </w:rPr>
              <w:t>Title</w:t>
            </w:r>
          </w:p>
        </w:tc>
        <w:tc>
          <w:tcPr>
            <w:tcW w:w="3600" w:type="dxa"/>
          </w:tcPr>
          <w:p w14:paraId="48C7773E" w14:textId="0B7E4496" w:rsidR="00B12FD0" w:rsidRDefault="00B12FD0" w:rsidP="00D86FF0">
            <w:pPr>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Pr>
                <w:rFonts w:eastAsia="Arial"/>
                <w:color w:val="FFFFFF" w:themeColor="background1"/>
              </w:rPr>
              <w:t>Contact</w:t>
            </w:r>
          </w:p>
        </w:tc>
        <w:tc>
          <w:tcPr>
            <w:tcW w:w="1080" w:type="dxa"/>
          </w:tcPr>
          <w:p w14:paraId="6B14166D" w14:textId="4386149C" w:rsidR="00B12FD0" w:rsidRDefault="00B12FD0" w:rsidP="00D86FF0">
            <w:pPr>
              <w:cnfStyle w:val="100000000000" w:firstRow="1" w:lastRow="0" w:firstColumn="0" w:lastColumn="0" w:oddVBand="0" w:evenVBand="0" w:oddHBand="0" w:evenHBand="0" w:firstRowFirstColumn="0" w:firstRowLastColumn="0" w:lastRowFirstColumn="0" w:lastRowLastColumn="0"/>
              <w:rPr>
                <w:rFonts w:eastAsia="Arial"/>
                <w:color w:val="FFFFFF" w:themeColor="background1"/>
              </w:rPr>
            </w:pPr>
            <w:r>
              <w:rPr>
                <w:rFonts w:eastAsia="Arial"/>
                <w:color w:val="FFFFFF" w:themeColor="background1"/>
              </w:rPr>
              <w:t>Minutes Provided (Y/N)</w:t>
            </w:r>
          </w:p>
        </w:tc>
      </w:tr>
      <w:tr w:rsidR="00B12FD0" w14:paraId="2829524D" w14:textId="034A9E39"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3E6B6977" w14:textId="5685A7FE" w:rsidR="00B12FD0" w:rsidRPr="00C33545" w:rsidRDefault="00B12FD0" w:rsidP="00D86FF0">
            <w:pPr>
              <w:rPr>
                <w:rFonts w:eastAsia="Arial"/>
                <w:b w:val="0"/>
                <w:sz w:val="20"/>
              </w:rPr>
            </w:pPr>
            <w:r>
              <w:rPr>
                <w:rFonts w:eastAsia="Arial"/>
                <w:b w:val="0"/>
                <w:sz w:val="20"/>
              </w:rPr>
              <w:t>23.4.19</w:t>
            </w:r>
          </w:p>
        </w:tc>
        <w:tc>
          <w:tcPr>
            <w:tcW w:w="2790" w:type="dxa"/>
          </w:tcPr>
          <w:p w14:paraId="39B9CE3A" w14:textId="5E151903" w:rsidR="00B12FD0" w:rsidRPr="00C33545" w:rsidRDefault="00B12FD0" w:rsidP="00D86FF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Legal Aid Commission</w:t>
            </w:r>
            <w:r w:rsidR="00B342F3">
              <w:rPr>
                <w:rFonts w:eastAsia="Arial"/>
                <w:sz w:val="20"/>
              </w:rPr>
              <w:t xml:space="preserve"> (LAC)</w:t>
            </w:r>
          </w:p>
        </w:tc>
        <w:tc>
          <w:tcPr>
            <w:tcW w:w="2250" w:type="dxa"/>
          </w:tcPr>
          <w:p w14:paraId="337F2DC9" w14:textId="4FD68F4B" w:rsidR="00B12FD0" w:rsidRPr="00C33545" w:rsidRDefault="00B12FD0" w:rsidP="00D86FF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Shahin Rafique Ali</w:t>
            </w:r>
          </w:p>
        </w:tc>
        <w:tc>
          <w:tcPr>
            <w:tcW w:w="3510" w:type="dxa"/>
          </w:tcPr>
          <w:p w14:paraId="68CD556D" w14:textId="41D17AD0" w:rsidR="00B12FD0" w:rsidRPr="00C33545" w:rsidRDefault="00B12FD0" w:rsidP="00D86FF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Acting Director</w:t>
            </w:r>
          </w:p>
        </w:tc>
        <w:tc>
          <w:tcPr>
            <w:tcW w:w="3600" w:type="dxa"/>
          </w:tcPr>
          <w:p w14:paraId="4A4F243C" w14:textId="64952ECC" w:rsidR="00B12FD0" w:rsidRPr="00C33545" w:rsidRDefault="00B12FD0" w:rsidP="00D86FF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Shahin.ali@legalaid.org.fj</w:t>
            </w:r>
          </w:p>
        </w:tc>
        <w:tc>
          <w:tcPr>
            <w:tcW w:w="1080" w:type="dxa"/>
          </w:tcPr>
          <w:p w14:paraId="60A4A801" w14:textId="09D17273" w:rsidR="00B12FD0" w:rsidRDefault="00B12FD0" w:rsidP="00D86FF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B12FD0" w14:paraId="3B9C109D" w14:textId="0C0C9B29" w:rsidTr="00B342F3">
        <w:tc>
          <w:tcPr>
            <w:cnfStyle w:val="001000000000" w:firstRow="0" w:lastRow="0" w:firstColumn="1" w:lastColumn="0" w:oddVBand="0" w:evenVBand="0" w:oddHBand="0" w:evenHBand="0" w:firstRowFirstColumn="0" w:firstRowLastColumn="0" w:lastRowFirstColumn="0" w:lastRowLastColumn="0"/>
            <w:tcW w:w="900" w:type="dxa"/>
          </w:tcPr>
          <w:p w14:paraId="54471589" w14:textId="0DB64E63" w:rsidR="00B12FD0" w:rsidRPr="00C33545" w:rsidRDefault="00B12FD0" w:rsidP="00B12FD0">
            <w:pPr>
              <w:rPr>
                <w:rFonts w:eastAsia="Arial"/>
                <w:b w:val="0"/>
                <w:sz w:val="20"/>
              </w:rPr>
            </w:pPr>
            <w:r>
              <w:rPr>
                <w:rFonts w:eastAsia="Arial"/>
                <w:b w:val="0"/>
                <w:sz w:val="20"/>
              </w:rPr>
              <w:t>24.4.19</w:t>
            </w:r>
          </w:p>
        </w:tc>
        <w:tc>
          <w:tcPr>
            <w:tcW w:w="2790" w:type="dxa"/>
          </w:tcPr>
          <w:p w14:paraId="46120023" w14:textId="25E9D195"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European Union Delegation</w:t>
            </w:r>
          </w:p>
        </w:tc>
        <w:tc>
          <w:tcPr>
            <w:tcW w:w="2250" w:type="dxa"/>
          </w:tcPr>
          <w:p w14:paraId="130E0433" w14:textId="7B382A8B"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Christoph Wagner</w:t>
            </w:r>
          </w:p>
        </w:tc>
        <w:tc>
          <w:tcPr>
            <w:tcW w:w="3510" w:type="dxa"/>
          </w:tcPr>
          <w:p w14:paraId="4FFD648D" w14:textId="7F19C7FC"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Minister Counsellor / Head of Cooperation</w:t>
            </w:r>
          </w:p>
        </w:tc>
        <w:tc>
          <w:tcPr>
            <w:tcW w:w="3600" w:type="dxa"/>
          </w:tcPr>
          <w:p w14:paraId="6A85E750" w14:textId="63E34630"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Christoph.wagner@eeas.europa.eu</w:t>
            </w:r>
          </w:p>
        </w:tc>
        <w:tc>
          <w:tcPr>
            <w:tcW w:w="1080" w:type="dxa"/>
          </w:tcPr>
          <w:p w14:paraId="5AA92652" w14:textId="43206E15" w:rsidR="00B12FD0"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B12FD0" w14:paraId="7AD970F4" w14:textId="7B5DD59D"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6D361EF7" w14:textId="381D5E7B" w:rsidR="00B12FD0" w:rsidRPr="00C33545" w:rsidRDefault="00B12FD0" w:rsidP="00B12FD0">
            <w:pPr>
              <w:rPr>
                <w:rFonts w:eastAsia="Arial"/>
                <w:b w:val="0"/>
                <w:sz w:val="20"/>
              </w:rPr>
            </w:pPr>
            <w:r w:rsidRPr="007E44B4">
              <w:rPr>
                <w:rFonts w:eastAsia="Arial"/>
                <w:b w:val="0"/>
                <w:sz w:val="20"/>
              </w:rPr>
              <w:t>24.4.19</w:t>
            </w:r>
          </w:p>
        </w:tc>
        <w:tc>
          <w:tcPr>
            <w:tcW w:w="2790" w:type="dxa"/>
          </w:tcPr>
          <w:p w14:paraId="504ED1F4" w14:textId="01F78FD2" w:rsidR="00B12FD0" w:rsidRPr="00C33545"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sidRPr="00D15B7B">
              <w:rPr>
                <w:rFonts w:eastAsia="Arial"/>
                <w:sz w:val="20"/>
              </w:rPr>
              <w:t>European Union Delegation</w:t>
            </w:r>
          </w:p>
        </w:tc>
        <w:tc>
          <w:tcPr>
            <w:tcW w:w="2250" w:type="dxa"/>
          </w:tcPr>
          <w:p w14:paraId="24D6F10F" w14:textId="654DBF9F" w:rsidR="00B12FD0" w:rsidRPr="00C33545"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Caroline Valette</w:t>
            </w:r>
          </w:p>
        </w:tc>
        <w:tc>
          <w:tcPr>
            <w:tcW w:w="3510" w:type="dxa"/>
          </w:tcPr>
          <w:p w14:paraId="4731D4C2" w14:textId="52A580BF" w:rsidR="00B12FD0" w:rsidRPr="00C33545"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Governance and Human Rights</w:t>
            </w:r>
          </w:p>
        </w:tc>
        <w:tc>
          <w:tcPr>
            <w:tcW w:w="3600" w:type="dxa"/>
          </w:tcPr>
          <w:p w14:paraId="0E18DE72" w14:textId="30276D10" w:rsidR="00B12FD0" w:rsidRPr="00C33545"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Caroline.valette@eeas.europa.eu</w:t>
            </w:r>
          </w:p>
        </w:tc>
        <w:tc>
          <w:tcPr>
            <w:tcW w:w="1080" w:type="dxa"/>
          </w:tcPr>
          <w:p w14:paraId="59D8E517" w14:textId="4E2C0055" w:rsidR="00B12FD0"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B12FD0" w14:paraId="48854DB0" w14:textId="36E1AE2B" w:rsidTr="00B342F3">
        <w:tc>
          <w:tcPr>
            <w:cnfStyle w:val="001000000000" w:firstRow="0" w:lastRow="0" w:firstColumn="1" w:lastColumn="0" w:oddVBand="0" w:evenVBand="0" w:oddHBand="0" w:evenHBand="0" w:firstRowFirstColumn="0" w:firstRowLastColumn="0" w:lastRowFirstColumn="0" w:lastRowLastColumn="0"/>
            <w:tcW w:w="900" w:type="dxa"/>
          </w:tcPr>
          <w:p w14:paraId="02CF2F64" w14:textId="59BE702B" w:rsidR="00B12FD0" w:rsidRPr="00C33545" w:rsidRDefault="00B12FD0" w:rsidP="00B12FD0">
            <w:pPr>
              <w:rPr>
                <w:rFonts w:eastAsia="Arial"/>
                <w:b w:val="0"/>
                <w:sz w:val="20"/>
              </w:rPr>
            </w:pPr>
            <w:r w:rsidRPr="007E44B4">
              <w:rPr>
                <w:rFonts w:eastAsia="Arial"/>
                <w:b w:val="0"/>
                <w:sz w:val="20"/>
              </w:rPr>
              <w:t>24.4.19</w:t>
            </w:r>
          </w:p>
        </w:tc>
        <w:tc>
          <w:tcPr>
            <w:tcW w:w="2790" w:type="dxa"/>
          </w:tcPr>
          <w:p w14:paraId="6159AE6C" w14:textId="11551CF8"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sidRPr="00D15B7B">
              <w:rPr>
                <w:rFonts w:eastAsia="Arial"/>
                <w:sz w:val="20"/>
              </w:rPr>
              <w:t>European Union Delegation</w:t>
            </w:r>
          </w:p>
        </w:tc>
        <w:tc>
          <w:tcPr>
            <w:tcW w:w="2250" w:type="dxa"/>
          </w:tcPr>
          <w:p w14:paraId="7450F047" w14:textId="45C0C97D"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 xml:space="preserve">Ingrid </w:t>
            </w:r>
            <w:proofErr w:type="spellStart"/>
            <w:r>
              <w:rPr>
                <w:rFonts w:eastAsia="Arial"/>
                <w:sz w:val="20"/>
              </w:rPr>
              <w:t>Swinnen</w:t>
            </w:r>
            <w:proofErr w:type="spellEnd"/>
          </w:p>
        </w:tc>
        <w:tc>
          <w:tcPr>
            <w:tcW w:w="3510" w:type="dxa"/>
          </w:tcPr>
          <w:p w14:paraId="6920CD83" w14:textId="56EA7479"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Team Leader, Natural Resources and Governance</w:t>
            </w:r>
          </w:p>
        </w:tc>
        <w:tc>
          <w:tcPr>
            <w:tcW w:w="3600" w:type="dxa"/>
          </w:tcPr>
          <w:p w14:paraId="1497DD10" w14:textId="1FE749BD"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Ingrid.Swinnen@eeas.europa.eu</w:t>
            </w:r>
          </w:p>
        </w:tc>
        <w:tc>
          <w:tcPr>
            <w:tcW w:w="1080" w:type="dxa"/>
          </w:tcPr>
          <w:p w14:paraId="0AE36E35" w14:textId="09159B84" w:rsidR="00B12FD0"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B12FD0" w14:paraId="7C4962F1" w14:textId="36686ECB"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3D022B5C" w14:textId="1FF71C1F" w:rsidR="00B12FD0" w:rsidRDefault="00B12FD0" w:rsidP="00B12FD0">
            <w:pPr>
              <w:rPr>
                <w:rFonts w:eastAsia="Arial"/>
                <w:b w:val="0"/>
                <w:sz w:val="20"/>
              </w:rPr>
            </w:pPr>
            <w:r>
              <w:rPr>
                <w:rFonts w:eastAsia="Arial"/>
                <w:b w:val="0"/>
                <w:sz w:val="20"/>
              </w:rPr>
              <w:t>25.4.19</w:t>
            </w:r>
          </w:p>
        </w:tc>
        <w:tc>
          <w:tcPr>
            <w:tcW w:w="2790" w:type="dxa"/>
          </w:tcPr>
          <w:p w14:paraId="17463AC5" w14:textId="35EA1184" w:rsidR="00B12FD0"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Empower Pacific</w:t>
            </w:r>
          </w:p>
        </w:tc>
        <w:tc>
          <w:tcPr>
            <w:tcW w:w="2250" w:type="dxa"/>
          </w:tcPr>
          <w:p w14:paraId="43B1E784" w14:textId="649CFC77" w:rsidR="00B12FD0"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Patrick Morgan</w:t>
            </w:r>
          </w:p>
        </w:tc>
        <w:tc>
          <w:tcPr>
            <w:tcW w:w="3510" w:type="dxa"/>
          </w:tcPr>
          <w:p w14:paraId="5A5CF1D3" w14:textId="0FB16C56" w:rsidR="00B12FD0"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CEO</w:t>
            </w:r>
          </w:p>
        </w:tc>
        <w:tc>
          <w:tcPr>
            <w:tcW w:w="3600" w:type="dxa"/>
          </w:tcPr>
          <w:p w14:paraId="7FD2A6D7" w14:textId="7B4D24C2" w:rsidR="00B12FD0"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Patrick.morgan@empowerpacific.com</w:t>
            </w:r>
          </w:p>
        </w:tc>
        <w:tc>
          <w:tcPr>
            <w:tcW w:w="1080" w:type="dxa"/>
          </w:tcPr>
          <w:p w14:paraId="5F6F4433" w14:textId="1CFBDA3E" w:rsidR="00B12FD0"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B12FD0" w14:paraId="00681B5F" w14:textId="39D09CD9" w:rsidTr="00B342F3">
        <w:tc>
          <w:tcPr>
            <w:cnfStyle w:val="001000000000" w:firstRow="0" w:lastRow="0" w:firstColumn="1" w:lastColumn="0" w:oddVBand="0" w:evenVBand="0" w:oddHBand="0" w:evenHBand="0" w:firstRowFirstColumn="0" w:firstRowLastColumn="0" w:lastRowFirstColumn="0" w:lastRowLastColumn="0"/>
            <w:tcW w:w="900" w:type="dxa"/>
          </w:tcPr>
          <w:p w14:paraId="2665AD6A" w14:textId="42592531" w:rsidR="00B12FD0" w:rsidRPr="00C33545" w:rsidRDefault="00B12FD0" w:rsidP="00B12FD0">
            <w:pPr>
              <w:rPr>
                <w:rFonts w:eastAsia="Arial"/>
                <w:b w:val="0"/>
                <w:sz w:val="20"/>
              </w:rPr>
            </w:pPr>
            <w:r>
              <w:rPr>
                <w:rFonts w:eastAsia="Arial"/>
                <w:b w:val="0"/>
                <w:sz w:val="20"/>
              </w:rPr>
              <w:t>25.4.19</w:t>
            </w:r>
          </w:p>
        </w:tc>
        <w:tc>
          <w:tcPr>
            <w:tcW w:w="2790" w:type="dxa"/>
          </w:tcPr>
          <w:p w14:paraId="25BA8AB5" w14:textId="64AE81A4"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Empower Pacific</w:t>
            </w:r>
          </w:p>
        </w:tc>
        <w:tc>
          <w:tcPr>
            <w:tcW w:w="2250" w:type="dxa"/>
          </w:tcPr>
          <w:p w14:paraId="09A18C53" w14:textId="067E1417"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proofErr w:type="spellStart"/>
            <w:r>
              <w:rPr>
                <w:rFonts w:eastAsia="Arial"/>
                <w:sz w:val="20"/>
              </w:rPr>
              <w:t>Paulini</w:t>
            </w:r>
            <w:proofErr w:type="spellEnd"/>
            <w:r>
              <w:rPr>
                <w:rFonts w:eastAsia="Arial"/>
                <w:sz w:val="20"/>
              </w:rPr>
              <w:t xml:space="preserve"> </w:t>
            </w:r>
            <w:proofErr w:type="spellStart"/>
            <w:r>
              <w:rPr>
                <w:rFonts w:eastAsia="Arial"/>
                <w:sz w:val="20"/>
              </w:rPr>
              <w:t>Vakacegu</w:t>
            </w:r>
            <w:proofErr w:type="spellEnd"/>
          </w:p>
        </w:tc>
        <w:tc>
          <w:tcPr>
            <w:tcW w:w="3510" w:type="dxa"/>
          </w:tcPr>
          <w:p w14:paraId="1708EC47" w14:textId="6EC217CB"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M&amp;E Officer</w:t>
            </w:r>
          </w:p>
        </w:tc>
        <w:tc>
          <w:tcPr>
            <w:tcW w:w="3600" w:type="dxa"/>
          </w:tcPr>
          <w:p w14:paraId="36723A56" w14:textId="577D6856"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Paulini.vakacegu@empowerpacific.com</w:t>
            </w:r>
          </w:p>
        </w:tc>
        <w:tc>
          <w:tcPr>
            <w:tcW w:w="1080" w:type="dxa"/>
          </w:tcPr>
          <w:p w14:paraId="131E0D99" w14:textId="581A441B" w:rsidR="00B12FD0" w:rsidRPr="00C33545" w:rsidRDefault="00B12FD0"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B12FD0" w14:paraId="0227A35A" w14:textId="0A7E08E0"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34EEC848" w14:textId="57437AA5" w:rsidR="00B12FD0" w:rsidRPr="00C33545" w:rsidRDefault="00B12FD0" w:rsidP="00B12FD0">
            <w:pPr>
              <w:rPr>
                <w:rFonts w:eastAsia="Arial"/>
                <w:b w:val="0"/>
                <w:sz w:val="20"/>
              </w:rPr>
            </w:pPr>
            <w:r>
              <w:rPr>
                <w:rFonts w:eastAsia="Arial"/>
                <w:b w:val="0"/>
                <w:sz w:val="20"/>
              </w:rPr>
              <w:t>25.4.19</w:t>
            </w:r>
          </w:p>
        </w:tc>
        <w:tc>
          <w:tcPr>
            <w:tcW w:w="2790" w:type="dxa"/>
          </w:tcPr>
          <w:p w14:paraId="4786318C" w14:textId="52C4EC86" w:rsidR="00B12FD0" w:rsidRPr="00C33545"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Empower Pacific</w:t>
            </w:r>
          </w:p>
        </w:tc>
        <w:tc>
          <w:tcPr>
            <w:tcW w:w="2250" w:type="dxa"/>
          </w:tcPr>
          <w:p w14:paraId="7A2424C0" w14:textId="2C8AC98B" w:rsidR="00B12FD0" w:rsidRPr="00C33545"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proofErr w:type="spellStart"/>
            <w:r>
              <w:rPr>
                <w:rFonts w:eastAsia="Arial"/>
                <w:sz w:val="20"/>
              </w:rPr>
              <w:t>Meranda</w:t>
            </w:r>
            <w:proofErr w:type="spellEnd"/>
            <w:r>
              <w:rPr>
                <w:rFonts w:eastAsia="Arial"/>
                <w:sz w:val="20"/>
              </w:rPr>
              <w:t xml:space="preserve"> </w:t>
            </w:r>
            <w:proofErr w:type="spellStart"/>
            <w:r>
              <w:rPr>
                <w:rFonts w:eastAsia="Arial"/>
                <w:sz w:val="20"/>
              </w:rPr>
              <w:t>Emose</w:t>
            </w:r>
            <w:proofErr w:type="spellEnd"/>
          </w:p>
        </w:tc>
        <w:tc>
          <w:tcPr>
            <w:tcW w:w="3510" w:type="dxa"/>
          </w:tcPr>
          <w:p w14:paraId="7DE038A5" w14:textId="5AABFFD4" w:rsidR="00B12FD0" w:rsidRPr="00C33545"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 xml:space="preserve">EAP </w:t>
            </w:r>
            <w:proofErr w:type="spellStart"/>
            <w:r>
              <w:rPr>
                <w:rFonts w:eastAsia="Arial"/>
                <w:sz w:val="20"/>
              </w:rPr>
              <w:t>Manater</w:t>
            </w:r>
            <w:proofErr w:type="spellEnd"/>
            <w:r>
              <w:rPr>
                <w:rFonts w:eastAsia="Arial"/>
                <w:sz w:val="20"/>
              </w:rPr>
              <w:t xml:space="preserve"> / Snr Social Worker</w:t>
            </w:r>
          </w:p>
        </w:tc>
        <w:tc>
          <w:tcPr>
            <w:tcW w:w="3600" w:type="dxa"/>
          </w:tcPr>
          <w:p w14:paraId="4B97D50A" w14:textId="19F14615" w:rsidR="00B12FD0" w:rsidRPr="00C33545"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Meranda.emose@empowerpacific.com</w:t>
            </w:r>
          </w:p>
        </w:tc>
        <w:tc>
          <w:tcPr>
            <w:tcW w:w="1080" w:type="dxa"/>
          </w:tcPr>
          <w:p w14:paraId="20271F84" w14:textId="02B3ADA8" w:rsidR="00B12FD0" w:rsidRPr="00C33545" w:rsidRDefault="00B12FD0"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B12FD0" w14:paraId="4A5F378F" w14:textId="7699A7C3" w:rsidTr="00B342F3">
        <w:tc>
          <w:tcPr>
            <w:cnfStyle w:val="001000000000" w:firstRow="0" w:lastRow="0" w:firstColumn="1" w:lastColumn="0" w:oddVBand="0" w:evenVBand="0" w:oddHBand="0" w:evenHBand="0" w:firstRowFirstColumn="0" w:firstRowLastColumn="0" w:lastRowFirstColumn="0" w:lastRowLastColumn="0"/>
            <w:tcW w:w="900" w:type="dxa"/>
          </w:tcPr>
          <w:p w14:paraId="45B25EDB" w14:textId="630B5806" w:rsidR="00B12FD0" w:rsidRPr="00C33545" w:rsidRDefault="00B12FD0" w:rsidP="00B12FD0">
            <w:pPr>
              <w:rPr>
                <w:rFonts w:eastAsia="Arial"/>
                <w:b w:val="0"/>
                <w:sz w:val="20"/>
              </w:rPr>
            </w:pPr>
            <w:r>
              <w:rPr>
                <w:rFonts w:eastAsia="Arial"/>
                <w:b w:val="0"/>
                <w:sz w:val="20"/>
              </w:rPr>
              <w:t>26.4.19</w:t>
            </w:r>
          </w:p>
        </w:tc>
        <w:tc>
          <w:tcPr>
            <w:tcW w:w="2790" w:type="dxa"/>
          </w:tcPr>
          <w:p w14:paraId="66EDC303" w14:textId="2C43DE35" w:rsidR="00B12FD0" w:rsidRPr="00C33545" w:rsidRDefault="00B342F3"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LAC</w:t>
            </w:r>
          </w:p>
        </w:tc>
        <w:tc>
          <w:tcPr>
            <w:tcW w:w="2250" w:type="dxa"/>
          </w:tcPr>
          <w:p w14:paraId="25B828FC" w14:textId="19BAFBA1" w:rsidR="00B12FD0" w:rsidRPr="00C33545" w:rsidRDefault="00B342F3"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 xml:space="preserve">Karen </w:t>
            </w:r>
            <w:proofErr w:type="spellStart"/>
            <w:r>
              <w:rPr>
                <w:rFonts w:eastAsia="Arial"/>
                <w:sz w:val="20"/>
              </w:rPr>
              <w:t>Boseiwaqa</w:t>
            </w:r>
            <w:proofErr w:type="spellEnd"/>
          </w:p>
        </w:tc>
        <w:tc>
          <w:tcPr>
            <w:tcW w:w="3510" w:type="dxa"/>
          </w:tcPr>
          <w:p w14:paraId="181A5027" w14:textId="401B4042" w:rsidR="00B12FD0" w:rsidRPr="00C33545" w:rsidRDefault="00B342F3"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Legal Officer / Officer in Charge North - Labasa</w:t>
            </w:r>
          </w:p>
        </w:tc>
        <w:tc>
          <w:tcPr>
            <w:tcW w:w="3600" w:type="dxa"/>
          </w:tcPr>
          <w:p w14:paraId="02FFD233" w14:textId="389D8DEE" w:rsidR="00B12FD0" w:rsidRPr="00C33545" w:rsidRDefault="00B342F3"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Karen.boseiwaqa@legalaid.org.fj</w:t>
            </w:r>
          </w:p>
        </w:tc>
        <w:tc>
          <w:tcPr>
            <w:tcW w:w="1080" w:type="dxa"/>
          </w:tcPr>
          <w:p w14:paraId="7FC5E2FD" w14:textId="0F5AAD32" w:rsidR="00B12FD0" w:rsidRPr="00C33545" w:rsidRDefault="00B342F3"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B12FD0" w14:paraId="435EF460" w14:textId="28612EBD"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41E35140" w14:textId="4061F7BD" w:rsidR="00B12FD0" w:rsidRPr="00C33545" w:rsidRDefault="00B342F3" w:rsidP="00B12FD0">
            <w:pPr>
              <w:rPr>
                <w:rFonts w:eastAsia="Arial"/>
                <w:sz w:val="20"/>
              </w:rPr>
            </w:pPr>
            <w:r>
              <w:rPr>
                <w:rFonts w:eastAsia="Arial"/>
                <w:sz w:val="20"/>
              </w:rPr>
              <w:t>26.4.19</w:t>
            </w:r>
          </w:p>
        </w:tc>
        <w:tc>
          <w:tcPr>
            <w:tcW w:w="2790" w:type="dxa"/>
          </w:tcPr>
          <w:p w14:paraId="48B0D818" w14:textId="3E3AAD5D" w:rsidR="00B12FD0" w:rsidRPr="00C33545" w:rsidRDefault="00B342F3"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Medical Services Pacific (MSP) - Labasa</w:t>
            </w:r>
          </w:p>
        </w:tc>
        <w:tc>
          <w:tcPr>
            <w:tcW w:w="2250" w:type="dxa"/>
          </w:tcPr>
          <w:p w14:paraId="1B0E0F3C" w14:textId="339FA1AB" w:rsidR="00B12FD0" w:rsidRPr="00C33545" w:rsidRDefault="00B342F3" w:rsidP="00B12FD0">
            <w:pPr>
              <w:cnfStyle w:val="000000100000" w:firstRow="0" w:lastRow="0" w:firstColumn="0" w:lastColumn="0" w:oddVBand="0" w:evenVBand="0" w:oddHBand="1" w:evenHBand="0" w:firstRowFirstColumn="0" w:firstRowLastColumn="0" w:lastRowFirstColumn="0" w:lastRowLastColumn="0"/>
              <w:rPr>
                <w:rFonts w:eastAsia="Arial"/>
                <w:sz w:val="20"/>
              </w:rPr>
            </w:pPr>
            <w:proofErr w:type="spellStart"/>
            <w:r>
              <w:rPr>
                <w:rFonts w:eastAsia="Arial"/>
                <w:sz w:val="20"/>
              </w:rPr>
              <w:t>Marasiana</w:t>
            </w:r>
            <w:proofErr w:type="spellEnd"/>
            <w:r>
              <w:rPr>
                <w:rFonts w:eastAsia="Arial"/>
                <w:sz w:val="20"/>
              </w:rPr>
              <w:t xml:space="preserve"> </w:t>
            </w:r>
            <w:proofErr w:type="spellStart"/>
            <w:r>
              <w:rPr>
                <w:rFonts w:eastAsia="Arial"/>
                <w:sz w:val="20"/>
              </w:rPr>
              <w:t>Manadoli</w:t>
            </w:r>
            <w:proofErr w:type="spellEnd"/>
          </w:p>
        </w:tc>
        <w:tc>
          <w:tcPr>
            <w:tcW w:w="3510" w:type="dxa"/>
          </w:tcPr>
          <w:p w14:paraId="2CCA29C0" w14:textId="2824FABE" w:rsidR="00B12FD0" w:rsidRPr="00C33545" w:rsidRDefault="00B342F3"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Nurse</w:t>
            </w:r>
          </w:p>
        </w:tc>
        <w:tc>
          <w:tcPr>
            <w:tcW w:w="3600" w:type="dxa"/>
          </w:tcPr>
          <w:p w14:paraId="0CAFA6C0" w14:textId="212718D7" w:rsidR="00B12FD0" w:rsidRPr="00C33545" w:rsidRDefault="00B342F3"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Nurse.labasa@msp.org.fj</w:t>
            </w:r>
          </w:p>
        </w:tc>
        <w:tc>
          <w:tcPr>
            <w:tcW w:w="1080" w:type="dxa"/>
          </w:tcPr>
          <w:p w14:paraId="334ADB9B" w14:textId="61EFC5A6" w:rsidR="00B12FD0" w:rsidRPr="00C33545" w:rsidRDefault="00B342F3"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B342F3" w14:paraId="063192F6" w14:textId="57AAD572" w:rsidTr="00B342F3">
        <w:tc>
          <w:tcPr>
            <w:cnfStyle w:val="001000000000" w:firstRow="0" w:lastRow="0" w:firstColumn="1" w:lastColumn="0" w:oddVBand="0" w:evenVBand="0" w:oddHBand="0" w:evenHBand="0" w:firstRowFirstColumn="0" w:firstRowLastColumn="0" w:lastRowFirstColumn="0" w:lastRowLastColumn="0"/>
            <w:tcW w:w="900" w:type="dxa"/>
          </w:tcPr>
          <w:p w14:paraId="2CD1D0AE" w14:textId="05D405D6" w:rsidR="00B342F3" w:rsidRPr="00C33545" w:rsidRDefault="00B342F3" w:rsidP="00B342F3">
            <w:pPr>
              <w:rPr>
                <w:rFonts w:eastAsia="Arial"/>
                <w:sz w:val="20"/>
              </w:rPr>
            </w:pPr>
            <w:r>
              <w:rPr>
                <w:rFonts w:eastAsia="Arial"/>
                <w:sz w:val="20"/>
              </w:rPr>
              <w:t>26.4.19</w:t>
            </w:r>
          </w:p>
        </w:tc>
        <w:tc>
          <w:tcPr>
            <w:tcW w:w="2790" w:type="dxa"/>
          </w:tcPr>
          <w:p w14:paraId="083F79D5" w14:textId="31F08DC1" w:rsidR="00B342F3" w:rsidRPr="00C33545" w:rsidRDefault="00B342F3" w:rsidP="00B342F3">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Medical Services Pacific (MSP) - Labasa</w:t>
            </w:r>
          </w:p>
        </w:tc>
        <w:tc>
          <w:tcPr>
            <w:tcW w:w="2250" w:type="dxa"/>
          </w:tcPr>
          <w:p w14:paraId="73F251BE" w14:textId="7158EBA5" w:rsidR="00B342F3" w:rsidRPr="00C33545" w:rsidRDefault="00B342F3" w:rsidP="00B342F3">
            <w:pPr>
              <w:cnfStyle w:val="000000000000" w:firstRow="0" w:lastRow="0" w:firstColumn="0" w:lastColumn="0" w:oddVBand="0" w:evenVBand="0" w:oddHBand="0" w:evenHBand="0" w:firstRowFirstColumn="0" w:firstRowLastColumn="0" w:lastRowFirstColumn="0" w:lastRowLastColumn="0"/>
              <w:rPr>
                <w:rFonts w:eastAsia="Arial"/>
                <w:sz w:val="20"/>
              </w:rPr>
            </w:pPr>
            <w:proofErr w:type="spellStart"/>
            <w:r>
              <w:rPr>
                <w:rFonts w:eastAsia="Arial"/>
                <w:sz w:val="20"/>
              </w:rPr>
              <w:t>Ratu</w:t>
            </w:r>
            <w:proofErr w:type="spellEnd"/>
            <w:r>
              <w:rPr>
                <w:rFonts w:eastAsia="Arial"/>
                <w:sz w:val="20"/>
              </w:rPr>
              <w:t xml:space="preserve"> </w:t>
            </w:r>
            <w:proofErr w:type="spellStart"/>
            <w:r>
              <w:rPr>
                <w:rFonts w:eastAsia="Arial"/>
                <w:sz w:val="20"/>
              </w:rPr>
              <w:t>Kinijoli</w:t>
            </w:r>
            <w:proofErr w:type="spellEnd"/>
            <w:r>
              <w:rPr>
                <w:rFonts w:eastAsia="Arial"/>
                <w:sz w:val="20"/>
              </w:rPr>
              <w:t xml:space="preserve"> </w:t>
            </w:r>
            <w:proofErr w:type="spellStart"/>
            <w:r>
              <w:rPr>
                <w:rFonts w:eastAsia="Arial"/>
                <w:sz w:val="20"/>
              </w:rPr>
              <w:t>Rareeqa</w:t>
            </w:r>
            <w:proofErr w:type="spellEnd"/>
            <w:r>
              <w:rPr>
                <w:rFonts w:eastAsia="Arial"/>
                <w:sz w:val="20"/>
              </w:rPr>
              <w:t xml:space="preserve"> </w:t>
            </w:r>
            <w:proofErr w:type="spellStart"/>
            <w:r>
              <w:rPr>
                <w:rFonts w:eastAsia="Arial"/>
                <w:sz w:val="20"/>
              </w:rPr>
              <w:t>Drauna</w:t>
            </w:r>
            <w:proofErr w:type="spellEnd"/>
          </w:p>
        </w:tc>
        <w:tc>
          <w:tcPr>
            <w:tcW w:w="3510" w:type="dxa"/>
          </w:tcPr>
          <w:p w14:paraId="3009FD8E" w14:textId="35DEF4FA" w:rsidR="00B342F3" w:rsidRPr="00C33545" w:rsidRDefault="00B342F3" w:rsidP="00B342F3">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Logistics/Driver</w:t>
            </w:r>
          </w:p>
        </w:tc>
        <w:tc>
          <w:tcPr>
            <w:tcW w:w="3600" w:type="dxa"/>
          </w:tcPr>
          <w:p w14:paraId="6A0E1361" w14:textId="1C1AF5F6" w:rsidR="00B342F3" w:rsidRPr="00C33545" w:rsidRDefault="00592694" w:rsidP="00B342F3">
            <w:pPr>
              <w:cnfStyle w:val="000000000000" w:firstRow="0" w:lastRow="0" w:firstColumn="0" w:lastColumn="0" w:oddVBand="0" w:evenVBand="0" w:oddHBand="0" w:evenHBand="0" w:firstRowFirstColumn="0" w:firstRowLastColumn="0" w:lastRowFirstColumn="0" w:lastRowLastColumn="0"/>
              <w:rPr>
                <w:rFonts w:eastAsia="Arial"/>
                <w:sz w:val="20"/>
              </w:rPr>
            </w:pPr>
            <w:hyperlink r:id="rId27" w:history="1">
              <w:r w:rsidR="00B342F3" w:rsidRPr="00E030F6">
                <w:rPr>
                  <w:rStyle w:val="Hyperlink"/>
                  <w:rFonts w:eastAsia="Arial"/>
                  <w:sz w:val="20"/>
                </w:rPr>
                <w:t>logistics@msp.org.fj</w:t>
              </w:r>
            </w:hyperlink>
          </w:p>
        </w:tc>
        <w:tc>
          <w:tcPr>
            <w:tcW w:w="1080" w:type="dxa"/>
          </w:tcPr>
          <w:p w14:paraId="4FCB5340" w14:textId="467E5928" w:rsidR="00B342F3" w:rsidRPr="00C33545" w:rsidRDefault="00B342F3" w:rsidP="00B342F3">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B342F3" w14:paraId="2A957472" w14:textId="71581CFA"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36DF8BC9" w14:textId="747AE2A0" w:rsidR="00B342F3" w:rsidRPr="002B6A90" w:rsidRDefault="00B342F3" w:rsidP="00B342F3">
            <w:pPr>
              <w:rPr>
                <w:rFonts w:eastAsia="Arial"/>
                <w:b w:val="0"/>
                <w:sz w:val="20"/>
              </w:rPr>
            </w:pPr>
            <w:r>
              <w:rPr>
                <w:rFonts w:eastAsia="Arial"/>
                <w:sz w:val="20"/>
              </w:rPr>
              <w:t>26.4.19</w:t>
            </w:r>
          </w:p>
        </w:tc>
        <w:tc>
          <w:tcPr>
            <w:tcW w:w="2790" w:type="dxa"/>
          </w:tcPr>
          <w:p w14:paraId="39025C23" w14:textId="29551933" w:rsidR="00B342F3" w:rsidRPr="00C33545" w:rsidRDefault="00B342F3" w:rsidP="00B342F3">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Medical Services Pacific (MSP) - Labasa</w:t>
            </w:r>
          </w:p>
        </w:tc>
        <w:tc>
          <w:tcPr>
            <w:tcW w:w="2250" w:type="dxa"/>
          </w:tcPr>
          <w:p w14:paraId="4A7843D8" w14:textId="1C160ADD" w:rsidR="00B342F3" w:rsidRPr="00C33545" w:rsidRDefault="00B342F3" w:rsidP="00B342F3">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Jacintha Robert</w:t>
            </w:r>
          </w:p>
        </w:tc>
        <w:tc>
          <w:tcPr>
            <w:tcW w:w="3510" w:type="dxa"/>
          </w:tcPr>
          <w:p w14:paraId="78140EC9" w14:textId="133D1345" w:rsidR="00B342F3" w:rsidRPr="00C33545" w:rsidRDefault="00B342F3" w:rsidP="00B342F3">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Counsellor</w:t>
            </w:r>
          </w:p>
        </w:tc>
        <w:tc>
          <w:tcPr>
            <w:tcW w:w="3600" w:type="dxa"/>
          </w:tcPr>
          <w:p w14:paraId="736193C7" w14:textId="5CF3FE65" w:rsidR="00B342F3" w:rsidRPr="00C33545" w:rsidRDefault="00B342F3" w:rsidP="00B342F3">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Counsellor.labasa@msp.org.fj</w:t>
            </w:r>
          </w:p>
        </w:tc>
        <w:tc>
          <w:tcPr>
            <w:tcW w:w="1080" w:type="dxa"/>
          </w:tcPr>
          <w:p w14:paraId="5C5CA186" w14:textId="782F23ED" w:rsidR="00B342F3" w:rsidRPr="00C33545" w:rsidRDefault="00B342F3" w:rsidP="00B342F3">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B342F3" w14:paraId="1E9A66C8" w14:textId="559B408D" w:rsidTr="00B342F3">
        <w:tc>
          <w:tcPr>
            <w:cnfStyle w:val="001000000000" w:firstRow="0" w:lastRow="0" w:firstColumn="1" w:lastColumn="0" w:oddVBand="0" w:evenVBand="0" w:oddHBand="0" w:evenHBand="0" w:firstRowFirstColumn="0" w:firstRowLastColumn="0" w:lastRowFirstColumn="0" w:lastRowLastColumn="0"/>
            <w:tcW w:w="900" w:type="dxa"/>
          </w:tcPr>
          <w:p w14:paraId="42A10910" w14:textId="40B483C8" w:rsidR="00B342F3" w:rsidRPr="00C33545" w:rsidRDefault="00B342F3" w:rsidP="00B342F3">
            <w:pPr>
              <w:rPr>
                <w:rFonts w:eastAsia="Arial"/>
                <w:sz w:val="20"/>
              </w:rPr>
            </w:pPr>
            <w:r>
              <w:rPr>
                <w:rFonts w:eastAsia="Arial"/>
                <w:sz w:val="20"/>
              </w:rPr>
              <w:t>26.4.19</w:t>
            </w:r>
          </w:p>
        </w:tc>
        <w:tc>
          <w:tcPr>
            <w:tcW w:w="2790" w:type="dxa"/>
          </w:tcPr>
          <w:p w14:paraId="36E587E0" w14:textId="683069B8" w:rsidR="00B342F3" w:rsidRPr="00C33545" w:rsidRDefault="00B342F3" w:rsidP="00B342F3">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Medical Services Pacific (MSP) - Labasa</w:t>
            </w:r>
          </w:p>
        </w:tc>
        <w:tc>
          <w:tcPr>
            <w:tcW w:w="2250" w:type="dxa"/>
          </w:tcPr>
          <w:p w14:paraId="224FFBAA" w14:textId="315509D1" w:rsidR="00B342F3" w:rsidRPr="00C33545" w:rsidRDefault="00B342F3" w:rsidP="00B342F3">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 xml:space="preserve">Munia </w:t>
            </w:r>
            <w:proofErr w:type="spellStart"/>
            <w:r>
              <w:rPr>
                <w:rFonts w:eastAsia="Arial"/>
                <w:sz w:val="20"/>
              </w:rPr>
              <w:t>Vuankula</w:t>
            </w:r>
            <w:proofErr w:type="spellEnd"/>
          </w:p>
        </w:tc>
        <w:tc>
          <w:tcPr>
            <w:tcW w:w="3510" w:type="dxa"/>
          </w:tcPr>
          <w:p w14:paraId="4FC595CE" w14:textId="752DFF7D" w:rsidR="00B342F3" w:rsidRPr="00C33545" w:rsidRDefault="00B342F3" w:rsidP="00B342F3">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Protection/Legal</w:t>
            </w:r>
          </w:p>
        </w:tc>
        <w:tc>
          <w:tcPr>
            <w:tcW w:w="3600" w:type="dxa"/>
          </w:tcPr>
          <w:p w14:paraId="11A7F9D7" w14:textId="6E063FF0" w:rsidR="00B342F3" w:rsidRPr="00C33545" w:rsidRDefault="00B342F3" w:rsidP="00B342F3">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Protection.labasa@msp.org.fj</w:t>
            </w:r>
          </w:p>
        </w:tc>
        <w:tc>
          <w:tcPr>
            <w:tcW w:w="1080" w:type="dxa"/>
          </w:tcPr>
          <w:p w14:paraId="40084D6B" w14:textId="4382377B" w:rsidR="00B342F3" w:rsidRPr="00C33545" w:rsidRDefault="00B342F3" w:rsidP="00B342F3">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B342F3" w14:paraId="7778F8E7" w14:textId="1AB3A498"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2465C84C" w14:textId="104C9B63" w:rsidR="00B342F3" w:rsidRPr="00C33545" w:rsidRDefault="00EE7F59" w:rsidP="00B342F3">
            <w:pPr>
              <w:rPr>
                <w:rFonts w:eastAsia="Arial"/>
                <w:sz w:val="20"/>
              </w:rPr>
            </w:pPr>
            <w:r>
              <w:rPr>
                <w:rFonts w:eastAsia="Arial"/>
                <w:sz w:val="20"/>
              </w:rPr>
              <w:t>29.4.19</w:t>
            </w:r>
          </w:p>
        </w:tc>
        <w:tc>
          <w:tcPr>
            <w:tcW w:w="2790" w:type="dxa"/>
          </w:tcPr>
          <w:p w14:paraId="6FC1C394" w14:textId="4FD208C2" w:rsidR="00B342F3" w:rsidRPr="00C33545" w:rsidRDefault="00D121FA" w:rsidP="00B342F3">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MSP – Suva Head Office</w:t>
            </w:r>
          </w:p>
        </w:tc>
        <w:tc>
          <w:tcPr>
            <w:tcW w:w="2250" w:type="dxa"/>
          </w:tcPr>
          <w:p w14:paraId="33B8CCCB" w14:textId="52052E76" w:rsidR="00B342F3" w:rsidRPr="00C33545" w:rsidRDefault="00D121FA" w:rsidP="00B342F3">
            <w:pPr>
              <w:cnfStyle w:val="000000100000" w:firstRow="0" w:lastRow="0" w:firstColumn="0" w:lastColumn="0" w:oddVBand="0" w:evenVBand="0" w:oddHBand="1" w:evenHBand="0" w:firstRowFirstColumn="0" w:firstRowLastColumn="0" w:lastRowFirstColumn="0" w:lastRowLastColumn="0"/>
              <w:rPr>
                <w:rFonts w:eastAsia="Arial"/>
                <w:sz w:val="20"/>
              </w:rPr>
            </w:pPr>
            <w:proofErr w:type="spellStart"/>
            <w:r>
              <w:rPr>
                <w:rFonts w:eastAsia="Arial"/>
                <w:sz w:val="20"/>
              </w:rPr>
              <w:t>Ashan</w:t>
            </w:r>
            <w:proofErr w:type="spellEnd"/>
            <w:r>
              <w:rPr>
                <w:rFonts w:eastAsia="Arial"/>
                <w:sz w:val="20"/>
              </w:rPr>
              <w:t xml:space="preserve"> </w:t>
            </w:r>
            <w:proofErr w:type="spellStart"/>
            <w:r>
              <w:rPr>
                <w:rFonts w:eastAsia="Arial"/>
                <w:sz w:val="20"/>
              </w:rPr>
              <w:t>Shaleen</w:t>
            </w:r>
            <w:proofErr w:type="spellEnd"/>
          </w:p>
        </w:tc>
        <w:tc>
          <w:tcPr>
            <w:tcW w:w="3510" w:type="dxa"/>
          </w:tcPr>
          <w:p w14:paraId="7FA5CA14" w14:textId="3829B1DC" w:rsidR="00B342F3" w:rsidRPr="00C33545" w:rsidRDefault="00D121FA" w:rsidP="00B342F3">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Country Program Manager – Fiji</w:t>
            </w:r>
          </w:p>
        </w:tc>
        <w:tc>
          <w:tcPr>
            <w:tcW w:w="3600" w:type="dxa"/>
          </w:tcPr>
          <w:p w14:paraId="2767A4C7" w14:textId="6FD071D8" w:rsidR="00B342F3" w:rsidRPr="00C33545" w:rsidRDefault="00592694" w:rsidP="00B342F3">
            <w:pPr>
              <w:cnfStyle w:val="000000100000" w:firstRow="0" w:lastRow="0" w:firstColumn="0" w:lastColumn="0" w:oddVBand="0" w:evenVBand="0" w:oddHBand="1" w:evenHBand="0" w:firstRowFirstColumn="0" w:firstRowLastColumn="0" w:lastRowFirstColumn="0" w:lastRowLastColumn="0"/>
              <w:rPr>
                <w:rFonts w:eastAsia="Arial"/>
                <w:sz w:val="20"/>
              </w:rPr>
            </w:pPr>
            <w:hyperlink r:id="rId28" w:history="1">
              <w:r w:rsidR="00D121FA" w:rsidRPr="00E030F6">
                <w:rPr>
                  <w:rStyle w:val="Hyperlink"/>
                  <w:rFonts w:eastAsia="Arial"/>
                  <w:sz w:val="20"/>
                </w:rPr>
                <w:t>Program.manager@msp.org.fj</w:t>
              </w:r>
            </w:hyperlink>
          </w:p>
        </w:tc>
        <w:tc>
          <w:tcPr>
            <w:tcW w:w="1080" w:type="dxa"/>
          </w:tcPr>
          <w:p w14:paraId="78BE1429" w14:textId="2AAC4CF4" w:rsidR="00B342F3" w:rsidRPr="00C33545" w:rsidRDefault="00D121FA" w:rsidP="00B342F3">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D121FA" w14:paraId="39655787" w14:textId="12DA53C1" w:rsidTr="00B342F3">
        <w:tc>
          <w:tcPr>
            <w:cnfStyle w:val="001000000000" w:firstRow="0" w:lastRow="0" w:firstColumn="1" w:lastColumn="0" w:oddVBand="0" w:evenVBand="0" w:oddHBand="0" w:evenHBand="0" w:firstRowFirstColumn="0" w:firstRowLastColumn="0" w:lastRowFirstColumn="0" w:lastRowLastColumn="0"/>
            <w:tcW w:w="900" w:type="dxa"/>
          </w:tcPr>
          <w:p w14:paraId="76F1A4BC" w14:textId="4FEFF605" w:rsidR="00D121FA" w:rsidRPr="00C33545" w:rsidRDefault="00D121FA" w:rsidP="00D121FA">
            <w:pPr>
              <w:rPr>
                <w:rFonts w:eastAsia="Arial"/>
                <w:sz w:val="20"/>
              </w:rPr>
            </w:pPr>
            <w:r>
              <w:rPr>
                <w:rFonts w:eastAsia="Arial"/>
                <w:sz w:val="20"/>
              </w:rPr>
              <w:t>29.4.19</w:t>
            </w:r>
          </w:p>
        </w:tc>
        <w:tc>
          <w:tcPr>
            <w:tcW w:w="2790" w:type="dxa"/>
          </w:tcPr>
          <w:p w14:paraId="2F49B303" w14:textId="43BDF7A8" w:rsidR="00D121FA" w:rsidRPr="00C33545" w:rsidRDefault="00D121FA" w:rsidP="00D121FA">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MSP – Suva Head Office</w:t>
            </w:r>
          </w:p>
        </w:tc>
        <w:tc>
          <w:tcPr>
            <w:tcW w:w="2250" w:type="dxa"/>
          </w:tcPr>
          <w:p w14:paraId="5FEBD852" w14:textId="2ED8AEED" w:rsidR="00D121FA" w:rsidRPr="00C33545" w:rsidRDefault="00D121FA" w:rsidP="00D121FA">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 xml:space="preserve">Elizabeth </w:t>
            </w:r>
            <w:proofErr w:type="spellStart"/>
            <w:r>
              <w:rPr>
                <w:rFonts w:eastAsia="Arial"/>
                <w:sz w:val="20"/>
              </w:rPr>
              <w:t>Rova</w:t>
            </w:r>
            <w:proofErr w:type="spellEnd"/>
          </w:p>
        </w:tc>
        <w:tc>
          <w:tcPr>
            <w:tcW w:w="3510" w:type="dxa"/>
          </w:tcPr>
          <w:p w14:paraId="41AB0C37" w14:textId="5E973A80" w:rsidR="00D121FA" w:rsidRPr="00C33545" w:rsidRDefault="00D121FA" w:rsidP="00D121FA">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Protection Officer</w:t>
            </w:r>
          </w:p>
        </w:tc>
        <w:tc>
          <w:tcPr>
            <w:tcW w:w="3600" w:type="dxa"/>
          </w:tcPr>
          <w:p w14:paraId="184D4D14" w14:textId="544CF1C2" w:rsidR="00D121FA" w:rsidRPr="00C33545" w:rsidRDefault="00592694" w:rsidP="00D121FA">
            <w:pPr>
              <w:cnfStyle w:val="000000000000" w:firstRow="0" w:lastRow="0" w:firstColumn="0" w:lastColumn="0" w:oddVBand="0" w:evenVBand="0" w:oddHBand="0" w:evenHBand="0" w:firstRowFirstColumn="0" w:firstRowLastColumn="0" w:lastRowFirstColumn="0" w:lastRowLastColumn="0"/>
              <w:rPr>
                <w:rFonts w:eastAsia="Arial"/>
                <w:sz w:val="20"/>
              </w:rPr>
            </w:pPr>
            <w:hyperlink r:id="rId29" w:history="1">
              <w:r w:rsidR="00D121FA" w:rsidRPr="00E030F6">
                <w:rPr>
                  <w:rStyle w:val="Hyperlink"/>
                  <w:rFonts w:eastAsia="Arial"/>
                  <w:sz w:val="20"/>
                </w:rPr>
                <w:t>Legal.aid@msp.org.fj</w:t>
              </w:r>
            </w:hyperlink>
          </w:p>
        </w:tc>
        <w:tc>
          <w:tcPr>
            <w:tcW w:w="1080" w:type="dxa"/>
          </w:tcPr>
          <w:p w14:paraId="5CCBBFD8" w14:textId="26E37C33" w:rsidR="00D121FA" w:rsidRPr="00C33545" w:rsidRDefault="00D121FA" w:rsidP="00D121FA">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D121FA" w14:paraId="5135C62E" w14:textId="77777777"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0548B92F" w14:textId="54A10E9A" w:rsidR="00D121FA" w:rsidRPr="00C33545" w:rsidRDefault="00D121FA" w:rsidP="00B12FD0">
            <w:pPr>
              <w:rPr>
                <w:rFonts w:eastAsia="Arial"/>
                <w:sz w:val="20"/>
              </w:rPr>
            </w:pPr>
            <w:r>
              <w:rPr>
                <w:rFonts w:eastAsia="Arial"/>
                <w:sz w:val="20"/>
              </w:rPr>
              <w:t>30.4.19</w:t>
            </w:r>
          </w:p>
        </w:tc>
        <w:tc>
          <w:tcPr>
            <w:tcW w:w="2790" w:type="dxa"/>
          </w:tcPr>
          <w:p w14:paraId="51F4F57F" w14:textId="3EBC03EB"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Fiji Police Force</w:t>
            </w:r>
          </w:p>
        </w:tc>
        <w:tc>
          <w:tcPr>
            <w:tcW w:w="2250" w:type="dxa"/>
          </w:tcPr>
          <w:p w14:paraId="3D7AF688" w14:textId="353A2EB4"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Itendra Nair</w:t>
            </w:r>
          </w:p>
        </w:tc>
        <w:tc>
          <w:tcPr>
            <w:tcW w:w="3510" w:type="dxa"/>
          </w:tcPr>
          <w:p w14:paraId="3150A0BD" w14:textId="24E7A707"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Chief Administration Officer / Asst. Commissioner of Police</w:t>
            </w:r>
          </w:p>
        </w:tc>
        <w:tc>
          <w:tcPr>
            <w:tcW w:w="3600" w:type="dxa"/>
          </w:tcPr>
          <w:p w14:paraId="7D334A9F" w14:textId="59FFDB42" w:rsidR="00D121FA" w:rsidRPr="00C33545" w:rsidRDefault="00592694" w:rsidP="00B12FD0">
            <w:pPr>
              <w:cnfStyle w:val="000000100000" w:firstRow="0" w:lastRow="0" w:firstColumn="0" w:lastColumn="0" w:oddVBand="0" w:evenVBand="0" w:oddHBand="1" w:evenHBand="0" w:firstRowFirstColumn="0" w:firstRowLastColumn="0" w:lastRowFirstColumn="0" w:lastRowLastColumn="0"/>
              <w:rPr>
                <w:rFonts w:eastAsia="Arial"/>
                <w:sz w:val="20"/>
              </w:rPr>
            </w:pPr>
            <w:hyperlink r:id="rId30" w:history="1">
              <w:r w:rsidR="00D121FA" w:rsidRPr="00E030F6">
                <w:rPr>
                  <w:rStyle w:val="Hyperlink"/>
                  <w:rFonts w:eastAsia="Arial"/>
                  <w:sz w:val="20"/>
                </w:rPr>
                <w:t>Itendra@gmail.com</w:t>
              </w:r>
            </w:hyperlink>
          </w:p>
        </w:tc>
        <w:tc>
          <w:tcPr>
            <w:tcW w:w="1080" w:type="dxa"/>
          </w:tcPr>
          <w:p w14:paraId="33C2BF68" w14:textId="478B6398"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D121FA" w14:paraId="39AF6437" w14:textId="77777777" w:rsidTr="00B342F3">
        <w:tc>
          <w:tcPr>
            <w:cnfStyle w:val="001000000000" w:firstRow="0" w:lastRow="0" w:firstColumn="1" w:lastColumn="0" w:oddVBand="0" w:evenVBand="0" w:oddHBand="0" w:evenHBand="0" w:firstRowFirstColumn="0" w:firstRowLastColumn="0" w:lastRowFirstColumn="0" w:lastRowLastColumn="0"/>
            <w:tcW w:w="900" w:type="dxa"/>
          </w:tcPr>
          <w:p w14:paraId="1700C4E8" w14:textId="5D6BE5C0" w:rsidR="00D121FA" w:rsidRPr="00C33545" w:rsidRDefault="00D121FA" w:rsidP="00B12FD0">
            <w:pPr>
              <w:rPr>
                <w:rFonts w:eastAsia="Arial"/>
                <w:sz w:val="20"/>
              </w:rPr>
            </w:pPr>
            <w:r>
              <w:rPr>
                <w:rFonts w:eastAsia="Arial"/>
                <w:sz w:val="20"/>
              </w:rPr>
              <w:t>30.4.19</w:t>
            </w:r>
          </w:p>
        </w:tc>
        <w:tc>
          <w:tcPr>
            <w:tcW w:w="2790" w:type="dxa"/>
          </w:tcPr>
          <w:p w14:paraId="138EA4DE" w14:textId="1A8AA930"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UNDP Fiji</w:t>
            </w:r>
          </w:p>
        </w:tc>
        <w:tc>
          <w:tcPr>
            <w:tcW w:w="2250" w:type="dxa"/>
          </w:tcPr>
          <w:p w14:paraId="62578F0B" w14:textId="1DE1537D"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Dyfan Jones</w:t>
            </w:r>
          </w:p>
        </w:tc>
        <w:tc>
          <w:tcPr>
            <w:tcW w:w="3510" w:type="dxa"/>
          </w:tcPr>
          <w:p w14:paraId="54179441" w14:textId="08410B03"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Effective Governance Team Leader &amp; Parliamentary Development Specialist</w:t>
            </w:r>
          </w:p>
        </w:tc>
        <w:tc>
          <w:tcPr>
            <w:tcW w:w="3600" w:type="dxa"/>
          </w:tcPr>
          <w:p w14:paraId="279F53BD" w14:textId="46F76335" w:rsidR="00D121FA" w:rsidRPr="00C33545" w:rsidRDefault="00592694" w:rsidP="00B12FD0">
            <w:pPr>
              <w:cnfStyle w:val="000000000000" w:firstRow="0" w:lastRow="0" w:firstColumn="0" w:lastColumn="0" w:oddVBand="0" w:evenVBand="0" w:oddHBand="0" w:evenHBand="0" w:firstRowFirstColumn="0" w:firstRowLastColumn="0" w:lastRowFirstColumn="0" w:lastRowLastColumn="0"/>
              <w:rPr>
                <w:rFonts w:eastAsia="Arial"/>
                <w:sz w:val="20"/>
              </w:rPr>
            </w:pPr>
            <w:hyperlink r:id="rId31" w:history="1">
              <w:r w:rsidR="00D121FA" w:rsidRPr="00E030F6">
                <w:rPr>
                  <w:rStyle w:val="Hyperlink"/>
                  <w:rFonts w:eastAsia="Arial"/>
                  <w:sz w:val="20"/>
                </w:rPr>
                <w:t>Dyfan.jones@undp.org</w:t>
              </w:r>
            </w:hyperlink>
          </w:p>
        </w:tc>
        <w:tc>
          <w:tcPr>
            <w:tcW w:w="1080" w:type="dxa"/>
          </w:tcPr>
          <w:p w14:paraId="265C3023" w14:textId="1BA5C791"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D121FA" w14:paraId="1419A74C" w14:textId="77777777"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18A45FFC" w14:textId="59A36CD7" w:rsidR="00D121FA" w:rsidRPr="00C33545" w:rsidRDefault="00D121FA" w:rsidP="00B12FD0">
            <w:pPr>
              <w:rPr>
                <w:rFonts w:eastAsia="Arial"/>
                <w:sz w:val="20"/>
              </w:rPr>
            </w:pPr>
            <w:r>
              <w:rPr>
                <w:rFonts w:eastAsia="Arial"/>
                <w:sz w:val="20"/>
              </w:rPr>
              <w:t>1.5.19</w:t>
            </w:r>
          </w:p>
        </w:tc>
        <w:tc>
          <w:tcPr>
            <w:tcW w:w="2790" w:type="dxa"/>
          </w:tcPr>
          <w:p w14:paraId="5F6A7F0A" w14:textId="77777777" w:rsidR="00D121FA"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 xml:space="preserve">Judicial </w:t>
            </w:r>
          </w:p>
          <w:p w14:paraId="7502FD64" w14:textId="0A58C6DE"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 xml:space="preserve">Department </w:t>
            </w:r>
          </w:p>
        </w:tc>
        <w:tc>
          <w:tcPr>
            <w:tcW w:w="2250" w:type="dxa"/>
          </w:tcPr>
          <w:p w14:paraId="0EBFE409" w14:textId="4B3F914A"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Kamal Kumar</w:t>
            </w:r>
          </w:p>
        </w:tc>
        <w:tc>
          <w:tcPr>
            <w:tcW w:w="3510" w:type="dxa"/>
          </w:tcPr>
          <w:p w14:paraId="729BE6BD" w14:textId="646B0D9C"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Acting Chief Justice</w:t>
            </w:r>
          </w:p>
        </w:tc>
        <w:tc>
          <w:tcPr>
            <w:tcW w:w="3600" w:type="dxa"/>
          </w:tcPr>
          <w:p w14:paraId="61EFC6B6" w14:textId="4D7AA421" w:rsidR="00D121FA" w:rsidRPr="00C33545" w:rsidRDefault="00592694" w:rsidP="00B12FD0">
            <w:pPr>
              <w:cnfStyle w:val="000000100000" w:firstRow="0" w:lastRow="0" w:firstColumn="0" w:lastColumn="0" w:oddVBand="0" w:evenVBand="0" w:oddHBand="1" w:evenHBand="0" w:firstRowFirstColumn="0" w:firstRowLastColumn="0" w:lastRowFirstColumn="0" w:lastRowLastColumn="0"/>
              <w:rPr>
                <w:rFonts w:eastAsia="Arial"/>
                <w:sz w:val="20"/>
              </w:rPr>
            </w:pPr>
            <w:hyperlink r:id="rId32" w:history="1">
              <w:r w:rsidR="00D121FA" w:rsidRPr="00E030F6">
                <w:rPr>
                  <w:rStyle w:val="Hyperlink"/>
                  <w:rFonts w:eastAsia="Arial"/>
                  <w:sz w:val="20"/>
                </w:rPr>
                <w:t>kkumar@gmail.com</w:t>
              </w:r>
            </w:hyperlink>
          </w:p>
        </w:tc>
        <w:tc>
          <w:tcPr>
            <w:tcW w:w="1080" w:type="dxa"/>
          </w:tcPr>
          <w:p w14:paraId="46A71D3E" w14:textId="74F771CF"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D121FA" w14:paraId="1CA2360C" w14:textId="77777777" w:rsidTr="00B342F3">
        <w:tc>
          <w:tcPr>
            <w:cnfStyle w:val="001000000000" w:firstRow="0" w:lastRow="0" w:firstColumn="1" w:lastColumn="0" w:oddVBand="0" w:evenVBand="0" w:oddHBand="0" w:evenHBand="0" w:firstRowFirstColumn="0" w:firstRowLastColumn="0" w:lastRowFirstColumn="0" w:lastRowLastColumn="0"/>
            <w:tcW w:w="900" w:type="dxa"/>
          </w:tcPr>
          <w:p w14:paraId="3733C4EF" w14:textId="3FB177C2" w:rsidR="00D121FA" w:rsidRPr="00C33545" w:rsidRDefault="00D121FA" w:rsidP="00B12FD0">
            <w:pPr>
              <w:rPr>
                <w:rFonts w:eastAsia="Arial"/>
                <w:sz w:val="20"/>
              </w:rPr>
            </w:pPr>
            <w:r>
              <w:rPr>
                <w:rFonts w:eastAsia="Arial"/>
                <w:sz w:val="20"/>
              </w:rPr>
              <w:t>1.5.19</w:t>
            </w:r>
          </w:p>
        </w:tc>
        <w:tc>
          <w:tcPr>
            <w:tcW w:w="2790" w:type="dxa"/>
          </w:tcPr>
          <w:p w14:paraId="5816D2C0" w14:textId="781EEB91"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Judicial Department</w:t>
            </w:r>
          </w:p>
        </w:tc>
        <w:tc>
          <w:tcPr>
            <w:tcW w:w="2250" w:type="dxa"/>
          </w:tcPr>
          <w:p w14:paraId="7E9FE5FD" w14:textId="522BBF3E"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Yohan Liyanage</w:t>
            </w:r>
          </w:p>
        </w:tc>
        <w:tc>
          <w:tcPr>
            <w:tcW w:w="3510" w:type="dxa"/>
          </w:tcPr>
          <w:p w14:paraId="57471DBC" w14:textId="0C6DC71B"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Chief Registrar</w:t>
            </w:r>
          </w:p>
        </w:tc>
        <w:tc>
          <w:tcPr>
            <w:tcW w:w="3600" w:type="dxa"/>
          </w:tcPr>
          <w:p w14:paraId="5E4C94D4" w14:textId="0AA555C0" w:rsidR="00D121FA" w:rsidRPr="00C33545" w:rsidRDefault="00592694" w:rsidP="00B12FD0">
            <w:pPr>
              <w:cnfStyle w:val="000000000000" w:firstRow="0" w:lastRow="0" w:firstColumn="0" w:lastColumn="0" w:oddVBand="0" w:evenVBand="0" w:oddHBand="0" w:evenHBand="0" w:firstRowFirstColumn="0" w:firstRowLastColumn="0" w:lastRowFirstColumn="0" w:lastRowLastColumn="0"/>
              <w:rPr>
                <w:rFonts w:eastAsia="Arial"/>
                <w:sz w:val="20"/>
              </w:rPr>
            </w:pPr>
            <w:hyperlink r:id="rId33" w:history="1">
              <w:r w:rsidR="00D121FA" w:rsidRPr="00E030F6">
                <w:rPr>
                  <w:rStyle w:val="Hyperlink"/>
                  <w:rFonts w:eastAsia="Arial"/>
                  <w:sz w:val="20"/>
                </w:rPr>
                <w:t>Yohan67@hotmail.com</w:t>
              </w:r>
            </w:hyperlink>
          </w:p>
        </w:tc>
        <w:tc>
          <w:tcPr>
            <w:tcW w:w="1080" w:type="dxa"/>
          </w:tcPr>
          <w:p w14:paraId="3AF6798F" w14:textId="03D75609"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D121FA" w14:paraId="1F7EB4E6" w14:textId="77777777"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16002EB2" w14:textId="2FA677D1" w:rsidR="00D121FA" w:rsidRPr="00C33545" w:rsidRDefault="00D121FA" w:rsidP="00B12FD0">
            <w:pPr>
              <w:rPr>
                <w:rFonts w:eastAsia="Arial"/>
                <w:sz w:val="20"/>
              </w:rPr>
            </w:pPr>
            <w:r>
              <w:rPr>
                <w:rFonts w:eastAsia="Arial"/>
                <w:sz w:val="20"/>
              </w:rPr>
              <w:t>1.5.19</w:t>
            </w:r>
          </w:p>
        </w:tc>
        <w:tc>
          <w:tcPr>
            <w:tcW w:w="2790" w:type="dxa"/>
          </w:tcPr>
          <w:p w14:paraId="200C2F51" w14:textId="63E9C4B3"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UNDP Fiji</w:t>
            </w:r>
          </w:p>
        </w:tc>
        <w:tc>
          <w:tcPr>
            <w:tcW w:w="2250" w:type="dxa"/>
          </w:tcPr>
          <w:p w14:paraId="0E80094D" w14:textId="169DCBC3"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Ronald Kumar</w:t>
            </w:r>
          </w:p>
        </w:tc>
        <w:tc>
          <w:tcPr>
            <w:tcW w:w="3510" w:type="dxa"/>
          </w:tcPr>
          <w:p w14:paraId="60F17E67" w14:textId="5383C135"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Procurement Analyst</w:t>
            </w:r>
          </w:p>
        </w:tc>
        <w:tc>
          <w:tcPr>
            <w:tcW w:w="3600" w:type="dxa"/>
          </w:tcPr>
          <w:p w14:paraId="2B8B0E6F" w14:textId="6EC50151" w:rsidR="00D121FA" w:rsidRPr="00C33545" w:rsidRDefault="00592694" w:rsidP="00B12FD0">
            <w:pPr>
              <w:cnfStyle w:val="000000100000" w:firstRow="0" w:lastRow="0" w:firstColumn="0" w:lastColumn="0" w:oddVBand="0" w:evenVBand="0" w:oddHBand="1" w:evenHBand="0" w:firstRowFirstColumn="0" w:firstRowLastColumn="0" w:lastRowFirstColumn="0" w:lastRowLastColumn="0"/>
              <w:rPr>
                <w:rFonts w:eastAsia="Arial"/>
                <w:sz w:val="20"/>
              </w:rPr>
            </w:pPr>
            <w:hyperlink r:id="rId34" w:history="1">
              <w:r w:rsidR="00D121FA" w:rsidRPr="00E030F6">
                <w:rPr>
                  <w:rStyle w:val="Hyperlink"/>
                  <w:rFonts w:eastAsia="Arial"/>
                  <w:sz w:val="20"/>
                </w:rPr>
                <w:t>Ronald.kumar@undp.org</w:t>
              </w:r>
            </w:hyperlink>
          </w:p>
        </w:tc>
        <w:tc>
          <w:tcPr>
            <w:tcW w:w="1080" w:type="dxa"/>
          </w:tcPr>
          <w:p w14:paraId="10B58A13" w14:textId="16D07372"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D121FA" w14:paraId="42F82EAC" w14:textId="77777777" w:rsidTr="00B342F3">
        <w:tc>
          <w:tcPr>
            <w:cnfStyle w:val="001000000000" w:firstRow="0" w:lastRow="0" w:firstColumn="1" w:lastColumn="0" w:oddVBand="0" w:evenVBand="0" w:oddHBand="0" w:evenHBand="0" w:firstRowFirstColumn="0" w:firstRowLastColumn="0" w:lastRowFirstColumn="0" w:lastRowLastColumn="0"/>
            <w:tcW w:w="900" w:type="dxa"/>
          </w:tcPr>
          <w:p w14:paraId="5AEEA5A8" w14:textId="0F048C77" w:rsidR="00D121FA" w:rsidRPr="00C33545" w:rsidRDefault="00D121FA" w:rsidP="00B12FD0">
            <w:pPr>
              <w:rPr>
                <w:rFonts w:eastAsia="Arial"/>
                <w:sz w:val="20"/>
              </w:rPr>
            </w:pPr>
            <w:r>
              <w:rPr>
                <w:rFonts w:eastAsia="Arial"/>
                <w:sz w:val="20"/>
              </w:rPr>
              <w:t>3.5.19</w:t>
            </w:r>
          </w:p>
        </w:tc>
        <w:tc>
          <w:tcPr>
            <w:tcW w:w="2790" w:type="dxa"/>
          </w:tcPr>
          <w:p w14:paraId="10561086" w14:textId="04F1A84F" w:rsidR="00D121FA" w:rsidRPr="00C33545" w:rsidRDefault="004E0F28"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Office of the Director of Public Prosecutions</w:t>
            </w:r>
          </w:p>
        </w:tc>
        <w:tc>
          <w:tcPr>
            <w:tcW w:w="2250" w:type="dxa"/>
          </w:tcPr>
          <w:p w14:paraId="50C4AD22" w14:textId="6492748A"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 xml:space="preserve">Christopher </w:t>
            </w:r>
            <w:proofErr w:type="spellStart"/>
            <w:r>
              <w:rPr>
                <w:rFonts w:eastAsia="Arial"/>
                <w:sz w:val="20"/>
              </w:rPr>
              <w:t>Pryde</w:t>
            </w:r>
            <w:proofErr w:type="spellEnd"/>
          </w:p>
        </w:tc>
        <w:tc>
          <w:tcPr>
            <w:tcW w:w="3510" w:type="dxa"/>
          </w:tcPr>
          <w:p w14:paraId="2432E3FE" w14:textId="7C1B56F1"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Director of Public Prosecutions</w:t>
            </w:r>
          </w:p>
        </w:tc>
        <w:tc>
          <w:tcPr>
            <w:tcW w:w="3600" w:type="dxa"/>
          </w:tcPr>
          <w:p w14:paraId="4F615DAA" w14:textId="2BDDF120" w:rsidR="00D121FA" w:rsidRPr="00C33545" w:rsidRDefault="00592694" w:rsidP="00B12FD0">
            <w:pPr>
              <w:cnfStyle w:val="000000000000" w:firstRow="0" w:lastRow="0" w:firstColumn="0" w:lastColumn="0" w:oddVBand="0" w:evenVBand="0" w:oddHBand="0" w:evenHBand="0" w:firstRowFirstColumn="0" w:firstRowLastColumn="0" w:lastRowFirstColumn="0" w:lastRowLastColumn="0"/>
              <w:rPr>
                <w:rFonts w:eastAsia="Arial"/>
                <w:sz w:val="20"/>
              </w:rPr>
            </w:pPr>
            <w:hyperlink r:id="rId35" w:history="1">
              <w:r w:rsidR="00D121FA" w:rsidRPr="00E030F6">
                <w:rPr>
                  <w:rStyle w:val="Hyperlink"/>
                  <w:rFonts w:eastAsia="Arial"/>
                  <w:sz w:val="20"/>
                </w:rPr>
                <w:t>Christopher.pryde@gmail.com</w:t>
              </w:r>
            </w:hyperlink>
          </w:p>
        </w:tc>
        <w:tc>
          <w:tcPr>
            <w:tcW w:w="1080" w:type="dxa"/>
          </w:tcPr>
          <w:p w14:paraId="65532D27" w14:textId="7C7820B4"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D121FA" w14:paraId="47D9F9B5" w14:textId="77777777"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46235FD7" w14:textId="06AB860E" w:rsidR="00D121FA" w:rsidRPr="00C33545" w:rsidRDefault="00D121FA" w:rsidP="00B12FD0">
            <w:pPr>
              <w:rPr>
                <w:rFonts w:eastAsia="Arial"/>
                <w:sz w:val="20"/>
              </w:rPr>
            </w:pPr>
            <w:r>
              <w:rPr>
                <w:rFonts w:eastAsia="Arial"/>
                <w:sz w:val="20"/>
              </w:rPr>
              <w:lastRenderedPageBreak/>
              <w:t>3.5.19</w:t>
            </w:r>
          </w:p>
        </w:tc>
        <w:tc>
          <w:tcPr>
            <w:tcW w:w="2790" w:type="dxa"/>
          </w:tcPr>
          <w:p w14:paraId="56208F66" w14:textId="1A989C6F"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UN Women</w:t>
            </w:r>
          </w:p>
        </w:tc>
        <w:tc>
          <w:tcPr>
            <w:tcW w:w="2250" w:type="dxa"/>
          </w:tcPr>
          <w:p w14:paraId="3A2A2328" w14:textId="76CED36D"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Abigail Erikson</w:t>
            </w:r>
          </w:p>
        </w:tc>
        <w:tc>
          <w:tcPr>
            <w:tcW w:w="3510" w:type="dxa"/>
          </w:tcPr>
          <w:p w14:paraId="7D938CF8" w14:textId="0CA9C0D1"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Technical Advisor</w:t>
            </w:r>
          </w:p>
        </w:tc>
        <w:tc>
          <w:tcPr>
            <w:tcW w:w="3600" w:type="dxa"/>
          </w:tcPr>
          <w:p w14:paraId="20940553" w14:textId="15445F6C" w:rsidR="00D121FA" w:rsidRPr="00C33545" w:rsidRDefault="00592694" w:rsidP="00B12FD0">
            <w:pPr>
              <w:cnfStyle w:val="000000100000" w:firstRow="0" w:lastRow="0" w:firstColumn="0" w:lastColumn="0" w:oddVBand="0" w:evenVBand="0" w:oddHBand="1" w:evenHBand="0" w:firstRowFirstColumn="0" w:firstRowLastColumn="0" w:lastRowFirstColumn="0" w:lastRowLastColumn="0"/>
              <w:rPr>
                <w:rFonts w:eastAsia="Arial"/>
                <w:sz w:val="20"/>
              </w:rPr>
            </w:pPr>
            <w:hyperlink r:id="rId36" w:history="1">
              <w:r w:rsidR="00D121FA" w:rsidRPr="00E030F6">
                <w:rPr>
                  <w:rStyle w:val="Hyperlink"/>
                  <w:rFonts w:eastAsia="Arial"/>
                  <w:sz w:val="20"/>
                </w:rPr>
                <w:t>Abigail.erikson@unwomen.org</w:t>
              </w:r>
            </w:hyperlink>
          </w:p>
        </w:tc>
        <w:tc>
          <w:tcPr>
            <w:tcW w:w="1080" w:type="dxa"/>
          </w:tcPr>
          <w:p w14:paraId="699D051C" w14:textId="7B0D6436" w:rsidR="00D121FA" w:rsidRPr="00C33545" w:rsidRDefault="00D121FA"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D121FA" w14:paraId="42F6F133" w14:textId="77777777" w:rsidTr="00B342F3">
        <w:tc>
          <w:tcPr>
            <w:cnfStyle w:val="001000000000" w:firstRow="0" w:lastRow="0" w:firstColumn="1" w:lastColumn="0" w:oddVBand="0" w:evenVBand="0" w:oddHBand="0" w:evenHBand="0" w:firstRowFirstColumn="0" w:firstRowLastColumn="0" w:lastRowFirstColumn="0" w:lastRowLastColumn="0"/>
            <w:tcW w:w="900" w:type="dxa"/>
          </w:tcPr>
          <w:p w14:paraId="104D7C3C" w14:textId="6471C691" w:rsidR="00D121FA" w:rsidRPr="00C33545" w:rsidRDefault="00D121FA" w:rsidP="00B12FD0">
            <w:pPr>
              <w:rPr>
                <w:rFonts w:eastAsia="Arial"/>
                <w:sz w:val="20"/>
              </w:rPr>
            </w:pPr>
            <w:r>
              <w:rPr>
                <w:rFonts w:eastAsia="Arial"/>
                <w:sz w:val="20"/>
              </w:rPr>
              <w:t>6.5.19</w:t>
            </w:r>
          </w:p>
        </w:tc>
        <w:tc>
          <w:tcPr>
            <w:tcW w:w="2790" w:type="dxa"/>
          </w:tcPr>
          <w:p w14:paraId="07A3B75B" w14:textId="47E1D0FA"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Fiji Disabled Peoples Federation (FDPF)</w:t>
            </w:r>
          </w:p>
        </w:tc>
        <w:tc>
          <w:tcPr>
            <w:tcW w:w="2250" w:type="dxa"/>
          </w:tcPr>
          <w:p w14:paraId="2EBDE252" w14:textId="2BDAF48D"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proofErr w:type="spellStart"/>
            <w:r>
              <w:rPr>
                <w:rFonts w:eastAsia="Arial"/>
                <w:sz w:val="20"/>
              </w:rPr>
              <w:t>Joshko</w:t>
            </w:r>
            <w:proofErr w:type="spellEnd"/>
            <w:r>
              <w:rPr>
                <w:rFonts w:eastAsia="Arial"/>
                <w:sz w:val="20"/>
              </w:rPr>
              <w:t xml:space="preserve"> </w:t>
            </w:r>
            <w:proofErr w:type="spellStart"/>
            <w:r>
              <w:rPr>
                <w:rFonts w:eastAsia="Arial"/>
                <w:sz w:val="20"/>
              </w:rPr>
              <w:t>Wakaniyasi</w:t>
            </w:r>
            <w:proofErr w:type="spellEnd"/>
          </w:p>
        </w:tc>
        <w:tc>
          <w:tcPr>
            <w:tcW w:w="3510" w:type="dxa"/>
          </w:tcPr>
          <w:p w14:paraId="45A02979" w14:textId="75594AA0"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President</w:t>
            </w:r>
          </w:p>
        </w:tc>
        <w:tc>
          <w:tcPr>
            <w:tcW w:w="3600" w:type="dxa"/>
          </w:tcPr>
          <w:p w14:paraId="2C63DDF3" w14:textId="446BA573" w:rsidR="00D121FA" w:rsidRPr="00C33545" w:rsidRDefault="00592694" w:rsidP="00B12FD0">
            <w:pPr>
              <w:cnfStyle w:val="000000000000" w:firstRow="0" w:lastRow="0" w:firstColumn="0" w:lastColumn="0" w:oddVBand="0" w:evenVBand="0" w:oddHBand="0" w:evenHBand="0" w:firstRowFirstColumn="0" w:firstRowLastColumn="0" w:lastRowFirstColumn="0" w:lastRowLastColumn="0"/>
              <w:rPr>
                <w:rFonts w:eastAsia="Arial"/>
                <w:sz w:val="20"/>
              </w:rPr>
            </w:pPr>
            <w:hyperlink r:id="rId37" w:history="1">
              <w:r w:rsidR="00D121FA" w:rsidRPr="00E030F6">
                <w:rPr>
                  <w:rStyle w:val="Hyperlink"/>
                  <w:rFonts w:eastAsia="Arial"/>
                  <w:sz w:val="20"/>
                </w:rPr>
                <w:t>president@fdpf.org</w:t>
              </w:r>
            </w:hyperlink>
          </w:p>
        </w:tc>
        <w:tc>
          <w:tcPr>
            <w:tcW w:w="1080" w:type="dxa"/>
          </w:tcPr>
          <w:p w14:paraId="0E4688B3" w14:textId="70B71826" w:rsidR="00D121FA" w:rsidRPr="00C33545" w:rsidRDefault="00D121FA"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D121FA" w14:paraId="037FDE39" w14:textId="77777777"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169017E2" w14:textId="3C20B1D2" w:rsidR="00D121FA" w:rsidRPr="00C33545" w:rsidRDefault="00D121FA" w:rsidP="00B12FD0">
            <w:pPr>
              <w:rPr>
                <w:rFonts w:eastAsia="Arial"/>
                <w:sz w:val="20"/>
              </w:rPr>
            </w:pPr>
            <w:r>
              <w:rPr>
                <w:rFonts w:eastAsia="Arial"/>
                <w:sz w:val="20"/>
              </w:rPr>
              <w:t>6.5.19</w:t>
            </w:r>
          </w:p>
        </w:tc>
        <w:tc>
          <w:tcPr>
            <w:tcW w:w="2790" w:type="dxa"/>
          </w:tcPr>
          <w:p w14:paraId="30F0F139" w14:textId="3AA95764" w:rsidR="00D121FA" w:rsidRPr="00C33545" w:rsidRDefault="00CA7A18"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Fiji Disabled Peoples Federation (FDPF)</w:t>
            </w:r>
          </w:p>
        </w:tc>
        <w:tc>
          <w:tcPr>
            <w:tcW w:w="2250" w:type="dxa"/>
          </w:tcPr>
          <w:p w14:paraId="2662F36C" w14:textId="082A0394" w:rsidR="00D121FA" w:rsidRPr="00C33545" w:rsidRDefault="00CA7A18" w:rsidP="00B12FD0">
            <w:pPr>
              <w:cnfStyle w:val="000000100000" w:firstRow="0" w:lastRow="0" w:firstColumn="0" w:lastColumn="0" w:oddVBand="0" w:evenVBand="0" w:oddHBand="1" w:evenHBand="0" w:firstRowFirstColumn="0" w:firstRowLastColumn="0" w:lastRowFirstColumn="0" w:lastRowLastColumn="0"/>
              <w:rPr>
                <w:rFonts w:eastAsia="Arial"/>
                <w:sz w:val="20"/>
              </w:rPr>
            </w:pPr>
            <w:proofErr w:type="spellStart"/>
            <w:r>
              <w:rPr>
                <w:rFonts w:eastAsia="Arial"/>
                <w:sz w:val="20"/>
              </w:rPr>
              <w:t>Lanieta.Tuimabu</w:t>
            </w:r>
            <w:proofErr w:type="spellEnd"/>
          </w:p>
        </w:tc>
        <w:tc>
          <w:tcPr>
            <w:tcW w:w="3510" w:type="dxa"/>
          </w:tcPr>
          <w:p w14:paraId="3D21364C" w14:textId="65D1A561" w:rsidR="00D121FA" w:rsidRPr="00C33545" w:rsidRDefault="00CA7A18"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Office Manager</w:t>
            </w:r>
          </w:p>
        </w:tc>
        <w:tc>
          <w:tcPr>
            <w:tcW w:w="3600" w:type="dxa"/>
          </w:tcPr>
          <w:p w14:paraId="3E2CE710" w14:textId="513EF7CD" w:rsidR="00D121FA" w:rsidRPr="00C33545" w:rsidRDefault="00592694" w:rsidP="00B12FD0">
            <w:pPr>
              <w:cnfStyle w:val="000000100000" w:firstRow="0" w:lastRow="0" w:firstColumn="0" w:lastColumn="0" w:oddVBand="0" w:evenVBand="0" w:oddHBand="1" w:evenHBand="0" w:firstRowFirstColumn="0" w:firstRowLastColumn="0" w:lastRowFirstColumn="0" w:lastRowLastColumn="0"/>
              <w:rPr>
                <w:rFonts w:eastAsia="Arial"/>
                <w:sz w:val="20"/>
              </w:rPr>
            </w:pPr>
            <w:hyperlink r:id="rId38" w:history="1">
              <w:r w:rsidR="00CA7A18" w:rsidRPr="00E030F6">
                <w:rPr>
                  <w:rStyle w:val="Hyperlink"/>
                  <w:rFonts w:eastAsia="Arial"/>
                  <w:sz w:val="20"/>
                </w:rPr>
                <w:t>lanietatuimabu@fdpf.org</w:t>
              </w:r>
            </w:hyperlink>
          </w:p>
        </w:tc>
        <w:tc>
          <w:tcPr>
            <w:tcW w:w="1080" w:type="dxa"/>
          </w:tcPr>
          <w:p w14:paraId="5BA92867" w14:textId="77B557E0" w:rsidR="00D121FA" w:rsidRPr="00C33545" w:rsidRDefault="00CA7A18"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r w:rsidR="00B12FD0" w14:paraId="1232D90F" w14:textId="72EEE24C" w:rsidTr="00B342F3">
        <w:tc>
          <w:tcPr>
            <w:cnfStyle w:val="001000000000" w:firstRow="0" w:lastRow="0" w:firstColumn="1" w:lastColumn="0" w:oddVBand="0" w:evenVBand="0" w:oddHBand="0" w:evenHBand="0" w:firstRowFirstColumn="0" w:firstRowLastColumn="0" w:lastRowFirstColumn="0" w:lastRowLastColumn="0"/>
            <w:tcW w:w="900" w:type="dxa"/>
          </w:tcPr>
          <w:p w14:paraId="7FDB9CEC" w14:textId="44BC272B" w:rsidR="00B12FD0" w:rsidRPr="00C33545" w:rsidRDefault="00CA7A18" w:rsidP="00B12FD0">
            <w:pPr>
              <w:rPr>
                <w:rFonts w:eastAsia="Arial"/>
                <w:sz w:val="20"/>
              </w:rPr>
            </w:pPr>
            <w:r>
              <w:rPr>
                <w:rFonts w:eastAsia="Arial"/>
                <w:sz w:val="20"/>
              </w:rPr>
              <w:t>6.5.19</w:t>
            </w:r>
          </w:p>
        </w:tc>
        <w:tc>
          <w:tcPr>
            <w:tcW w:w="2790" w:type="dxa"/>
          </w:tcPr>
          <w:p w14:paraId="2720037F" w14:textId="42335455" w:rsidR="00B12FD0" w:rsidRPr="00C33545" w:rsidRDefault="00CA7A18"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UNDP Fiji</w:t>
            </w:r>
          </w:p>
        </w:tc>
        <w:tc>
          <w:tcPr>
            <w:tcW w:w="2250" w:type="dxa"/>
          </w:tcPr>
          <w:p w14:paraId="0172FAE9" w14:textId="0DC716D9" w:rsidR="00B12FD0" w:rsidRPr="00C33545" w:rsidRDefault="00CA7A18"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Salma El Hag Yousif</w:t>
            </w:r>
          </w:p>
        </w:tc>
        <w:tc>
          <w:tcPr>
            <w:tcW w:w="3510" w:type="dxa"/>
          </w:tcPr>
          <w:p w14:paraId="59182FF0" w14:textId="33959F42" w:rsidR="00B12FD0" w:rsidRPr="00C33545" w:rsidRDefault="00CA7A18"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Regional Programme and SIDS Coordinator</w:t>
            </w:r>
          </w:p>
        </w:tc>
        <w:tc>
          <w:tcPr>
            <w:tcW w:w="3600" w:type="dxa"/>
          </w:tcPr>
          <w:p w14:paraId="2D5BA1E4" w14:textId="5DCF30A9" w:rsidR="00B12FD0" w:rsidRPr="00C33545" w:rsidRDefault="00592694" w:rsidP="00B12FD0">
            <w:pPr>
              <w:cnfStyle w:val="000000000000" w:firstRow="0" w:lastRow="0" w:firstColumn="0" w:lastColumn="0" w:oddVBand="0" w:evenVBand="0" w:oddHBand="0" w:evenHBand="0" w:firstRowFirstColumn="0" w:firstRowLastColumn="0" w:lastRowFirstColumn="0" w:lastRowLastColumn="0"/>
              <w:rPr>
                <w:rFonts w:eastAsia="Arial"/>
                <w:sz w:val="20"/>
              </w:rPr>
            </w:pPr>
            <w:hyperlink r:id="rId39" w:history="1">
              <w:r w:rsidR="00CA7A18" w:rsidRPr="00E030F6">
                <w:rPr>
                  <w:rStyle w:val="Hyperlink"/>
                  <w:rFonts w:eastAsia="Arial"/>
                  <w:sz w:val="20"/>
                </w:rPr>
                <w:t>Salma.elhagyousif@undp.org</w:t>
              </w:r>
            </w:hyperlink>
          </w:p>
        </w:tc>
        <w:tc>
          <w:tcPr>
            <w:tcW w:w="1080" w:type="dxa"/>
          </w:tcPr>
          <w:p w14:paraId="516C79EA" w14:textId="708AB9A1" w:rsidR="00B12FD0" w:rsidRPr="00C33545" w:rsidRDefault="00CA7A18" w:rsidP="00B12FD0">
            <w:pPr>
              <w:cnfStyle w:val="000000000000" w:firstRow="0" w:lastRow="0" w:firstColumn="0" w:lastColumn="0" w:oddVBand="0" w:evenVBand="0" w:oddHBand="0" w:evenHBand="0" w:firstRowFirstColumn="0" w:firstRowLastColumn="0" w:lastRowFirstColumn="0" w:lastRowLastColumn="0"/>
              <w:rPr>
                <w:rFonts w:eastAsia="Arial"/>
                <w:sz w:val="20"/>
              </w:rPr>
            </w:pPr>
            <w:r>
              <w:rPr>
                <w:rFonts w:eastAsia="Arial"/>
                <w:sz w:val="20"/>
              </w:rPr>
              <w:t>Y</w:t>
            </w:r>
          </w:p>
        </w:tc>
      </w:tr>
      <w:tr w:rsidR="00B12FD0" w14:paraId="74BFF21A" w14:textId="64CC5002" w:rsidTr="00B34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43BDD796" w14:textId="347E7765" w:rsidR="00B12FD0" w:rsidRPr="00C33545" w:rsidRDefault="00CA7A18" w:rsidP="00B12FD0">
            <w:pPr>
              <w:rPr>
                <w:rFonts w:eastAsia="Arial"/>
                <w:sz w:val="20"/>
              </w:rPr>
            </w:pPr>
            <w:r>
              <w:rPr>
                <w:rFonts w:eastAsia="Arial"/>
                <w:sz w:val="20"/>
              </w:rPr>
              <w:t>9.5.19</w:t>
            </w:r>
          </w:p>
        </w:tc>
        <w:tc>
          <w:tcPr>
            <w:tcW w:w="2790" w:type="dxa"/>
          </w:tcPr>
          <w:p w14:paraId="650465BD" w14:textId="71C1B159" w:rsidR="00B12FD0" w:rsidRPr="00C33545" w:rsidRDefault="00CA7A18"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 xml:space="preserve">Fiji </w:t>
            </w:r>
            <w:proofErr w:type="spellStart"/>
            <w:r>
              <w:rPr>
                <w:rFonts w:eastAsia="Arial"/>
                <w:sz w:val="20"/>
              </w:rPr>
              <w:t>Womens</w:t>
            </w:r>
            <w:proofErr w:type="spellEnd"/>
            <w:r>
              <w:rPr>
                <w:rFonts w:eastAsia="Arial"/>
                <w:sz w:val="20"/>
              </w:rPr>
              <w:t xml:space="preserve"> Rights Movement (FWRM)</w:t>
            </w:r>
          </w:p>
        </w:tc>
        <w:tc>
          <w:tcPr>
            <w:tcW w:w="2250" w:type="dxa"/>
          </w:tcPr>
          <w:p w14:paraId="184EB15A" w14:textId="077257BA" w:rsidR="00B12FD0" w:rsidRPr="00C33545" w:rsidRDefault="00CA7A18"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Nalini Singh</w:t>
            </w:r>
            <w:r w:rsidR="00D90D72">
              <w:rPr>
                <w:rFonts w:eastAsia="Arial"/>
                <w:sz w:val="20"/>
              </w:rPr>
              <w:t xml:space="preserve"> (telephone interview) </w:t>
            </w:r>
          </w:p>
        </w:tc>
        <w:tc>
          <w:tcPr>
            <w:tcW w:w="3510" w:type="dxa"/>
          </w:tcPr>
          <w:p w14:paraId="5A38364C" w14:textId="1488BD55" w:rsidR="00B12FD0" w:rsidRPr="00C33545" w:rsidRDefault="00CA7A18"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Executive Director</w:t>
            </w:r>
          </w:p>
        </w:tc>
        <w:tc>
          <w:tcPr>
            <w:tcW w:w="3600" w:type="dxa"/>
          </w:tcPr>
          <w:p w14:paraId="5E4BC388" w14:textId="27F48CE7" w:rsidR="00B12FD0" w:rsidRPr="00C33545" w:rsidRDefault="00592694" w:rsidP="00B12FD0">
            <w:pPr>
              <w:cnfStyle w:val="000000100000" w:firstRow="0" w:lastRow="0" w:firstColumn="0" w:lastColumn="0" w:oddVBand="0" w:evenVBand="0" w:oddHBand="1" w:evenHBand="0" w:firstRowFirstColumn="0" w:firstRowLastColumn="0" w:lastRowFirstColumn="0" w:lastRowLastColumn="0"/>
              <w:rPr>
                <w:rFonts w:eastAsia="Arial"/>
                <w:sz w:val="20"/>
              </w:rPr>
            </w:pPr>
            <w:hyperlink r:id="rId40" w:history="1">
              <w:r w:rsidR="00CA7A18" w:rsidRPr="00E030F6">
                <w:rPr>
                  <w:rStyle w:val="Hyperlink"/>
                  <w:rFonts w:eastAsia="Arial"/>
                  <w:sz w:val="20"/>
                </w:rPr>
                <w:t>nalini@fwrm.org.fj</w:t>
              </w:r>
            </w:hyperlink>
          </w:p>
        </w:tc>
        <w:tc>
          <w:tcPr>
            <w:tcW w:w="1080" w:type="dxa"/>
          </w:tcPr>
          <w:p w14:paraId="0D264687" w14:textId="6BCE461E" w:rsidR="00B12FD0" w:rsidRPr="00C33545" w:rsidRDefault="00CA7A18" w:rsidP="00B12FD0">
            <w:pPr>
              <w:cnfStyle w:val="000000100000" w:firstRow="0" w:lastRow="0" w:firstColumn="0" w:lastColumn="0" w:oddVBand="0" w:evenVBand="0" w:oddHBand="1" w:evenHBand="0" w:firstRowFirstColumn="0" w:firstRowLastColumn="0" w:lastRowFirstColumn="0" w:lastRowLastColumn="0"/>
              <w:rPr>
                <w:rFonts w:eastAsia="Arial"/>
                <w:sz w:val="20"/>
              </w:rPr>
            </w:pPr>
            <w:r>
              <w:rPr>
                <w:rFonts w:eastAsia="Arial"/>
                <w:sz w:val="20"/>
              </w:rPr>
              <w:t>Y</w:t>
            </w:r>
          </w:p>
        </w:tc>
      </w:tr>
    </w:tbl>
    <w:p w14:paraId="0A1C33D0" w14:textId="0E28C719" w:rsidR="00D86FF0" w:rsidRDefault="00D86FF0" w:rsidP="00BD34F4">
      <w:pPr>
        <w:rPr>
          <w:rFonts w:eastAsia="Arial"/>
        </w:rPr>
      </w:pPr>
    </w:p>
    <w:p w14:paraId="4D6AD4EF" w14:textId="1677C046" w:rsidR="005B20F5" w:rsidRDefault="005B20F5" w:rsidP="00BD34F4">
      <w:pPr>
        <w:rPr>
          <w:rFonts w:eastAsia="Arial"/>
        </w:rPr>
      </w:pPr>
    </w:p>
    <w:bookmarkEnd w:id="36"/>
    <w:p w14:paraId="3C241492" w14:textId="77777777" w:rsidR="005B20F5" w:rsidRDefault="005B20F5" w:rsidP="00BD34F4">
      <w:pPr>
        <w:rPr>
          <w:rFonts w:eastAsia="Arial"/>
        </w:rPr>
        <w:sectPr w:rsidR="005B20F5" w:rsidSect="00B342F3">
          <w:pgSz w:w="16838" w:h="11906" w:orient="landscape" w:code="9"/>
          <w:pgMar w:top="1440" w:right="1440" w:bottom="1440" w:left="1440" w:header="720" w:footer="720" w:gutter="0"/>
          <w:cols w:space="720"/>
          <w:titlePg/>
          <w:docGrid w:linePitch="360"/>
        </w:sectPr>
      </w:pPr>
    </w:p>
    <w:p w14:paraId="0B18030B" w14:textId="7FE6264C" w:rsidR="005B20F5" w:rsidRDefault="005B20F5" w:rsidP="007D749B">
      <w:pPr>
        <w:pStyle w:val="Heading1"/>
        <w:rPr>
          <w:rFonts w:eastAsia="Arial"/>
        </w:rPr>
      </w:pPr>
      <w:bookmarkStart w:id="37" w:name="_Toc12804592"/>
      <w:r>
        <w:rPr>
          <w:rFonts w:eastAsia="Arial"/>
        </w:rPr>
        <w:lastRenderedPageBreak/>
        <w:t xml:space="preserve">Annex </w:t>
      </w:r>
      <w:r w:rsidR="007679CE">
        <w:rPr>
          <w:rFonts w:eastAsia="Arial"/>
        </w:rPr>
        <w:t>6</w:t>
      </w:r>
      <w:r>
        <w:rPr>
          <w:rFonts w:eastAsia="Arial"/>
        </w:rPr>
        <w:t xml:space="preserve"> – </w:t>
      </w:r>
      <w:r w:rsidR="007D749B">
        <w:rPr>
          <w:rFonts w:eastAsia="Arial"/>
        </w:rPr>
        <w:t>Comparative Table: EU and UNDP M&amp;E Frameworks for Fiji Access to Justice Project</w:t>
      </w:r>
      <w:bookmarkEnd w:id="37"/>
    </w:p>
    <w:p w14:paraId="318BE5B5" w14:textId="0158B9C3" w:rsidR="005B20F5" w:rsidRDefault="005B20F5" w:rsidP="00BD34F4">
      <w:pPr>
        <w:rPr>
          <w:rFonts w:eastAsia="Arial"/>
        </w:rPr>
      </w:pPr>
    </w:p>
    <w:tbl>
      <w:tblPr>
        <w:tblW w:w="9350" w:type="dxa"/>
        <w:tblLook w:val="04A0" w:firstRow="1" w:lastRow="0" w:firstColumn="1" w:lastColumn="0" w:noHBand="0" w:noVBand="1"/>
      </w:tblPr>
      <w:tblGrid>
        <w:gridCol w:w="1174"/>
        <w:gridCol w:w="1577"/>
        <w:gridCol w:w="1478"/>
        <w:gridCol w:w="1398"/>
        <w:gridCol w:w="1820"/>
        <w:gridCol w:w="1358"/>
        <w:gridCol w:w="2022"/>
        <w:gridCol w:w="1337"/>
        <w:gridCol w:w="1784"/>
      </w:tblGrid>
      <w:tr w:rsidR="007D749B" w:rsidRPr="007D749B" w14:paraId="4B2A3159" w14:textId="77777777" w:rsidTr="007D749B">
        <w:trPr>
          <w:trHeight w:val="645"/>
        </w:trPr>
        <w:tc>
          <w:tcPr>
            <w:tcW w:w="5150" w:type="dxa"/>
            <w:gridSpan w:val="6"/>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B0E989E" w14:textId="0870BD1B" w:rsidR="007D749B" w:rsidRPr="007D749B" w:rsidRDefault="007D749B" w:rsidP="007D749B">
            <w:pPr>
              <w:jc w:val="center"/>
              <w:rPr>
                <w:rFonts w:ascii="Calibri" w:hAnsi="Calibri" w:cs="Calibri"/>
                <w:b/>
                <w:bCs/>
                <w:color w:val="000000"/>
                <w:sz w:val="32"/>
                <w:szCs w:val="32"/>
                <w:lang w:val="en-US"/>
              </w:rPr>
            </w:pPr>
            <w:r w:rsidRPr="007D749B">
              <w:rPr>
                <w:rFonts w:ascii="Calibri" w:hAnsi="Calibri" w:cs="Calibri"/>
                <w:b/>
                <w:bCs/>
                <w:color w:val="000000"/>
                <w:sz w:val="32"/>
                <w:szCs w:val="32"/>
                <w:lang w:val="en-US"/>
              </w:rPr>
              <w:t>EU Financing Agreement FED/2015/038-757</w:t>
            </w:r>
          </w:p>
        </w:tc>
        <w:tc>
          <w:tcPr>
            <w:tcW w:w="4200" w:type="dxa"/>
            <w:gridSpan w:val="3"/>
            <w:tcBorders>
              <w:top w:val="single" w:sz="4" w:space="0" w:color="auto"/>
              <w:left w:val="nil"/>
              <w:bottom w:val="single" w:sz="4" w:space="0" w:color="auto"/>
              <w:right w:val="single" w:sz="4" w:space="0" w:color="auto"/>
            </w:tcBorders>
            <w:shd w:val="clear" w:color="000000" w:fill="C6E0B4"/>
            <w:noWrap/>
            <w:vAlign w:val="bottom"/>
            <w:hideMark/>
          </w:tcPr>
          <w:p w14:paraId="1A019E7F" w14:textId="77777777" w:rsidR="007D749B" w:rsidRPr="007D749B" w:rsidRDefault="007D749B" w:rsidP="007D749B">
            <w:pPr>
              <w:jc w:val="center"/>
              <w:rPr>
                <w:rFonts w:ascii="Calibri" w:hAnsi="Calibri" w:cs="Calibri"/>
                <w:b/>
                <w:bCs/>
                <w:color w:val="000000"/>
                <w:sz w:val="32"/>
                <w:szCs w:val="32"/>
                <w:lang w:val="en-US"/>
              </w:rPr>
            </w:pPr>
            <w:r w:rsidRPr="007D749B">
              <w:rPr>
                <w:rFonts w:ascii="Calibri" w:hAnsi="Calibri" w:cs="Calibri"/>
                <w:b/>
                <w:bCs/>
                <w:color w:val="000000"/>
                <w:sz w:val="32"/>
                <w:szCs w:val="32"/>
                <w:lang w:val="en-US"/>
              </w:rPr>
              <w:t>UNDP Project Document 00092246</w:t>
            </w:r>
          </w:p>
        </w:tc>
      </w:tr>
      <w:tr w:rsidR="007D749B" w:rsidRPr="007D749B" w14:paraId="4F96213E" w14:textId="77777777" w:rsidTr="007D749B">
        <w:trPr>
          <w:trHeight w:val="1185"/>
        </w:trPr>
        <w:tc>
          <w:tcPr>
            <w:tcW w:w="439" w:type="dxa"/>
            <w:tcBorders>
              <w:top w:val="nil"/>
              <w:left w:val="single" w:sz="4" w:space="0" w:color="auto"/>
              <w:bottom w:val="single" w:sz="4" w:space="0" w:color="auto"/>
              <w:right w:val="single" w:sz="4" w:space="0" w:color="auto"/>
            </w:tcBorders>
            <w:shd w:val="clear" w:color="000000" w:fill="D9E1F2"/>
            <w:noWrap/>
            <w:vAlign w:val="bottom"/>
            <w:hideMark/>
          </w:tcPr>
          <w:p w14:paraId="2CB3FA8D" w14:textId="77777777" w:rsidR="007D749B" w:rsidRPr="007D749B" w:rsidRDefault="007D749B" w:rsidP="007D749B">
            <w:pPr>
              <w:rPr>
                <w:rFonts w:ascii="Calibri" w:hAnsi="Calibri" w:cs="Calibri"/>
                <w:b/>
                <w:bCs/>
                <w:color w:val="000000"/>
                <w:sz w:val="24"/>
                <w:szCs w:val="24"/>
                <w:lang w:val="en-US"/>
              </w:rPr>
            </w:pPr>
            <w:bookmarkStart w:id="38" w:name="RANGE!A2:I30"/>
            <w:r w:rsidRPr="007D749B">
              <w:rPr>
                <w:rFonts w:ascii="Calibri" w:hAnsi="Calibri" w:cs="Calibri"/>
                <w:b/>
                <w:bCs/>
                <w:color w:val="000000"/>
                <w:sz w:val="24"/>
                <w:szCs w:val="24"/>
                <w:lang w:val="en-US"/>
              </w:rPr>
              <w:t>Level</w:t>
            </w:r>
            <w:bookmarkEnd w:id="38"/>
          </w:p>
        </w:tc>
        <w:tc>
          <w:tcPr>
            <w:tcW w:w="1207" w:type="dxa"/>
            <w:tcBorders>
              <w:top w:val="nil"/>
              <w:left w:val="nil"/>
              <w:bottom w:val="single" w:sz="4" w:space="0" w:color="auto"/>
              <w:right w:val="single" w:sz="4" w:space="0" w:color="auto"/>
            </w:tcBorders>
            <w:shd w:val="clear" w:color="000000" w:fill="D9E1F2"/>
            <w:noWrap/>
            <w:vAlign w:val="bottom"/>
            <w:hideMark/>
          </w:tcPr>
          <w:p w14:paraId="0F9FB730" w14:textId="77777777" w:rsidR="007D749B" w:rsidRPr="007D749B" w:rsidRDefault="007D749B" w:rsidP="007D749B">
            <w:pPr>
              <w:rPr>
                <w:rFonts w:ascii="Calibri" w:hAnsi="Calibri" w:cs="Calibri"/>
                <w:b/>
                <w:bCs/>
                <w:color w:val="000000"/>
                <w:sz w:val="24"/>
                <w:szCs w:val="24"/>
                <w:lang w:val="en-US"/>
              </w:rPr>
            </w:pPr>
            <w:r w:rsidRPr="007D749B">
              <w:rPr>
                <w:rFonts w:ascii="Calibri" w:hAnsi="Calibri" w:cs="Calibri"/>
                <w:b/>
                <w:bCs/>
                <w:color w:val="000000"/>
                <w:sz w:val="24"/>
                <w:szCs w:val="24"/>
                <w:lang w:val="en-US"/>
              </w:rPr>
              <w:t xml:space="preserve"> Financing Agreement (FA) Indicators*</w:t>
            </w:r>
          </w:p>
        </w:tc>
        <w:tc>
          <w:tcPr>
            <w:tcW w:w="781" w:type="dxa"/>
            <w:tcBorders>
              <w:top w:val="nil"/>
              <w:left w:val="nil"/>
              <w:bottom w:val="single" w:sz="4" w:space="0" w:color="auto"/>
              <w:right w:val="single" w:sz="4" w:space="0" w:color="auto"/>
            </w:tcBorders>
            <w:shd w:val="clear" w:color="000000" w:fill="D9E1F2"/>
            <w:noWrap/>
            <w:vAlign w:val="bottom"/>
            <w:hideMark/>
          </w:tcPr>
          <w:p w14:paraId="7D43563E" w14:textId="77777777" w:rsidR="007D749B" w:rsidRPr="007D749B" w:rsidRDefault="007D749B" w:rsidP="007D749B">
            <w:pPr>
              <w:rPr>
                <w:rFonts w:ascii="Calibri" w:hAnsi="Calibri" w:cs="Calibri"/>
                <w:b/>
                <w:bCs/>
                <w:color w:val="000000"/>
                <w:sz w:val="24"/>
                <w:szCs w:val="24"/>
                <w:lang w:val="en-US"/>
              </w:rPr>
            </w:pPr>
            <w:r w:rsidRPr="007D749B">
              <w:rPr>
                <w:rFonts w:ascii="Calibri" w:hAnsi="Calibri" w:cs="Calibri"/>
                <w:b/>
                <w:bCs/>
                <w:color w:val="000000"/>
                <w:sz w:val="24"/>
                <w:szCs w:val="24"/>
                <w:lang w:val="en-US"/>
              </w:rPr>
              <w:t>FA Baseline</w:t>
            </w:r>
          </w:p>
        </w:tc>
        <w:tc>
          <w:tcPr>
            <w:tcW w:w="750" w:type="dxa"/>
            <w:tcBorders>
              <w:top w:val="nil"/>
              <w:left w:val="nil"/>
              <w:bottom w:val="single" w:sz="4" w:space="0" w:color="auto"/>
              <w:right w:val="single" w:sz="4" w:space="0" w:color="auto"/>
            </w:tcBorders>
            <w:shd w:val="clear" w:color="000000" w:fill="D9E1F2"/>
            <w:vAlign w:val="bottom"/>
            <w:hideMark/>
          </w:tcPr>
          <w:p w14:paraId="1B50965E" w14:textId="77777777" w:rsidR="007D749B" w:rsidRPr="007D749B" w:rsidRDefault="007D749B" w:rsidP="007D749B">
            <w:pPr>
              <w:rPr>
                <w:rFonts w:ascii="Calibri" w:hAnsi="Calibri" w:cs="Calibri"/>
                <w:b/>
                <w:bCs/>
                <w:color w:val="000000"/>
                <w:sz w:val="24"/>
                <w:szCs w:val="24"/>
                <w:lang w:val="en-US"/>
              </w:rPr>
            </w:pPr>
            <w:r w:rsidRPr="007D749B">
              <w:rPr>
                <w:rFonts w:ascii="Calibri" w:hAnsi="Calibri" w:cs="Calibri"/>
                <w:b/>
                <w:bCs/>
                <w:color w:val="000000"/>
                <w:sz w:val="24"/>
                <w:szCs w:val="24"/>
                <w:lang w:val="en-US"/>
              </w:rPr>
              <w:t>Original Targets</w:t>
            </w:r>
            <w:r w:rsidRPr="007D749B">
              <w:rPr>
                <w:rFonts w:ascii="Calibri" w:hAnsi="Calibri" w:cs="Calibri"/>
                <w:b/>
                <w:bCs/>
                <w:color w:val="000000"/>
                <w:sz w:val="24"/>
                <w:szCs w:val="24"/>
                <w:lang w:val="en-US"/>
              </w:rPr>
              <w:br/>
              <w:t xml:space="preserve">(Reference </w:t>
            </w:r>
            <w:proofErr w:type="spellStart"/>
            <w:r w:rsidRPr="007D749B">
              <w:rPr>
                <w:rFonts w:ascii="Calibri" w:hAnsi="Calibri" w:cs="Calibri"/>
                <w:b/>
                <w:bCs/>
                <w:color w:val="000000"/>
                <w:sz w:val="24"/>
                <w:szCs w:val="24"/>
                <w:lang w:val="en-US"/>
              </w:rPr>
              <w:t>Yr</w:t>
            </w:r>
            <w:proofErr w:type="spellEnd"/>
            <w:r w:rsidRPr="007D749B">
              <w:rPr>
                <w:rFonts w:ascii="Calibri" w:hAnsi="Calibri" w:cs="Calibri"/>
                <w:b/>
                <w:bCs/>
                <w:color w:val="000000"/>
                <w:sz w:val="24"/>
                <w:szCs w:val="24"/>
                <w:lang w:val="en-US"/>
              </w:rPr>
              <w:t>)</w:t>
            </w:r>
          </w:p>
        </w:tc>
        <w:tc>
          <w:tcPr>
            <w:tcW w:w="877" w:type="dxa"/>
            <w:tcBorders>
              <w:top w:val="nil"/>
              <w:left w:val="nil"/>
              <w:bottom w:val="single" w:sz="4" w:space="0" w:color="auto"/>
              <w:right w:val="single" w:sz="4" w:space="0" w:color="auto"/>
            </w:tcBorders>
            <w:shd w:val="clear" w:color="000000" w:fill="D9E1F2"/>
            <w:vAlign w:val="bottom"/>
            <w:hideMark/>
          </w:tcPr>
          <w:p w14:paraId="7DA541C7" w14:textId="456F9917" w:rsidR="007D749B" w:rsidRPr="007D749B" w:rsidRDefault="00111B37" w:rsidP="007D749B">
            <w:pPr>
              <w:rPr>
                <w:rFonts w:ascii="Calibri" w:hAnsi="Calibri" w:cs="Calibri"/>
                <w:b/>
                <w:bCs/>
                <w:color w:val="000000"/>
                <w:sz w:val="24"/>
                <w:szCs w:val="24"/>
                <w:lang w:val="en-US"/>
              </w:rPr>
            </w:pPr>
            <w:r>
              <w:rPr>
                <w:rFonts w:ascii="Calibri" w:hAnsi="Calibri" w:cs="Calibri"/>
                <w:b/>
                <w:bCs/>
                <w:color w:val="000000"/>
                <w:sz w:val="24"/>
                <w:szCs w:val="24"/>
                <w:lang w:val="en-US"/>
              </w:rPr>
              <w:t>MTE</w:t>
            </w:r>
            <w:r w:rsidR="007D749B" w:rsidRPr="007D749B">
              <w:rPr>
                <w:rFonts w:ascii="Calibri" w:hAnsi="Calibri" w:cs="Calibri"/>
                <w:b/>
                <w:bCs/>
                <w:color w:val="000000"/>
                <w:sz w:val="24"/>
                <w:szCs w:val="24"/>
                <w:lang w:val="en-US"/>
              </w:rPr>
              <w:t xml:space="preserve"> 2019</w:t>
            </w:r>
            <w:r w:rsidR="007D749B" w:rsidRPr="007D749B">
              <w:rPr>
                <w:rFonts w:ascii="Calibri" w:hAnsi="Calibri" w:cs="Calibri"/>
                <w:b/>
                <w:bCs/>
                <w:color w:val="000000"/>
                <w:sz w:val="24"/>
                <w:szCs w:val="24"/>
                <w:lang w:val="en-US"/>
              </w:rPr>
              <w:br/>
              <w:t>(Year and Source)</w:t>
            </w:r>
          </w:p>
        </w:tc>
        <w:tc>
          <w:tcPr>
            <w:tcW w:w="1096" w:type="dxa"/>
            <w:tcBorders>
              <w:top w:val="nil"/>
              <w:left w:val="nil"/>
              <w:bottom w:val="single" w:sz="4" w:space="0" w:color="auto"/>
              <w:right w:val="single" w:sz="4" w:space="0" w:color="auto"/>
            </w:tcBorders>
            <w:shd w:val="clear" w:color="000000" w:fill="D9E1F2"/>
            <w:noWrap/>
            <w:vAlign w:val="bottom"/>
            <w:hideMark/>
          </w:tcPr>
          <w:p w14:paraId="47D960E2" w14:textId="77777777" w:rsidR="007D749B" w:rsidRPr="007D749B" w:rsidRDefault="007D749B" w:rsidP="007D749B">
            <w:pPr>
              <w:rPr>
                <w:rFonts w:ascii="Calibri" w:hAnsi="Calibri" w:cs="Calibri"/>
                <w:b/>
                <w:bCs/>
                <w:color w:val="000000"/>
                <w:sz w:val="24"/>
                <w:szCs w:val="24"/>
                <w:lang w:val="en-US"/>
              </w:rPr>
            </w:pPr>
            <w:r w:rsidRPr="007D749B">
              <w:rPr>
                <w:rFonts w:ascii="Calibri" w:hAnsi="Calibri" w:cs="Calibri"/>
                <w:b/>
                <w:bCs/>
                <w:color w:val="000000"/>
                <w:sz w:val="24"/>
                <w:szCs w:val="24"/>
                <w:lang w:val="en-US"/>
              </w:rPr>
              <w:t xml:space="preserve">Comment on FA Indicator </w:t>
            </w:r>
          </w:p>
        </w:tc>
        <w:tc>
          <w:tcPr>
            <w:tcW w:w="1646" w:type="dxa"/>
            <w:tcBorders>
              <w:top w:val="nil"/>
              <w:left w:val="nil"/>
              <w:bottom w:val="single" w:sz="4" w:space="0" w:color="auto"/>
              <w:right w:val="single" w:sz="4" w:space="0" w:color="auto"/>
            </w:tcBorders>
            <w:shd w:val="clear" w:color="000000" w:fill="C6E0B4"/>
            <w:noWrap/>
            <w:vAlign w:val="bottom"/>
            <w:hideMark/>
          </w:tcPr>
          <w:p w14:paraId="7966A606" w14:textId="77777777" w:rsidR="007D749B" w:rsidRPr="007D749B" w:rsidRDefault="007D749B" w:rsidP="007D749B">
            <w:pPr>
              <w:rPr>
                <w:rFonts w:ascii="Calibri" w:hAnsi="Calibri" w:cs="Calibri"/>
                <w:b/>
                <w:bCs/>
                <w:color w:val="000000"/>
                <w:sz w:val="24"/>
                <w:szCs w:val="24"/>
                <w:lang w:val="en-US"/>
              </w:rPr>
            </w:pPr>
            <w:r w:rsidRPr="007D749B">
              <w:rPr>
                <w:rFonts w:ascii="Calibri" w:hAnsi="Calibri" w:cs="Calibri"/>
                <w:b/>
                <w:bCs/>
                <w:color w:val="000000"/>
                <w:sz w:val="24"/>
                <w:szCs w:val="24"/>
                <w:lang w:val="en-US"/>
              </w:rPr>
              <w:t>UNDP Project Document Relevant Indicator</w:t>
            </w:r>
          </w:p>
        </w:tc>
        <w:tc>
          <w:tcPr>
            <w:tcW w:w="674" w:type="dxa"/>
            <w:tcBorders>
              <w:top w:val="nil"/>
              <w:left w:val="nil"/>
              <w:bottom w:val="single" w:sz="4" w:space="0" w:color="auto"/>
              <w:right w:val="single" w:sz="4" w:space="0" w:color="auto"/>
            </w:tcBorders>
            <w:shd w:val="clear" w:color="000000" w:fill="C6E0B4"/>
            <w:vAlign w:val="bottom"/>
            <w:hideMark/>
          </w:tcPr>
          <w:p w14:paraId="71FC31E8" w14:textId="77777777" w:rsidR="007D749B" w:rsidRPr="007D749B" w:rsidRDefault="007D749B" w:rsidP="007D749B">
            <w:pPr>
              <w:rPr>
                <w:rFonts w:ascii="Calibri" w:hAnsi="Calibri" w:cs="Calibri"/>
                <w:b/>
                <w:bCs/>
                <w:color w:val="000000"/>
                <w:sz w:val="24"/>
                <w:szCs w:val="24"/>
                <w:lang w:val="en-US"/>
              </w:rPr>
            </w:pPr>
            <w:r w:rsidRPr="007D749B">
              <w:rPr>
                <w:rFonts w:ascii="Calibri" w:hAnsi="Calibri" w:cs="Calibri"/>
                <w:b/>
                <w:bCs/>
                <w:color w:val="000000"/>
                <w:sz w:val="24"/>
                <w:szCs w:val="24"/>
                <w:lang w:val="en-US"/>
              </w:rPr>
              <w:t xml:space="preserve">UNDP Value </w:t>
            </w:r>
            <w:r w:rsidRPr="007D749B">
              <w:rPr>
                <w:rFonts w:ascii="Calibri" w:hAnsi="Calibri" w:cs="Calibri"/>
                <w:b/>
                <w:bCs/>
                <w:color w:val="000000"/>
                <w:sz w:val="24"/>
                <w:szCs w:val="24"/>
                <w:lang w:val="en-US"/>
              </w:rPr>
              <w:br/>
              <w:t>(Year 2 Annual Report)</w:t>
            </w:r>
          </w:p>
        </w:tc>
        <w:tc>
          <w:tcPr>
            <w:tcW w:w="1880" w:type="dxa"/>
            <w:tcBorders>
              <w:top w:val="nil"/>
              <w:left w:val="nil"/>
              <w:bottom w:val="single" w:sz="4" w:space="0" w:color="auto"/>
              <w:right w:val="single" w:sz="4" w:space="0" w:color="auto"/>
            </w:tcBorders>
            <w:shd w:val="clear" w:color="000000" w:fill="C6E0B4"/>
            <w:vAlign w:val="bottom"/>
            <w:hideMark/>
          </w:tcPr>
          <w:p w14:paraId="731389B0" w14:textId="77777777" w:rsidR="007D749B" w:rsidRPr="007D749B" w:rsidRDefault="007D749B" w:rsidP="007D749B">
            <w:pPr>
              <w:rPr>
                <w:rFonts w:ascii="Calibri" w:hAnsi="Calibri" w:cs="Calibri"/>
                <w:b/>
                <w:bCs/>
                <w:color w:val="000000"/>
                <w:sz w:val="24"/>
                <w:szCs w:val="24"/>
                <w:lang w:val="en-US"/>
              </w:rPr>
            </w:pPr>
            <w:r w:rsidRPr="007D749B">
              <w:rPr>
                <w:rFonts w:ascii="Calibri" w:hAnsi="Calibri" w:cs="Calibri"/>
                <w:b/>
                <w:bCs/>
                <w:color w:val="000000"/>
                <w:sz w:val="24"/>
                <w:szCs w:val="24"/>
                <w:lang w:val="en-US"/>
              </w:rPr>
              <w:t>Comment on UNDP Indicator</w:t>
            </w:r>
          </w:p>
        </w:tc>
      </w:tr>
      <w:tr w:rsidR="007D749B" w:rsidRPr="007D749B" w14:paraId="3BB86731" w14:textId="77777777" w:rsidTr="007D749B">
        <w:trPr>
          <w:trHeight w:val="900"/>
        </w:trPr>
        <w:tc>
          <w:tcPr>
            <w:tcW w:w="439" w:type="dxa"/>
            <w:vMerge w:val="restart"/>
            <w:tcBorders>
              <w:top w:val="nil"/>
              <w:left w:val="single" w:sz="4" w:space="0" w:color="auto"/>
              <w:bottom w:val="single" w:sz="8" w:space="0" w:color="000000"/>
              <w:right w:val="single" w:sz="4" w:space="0" w:color="auto"/>
            </w:tcBorders>
            <w:shd w:val="clear" w:color="000000" w:fill="D9E1F2"/>
            <w:vAlign w:val="center"/>
            <w:hideMark/>
          </w:tcPr>
          <w:p w14:paraId="4D862E8D" w14:textId="77777777" w:rsidR="007D749B" w:rsidRPr="007D749B" w:rsidRDefault="007D749B" w:rsidP="007D749B">
            <w:pPr>
              <w:jc w:val="center"/>
              <w:rPr>
                <w:rFonts w:ascii="Calibri" w:hAnsi="Calibri" w:cs="Calibri"/>
                <w:b/>
                <w:bCs/>
                <w:color w:val="000000"/>
                <w:sz w:val="24"/>
                <w:szCs w:val="24"/>
                <w:lang w:val="en-US"/>
              </w:rPr>
            </w:pPr>
            <w:r w:rsidRPr="007D749B">
              <w:rPr>
                <w:rFonts w:ascii="Calibri" w:hAnsi="Calibri" w:cs="Calibri"/>
                <w:b/>
                <w:bCs/>
                <w:color w:val="000000"/>
                <w:sz w:val="24"/>
                <w:szCs w:val="24"/>
                <w:lang w:val="en-US"/>
              </w:rPr>
              <w:t xml:space="preserve">Overall Objective: </w:t>
            </w:r>
            <w:r w:rsidRPr="007D749B">
              <w:rPr>
                <w:rFonts w:ascii="Calibri" w:hAnsi="Calibri" w:cs="Calibri"/>
                <w:b/>
                <w:bCs/>
                <w:color w:val="000000"/>
                <w:sz w:val="24"/>
                <w:szCs w:val="24"/>
                <w:lang w:val="en-US"/>
              </w:rPr>
              <w:br/>
              <w:t>Impact</w:t>
            </w:r>
          </w:p>
        </w:tc>
        <w:tc>
          <w:tcPr>
            <w:tcW w:w="1207" w:type="dxa"/>
            <w:tcBorders>
              <w:top w:val="nil"/>
              <w:left w:val="nil"/>
              <w:bottom w:val="single" w:sz="4" w:space="0" w:color="auto"/>
              <w:right w:val="single" w:sz="4" w:space="0" w:color="auto"/>
            </w:tcBorders>
            <w:shd w:val="clear" w:color="auto" w:fill="auto"/>
            <w:vAlign w:val="bottom"/>
            <w:hideMark/>
          </w:tcPr>
          <w:p w14:paraId="2FB4A7B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Practitioners and court users' perceptions of capacity, efficiency, and quality of the Judiciary and LAC improved</w:t>
            </w:r>
          </w:p>
        </w:tc>
        <w:tc>
          <w:tcPr>
            <w:tcW w:w="781" w:type="dxa"/>
            <w:tcBorders>
              <w:top w:val="nil"/>
              <w:left w:val="nil"/>
              <w:bottom w:val="single" w:sz="4" w:space="0" w:color="auto"/>
              <w:right w:val="single" w:sz="4" w:space="0" w:color="auto"/>
            </w:tcBorders>
            <w:shd w:val="clear" w:color="auto" w:fill="auto"/>
            <w:vAlign w:val="bottom"/>
            <w:hideMark/>
          </w:tcPr>
          <w:p w14:paraId="409234A6"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TBD</w:t>
            </w:r>
          </w:p>
        </w:tc>
        <w:tc>
          <w:tcPr>
            <w:tcW w:w="750" w:type="dxa"/>
            <w:vMerge w:val="restart"/>
            <w:tcBorders>
              <w:top w:val="nil"/>
              <w:left w:val="single" w:sz="4" w:space="0" w:color="auto"/>
              <w:bottom w:val="single" w:sz="8" w:space="0" w:color="000000"/>
              <w:right w:val="single" w:sz="4" w:space="0" w:color="auto"/>
            </w:tcBorders>
            <w:shd w:val="clear" w:color="auto" w:fill="auto"/>
            <w:vAlign w:val="center"/>
            <w:hideMark/>
          </w:tcPr>
          <w:p w14:paraId="43FAAE1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Total Fijian population (900,000 2015)</w:t>
            </w:r>
          </w:p>
        </w:tc>
        <w:tc>
          <w:tcPr>
            <w:tcW w:w="877" w:type="dxa"/>
            <w:tcBorders>
              <w:top w:val="nil"/>
              <w:left w:val="nil"/>
              <w:bottom w:val="single" w:sz="4" w:space="0" w:color="auto"/>
              <w:right w:val="single" w:sz="4" w:space="0" w:color="auto"/>
            </w:tcBorders>
            <w:shd w:val="clear" w:color="auto" w:fill="auto"/>
            <w:vAlign w:val="bottom"/>
            <w:hideMark/>
          </w:tcPr>
          <w:p w14:paraId="02F6079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NA</w:t>
            </w:r>
          </w:p>
        </w:tc>
        <w:tc>
          <w:tcPr>
            <w:tcW w:w="1096" w:type="dxa"/>
            <w:tcBorders>
              <w:top w:val="nil"/>
              <w:left w:val="nil"/>
              <w:bottom w:val="single" w:sz="4" w:space="0" w:color="auto"/>
              <w:right w:val="single" w:sz="4" w:space="0" w:color="auto"/>
            </w:tcBorders>
            <w:shd w:val="clear" w:color="auto" w:fill="auto"/>
            <w:vAlign w:val="bottom"/>
            <w:hideMark/>
          </w:tcPr>
          <w:p w14:paraId="338D23A3" w14:textId="3CBF0D66"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Perception of </w:t>
            </w:r>
            <w:r w:rsidRPr="007D749B">
              <w:rPr>
                <w:rFonts w:ascii="Calibri" w:hAnsi="Calibri" w:cs="Calibri"/>
                <w:i/>
                <w:iCs/>
                <w:color w:val="000000"/>
                <w:szCs w:val="22"/>
                <w:lang w:val="en-US"/>
              </w:rPr>
              <w:t>users</w:t>
            </w:r>
            <w:r w:rsidRPr="007D749B">
              <w:rPr>
                <w:rFonts w:ascii="Calibri" w:hAnsi="Calibri" w:cs="Calibri"/>
                <w:color w:val="000000"/>
                <w:szCs w:val="22"/>
                <w:lang w:val="en-US"/>
              </w:rPr>
              <w:t xml:space="preserve">; </w:t>
            </w:r>
            <w:r w:rsidRPr="007D749B">
              <w:rPr>
                <w:rFonts w:ascii="Calibri" w:hAnsi="Calibri" w:cs="Calibri"/>
                <w:color w:val="000000"/>
                <w:szCs w:val="22"/>
                <w:lang w:val="en-US"/>
              </w:rPr>
              <w:br/>
              <w:t xml:space="preserve">Unclear meaning of FA baseline, </w:t>
            </w:r>
            <w:proofErr w:type="spellStart"/>
            <w:r w:rsidRPr="007D749B">
              <w:rPr>
                <w:rFonts w:ascii="Calibri" w:hAnsi="Calibri" w:cs="Calibri"/>
                <w:color w:val="000000"/>
                <w:szCs w:val="22"/>
                <w:lang w:val="en-US"/>
              </w:rPr>
              <w:t>eg</w:t>
            </w:r>
            <w:proofErr w:type="spellEnd"/>
            <w:r w:rsidRPr="007D749B">
              <w:rPr>
                <w:rFonts w:ascii="Calibri" w:hAnsi="Calibri" w:cs="Calibri"/>
                <w:color w:val="000000"/>
                <w:szCs w:val="22"/>
                <w:lang w:val="en-US"/>
              </w:rPr>
              <w:t xml:space="preserve"> using total population for target</w:t>
            </w:r>
          </w:p>
        </w:tc>
        <w:tc>
          <w:tcPr>
            <w:tcW w:w="1646" w:type="dxa"/>
            <w:tcBorders>
              <w:top w:val="nil"/>
              <w:left w:val="nil"/>
              <w:bottom w:val="single" w:sz="4" w:space="0" w:color="auto"/>
              <w:right w:val="single" w:sz="4" w:space="0" w:color="auto"/>
            </w:tcBorders>
            <w:shd w:val="clear" w:color="auto" w:fill="auto"/>
            <w:vAlign w:val="bottom"/>
            <w:hideMark/>
          </w:tcPr>
          <w:p w14:paraId="489CF58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NA</w:t>
            </w:r>
          </w:p>
        </w:tc>
        <w:tc>
          <w:tcPr>
            <w:tcW w:w="674" w:type="dxa"/>
            <w:tcBorders>
              <w:top w:val="nil"/>
              <w:left w:val="nil"/>
              <w:bottom w:val="single" w:sz="4" w:space="0" w:color="auto"/>
              <w:right w:val="single" w:sz="4" w:space="0" w:color="auto"/>
            </w:tcBorders>
            <w:shd w:val="clear" w:color="auto" w:fill="auto"/>
            <w:vAlign w:val="bottom"/>
            <w:hideMark/>
          </w:tcPr>
          <w:p w14:paraId="4883968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NA</w:t>
            </w:r>
          </w:p>
        </w:tc>
        <w:tc>
          <w:tcPr>
            <w:tcW w:w="1880" w:type="dxa"/>
            <w:tcBorders>
              <w:top w:val="nil"/>
              <w:left w:val="nil"/>
              <w:bottom w:val="single" w:sz="4" w:space="0" w:color="auto"/>
              <w:right w:val="single" w:sz="4" w:space="0" w:color="auto"/>
            </w:tcBorders>
            <w:shd w:val="clear" w:color="auto" w:fill="auto"/>
            <w:vAlign w:val="bottom"/>
            <w:hideMark/>
          </w:tcPr>
          <w:p w14:paraId="7B31ACA0"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*Practitioner and </w:t>
            </w:r>
            <w:r w:rsidRPr="007D749B">
              <w:rPr>
                <w:rFonts w:ascii="Calibri" w:hAnsi="Calibri" w:cs="Calibri"/>
                <w:b/>
                <w:bCs/>
                <w:color w:val="000000"/>
                <w:szCs w:val="22"/>
                <w:lang w:val="en-US"/>
              </w:rPr>
              <w:t xml:space="preserve">user </w:t>
            </w:r>
            <w:r w:rsidRPr="007D749B">
              <w:rPr>
                <w:rFonts w:ascii="Calibri" w:hAnsi="Calibri" w:cs="Calibri"/>
                <w:color w:val="000000"/>
                <w:szCs w:val="22"/>
                <w:lang w:val="en-US"/>
              </w:rPr>
              <w:t>perceptions not targeted in UNDP M&amp;E framework</w:t>
            </w:r>
          </w:p>
        </w:tc>
      </w:tr>
      <w:tr w:rsidR="007D749B" w:rsidRPr="007D749B" w14:paraId="651B8A6A" w14:textId="77777777" w:rsidTr="007D749B">
        <w:trPr>
          <w:trHeight w:val="1395"/>
        </w:trPr>
        <w:tc>
          <w:tcPr>
            <w:tcW w:w="439" w:type="dxa"/>
            <w:vMerge/>
            <w:tcBorders>
              <w:top w:val="nil"/>
              <w:left w:val="single" w:sz="4" w:space="0" w:color="auto"/>
              <w:bottom w:val="single" w:sz="8" w:space="0" w:color="000000"/>
              <w:right w:val="single" w:sz="4" w:space="0" w:color="auto"/>
            </w:tcBorders>
            <w:vAlign w:val="center"/>
            <w:hideMark/>
          </w:tcPr>
          <w:p w14:paraId="2C5BA063"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5224CAC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Capacity, efficiency and quality of the Judiciary and LAC improved - according to EU Delegation Reports</w:t>
            </w:r>
          </w:p>
        </w:tc>
        <w:tc>
          <w:tcPr>
            <w:tcW w:w="781" w:type="dxa"/>
            <w:tcBorders>
              <w:top w:val="nil"/>
              <w:left w:val="nil"/>
              <w:bottom w:val="single" w:sz="4" w:space="0" w:color="auto"/>
              <w:right w:val="single" w:sz="4" w:space="0" w:color="auto"/>
            </w:tcBorders>
            <w:shd w:val="clear" w:color="auto" w:fill="auto"/>
            <w:vAlign w:val="bottom"/>
            <w:hideMark/>
          </w:tcPr>
          <w:p w14:paraId="68844C2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TBD (EU Delegation Reports)</w:t>
            </w:r>
          </w:p>
        </w:tc>
        <w:tc>
          <w:tcPr>
            <w:tcW w:w="750" w:type="dxa"/>
            <w:vMerge/>
            <w:tcBorders>
              <w:top w:val="nil"/>
              <w:left w:val="single" w:sz="4" w:space="0" w:color="auto"/>
              <w:bottom w:val="single" w:sz="8" w:space="0" w:color="000000"/>
              <w:right w:val="single" w:sz="4" w:space="0" w:color="auto"/>
            </w:tcBorders>
            <w:vAlign w:val="center"/>
            <w:hideMark/>
          </w:tcPr>
          <w:p w14:paraId="366B14F1" w14:textId="77777777" w:rsidR="007D749B" w:rsidRPr="007D749B" w:rsidRDefault="007D749B" w:rsidP="007D749B">
            <w:pPr>
              <w:rPr>
                <w:rFonts w:ascii="Calibri" w:hAnsi="Calibri" w:cs="Calibri"/>
                <w:color w:val="000000"/>
                <w:szCs w:val="22"/>
                <w:lang w:val="en-US"/>
              </w:rPr>
            </w:pPr>
          </w:p>
        </w:tc>
        <w:tc>
          <w:tcPr>
            <w:tcW w:w="877" w:type="dxa"/>
            <w:tcBorders>
              <w:top w:val="nil"/>
              <w:left w:val="nil"/>
              <w:bottom w:val="single" w:sz="4" w:space="0" w:color="auto"/>
              <w:right w:val="single" w:sz="4" w:space="0" w:color="auto"/>
            </w:tcBorders>
            <w:shd w:val="clear" w:color="auto" w:fill="auto"/>
            <w:vAlign w:val="bottom"/>
            <w:hideMark/>
          </w:tcPr>
          <w:p w14:paraId="450F3D0A"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No reports avail. </w:t>
            </w:r>
          </w:p>
        </w:tc>
        <w:tc>
          <w:tcPr>
            <w:tcW w:w="1096" w:type="dxa"/>
            <w:tcBorders>
              <w:top w:val="nil"/>
              <w:left w:val="nil"/>
              <w:bottom w:val="single" w:sz="4" w:space="0" w:color="auto"/>
              <w:right w:val="single" w:sz="4" w:space="0" w:color="auto"/>
            </w:tcBorders>
            <w:shd w:val="clear" w:color="auto" w:fill="auto"/>
            <w:vAlign w:val="bottom"/>
            <w:hideMark/>
          </w:tcPr>
          <w:p w14:paraId="74A57A27"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External EU Delegation Report Required</w:t>
            </w:r>
          </w:p>
        </w:tc>
        <w:tc>
          <w:tcPr>
            <w:tcW w:w="1646" w:type="dxa"/>
            <w:tcBorders>
              <w:top w:val="nil"/>
              <w:left w:val="nil"/>
              <w:bottom w:val="single" w:sz="4" w:space="0" w:color="auto"/>
              <w:right w:val="single" w:sz="4" w:space="0" w:color="auto"/>
            </w:tcBorders>
            <w:shd w:val="clear" w:color="auto" w:fill="auto"/>
            <w:vAlign w:val="bottom"/>
            <w:hideMark/>
          </w:tcPr>
          <w:p w14:paraId="0B4C1BF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*O1.2 Strategic planning and budgeting capacity of LAC (4 point scale)</w:t>
            </w:r>
            <w:r w:rsidRPr="007D749B">
              <w:rPr>
                <w:rFonts w:ascii="Calibri" w:hAnsi="Calibri" w:cs="Calibri"/>
                <w:color w:val="000000"/>
                <w:szCs w:val="22"/>
                <w:lang w:val="en-US"/>
              </w:rPr>
              <w:br/>
              <w:t>*O2.2 Strategic planning and budgeting capacity of JD (4 point scale)</w:t>
            </w:r>
          </w:p>
        </w:tc>
        <w:tc>
          <w:tcPr>
            <w:tcW w:w="674" w:type="dxa"/>
            <w:tcBorders>
              <w:top w:val="nil"/>
              <w:left w:val="nil"/>
              <w:bottom w:val="single" w:sz="4" w:space="0" w:color="auto"/>
              <w:right w:val="single" w:sz="4" w:space="0" w:color="auto"/>
            </w:tcBorders>
            <w:shd w:val="clear" w:color="auto" w:fill="auto"/>
            <w:vAlign w:val="bottom"/>
            <w:hideMark/>
          </w:tcPr>
          <w:p w14:paraId="01DA691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*O1.2 - LAC: rated 3</w:t>
            </w:r>
            <w:r w:rsidRPr="007D749B">
              <w:rPr>
                <w:rFonts w:ascii="Calibri" w:hAnsi="Calibri" w:cs="Calibri"/>
                <w:color w:val="000000"/>
                <w:szCs w:val="22"/>
                <w:lang w:val="en-US"/>
              </w:rPr>
              <w:br/>
              <w:t>*O2.2 - JD rated 3</w:t>
            </w:r>
          </w:p>
        </w:tc>
        <w:tc>
          <w:tcPr>
            <w:tcW w:w="1880" w:type="dxa"/>
            <w:tcBorders>
              <w:top w:val="nil"/>
              <w:left w:val="nil"/>
              <w:bottom w:val="single" w:sz="4" w:space="0" w:color="auto"/>
              <w:right w:val="single" w:sz="4" w:space="0" w:color="auto"/>
            </w:tcBorders>
            <w:shd w:val="clear" w:color="auto" w:fill="auto"/>
            <w:vAlign w:val="bottom"/>
            <w:hideMark/>
          </w:tcPr>
          <w:p w14:paraId="32FE695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*O1.2: LAC noted use of draft strategic plan but not approved (as of April 2019)</w:t>
            </w:r>
            <w:r w:rsidRPr="007D749B">
              <w:rPr>
                <w:rFonts w:ascii="Calibri" w:hAnsi="Calibri" w:cs="Calibri"/>
                <w:color w:val="000000"/>
                <w:szCs w:val="22"/>
                <w:lang w:val="en-US"/>
              </w:rPr>
              <w:br/>
              <w:t>*O2.2: JD did not note use of draft strategic plan</w:t>
            </w:r>
          </w:p>
        </w:tc>
      </w:tr>
      <w:tr w:rsidR="007D749B" w:rsidRPr="007D749B" w14:paraId="75427B5D" w14:textId="77777777" w:rsidTr="007D749B">
        <w:trPr>
          <w:trHeight w:val="4365"/>
        </w:trPr>
        <w:tc>
          <w:tcPr>
            <w:tcW w:w="439" w:type="dxa"/>
            <w:vMerge/>
            <w:tcBorders>
              <w:top w:val="nil"/>
              <w:left w:val="single" w:sz="4" w:space="0" w:color="auto"/>
              <w:bottom w:val="single" w:sz="8" w:space="0" w:color="000000"/>
              <w:right w:val="single" w:sz="4" w:space="0" w:color="auto"/>
            </w:tcBorders>
            <w:vAlign w:val="center"/>
            <w:hideMark/>
          </w:tcPr>
          <w:p w14:paraId="6C99FF9D"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8" w:space="0" w:color="auto"/>
              <w:right w:val="single" w:sz="4" w:space="0" w:color="auto"/>
            </w:tcBorders>
            <w:shd w:val="clear" w:color="auto" w:fill="auto"/>
            <w:vAlign w:val="bottom"/>
            <w:hideMark/>
          </w:tcPr>
          <w:p w14:paraId="6AF0149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Increase in number of beneficiaries receiving legal advice, assistance, and information by 20%</w:t>
            </w:r>
          </w:p>
        </w:tc>
        <w:tc>
          <w:tcPr>
            <w:tcW w:w="781" w:type="dxa"/>
            <w:tcBorders>
              <w:top w:val="nil"/>
              <w:left w:val="nil"/>
              <w:bottom w:val="single" w:sz="8" w:space="0" w:color="auto"/>
              <w:right w:val="single" w:sz="4" w:space="0" w:color="auto"/>
            </w:tcBorders>
            <w:shd w:val="clear" w:color="auto" w:fill="auto"/>
            <w:vAlign w:val="bottom"/>
            <w:hideMark/>
          </w:tcPr>
          <w:p w14:paraId="17527D5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"Number of beneficiaries receiving legal advice, assistance, and information"</w:t>
            </w:r>
          </w:p>
        </w:tc>
        <w:tc>
          <w:tcPr>
            <w:tcW w:w="750" w:type="dxa"/>
            <w:vMerge/>
            <w:tcBorders>
              <w:top w:val="nil"/>
              <w:left w:val="single" w:sz="4" w:space="0" w:color="auto"/>
              <w:bottom w:val="single" w:sz="8" w:space="0" w:color="000000"/>
              <w:right w:val="single" w:sz="4" w:space="0" w:color="auto"/>
            </w:tcBorders>
            <w:vAlign w:val="center"/>
            <w:hideMark/>
          </w:tcPr>
          <w:p w14:paraId="529FF52F" w14:textId="77777777" w:rsidR="007D749B" w:rsidRPr="007D749B" w:rsidRDefault="007D749B" w:rsidP="007D749B">
            <w:pPr>
              <w:rPr>
                <w:rFonts w:ascii="Calibri" w:hAnsi="Calibri" w:cs="Calibri"/>
                <w:color w:val="000000"/>
                <w:szCs w:val="22"/>
                <w:lang w:val="en-US"/>
              </w:rPr>
            </w:pPr>
          </w:p>
        </w:tc>
        <w:tc>
          <w:tcPr>
            <w:tcW w:w="877" w:type="dxa"/>
            <w:tcBorders>
              <w:top w:val="nil"/>
              <w:left w:val="nil"/>
              <w:bottom w:val="single" w:sz="8" w:space="0" w:color="auto"/>
              <w:right w:val="single" w:sz="4" w:space="0" w:color="auto"/>
            </w:tcBorders>
            <w:shd w:val="clear" w:color="auto" w:fill="auto"/>
            <w:vAlign w:val="bottom"/>
            <w:hideMark/>
          </w:tcPr>
          <w:p w14:paraId="5D8DDFD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*at least 7% - 30% increase year / year in LAC </w:t>
            </w:r>
            <w:proofErr w:type="spellStart"/>
            <w:r w:rsidRPr="007D749B">
              <w:rPr>
                <w:rFonts w:ascii="Calibri" w:hAnsi="Calibri" w:cs="Calibri"/>
                <w:color w:val="000000"/>
                <w:szCs w:val="22"/>
                <w:lang w:val="en-US"/>
              </w:rPr>
              <w:t>case loads</w:t>
            </w:r>
            <w:proofErr w:type="spellEnd"/>
            <w:r w:rsidRPr="007D749B">
              <w:rPr>
                <w:rFonts w:ascii="Calibri" w:hAnsi="Calibri" w:cs="Calibri"/>
                <w:color w:val="000000"/>
                <w:szCs w:val="22"/>
                <w:lang w:val="en-US"/>
              </w:rPr>
              <w:t xml:space="preserve"> (Balancing the Scales LAC Annex at 8 / A2J Assessment (Draft) at 11 )  - </w:t>
            </w:r>
            <w:r w:rsidRPr="007D749B">
              <w:rPr>
                <w:rFonts w:ascii="Calibri" w:hAnsi="Calibri" w:cs="Calibri"/>
                <w:b/>
                <w:bCs/>
                <w:color w:val="000000"/>
                <w:szCs w:val="22"/>
                <w:lang w:val="en-US"/>
              </w:rPr>
              <w:t>Figures for 2016 vary between sources</w:t>
            </w:r>
            <w:r w:rsidRPr="007D749B">
              <w:rPr>
                <w:rFonts w:ascii="Calibri" w:hAnsi="Calibri" w:cs="Calibri"/>
                <w:color w:val="000000"/>
                <w:szCs w:val="22"/>
                <w:lang w:val="en-US"/>
              </w:rPr>
              <w:t xml:space="preserve"> </w:t>
            </w:r>
          </w:p>
        </w:tc>
        <w:tc>
          <w:tcPr>
            <w:tcW w:w="1096" w:type="dxa"/>
            <w:tcBorders>
              <w:top w:val="nil"/>
              <w:left w:val="nil"/>
              <w:bottom w:val="single" w:sz="8" w:space="0" w:color="auto"/>
              <w:right w:val="single" w:sz="4" w:space="0" w:color="auto"/>
            </w:tcBorders>
            <w:shd w:val="clear" w:color="auto" w:fill="auto"/>
            <w:vAlign w:val="bottom"/>
            <w:hideMark/>
          </w:tcPr>
          <w:p w14:paraId="26D13E2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Interpreted to include FA Comp II / Result 3: "The realization of awareness raising activities; note emphasis of FA on CSO cooperation with LAC across Result 3 (FA at 4) </w:t>
            </w:r>
            <w:r w:rsidRPr="007D749B">
              <w:rPr>
                <w:rFonts w:ascii="Calibri" w:hAnsi="Calibri" w:cs="Calibri"/>
                <w:color w:val="000000"/>
                <w:szCs w:val="22"/>
                <w:lang w:val="en-US"/>
              </w:rPr>
              <w:br/>
            </w:r>
            <w:r w:rsidRPr="007D749B">
              <w:rPr>
                <w:rFonts w:ascii="Calibri" w:hAnsi="Calibri" w:cs="Calibri"/>
                <w:color w:val="000000"/>
                <w:szCs w:val="22"/>
                <w:lang w:val="en-US"/>
              </w:rPr>
              <w:br/>
              <w:t>*No data available on beneficiaries "receiving advice" or information by LAC, JD, others so numbers per year are low</w:t>
            </w:r>
          </w:p>
        </w:tc>
        <w:tc>
          <w:tcPr>
            <w:tcW w:w="1646" w:type="dxa"/>
            <w:tcBorders>
              <w:top w:val="nil"/>
              <w:left w:val="nil"/>
              <w:bottom w:val="single" w:sz="8" w:space="0" w:color="auto"/>
              <w:right w:val="single" w:sz="4" w:space="0" w:color="auto"/>
            </w:tcBorders>
            <w:shd w:val="clear" w:color="auto" w:fill="auto"/>
            <w:vAlign w:val="bottom"/>
            <w:hideMark/>
          </w:tcPr>
          <w:p w14:paraId="444A527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*O4.1 Competence and skills of NGO staff relative to delivering access to justice information and services improved (4 point scale)</w:t>
            </w:r>
            <w:r w:rsidRPr="007D749B">
              <w:rPr>
                <w:rFonts w:ascii="Calibri" w:hAnsi="Calibri" w:cs="Calibri"/>
                <w:color w:val="000000"/>
                <w:szCs w:val="22"/>
                <w:lang w:val="en-US"/>
              </w:rPr>
              <w:br/>
              <w:t>*O4.2 Number of networks of community advocates established, operational and producing…reports</w:t>
            </w:r>
            <w:r w:rsidRPr="007D749B">
              <w:rPr>
                <w:rFonts w:ascii="Calibri" w:hAnsi="Calibri" w:cs="Calibri"/>
                <w:color w:val="000000"/>
                <w:szCs w:val="22"/>
                <w:lang w:val="en-US"/>
              </w:rPr>
              <w:br/>
              <w:t>O4.3 Number of people indicating increased awareness or satisfaction with services provided by networks of community advocates disaggregated by provider, topic, and for people by sex</w:t>
            </w:r>
          </w:p>
        </w:tc>
        <w:tc>
          <w:tcPr>
            <w:tcW w:w="674" w:type="dxa"/>
            <w:tcBorders>
              <w:top w:val="nil"/>
              <w:left w:val="nil"/>
              <w:bottom w:val="single" w:sz="8" w:space="0" w:color="auto"/>
              <w:right w:val="single" w:sz="4" w:space="0" w:color="auto"/>
            </w:tcBorders>
            <w:shd w:val="clear" w:color="auto" w:fill="auto"/>
            <w:vAlign w:val="bottom"/>
            <w:hideMark/>
          </w:tcPr>
          <w:p w14:paraId="724A28B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*O4.1 - 3 (not noted which CSOs included in assessment)</w:t>
            </w:r>
            <w:r w:rsidRPr="007D749B">
              <w:rPr>
                <w:rFonts w:ascii="Calibri" w:hAnsi="Calibri" w:cs="Calibri"/>
                <w:color w:val="000000"/>
                <w:szCs w:val="22"/>
                <w:lang w:val="en-US"/>
              </w:rPr>
              <w:br/>
              <w:t>*O4.2 - 5</w:t>
            </w:r>
            <w:r w:rsidRPr="007D749B">
              <w:rPr>
                <w:rFonts w:ascii="Calibri" w:hAnsi="Calibri" w:cs="Calibri"/>
                <w:color w:val="000000"/>
                <w:szCs w:val="22"/>
                <w:lang w:val="en-US"/>
              </w:rPr>
              <w:br/>
              <w:t>*O4.3 - 0</w:t>
            </w:r>
          </w:p>
        </w:tc>
        <w:tc>
          <w:tcPr>
            <w:tcW w:w="1880" w:type="dxa"/>
            <w:tcBorders>
              <w:top w:val="nil"/>
              <w:left w:val="nil"/>
              <w:bottom w:val="single" w:sz="8" w:space="0" w:color="auto"/>
              <w:right w:val="single" w:sz="4" w:space="0" w:color="auto"/>
            </w:tcBorders>
            <w:shd w:val="clear" w:color="auto" w:fill="auto"/>
            <w:vAlign w:val="bottom"/>
            <w:hideMark/>
          </w:tcPr>
          <w:p w14:paraId="220A03DA" w14:textId="69665DA5"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br/>
            </w:r>
            <w:r w:rsidRPr="007D749B">
              <w:rPr>
                <w:rFonts w:ascii="Calibri" w:hAnsi="Calibri" w:cs="Calibri"/>
                <w:b/>
                <w:bCs/>
                <w:color w:val="000000"/>
                <w:szCs w:val="22"/>
                <w:lang w:val="en-US"/>
              </w:rPr>
              <w:t xml:space="preserve">NB- the UNDP Output </w:t>
            </w:r>
            <w:proofErr w:type="spellStart"/>
            <w:r w:rsidRPr="007D749B">
              <w:rPr>
                <w:rFonts w:ascii="Calibri" w:hAnsi="Calibri" w:cs="Calibri"/>
                <w:b/>
                <w:bCs/>
                <w:color w:val="000000"/>
                <w:szCs w:val="22"/>
                <w:lang w:val="en-US"/>
              </w:rPr>
              <w:t>Inidcators</w:t>
            </w:r>
            <w:proofErr w:type="spellEnd"/>
            <w:r w:rsidRPr="007D749B">
              <w:rPr>
                <w:rFonts w:ascii="Calibri" w:hAnsi="Calibri" w:cs="Calibri"/>
                <w:b/>
                <w:bCs/>
                <w:color w:val="000000"/>
                <w:szCs w:val="22"/>
                <w:lang w:val="en-US"/>
              </w:rPr>
              <w:t xml:space="preserve"> better align with EU Specific Objective: Outcome indicators, however CSO engagement not captured in FA M&amp;E framework at the Specific Objective level. </w:t>
            </w:r>
            <w:r w:rsidRPr="007D749B">
              <w:rPr>
                <w:rFonts w:ascii="Calibri" w:hAnsi="Calibri" w:cs="Calibri"/>
                <w:color w:val="000000"/>
                <w:szCs w:val="22"/>
                <w:lang w:val="en-US"/>
              </w:rPr>
              <w:br/>
            </w:r>
            <w:r w:rsidRPr="007D749B">
              <w:rPr>
                <w:rFonts w:ascii="Calibri" w:hAnsi="Calibri" w:cs="Calibri"/>
                <w:color w:val="000000"/>
                <w:szCs w:val="22"/>
                <w:lang w:val="en-US"/>
              </w:rPr>
              <w:br/>
              <w:t>*O4.1 UNDP reports (Yr2 Annual) that CSO grantees will receive training in project management and technical skills (presumed 2019) - baseline of rating of 3 occurred before training; UNDP Pro Doc does not preclude NGO assessment of training</w:t>
            </w:r>
            <w:r w:rsidRPr="007D749B">
              <w:rPr>
                <w:rFonts w:ascii="Calibri" w:hAnsi="Calibri" w:cs="Calibri"/>
                <w:color w:val="000000"/>
                <w:szCs w:val="22"/>
                <w:lang w:val="en-US"/>
              </w:rPr>
              <w:br/>
            </w:r>
            <w:r w:rsidRPr="007D749B">
              <w:rPr>
                <w:rFonts w:ascii="Calibri" w:hAnsi="Calibri" w:cs="Calibri"/>
                <w:color w:val="000000"/>
                <w:szCs w:val="22"/>
                <w:lang w:val="en-US"/>
              </w:rPr>
              <w:lastRenderedPageBreak/>
              <w:t xml:space="preserve">*O4.2: networks created in each division and nationally, however unclear if they are "operational and producing regular monitoring disaggregated and analysis reports" (unavailable to </w:t>
            </w:r>
            <w:r w:rsidR="00111B37">
              <w:rPr>
                <w:rFonts w:ascii="Calibri" w:hAnsi="Calibri" w:cs="Calibri"/>
                <w:color w:val="000000"/>
                <w:szCs w:val="22"/>
                <w:lang w:val="en-US"/>
              </w:rPr>
              <w:t>MTE</w:t>
            </w:r>
            <w:r w:rsidRPr="007D749B">
              <w:rPr>
                <w:rFonts w:ascii="Calibri" w:hAnsi="Calibri" w:cs="Calibri"/>
                <w:color w:val="000000"/>
                <w:szCs w:val="22"/>
                <w:lang w:val="en-US"/>
              </w:rPr>
              <w:t xml:space="preserve"> 4/2019)</w:t>
            </w:r>
            <w:r w:rsidRPr="007D749B">
              <w:rPr>
                <w:rFonts w:ascii="Calibri" w:hAnsi="Calibri" w:cs="Calibri"/>
                <w:color w:val="000000"/>
                <w:szCs w:val="22"/>
                <w:lang w:val="en-US"/>
              </w:rPr>
              <w:br/>
              <w:t>O4.3: information on recipients of community advocate services not available; UNDP reports A2J Assessment will establish baseline (</w:t>
            </w:r>
            <w:proofErr w:type="spellStart"/>
            <w:r w:rsidRPr="007D749B">
              <w:rPr>
                <w:rFonts w:ascii="Calibri" w:hAnsi="Calibri" w:cs="Calibri"/>
                <w:color w:val="000000"/>
                <w:szCs w:val="22"/>
                <w:lang w:val="en-US"/>
              </w:rPr>
              <w:t>Yr</w:t>
            </w:r>
            <w:proofErr w:type="spellEnd"/>
            <w:r w:rsidRPr="007D749B">
              <w:rPr>
                <w:rFonts w:ascii="Calibri" w:hAnsi="Calibri" w:cs="Calibri"/>
                <w:color w:val="000000"/>
                <w:szCs w:val="22"/>
                <w:lang w:val="en-US"/>
              </w:rPr>
              <w:t xml:space="preserve"> 2 Report)</w:t>
            </w:r>
          </w:p>
        </w:tc>
      </w:tr>
      <w:tr w:rsidR="007D749B" w:rsidRPr="007D749B" w14:paraId="30B00A72" w14:textId="77777777" w:rsidTr="007D749B">
        <w:trPr>
          <w:trHeight w:val="900"/>
        </w:trPr>
        <w:tc>
          <w:tcPr>
            <w:tcW w:w="439" w:type="dxa"/>
            <w:vMerge w:val="restart"/>
            <w:tcBorders>
              <w:top w:val="nil"/>
              <w:left w:val="single" w:sz="4" w:space="0" w:color="auto"/>
              <w:bottom w:val="nil"/>
              <w:right w:val="nil"/>
            </w:tcBorders>
            <w:shd w:val="clear" w:color="000000" w:fill="D9E1F2"/>
            <w:noWrap/>
            <w:vAlign w:val="center"/>
            <w:hideMark/>
          </w:tcPr>
          <w:p w14:paraId="12838F55" w14:textId="77777777" w:rsidR="007D749B" w:rsidRPr="007D749B" w:rsidRDefault="007D749B" w:rsidP="007D749B">
            <w:pPr>
              <w:jc w:val="center"/>
              <w:rPr>
                <w:rFonts w:ascii="Calibri" w:hAnsi="Calibri" w:cs="Calibri"/>
                <w:b/>
                <w:bCs/>
                <w:color w:val="000000"/>
                <w:sz w:val="24"/>
                <w:szCs w:val="24"/>
                <w:lang w:val="en-US"/>
              </w:rPr>
            </w:pPr>
            <w:r w:rsidRPr="007D749B">
              <w:rPr>
                <w:rFonts w:ascii="Calibri" w:hAnsi="Calibri" w:cs="Calibri"/>
                <w:b/>
                <w:bCs/>
                <w:color w:val="000000"/>
                <w:sz w:val="24"/>
                <w:szCs w:val="24"/>
                <w:lang w:val="en-US"/>
              </w:rPr>
              <w:lastRenderedPageBreak/>
              <w:t>Outcome</w:t>
            </w:r>
          </w:p>
        </w:tc>
        <w:tc>
          <w:tcPr>
            <w:tcW w:w="1207" w:type="dxa"/>
            <w:tcBorders>
              <w:top w:val="nil"/>
              <w:left w:val="nil"/>
              <w:bottom w:val="single" w:sz="4" w:space="0" w:color="auto"/>
              <w:right w:val="single" w:sz="4" w:space="0" w:color="auto"/>
            </w:tcBorders>
            <w:shd w:val="clear" w:color="auto" w:fill="auto"/>
            <w:vAlign w:val="bottom"/>
            <w:hideMark/>
          </w:tcPr>
          <w:p w14:paraId="5C1E5CC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Increased avail. of legal to aid to target populations by 50%</w:t>
            </w:r>
          </w:p>
        </w:tc>
        <w:tc>
          <w:tcPr>
            <w:tcW w:w="781" w:type="dxa"/>
            <w:tcBorders>
              <w:top w:val="nil"/>
              <w:left w:val="nil"/>
              <w:bottom w:val="single" w:sz="4" w:space="0" w:color="auto"/>
              <w:right w:val="single" w:sz="4" w:space="0" w:color="auto"/>
            </w:tcBorders>
            <w:shd w:val="clear" w:color="auto" w:fill="auto"/>
            <w:vAlign w:val="bottom"/>
            <w:hideMark/>
          </w:tcPr>
          <w:p w14:paraId="13D9771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15,000 (2015)</w:t>
            </w:r>
          </w:p>
        </w:tc>
        <w:tc>
          <w:tcPr>
            <w:tcW w:w="750" w:type="dxa"/>
            <w:tcBorders>
              <w:top w:val="nil"/>
              <w:left w:val="nil"/>
              <w:bottom w:val="single" w:sz="4" w:space="0" w:color="auto"/>
              <w:right w:val="single" w:sz="4" w:space="0" w:color="auto"/>
            </w:tcBorders>
            <w:shd w:val="clear" w:color="auto" w:fill="auto"/>
            <w:vAlign w:val="bottom"/>
            <w:hideMark/>
          </w:tcPr>
          <w:p w14:paraId="18BB57F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22,500 free legal aid clients per year</w:t>
            </w:r>
          </w:p>
        </w:tc>
        <w:tc>
          <w:tcPr>
            <w:tcW w:w="877" w:type="dxa"/>
            <w:tcBorders>
              <w:top w:val="nil"/>
              <w:left w:val="nil"/>
              <w:bottom w:val="single" w:sz="4" w:space="0" w:color="auto"/>
              <w:right w:val="single" w:sz="4" w:space="0" w:color="auto"/>
            </w:tcBorders>
            <w:shd w:val="clear" w:color="auto" w:fill="auto"/>
            <w:vAlign w:val="bottom"/>
            <w:hideMark/>
          </w:tcPr>
          <w:p w14:paraId="6629B28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*11,745 clients (2015) to 16,577 (2017)  (Balancing the Scales)</w:t>
            </w:r>
          </w:p>
        </w:tc>
        <w:tc>
          <w:tcPr>
            <w:tcW w:w="1096" w:type="dxa"/>
            <w:tcBorders>
              <w:top w:val="nil"/>
              <w:left w:val="nil"/>
              <w:bottom w:val="single" w:sz="4" w:space="0" w:color="auto"/>
              <w:right w:val="single" w:sz="4" w:space="0" w:color="auto"/>
            </w:tcBorders>
            <w:shd w:val="clear" w:color="auto" w:fill="auto"/>
            <w:vAlign w:val="bottom"/>
            <w:hideMark/>
          </w:tcPr>
          <w:p w14:paraId="68B3008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A2J Assessment (Draft) at 11 quotes LAC figure of </w:t>
            </w:r>
            <w:r w:rsidRPr="007D749B">
              <w:rPr>
                <w:rFonts w:ascii="Calibri" w:hAnsi="Calibri" w:cs="Calibri"/>
                <w:color w:val="000000"/>
                <w:szCs w:val="22"/>
                <w:lang w:val="en-US"/>
              </w:rPr>
              <w:lastRenderedPageBreak/>
              <w:t>16,667 for 2016</w:t>
            </w:r>
          </w:p>
        </w:tc>
        <w:tc>
          <w:tcPr>
            <w:tcW w:w="1646" w:type="dxa"/>
            <w:tcBorders>
              <w:top w:val="nil"/>
              <w:left w:val="nil"/>
              <w:bottom w:val="single" w:sz="4" w:space="0" w:color="auto"/>
              <w:right w:val="single" w:sz="4" w:space="0" w:color="auto"/>
            </w:tcBorders>
            <w:shd w:val="clear" w:color="auto" w:fill="auto"/>
            <w:vAlign w:val="bottom"/>
            <w:hideMark/>
          </w:tcPr>
          <w:p w14:paraId="3627C47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lastRenderedPageBreak/>
              <w:t>*O1.4 Availability of free legal assistance for impoverished and vulnerable groups (4 point scale)</w:t>
            </w:r>
          </w:p>
        </w:tc>
        <w:tc>
          <w:tcPr>
            <w:tcW w:w="674" w:type="dxa"/>
            <w:tcBorders>
              <w:top w:val="nil"/>
              <w:left w:val="nil"/>
              <w:bottom w:val="single" w:sz="4" w:space="0" w:color="auto"/>
              <w:right w:val="single" w:sz="4" w:space="0" w:color="auto"/>
            </w:tcBorders>
            <w:shd w:val="clear" w:color="auto" w:fill="auto"/>
            <w:vAlign w:val="bottom"/>
            <w:hideMark/>
          </w:tcPr>
          <w:p w14:paraId="2EA99E8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*O1.4 - LAC rated 3</w:t>
            </w:r>
          </w:p>
        </w:tc>
        <w:tc>
          <w:tcPr>
            <w:tcW w:w="1880" w:type="dxa"/>
            <w:tcBorders>
              <w:top w:val="nil"/>
              <w:left w:val="nil"/>
              <w:bottom w:val="single" w:sz="4" w:space="0" w:color="auto"/>
              <w:right w:val="single" w:sz="4" w:space="0" w:color="auto"/>
            </w:tcBorders>
            <w:shd w:val="clear" w:color="auto" w:fill="auto"/>
            <w:vAlign w:val="bottom"/>
            <w:hideMark/>
          </w:tcPr>
          <w:p w14:paraId="3C33F7A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*O1.4 No quantitative figures provided; UNDP notes future helpline</w:t>
            </w:r>
          </w:p>
        </w:tc>
      </w:tr>
      <w:tr w:rsidR="007D749B" w:rsidRPr="007D749B" w14:paraId="129E0A31" w14:textId="77777777" w:rsidTr="007D749B">
        <w:trPr>
          <w:trHeight w:val="1800"/>
        </w:trPr>
        <w:tc>
          <w:tcPr>
            <w:tcW w:w="439" w:type="dxa"/>
            <w:vMerge/>
            <w:tcBorders>
              <w:top w:val="nil"/>
              <w:left w:val="single" w:sz="4" w:space="0" w:color="auto"/>
              <w:bottom w:val="nil"/>
              <w:right w:val="nil"/>
            </w:tcBorders>
            <w:vAlign w:val="center"/>
            <w:hideMark/>
          </w:tcPr>
          <w:p w14:paraId="6C8D9645"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0ECAD3A0"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Increased quality of legal representation and legal proceedings</w:t>
            </w:r>
          </w:p>
        </w:tc>
        <w:tc>
          <w:tcPr>
            <w:tcW w:w="781" w:type="dxa"/>
            <w:tcBorders>
              <w:top w:val="nil"/>
              <w:left w:val="nil"/>
              <w:bottom w:val="single" w:sz="4" w:space="0" w:color="auto"/>
              <w:right w:val="single" w:sz="4" w:space="0" w:color="auto"/>
            </w:tcBorders>
            <w:shd w:val="clear" w:color="auto" w:fill="auto"/>
            <w:vAlign w:val="bottom"/>
            <w:hideMark/>
          </w:tcPr>
          <w:p w14:paraId="16254CA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Practitioners (judges, prosecutors, lawyers) baseline TBD 2016</w:t>
            </w:r>
          </w:p>
        </w:tc>
        <w:tc>
          <w:tcPr>
            <w:tcW w:w="750" w:type="dxa"/>
            <w:tcBorders>
              <w:top w:val="nil"/>
              <w:left w:val="nil"/>
              <w:bottom w:val="single" w:sz="4" w:space="0" w:color="auto"/>
              <w:right w:val="single" w:sz="4" w:space="0" w:color="auto"/>
            </w:tcBorders>
            <w:shd w:val="clear" w:color="auto" w:fill="auto"/>
            <w:vAlign w:val="bottom"/>
            <w:hideMark/>
          </w:tcPr>
          <w:p w14:paraId="2FFAB75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"All lawyers and judicial officials and court users" (no ref year) </w:t>
            </w:r>
          </w:p>
        </w:tc>
        <w:tc>
          <w:tcPr>
            <w:tcW w:w="877" w:type="dxa"/>
            <w:tcBorders>
              <w:top w:val="nil"/>
              <w:left w:val="nil"/>
              <w:bottom w:val="single" w:sz="4" w:space="0" w:color="auto"/>
              <w:right w:val="single" w:sz="4" w:space="0" w:color="auto"/>
            </w:tcBorders>
            <w:shd w:val="clear" w:color="auto" w:fill="auto"/>
            <w:vAlign w:val="bottom"/>
            <w:hideMark/>
          </w:tcPr>
          <w:p w14:paraId="4057D36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Legal proceedings: Rating of 3-4 (on 5 point scale) (2018, A2J Assessment (Draft) at 41</w:t>
            </w:r>
          </w:p>
        </w:tc>
        <w:tc>
          <w:tcPr>
            <w:tcW w:w="1096" w:type="dxa"/>
            <w:tcBorders>
              <w:top w:val="nil"/>
              <w:left w:val="nil"/>
              <w:bottom w:val="single" w:sz="4" w:space="0" w:color="auto"/>
              <w:right w:val="single" w:sz="4" w:space="0" w:color="auto"/>
            </w:tcBorders>
            <w:shd w:val="clear" w:color="auto" w:fill="auto"/>
            <w:vAlign w:val="bottom"/>
            <w:hideMark/>
          </w:tcPr>
          <w:p w14:paraId="0454FD1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FA baseline not clear</w:t>
            </w:r>
            <w:r w:rsidRPr="007D749B">
              <w:rPr>
                <w:rFonts w:ascii="Calibri" w:hAnsi="Calibri" w:cs="Calibri"/>
                <w:color w:val="000000"/>
                <w:szCs w:val="22"/>
                <w:lang w:val="en-US"/>
              </w:rPr>
              <w:br/>
            </w:r>
            <w:r w:rsidRPr="007D749B">
              <w:rPr>
                <w:rFonts w:ascii="Calibri" w:hAnsi="Calibri" w:cs="Calibri"/>
                <w:color w:val="000000"/>
                <w:szCs w:val="22"/>
                <w:lang w:val="en-US"/>
              </w:rPr>
              <w:br/>
              <w:t>Surveys projected - difference in target groups for survey between baseline and target groups (target includes court users)</w:t>
            </w:r>
          </w:p>
        </w:tc>
        <w:tc>
          <w:tcPr>
            <w:tcW w:w="1646" w:type="dxa"/>
            <w:tcBorders>
              <w:top w:val="nil"/>
              <w:left w:val="nil"/>
              <w:bottom w:val="single" w:sz="4" w:space="0" w:color="auto"/>
              <w:right w:val="single" w:sz="4" w:space="0" w:color="auto"/>
            </w:tcBorders>
            <w:shd w:val="clear" w:color="auto" w:fill="auto"/>
            <w:vAlign w:val="bottom"/>
            <w:hideMark/>
          </w:tcPr>
          <w:p w14:paraId="4B7F294F"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*O1.3 Competence…of LAC staff (lawyers) (4 point scale)</w:t>
            </w:r>
            <w:r w:rsidRPr="007D749B">
              <w:rPr>
                <w:rFonts w:ascii="Calibri" w:hAnsi="Calibri" w:cs="Calibri"/>
                <w:color w:val="000000"/>
                <w:szCs w:val="22"/>
                <w:lang w:val="en-US"/>
              </w:rPr>
              <w:br/>
              <w:t>*O2.3 Competence…of JD staff (4 point scale)</w:t>
            </w:r>
            <w:r w:rsidRPr="007D749B">
              <w:rPr>
                <w:rFonts w:ascii="Calibri" w:hAnsi="Calibri" w:cs="Calibri"/>
                <w:color w:val="000000"/>
                <w:szCs w:val="22"/>
                <w:lang w:val="en-US"/>
              </w:rPr>
              <w:br/>
              <w:t>*O3.1 % of callers to LAC hotline that are satisfied with services provided</w:t>
            </w:r>
            <w:r w:rsidRPr="007D749B">
              <w:rPr>
                <w:rFonts w:ascii="Calibri" w:hAnsi="Calibri" w:cs="Calibri"/>
                <w:color w:val="000000"/>
                <w:szCs w:val="22"/>
                <w:lang w:val="en-US"/>
              </w:rPr>
              <w:br/>
              <w:t xml:space="preserve">*O3.2 % of users of </w:t>
            </w:r>
            <w:proofErr w:type="spellStart"/>
            <w:r w:rsidRPr="007D749B">
              <w:rPr>
                <w:rFonts w:ascii="Calibri" w:hAnsi="Calibri" w:cs="Calibri"/>
                <w:color w:val="000000"/>
                <w:szCs w:val="22"/>
                <w:lang w:val="en-US"/>
              </w:rPr>
              <w:t>informaiton</w:t>
            </w:r>
            <w:proofErr w:type="spellEnd"/>
            <w:r w:rsidRPr="007D749B">
              <w:rPr>
                <w:rFonts w:ascii="Calibri" w:hAnsi="Calibri" w:cs="Calibri"/>
                <w:color w:val="000000"/>
                <w:szCs w:val="22"/>
                <w:lang w:val="en-US"/>
              </w:rPr>
              <w:t xml:space="preserve">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in courts that are satisfied with services provided</w:t>
            </w:r>
          </w:p>
        </w:tc>
        <w:tc>
          <w:tcPr>
            <w:tcW w:w="674" w:type="dxa"/>
            <w:tcBorders>
              <w:top w:val="nil"/>
              <w:left w:val="nil"/>
              <w:bottom w:val="single" w:sz="4" w:space="0" w:color="auto"/>
              <w:right w:val="single" w:sz="4" w:space="0" w:color="auto"/>
            </w:tcBorders>
            <w:shd w:val="clear" w:color="auto" w:fill="auto"/>
            <w:vAlign w:val="bottom"/>
            <w:hideMark/>
          </w:tcPr>
          <w:p w14:paraId="6860AB7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*O1.3 - LAC rated 3</w:t>
            </w:r>
            <w:r w:rsidRPr="007D749B">
              <w:rPr>
                <w:rFonts w:ascii="Calibri" w:hAnsi="Calibri" w:cs="Calibri"/>
                <w:color w:val="000000"/>
                <w:szCs w:val="22"/>
                <w:lang w:val="en-US"/>
              </w:rPr>
              <w:br/>
              <w:t>*O2.3 - JD rated 3</w:t>
            </w:r>
            <w:r w:rsidRPr="007D749B">
              <w:rPr>
                <w:rFonts w:ascii="Calibri" w:hAnsi="Calibri" w:cs="Calibri"/>
                <w:color w:val="000000"/>
                <w:szCs w:val="22"/>
                <w:lang w:val="en-US"/>
              </w:rPr>
              <w:br/>
              <w:t>*O3.1 - 0</w:t>
            </w:r>
          </w:p>
        </w:tc>
        <w:tc>
          <w:tcPr>
            <w:tcW w:w="1880" w:type="dxa"/>
            <w:tcBorders>
              <w:top w:val="nil"/>
              <w:left w:val="nil"/>
              <w:bottom w:val="single" w:sz="4" w:space="0" w:color="auto"/>
              <w:right w:val="single" w:sz="4" w:space="0" w:color="auto"/>
            </w:tcBorders>
            <w:shd w:val="clear" w:color="auto" w:fill="auto"/>
            <w:vAlign w:val="bottom"/>
            <w:hideMark/>
          </w:tcPr>
          <w:p w14:paraId="5F9FDAE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*NB that Yr2 Annual </w:t>
            </w:r>
            <w:proofErr w:type="spellStart"/>
            <w:r w:rsidRPr="007D749B">
              <w:rPr>
                <w:rFonts w:ascii="Calibri" w:hAnsi="Calibri" w:cs="Calibri"/>
                <w:color w:val="000000"/>
                <w:szCs w:val="22"/>
                <w:lang w:val="en-US"/>
              </w:rPr>
              <w:t>Rpt</w:t>
            </w:r>
            <w:proofErr w:type="spellEnd"/>
            <w:r w:rsidRPr="007D749B">
              <w:rPr>
                <w:rFonts w:ascii="Calibri" w:hAnsi="Calibri" w:cs="Calibri"/>
                <w:color w:val="000000"/>
                <w:szCs w:val="22"/>
                <w:lang w:val="en-US"/>
              </w:rPr>
              <w:t xml:space="preserve"> states UNDP "has worked with LAC to identify capacity development needs", but no formal TNA</w:t>
            </w:r>
            <w:r w:rsidRPr="007D749B">
              <w:rPr>
                <w:rFonts w:ascii="Calibri" w:hAnsi="Calibri" w:cs="Calibri"/>
                <w:color w:val="000000"/>
                <w:szCs w:val="22"/>
                <w:lang w:val="en-US"/>
              </w:rPr>
              <w:br/>
              <w:t>*O2.3 - UNDP noted activity support to Aug 2018 Crim Law Workshop</w:t>
            </w:r>
            <w:r w:rsidRPr="007D749B">
              <w:rPr>
                <w:rFonts w:ascii="Calibri" w:hAnsi="Calibri" w:cs="Calibri"/>
                <w:color w:val="000000"/>
                <w:szCs w:val="22"/>
                <w:lang w:val="en-US"/>
              </w:rPr>
              <w:br/>
              <w:t>*O3.1 Hotline not available as 4/2019</w:t>
            </w:r>
          </w:p>
        </w:tc>
      </w:tr>
      <w:tr w:rsidR="007D749B" w:rsidRPr="007D749B" w14:paraId="4B2AAE87" w14:textId="77777777" w:rsidTr="007D749B">
        <w:trPr>
          <w:trHeight w:val="1800"/>
        </w:trPr>
        <w:tc>
          <w:tcPr>
            <w:tcW w:w="439" w:type="dxa"/>
            <w:vMerge/>
            <w:tcBorders>
              <w:top w:val="nil"/>
              <w:left w:val="single" w:sz="4" w:space="0" w:color="auto"/>
              <w:bottom w:val="nil"/>
              <w:right w:val="nil"/>
            </w:tcBorders>
            <w:vAlign w:val="center"/>
            <w:hideMark/>
          </w:tcPr>
          <w:p w14:paraId="53F9C2B5"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2FAF697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Increased competence of judges, prosecutors, and lawyers</w:t>
            </w:r>
          </w:p>
        </w:tc>
        <w:tc>
          <w:tcPr>
            <w:tcW w:w="781" w:type="dxa"/>
            <w:tcBorders>
              <w:top w:val="nil"/>
              <w:left w:val="nil"/>
              <w:bottom w:val="single" w:sz="4" w:space="0" w:color="auto"/>
              <w:right w:val="single" w:sz="4" w:space="0" w:color="auto"/>
            </w:tcBorders>
            <w:shd w:val="clear" w:color="auto" w:fill="auto"/>
            <w:vAlign w:val="bottom"/>
            <w:hideMark/>
          </w:tcPr>
          <w:p w14:paraId="776E515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TBD 2016</w:t>
            </w:r>
          </w:p>
        </w:tc>
        <w:tc>
          <w:tcPr>
            <w:tcW w:w="750" w:type="dxa"/>
            <w:vMerge w:val="restart"/>
            <w:tcBorders>
              <w:top w:val="nil"/>
              <w:left w:val="single" w:sz="4" w:space="0" w:color="auto"/>
              <w:bottom w:val="single" w:sz="8" w:space="0" w:color="000000"/>
              <w:right w:val="single" w:sz="4" w:space="0" w:color="auto"/>
            </w:tcBorders>
            <w:shd w:val="clear" w:color="auto" w:fill="auto"/>
            <w:vAlign w:val="center"/>
            <w:hideMark/>
          </w:tcPr>
          <w:p w14:paraId="5E33AFFA"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"Public and </w:t>
            </w:r>
            <w:proofErr w:type="spellStart"/>
            <w:r w:rsidRPr="007D749B">
              <w:rPr>
                <w:rFonts w:ascii="Calibri" w:hAnsi="Calibri" w:cs="Calibri"/>
                <w:color w:val="000000"/>
                <w:szCs w:val="22"/>
                <w:lang w:val="en-US"/>
              </w:rPr>
              <w:t>pracitioners</w:t>
            </w:r>
            <w:proofErr w:type="spellEnd"/>
            <w:r w:rsidRPr="007D749B">
              <w:rPr>
                <w:rFonts w:ascii="Calibri" w:hAnsi="Calibri" w:cs="Calibri"/>
                <w:color w:val="000000"/>
                <w:szCs w:val="22"/>
                <w:lang w:val="en-US"/>
              </w:rPr>
              <w:t xml:space="preserve"> … surveys, relevant documents … to establish </w:t>
            </w:r>
            <w:r w:rsidRPr="007D749B">
              <w:rPr>
                <w:rFonts w:ascii="Calibri" w:hAnsi="Calibri" w:cs="Calibri"/>
                <w:color w:val="000000"/>
                <w:szCs w:val="22"/>
                <w:lang w:val="en-US"/>
              </w:rPr>
              <w:lastRenderedPageBreak/>
              <w:t>baseline from 2016"</w:t>
            </w:r>
          </w:p>
        </w:tc>
        <w:tc>
          <w:tcPr>
            <w:tcW w:w="877" w:type="dxa"/>
            <w:tcBorders>
              <w:top w:val="nil"/>
              <w:left w:val="nil"/>
              <w:bottom w:val="single" w:sz="4" w:space="0" w:color="auto"/>
              <w:right w:val="single" w:sz="4" w:space="0" w:color="auto"/>
            </w:tcBorders>
            <w:shd w:val="clear" w:color="auto" w:fill="auto"/>
            <w:vAlign w:val="bottom"/>
            <w:hideMark/>
          </w:tcPr>
          <w:p w14:paraId="7FF2F257"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lastRenderedPageBreak/>
              <w:t xml:space="preserve">*Specific indicator query not covered in baseline </w:t>
            </w:r>
          </w:p>
        </w:tc>
        <w:tc>
          <w:tcPr>
            <w:tcW w:w="1096" w:type="dxa"/>
            <w:tcBorders>
              <w:top w:val="nil"/>
              <w:left w:val="nil"/>
              <w:bottom w:val="single" w:sz="4" w:space="0" w:color="auto"/>
              <w:right w:val="single" w:sz="4" w:space="0" w:color="auto"/>
            </w:tcBorders>
            <w:shd w:val="clear" w:color="auto" w:fill="auto"/>
            <w:vAlign w:val="bottom"/>
            <w:hideMark/>
          </w:tcPr>
          <w:p w14:paraId="264802B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Prosecutors are not a defined beneficiary in the FA2J Project</w:t>
            </w:r>
          </w:p>
        </w:tc>
        <w:tc>
          <w:tcPr>
            <w:tcW w:w="1646" w:type="dxa"/>
            <w:tcBorders>
              <w:top w:val="nil"/>
              <w:left w:val="nil"/>
              <w:bottom w:val="single" w:sz="4" w:space="0" w:color="auto"/>
              <w:right w:val="single" w:sz="4" w:space="0" w:color="auto"/>
            </w:tcBorders>
            <w:shd w:val="clear" w:color="auto" w:fill="auto"/>
            <w:vAlign w:val="bottom"/>
            <w:hideMark/>
          </w:tcPr>
          <w:p w14:paraId="339D244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*O1.3 Competence…of LAC staff (lawyers) (4 point scale)</w:t>
            </w:r>
            <w:r w:rsidRPr="007D749B">
              <w:rPr>
                <w:rFonts w:ascii="Calibri" w:hAnsi="Calibri" w:cs="Calibri"/>
                <w:color w:val="000000"/>
                <w:szCs w:val="22"/>
                <w:lang w:val="en-US"/>
              </w:rPr>
              <w:br/>
              <w:t>*O2.3 Competence…of JD staff (4 point scale)</w:t>
            </w:r>
          </w:p>
        </w:tc>
        <w:tc>
          <w:tcPr>
            <w:tcW w:w="674" w:type="dxa"/>
            <w:tcBorders>
              <w:top w:val="nil"/>
              <w:left w:val="nil"/>
              <w:bottom w:val="single" w:sz="4" w:space="0" w:color="auto"/>
              <w:right w:val="single" w:sz="4" w:space="0" w:color="auto"/>
            </w:tcBorders>
            <w:shd w:val="clear" w:color="auto" w:fill="auto"/>
            <w:vAlign w:val="bottom"/>
            <w:hideMark/>
          </w:tcPr>
          <w:p w14:paraId="2E85DD6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*O1.3 - LAC rated 3</w:t>
            </w:r>
            <w:r w:rsidRPr="007D749B">
              <w:rPr>
                <w:rFonts w:ascii="Calibri" w:hAnsi="Calibri" w:cs="Calibri"/>
                <w:color w:val="000000"/>
                <w:szCs w:val="22"/>
                <w:lang w:val="en-US"/>
              </w:rPr>
              <w:br/>
              <w:t>*O2.3 - JD rated 3</w:t>
            </w:r>
          </w:p>
        </w:tc>
        <w:tc>
          <w:tcPr>
            <w:tcW w:w="1880" w:type="dxa"/>
            <w:tcBorders>
              <w:top w:val="nil"/>
              <w:left w:val="nil"/>
              <w:bottom w:val="single" w:sz="4" w:space="0" w:color="auto"/>
              <w:right w:val="single" w:sz="4" w:space="0" w:color="auto"/>
            </w:tcBorders>
            <w:shd w:val="clear" w:color="auto" w:fill="auto"/>
            <w:vAlign w:val="bottom"/>
            <w:hideMark/>
          </w:tcPr>
          <w:p w14:paraId="608AE2C6"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r>
      <w:tr w:rsidR="007D749B" w:rsidRPr="007D749B" w14:paraId="01424FDA" w14:textId="77777777" w:rsidTr="007D749B">
        <w:trPr>
          <w:trHeight w:val="3585"/>
        </w:trPr>
        <w:tc>
          <w:tcPr>
            <w:tcW w:w="439" w:type="dxa"/>
            <w:vMerge/>
            <w:tcBorders>
              <w:top w:val="nil"/>
              <w:left w:val="single" w:sz="4" w:space="0" w:color="auto"/>
              <w:bottom w:val="nil"/>
              <w:right w:val="nil"/>
            </w:tcBorders>
            <w:vAlign w:val="center"/>
            <w:hideMark/>
          </w:tcPr>
          <w:p w14:paraId="3F7660C3"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8" w:space="0" w:color="auto"/>
              <w:right w:val="single" w:sz="4" w:space="0" w:color="auto"/>
            </w:tcBorders>
            <w:shd w:val="clear" w:color="auto" w:fill="auto"/>
            <w:vAlign w:val="bottom"/>
            <w:hideMark/>
          </w:tcPr>
          <w:p w14:paraId="3B6AEC0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improved strategic planning and admin. systems of courts and other institutions</w:t>
            </w:r>
          </w:p>
        </w:tc>
        <w:tc>
          <w:tcPr>
            <w:tcW w:w="781" w:type="dxa"/>
            <w:tcBorders>
              <w:top w:val="nil"/>
              <w:left w:val="nil"/>
              <w:bottom w:val="single" w:sz="8" w:space="0" w:color="auto"/>
              <w:right w:val="single" w:sz="4" w:space="0" w:color="auto"/>
            </w:tcBorders>
            <w:shd w:val="clear" w:color="auto" w:fill="auto"/>
            <w:vAlign w:val="bottom"/>
            <w:hideMark/>
          </w:tcPr>
          <w:p w14:paraId="0FECFA6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Not provided</w:t>
            </w:r>
          </w:p>
        </w:tc>
        <w:tc>
          <w:tcPr>
            <w:tcW w:w="750" w:type="dxa"/>
            <w:vMerge/>
            <w:tcBorders>
              <w:top w:val="nil"/>
              <w:left w:val="single" w:sz="4" w:space="0" w:color="auto"/>
              <w:bottom w:val="single" w:sz="8" w:space="0" w:color="000000"/>
              <w:right w:val="single" w:sz="4" w:space="0" w:color="auto"/>
            </w:tcBorders>
            <w:vAlign w:val="center"/>
            <w:hideMark/>
          </w:tcPr>
          <w:p w14:paraId="114EBD3A" w14:textId="77777777" w:rsidR="007D749B" w:rsidRPr="007D749B" w:rsidRDefault="007D749B" w:rsidP="007D749B">
            <w:pPr>
              <w:rPr>
                <w:rFonts w:ascii="Calibri" w:hAnsi="Calibri" w:cs="Calibri"/>
                <w:color w:val="000000"/>
                <w:szCs w:val="22"/>
                <w:lang w:val="en-US"/>
              </w:rPr>
            </w:pPr>
          </w:p>
        </w:tc>
        <w:tc>
          <w:tcPr>
            <w:tcW w:w="877" w:type="dxa"/>
            <w:tcBorders>
              <w:top w:val="nil"/>
              <w:left w:val="nil"/>
              <w:bottom w:val="single" w:sz="8" w:space="0" w:color="auto"/>
              <w:right w:val="single" w:sz="4" w:space="0" w:color="auto"/>
            </w:tcBorders>
            <w:shd w:val="clear" w:color="auto" w:fill="auto"/>
            <w:vAlign w:val="bottom"/>
            <w:hideMark/>
          </w:tcPr>
          <w:p w14:paraId="14BE06F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*O1.2 Strategic planning and budgeting capacity of LAC (4 point scale) (2018 FA2J Annual Report)</w:t>
            </w:r>
            <w:r w:rsidRPr="007D749B">
              <w:rPr>
                <w:rFonts w:ascii="Calibri" w:hAnsi="Calibri" w:cs="Calibri"/>
                <w:color w:val="000000"/>
                <w:szCs w:val="22"/>
                <w:lang w:val="en-US"/>
              </w:rPr>
              <w:br/>
              <w:t>*O2.2 Strategic planning and budgeting capacity of JD (4 point scale) (2018 FA2J Annual Report)</w:t>
            </w:r>
          </w:p>
        </w:tc>
        <w:tc>
          <w:tcPr>
            <w:tcW w:w="1096" w:type="dxa"/>
            <w:tcBorders>
              <w:top w:val="nil"/>
              <w:left w:val="nil"/>
              <w:bottom w:val="single" w:sz="8" w:space="0" w:color="auto"/>
              <w:right w:val="single" w:sz="4" w:space="0" w:color="auto"/>
            </w:tcBorders>
            <w:shd w:val="clear" w:color="auto" w:fill="auto"/>
            <w:vAlign w:val="bottom"/>
            <w:hideMark/>
          </w:tcPr>
          <w:p w14:paraId="591D90E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"Other institutions" considered LAC and HRADC</w:t>
            </w:r>
          </w:p>
        </w:tc>
        <w:tc>
          <w:tcPr>
            <w:tcW w:w="1646" w:type="dxa"/>
            <w:tcBorders>
              <w:top w:val="nil"/>
              <w:left w:val="nil"/>
              <w:bottom w:val="single" w:sz="8" w:space="0" w:color="auto"/>
              <w:right w:val="single" w:sz="4" w:space="0" w:color="auto"/>
            </w:tcBorders>
            <w:shd w:val="clear" w:color="auto" w:fill="auto"/>
            <w:vAlign w:val="bottom"/>
            <w:hideMark/>
          </w:tcPr>
          <w:p w14:paraId="5E4D256A"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*O1.2 Strategic planning and budgeting capacity of LAC (4 point scale)</w:t>
            </w:r>
            <w:r w:rsidRPr="007D749B">
              <w:rPr>
                <w:rFonts w:ascii="Calibri" w:hAnsi="Calibri" w:cs="Calibri"/>
                <w:color w:val="000000"/>
                <w:szCs w:val="22"/>
                <w:lang w:val="en-US"/>
              </w:rPr>
              <w:br/>
              <w:t>*AR1.2 Capacity of LAC is strengthened to enable improved service delivery…to areas identified by the A2J Assessment</w:t>
            </w:r>
            <w:r w:rsidRPr="007D749B">
              <w:rPr>
                <w:rFonts w:ascii="Calibri" w:hAnsi="Calibri" w:cs="Calibri"/>
                <w:color w:val="000000"/>
                <w:szCs w:val="22"/>
                <w:lang w:val="en-US"/>
              </w:rPr>
              <w:br/>
              <w:t>*O2.2 Strategic planning and budgeting capacity of JD (4 point scale)</w:t>
            </w:r>
            <w:r w:rsidRPr="007D749B">
              <w:rPr>
                <w:rFonts w:ascii="Calibri" w:hAnsi="Calibri" w:cs="Calibri"/>
                <w:color w:val="000000"/>
                <w:szCs w:val="22"/>
                <w:lang w:val="en-US"/>
              </w:rPr>
              <w:br/>
              <w:t>*AR2.2 Capacity of JD is strengthened to enable improved service delivery…to areas identified by the A2J Assessment</w:t>
            </w:r>
          </w:p>
        </w:tc>
        <w:tc>
          <w:tcPr>
            <w:tcW w:w="674" w:type="dxa"/>
            <w:tcBorders>
              <w:top w:val="nil"/>
              <w:left w:val="nil"/>
              <w:bottom w:val="single" w:sz="8" w:space="0" w:color="auto"/>
              <w:right w:val="single" w:sz="4" w:space="0" w:color="auto"/>
            </w:tcBorders>
            <w:shd w:val="clear" w:color="auto" w:fill="auto"/>
            <w:vAlign w:val="bottom"/>
            <w:hideMark/>
          </w:tcPr>
          <w:p w14:paraId="50A14D7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*O1.2 - LAC: rated 3</w:t>
            </w:r>
            <w:r w:rsidRPr="007D749B">
              <w:rPr>
                <w:rFonts w:ascii="Calibri" w:hAnsi="Calibri" w:cs="Calibri"/>
                <w:color w:val="000000"/>
                <w:szCs w:val="22"/>
                <w:lang w:val="en-US"/>
              </w:rPr>
              <w:br/>
              <w:t>*AR1.2 - A2J not complete; activities supporting planning and operations noted</w:t>
            </w:r>
            <w:r w:rsidRPr="007D749B">
              <w:rPr>
                <w:rFonts w:ascii="Calibri" w:hAnsi="Calibri" w:cs="Calibri"/>
                <w:color w:val="000000"/>
                <w:szCs w:val="22"/>
                <w:lang w:val="en-US"/>
              </w:rPr>
              <w:br/>
              <w:t>*O2.2 - JD rated 3</w:t>
            </w:r>
            <w:r w:rsidRPr="007D749B">
              <w:rPr>
                <w:rFonts w:ascii="Calibri" w:hAnsi="Calibri" w:cs="Calibri"/>
                <w:color w:val="000000"/>
                <w:szCs w:val="22"/>
                <w:lang w:val="en-US"/>
              </w:rPr>
              <w:br/>
              <w:t>*AR2.2 - A2J not complete; activities supporting technical capacity noted</w:t>
            </w:r>
          </w:p>
        </w:tc>
        <w:tc>
          <w:tcPr>
            <w:tcW w:w="1880" w:type="dxa"/>
            <w:tcBorders>
              <w:top w:val="nil"/>
              <w:left w:val="nil"/>
              <w:bottom w:val="single" w:sz="8" w:space="0" w:color="auto"/>
              <w:right w:val="single" w:sz="4" w:space="0" w:color="auto"/>
            </w:tcBorders>
            <w:shd w:val="clear" w:color="auto" w:fill="auto"/>
            <w:vAlign w:val="bottom"/>
            <w:hideMark/>
          </w:tcPr>
          <w:p w14:paraId="5726A986"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*O1.2: LAC noted use of draft strategic plan but not approved (as of April 2019)</w:t>
            </w:r>
            <w:r w:rsidRPr="007D749B">
              <w:rPr>
                <w:rFonts w:ascii="Calibri" w:hAnsi="Calibri" w:cs="Calibri"/>
                <w:color w:val="000000"/>
                <w:szCs w:val="22"/>
                <w:lang w:val="en-US"/>
              </w:rPr>
              <w:br/>
              <w:t>*AR1.2: Indicator linked to A2J Assessment, which remains pending 4/2019</w:t>
            </w:r>
            <w:r w:rsidRPr="007D749B">
              <w:rPr>
                <w:rFonts w:ascii="Calibri" w:hAnsi="Calibri" w:cs="Calibri"/>
                <w:color w:val="000000"/>
                <w:szCs w:val="22"/>
                <w:lang w:val="en-US"/>
              </w:rPr>
              <w:br/>
              <w:t>*O2.2: JD did not note use of draft strategic plan</w:t>
            </w:r>
            <w:r w:rsidRPr="007D749B">
              <w:rPr>
                <w:rFonts w:ascii="Calibri" w:hAnsi="Calibri" w:cs="Calibri"/>
                <w:color w:val="000000"/>
                <w:szCs w:val="22"/>
                <w:lang w:val="en-US"/>
              </w:rPr>
              <w:br/>
              <w:t>*AR2.2: Indicator linked to A2J Assessment, which remains pending 4/2019; JD Crim Law Workshop Aug 2018 completed</w:t>
            </w:r>
          </w:p>
        </w:tc>
      </w:tr>
      <w:tr w:rsidR="007D749B" w:rsidRPr="007D749B" w14:paraId="3F23946A" w14:textId="77777777" w:rsidTr="007D749B">
        <w:trPr>
          <w:trHeight w:val="300"/>
        </w:trPr>
        <w:tc>
          <w:tcPr>
            <w:tcW w:w="439" w:type="dxa"/>
            <w:vMerge w:val="restart"/>
            <w:tcBorders>
              <w:top w:val="single" w:sz="8" w:space="0" w:color="auto"/>
              <w:left w:val="single" w:sz="4" w:space="0" w:color="auto"/>
              <w:bottom w:val="single" w:sz="4" w:space="0" w:color="000000"/>
              <w:right w:val="nil"/>
            </w:tcBorders>
            <w:shd w:val="clear" w:color="000000" w:fill="D9E1F2"/>
            <w:noWrap/>
            <w:vAlign w:val="center"/>
            <w:hideMark/>
          </w:tcPr>
          <w:p w14:paraId="67FE0D53" w14:textId="77777777" w:rsidR="007D749B" w:rsidRPr="007D749B" w:rsidRDefault="007D749B" w:rsidP="007D749B">
            <w:pPr>
              <w:jc w:val="center"/>
              <w:rPr>
                <w:rFonts w:ascii="Calibri" w:hAnsi="Calibri" w:cs="Calibri"/>
                <w:b/>
                <w:bCs/>
                <w:color w:val="000000"/>
                <w:sz w:val="24"/>
                <w:szCs w:val="24"/>
                <w:lang w:val="en-US"/>
              </w:rPr>
            </w:pPr>
            <w:r w:rsidRPr="007D749B">
              <w:rPr>
                <w:rFonts w:ascii="Calibri" w:hAnsi="Calibri" w:cs="Calibri"/>
                <w:b/>
                <w:bCs/>
                <w:color w:val="000000"/>
                <w:sz w:val="24"/>
                <w:szCs w:val="24"/>
                <w:lang w:val="en-US"/>
              </w:rPr>
              <w:t>Output</w:t>
            </w:r>
          </w:p>
        </w:tc>
        <w:tc>
          <w:tcPr>
            <w:tcW w:w="4711" w:type="dxa"/>
            <w:gridSpan w:val="5"/>
            <w:tcBorders>
              <w:top w:val="single" w:sz="8" w:space="0" w:color="auto"/>
              <w:left w:val="nil"/>
              <w:bottom w:val="nil"/>
              <w:right w:val="nil"/>
            </w:tcBorders>
            <w:shd w:val="clear" w:color="000000" w:fill="DDEBF7"/>
            <w:vAlign w:val="bottom"/>
            <w:hideMark/>
          </w:tcPr>
          <w:p w14:paraId="18520CA9" w14:textId="77777777" w:rsidR="007D749B" w:rsidRPr="007D749B" w:rsidRDefault="007D749B" w:rsidP="007D749B">
            <w:pPr>
              <w:rPr>
                <w:rFonts w:ascii="Calibri" w:hAnsi="Calibri" w:cs="Calibri"/>
                <w:b/>
                <w:bCs/>
                <w:color w:val="000000"/>
                <w:szCs w:val="22"/>
                <w:lang w:val="en-US"/>
              </w:rPr>
            </w:pPr>
            <w:r w:rsidRPr="007D749B">
              <w:rPr>
                <w:rFonts w:ascii="Calibri" w:hAnsi="Calibri" w:cs="Calibri"/>
                <w:b/>
                <w:bCs/>
                <w:color w:val="000000"/>
                <w:szCs w:val="22"/>
                <w:lang w:val="en-US"/>
              </w:rPr>
              <w:t>Component 1: Result 1</w:t>
            </w:r>
          </w:p>
        </w:tc>
        <w:tc>
          <w:tcPr>
            <w:tcW w:w="4200" w:type="dxa"/>
            <w:gridSpan w:val="3"/>
            <w:tcBorders>
              <w:top w:val="single" w:sz="8" w:space="0" w:color="auto"/>
              <w:left w:val="nil"/>
              <w:bottom w:val="nil"/>
              <w:right w:val="single" w:sz="4" w:space="0" w:color="000000"/>
            </w:tcBorders>
            <w:shd w:val="clear" w:color="000000" w:fill="E7E6E6"/>
            <w:vAlign w:val="bottom"/>
            <w:hideMark/>
          </w:tcPr>
          <w:p w14:paraId="1EBC76BB" w14:textId="77777777" w:rsidR="007D749B" w:rsidRPr="007D749B" w:rsidRDefault="007D749B" w:rsidP="007D749B">
            <w:pPr>
              <w:jc w:val="center"/>
              <w:rPr>
                <w:rFonts w:ascii="Calibri" w:hAnsi="Calibri" w:cs="Calibri"/>
                <w:color w:val="000000"/>
                <w:szCs w:val="22"/>
                <w:lang w:val="en-US"/>
              </w:rPr>
            </w:pPr>
            <w:r w:rsidRPr="007D749B">
              <w:rPr>
                <w:rFonts w:ascii="Calibri" w:hAnsi="Calibri" w:cs="Calibri"/>
                <w:color w:val="000000"/>
                <w:szCs w:val="22"/>
                <w:lang w:val="en-US"/>
              </w:rPr>
              <w:t> </w:t>
            </w:r>
          </w:p>
        </w:tc>
      </w:tr>
      <w:tr w:rsidR="007D749B" w:rsidRPr="007D749B" w14:paraId="6D88D665" w14:textId="77777777" w:rsidTr="007D749B">
        <w:trPr>
          <w:trHeight w:val="2100"/>
        </w:trPr>
        <w:tc>
          <w:tcPr>
            <w:tcW w:w="439" w:type="dxa"/>
            <w:vMerge/>
            <w:tcBorders>
              <w:top w:val="single" w:sz="8" w:space="0" w:color="auto"/>
              <w:left w:val="single" w:sz="4" w:space="0" w:color="auto"/>
              <w:bottom w:val="single" w:sz="4" w:space="0" w:color="000000"/>
              <w:right w:val="nil"/>
            </w:tcBorders>
            <w:vAlign w:val="center"/>
            <w:hideMark/>
          </w:tcPr>
          <w:p w14:paraId="53016DFD"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78E567B0"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Case management databases operational for LAC and courts</w:t>
            </w:r>
          </w:p>
        </w:tc>
        <w:tc>
          <w:tcPr>
            <w:tcW w:w="781" w:type="dxa"/>
            <w:tcBorders>
              <w:top w:val="nil"/>
              <w:left w:val="nil"/>
              <w:bottom w:val="single" w:sz="4" w:space="0" w:color="auto"/>
              <w:right w:val="single" w:sz="4" w:space="0" w:color="auto"/>
            </w:tcBorders>
            <w:shd w:val="clear" w:color="auto" w:fill="auto"/>
            <w:vAlign w:val="bottom"/>
            <w:hideMark/>
          </w:tcPr>
          <w:p w14:paraId="13C7B08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Current case management system (2015)</w:t>
            </w:r>
          </w:p>
        </w:tc>
        <w:tc>
          <w:tcPr>
            <w:tcW w:w="750" w:type="dxa"/>
            <w:tcBorders>
              <w:top w:val="nil"/>
              <w:left w:val="nil"/>
              <w:bottom w:val="single" w:sz="4" w:space="0" w:color="auto"/>
              <w:right w:val="single" w:sz="4" w:space="0" w:color="auto"/>
            </w:tcBorders>
            <w:shd w:val="clear" w:color="auto" w:fill="auto"/>
            <w:vAlign w:val="bottom"/>
            <w:hideMark/>
          </w:tcPr>
          <w:p w14:paraId="6ECC83A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Case management database (end 2017)</w:t>
            </w:r>
            <w:r w:rsidRPr="007D749B">
              <w:rPr>
                <w:rFonts w:ascii="Calibri" w:hAnsi="Calibri" w:cs="Calibri"/>
                <w:color w:val="000000"/>
                <w:szCs w:val="22"/>
                <w:lang w:val="en-US"/>
              </w:rPr>
              <w:br/>
              <w:t>*Database analysis reports (2018)</w:t>
            </w:r>
          </w:p>
        </w:tc>
        <w:tc>
          <w:tcPr>
            <w:tcW w:w="877" w:type="dxa"/>
            <w:tcBorders>
              <w:top w:val="nil"/>
              <w:left w:val="nil"/>
              <w:bottom w:val="single" w:sz="4" w:space="0" w:color="auto"/>
              <w:right w:val="single" w:sz="4" w:space="0" w:color="auto"/>
            </w:tcBorders>
            <w:shd w:val="clear" w:color="auto" w:fill="auto"/>
            <w:vAlign w:val="bottom"/>
            <w:hideMark/>
          </w:tcPr>
          <w:p w14:paraId="36E3C8F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No case </w:t>
            </w:r>
            <w:proofErr w:type="spellStart"/>
            <w:r w:rsidRPr="007D749B">
              <w:rPr>
                <w:rFonts w:ascii="Calibri" w:hAnsi="Calibri" w:cs="Calibri"/>
                <w:color w:val="000000"/>
                <w:szCs w:val="22"/>
                <w:lang w:val="en-US"/>
              </w:rPr>
              <w:t>mangement</w:t>
            </w:r>
            <w:proofErr w:type="spellEnd"/>
            <w:r w:rsidRPr="007D749B">
              <w:rPr>
                <w:rFonts w:ascii="Calibri" w:hAnsi="Calibri" w:cs="Calibri"/>
                <w:color w:val="000000"/>
                <w:szCs w:val="22"/>
                <w:lang w:val="en-US"/>
              </w:rPr>
              <w:t xml:space="preserve"> system in place LAC</w:t>
            </w:r>
            <w:r w:rsidRPr="007D749B">
              <w:rPr>
                <w:rFonts w:ascii="Calibri" w:hAnsi="Calibri" w:cs="Calibri"/>
                <w:color w:val="000000"/>
                <w:szCs w:val="22"/>
                <w:lang w:val="en-US"/>
              </w:rPr>
              <w:br/>
            </w:r>
            <w:r w:rsidRPr="007D749B">
              <w:rPr>
                <w:rFonts w:ascii="Calibri" w:hAnsi="Calibri" w:cs="Calibri"/>
                <w:color w:val="000000"/>
                <w:szCs w:val="22"/>
                <w:lang w:val="en-US"/>
              </w:rPr>
              <w:br/>
              <w:t>No case management system in place courts</w:t>
            </w:r>
          </w:p>
        </w:tc>
        <w:tc>
          <w:tcPr>
            <w:tcW w:w="1096" w:type="dxa"/>
            <w:tcBorders>
              <w:top w:val="nil"/>
              <w:left w:val="nil"/>
              <w:bottom w:val="single" w:sz="4" w:space="0" w:color="auto"/>
              <w:right w:val="single" w:sz="4" w:space="0" w:color="auto"/>
            </w:tcBorders>
            <w:shd w:val="clear" w:color="auto" w:fill="auto"/>
            <w:vAlign w:val="bottom"/>
            <w:hideMark/>
          </w:tcPr>
          <w:p w14:paraId="5BA11B7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FA did not clarify what dimensions of the current case management system considered for baseline </w:t>
            </w:r>
          </w:p>
        </w:tc>
        <w:tc>
          <w:tcPr>
            <w:tcW w:w="1646" w:type="dxa"/>
            <w:tcBorders>
              <w:top w:val="nil"/>
              <w:left w:val="nil"/>
              <w:bottom w:val="single" w:sz="4" w:space="0" w:color="auto"/>
              <w:right w:val="single" w:sz="4" w:space="0" w:color="auto"/>
            </w:tcBorders>
            <w:shd w:val="clear" w:color="auto" w:fill="auto"/>
            <w:vAlign w:val="bottom"/>
            <w:hideMark/>
          </w:tcPr>
          <w:p w14:paraId="4EA7BAD6"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*O1.1 Quality of LAC case management system (4 point scale)</w:t>
            </w:r>
            <w:r w:rsidRPr="007D749B">
              <w:rPr>
                <w:rFonts w:ascii="Calibri" w:hAnsi="Calibri" w:cs="Calibri"/>
                <w:color w:val="000000"/>
                <w:szCs w:val="22"/>
                <w:lang w:val="en-US"/>
              </w:rPr>
              <w:br/>
              <w:t xml:space="preserve">AR1.1 LAC able to…measure and </w:t>
            </w:r>
            <w:proofErr w:type="spellStart"/>
            <w:r w:rsidRPr="007D749B">
              <w:rPr>
                <w:rFonts w:ascii="Calibri" w:hAnsi="Calibri" w:cs="Calibri"/>
                <w:color w:val="000000"/>
                <w:szCs w:val="22"/>
                <w:lang w:val="en-US"/>
              </w:rPr>
              <w:t>anlyze</w:t>
            </w:r>
            <w:proofErr w:type="spellEnd"/>
            <w:r w:rsidRPr="007D749B">
              <w:rPr>
                <w:rFonts w:ascii="Calibri" w:hAnsi="Calibri" w:cs="Calibri"/>
                <w:color w:val="000000"/>
                <w:szCs w:val="22"/>
                <w:lang w:val="en-US"/>
              </w:rPr>
              <w:t xml:space="preserve"> its date…to </w:t>
            </w:r>
            <w:proofErr w:type="spellStart"/>
            <w:r w:rsidRPr="007D749B">
              <w:rPr>
                <w:rFonts w:ascii="Calibri" w:hAnsi="Calibri" w:cs="Calibri"/>
                <w:color w:val="000000"/>
                <w:szCs w:val="22"/>
                <w:lang w:val="en-US"/>
              </w:rPr>
              <w:t>engable</w:t>
            </w:r>
            <w:proofErr w:type="spellEnd"/>
            <w:r w:rsidRPr="007D749B">
              <w:rPr>
                <w:rFonts w:ascii="Calibri" w:hAnsi="Calibri" w:cs="Calibri"/>
                <w:color w:val="000000"/>
                <w:szCs w:val="22"/>
                <w:lang w:val="en-US"/>
              </w:rPr>
              <w:t xml:space="preserve"> </w:t>
            </w:r>
            <w:proofErr w:type="spellStart"/>
            <w:r w:rsidRPr="007D749B">
              <w:rPr>
                <w:rFonts w:ascii="Calibri" w:hAnsi="Calibri" w:cs="Calibri"/>
                <w:color w:val="000000"/>
                <w:szCs w:val="22"/>
                <w:lang w:val="en-US"/>
              </w:rPr>
              <w:t>improbed</w:t>
            </w:r>
            <w:proofErr w:type="spellEnd"/>
            <w:r w:rsidRPr="007D749B">
              <w:rPr>
                <w:rFonts w:ascii="Calibri" w:hAnsi="Calibri" w:cs="Calibri"/>
                <w:color w:val="000000"/>
                <w:szCs w:val="22"/>
                <w:lang w:val="en-US"/>
              </w:rPr>
              <w:t xml:space="preserve"> service delivery and facilitate </w:t>
            </w:r>
            <w:r w:rsidRPr="007D749B">
              <w:rPr>
                <w:rFonts w:ascii="Calibri" w:hAnsi="Calibri" w:cs="Calibri"/>
                <w:color w:val="000000"/>
                <w:szCs w:val="22"/>
                <w:lang w:val="en-US"/>
              </w:rPr>
              <w:lastRenderedPageBreak/>
              <w:t>responsiveness</w:t>
            </w:r>
            <w:r w:rsidRPr="007D749B">
              <w:rPr>
                <w:rFonts w:ascii="Calibri" w:hAnsi="Calibri" w:cs="Calibri"/>
                <w:color w:val="000000"/>
                <w:szCs w:val="22"/>
                <w:lang w:val="en-US"/>
              </w:rPr>
              <w:br/>
              <w:t>*O2.1 Quality of Judicial Department (JD) case management system</w:t>
            </w:r>
          </w:p>
        </w:tc>
        <w:tc>
          <w:tcPr>
            <w:tcW w:w="674" w:type="dxa"/>
            <w:tcBorders>
              <w:top w:val="nil"/>
              <w:left w:val="nil"/>
              <w:bottom w:val="single" w:sz="4" w:space="0" w:color="auto"/>
              <w:right w:val="single" w:sz="4" w:space="0" w:color="auto"/>
            </w:tcBorders>
            <w:shd w:val="clear" w:color="auto" w:fill="auto"/>
            <w:vAlign w:val="bottom"/>
            <w:hideMark/>
          </w:tcPr>
          <w:p w14:paraId="13B7815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lastRenderedPageBreak/>
              <w:t>*O1.1 - LAC: rated 3</w:t>
            </w:r>
            <w:r w:rsidRPr="007D749B">
              <w:rPr>
                <w:rFonts w:ascii="Calibri" w:hAnsi="Calibri" w:cs="Calibri"/>
                <w:color w:val="000000"/>
                <w:szCs w:val="22"/>
                <w:lang w:val="en-US"/>
              </w:rPr>
              <w:br/>
              <w:t>*AR1.1 - projected installation of IT equip 2/2019</w:t>
            </w:r>
            <w:r w:rsidRPr="007D749B">
              <w:rPr>
                <w:rFonts w:ascii="Calibri" w:hAnsi="Calibri" w:cs="Calibri"/>
                <w:color w:val="000000"/>
                <w:szCs w:val="22"/>
                <w:lang w:val="en-US"/>
              </w:rPr>
              <w:br/>
              <w:t>*O2.1 - JD: rated 3</w:t>
            </w:r>
            <w:r w:rsidRPr="007D749B">
              <w:rPr>
                <w:rFonts w:ascii="Calibri" w:hAnsi="Calibri" w:cs="Calibri"/>
                <w:color w:val="000000"/>
                <w:szCs w:val="22"/>
                <w:lang w:val="en-US"/>
              </w:rPr>
              <w:br/>
              <w:t xml:space="preserve">*AR2.1 - ICT Strategy </w:t>
            </w:r>
            <w:r w:rsidRPr="007D749B">
              <w:rPr>
                <w:rFonts w:ascii="Calibri" w:hAnsi="Calibri" w:cs="Calibri"/>
                <w:color w:val="000000"/>
                <w:szCs w:val="22"/>
                <w:lang w:val="en-US"/>
              </w:rPr>
              <w:lastRenderedPageBreak/>
              <w:t>completed (2018)</w:t>
            </w:r>
          </w:p>
        </w:tc>
        <w:tc>
          <w:tcPr>
            <w:tcW w:w="1880" w:type="dxa"/>
            <w:tcBorders>
              <w:top w:val="nil"/>
              <w:left w:val="nil"/>
              <w:bottom w:val="single" w:sz="4" w:space="0" w:color="auto"/>
              <w:right w:val="single" w:sz="4" w:space="0" w:color="auto"/>
            </w:tcBorders>
            <w:shd w:val="clear" w:color="auto" w:fill="auto"/>
            <w:vAlign w:val="bottom"/>
            <w:hideMark/>
          </w:tcPr>
          <w:p w14:paraId="01E94857"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lastRenderedPageBreak/>
              <w:t>O1.1: Ratings assessed at level 3 before installation and roll-out of case management system</w:t>
            </w:r>
            <w:r w:rsidRPr="007D749B">
              <w:rPr>
                <w:rFonts w:ascii="Calibri" w:hAnsi="Calibri" w:cs="Calibri"/>
                <w:color w:val="000000"/>
                <w:szCs w:val="22"/>
                <w:lang w:val="en-US"/>
              </w:rPr>
              <w:br/>
              <w:t xml:space="preserve">AR1.1: </w:t>
            </w:r>
            <w:proofErr w:type="spellStart"/>
            <w:r w:rsidRPr="007D749B">
              <w:rPr>
                <w:rFonts w:ascii="Calibri" w:hAnsi="Calibri" w:cs="Calibri"/>
                <w:color w:val="000000"/>
                <w:szCs w:val="22"/>
                <w:lang w:val="en-US"/>
              </w:rPr>
              <w:t>Yr</w:t>
            </w:r>
            <w:proofErr w:type="spellEnd"/>
            <w:r w:rsidRPr="007D749B">
              <w:rPr>
                <w:rFonts w:ascii="Calibri" w:hAnsi="Calibri" w:cs="Calibri"/>
                <w:color w:val="000000"/>
                <w:szCs w:val="22"/>
                <w:lang w:val="en-US"/>
              </w:rPr>
              <w:t xml:space="preserve"> 2 report referenced future install of </w:t>
            </w:r>
            <w:r w:rsidRPr="007D749B">
              <w:rPr>
                <w:rFonts w:ascii="Calibri" w:hAnsi="Calibri" w:cs="Calibri"/>
                <w:color w:val="000000"/>
                <w:szCs w:val="22"/>
                <w:lang w:val="en-US"/>
              </w:rPr>
              <w:lastRenderedPageBreak/>
              <w:t>equipment (not complete as of 4/2019)</w:t>
            </w:r>
            <w:r w:rsidRPr="007D749B">
              <w:rPr>
                <w:rFonts w:ascii="Calibri" w:hAnsi="Calibri" w:cs="Calibri"/>
                <w:color w:val="000000"/>
                <w:szCs w:val="22"/>
                <w:lang w:val="en-US"/>
              </w:rPr>
              <w:br/>
              <w:t>O2.1: Rating assessed at level 3 before installation and roll-out of case management system</w:t>
            </w:r>
          </w:p>
        </w:tc>
      </w:tr>
      <w:tr w:rsidR="007D749B" w:rsidRPr="007D749B" w14:paraId="0F288421" w14:textId="77777777" w:rsidTr="007D749B">
        <w:trPr>
          <w:trHeight w:val="900"/>
        </w:trPr>
        <w:tc>
          <w:tcPr>
            <w:tcW w:w="439" w:type="dxa"/>
            <w:vMerge/>
            <w:tcBorders>
              <w:top w:val="single" w:sz="8" w:space="0" w:color="auto"/>
              <w:left w:val="single" w:sz="4" w:space="0" w:color="auto"/>
              <w:bottom w:val="single" w:sz="4" w:space="0" w:color="000000"/>
              <w:right w:val="nil"/>
            </w:tcBorders>
            <w:vAlign w:val="center"/>
            <w:hideMark/>
          </w:tcPr>
          <w:p w14:paraId="3595C1A7"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4D32EFDF"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Quality monitoring policies and procedures adopted by LAC</w:t>
            </w:r>
          </w:p>
        </w:tc>
        <w:tc>
          <w:tcPr>
            <w:tcW w:w="781" w:type="dxa"/>
            <w:tcBorders>
              <w:top w:val="nil"/>
              <w:left w:val="nil"/>
              <w:bottom w:val="single" w:sz="4" w:space="0" w:color="auto"/>
              <w:right w:val="single" w:sz="4" w:space="0" w:color="auto"/>
            </w:tcBorders>
            <w:shd w:val="clear" w:color="auto" w:fill="auto"/>
            <w:vAlign w:val="bottom"/>
            <w:hideMark/>
          </w:tcPr>
          <w:p w14:paraId="36290D70"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Zero (2015)</w:t>
            </w:r>
          </w:p>
        </w:tc>
        <w:tc>
          <w:tcPr>
            <w:tcW w:w="750" w:type="dxa"/>
            <w:tcBorders>
              <w:top w:val="nil"/>
              <w:left w:val="nil"/>
              <w:bottom w:val="single" w:sz="4" w:space="0" w:color="auto"/>
              <w:right w:val="single" w:sz="4" w:space="0" w:color="auto"/>
            </w:tcBorders>
            <w:shd w:val="clear" w:color="auto" w:fill="auto"/>
            <w:vAlign w:val="bottom"/>
            <w:hideMark/>
          </w:tcPr>
          <w:p w14:paraId="5FF549D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Quality monitoring policies and procedures adopted and applied (2018)</w:t>
            </w:r>
          </w:p>
        </w:tc>
        <w:tc>
          <w:tcPr>
            <w:tcW w:w="877" w:type="dxa"/>
            <w:tcBorders>
              <w:top w:val="nil"/>
              <w:left w:val="nil"/>
              <w:bottom w:val="single" w:sz="4" w:space="0" w:color="auto"/>
              <w:right w:val="single" w:sz="4" w:space="0" w:color="auto"/>
            </w:tcBorders>
            <w:shd w:val="clear" w:color="auto" w:fill="auto"/>
            <w:vAlign w:val="bottom"/>
            <w:hideMark/>
          </w:tcPr>
          <w:p w14:paraId="601EBA3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No quality monitoring system producing reports </w:t>
            </w:r>
          </w:p>
        </w:tc>
        <w:tc>
          <w:tcPr>
            <w:tcW w:w="1096" w:type="dxa"/>
            <w:tcBorders>
              <w:top w:val="nil"/>
              <w:left w:val="nil"/>
              <w:bottom w:val="single" w:sz="4" w:space="0" w:color="auto"/>
              <w:right w:val="single" w:sz="4" w:space="0" w:color="auto"/>
            </w:tcBorders>
            <w:shd w:val="clear" w:color="auto" w:fill="auto"/>
            <w:vAlign w:val="bottom"/>
            <w:hideMark/>
          </w:tcPr>
          <w:p w14:paraId="15DB76A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646" w:type="dxa"/>
            <w:tcBorders>
              <w:top w:val="nil"/>
              <w:left w:val="nil"/>
              <w:bottom w:val="single" w:sz="4" w:space="0" w:color="auto"/>
              <w:right w:val="single" w:sz="4" w:space="0" w:color="auto"/>
            </w:tcBorders>
            <w:shd w:val="clear" w:color="auto" w:fill="auto"/>
            <w:vAlign w:val="bottom"/>
            <w:hideMark/>
          </w:tcPr>
          <w:p w14:paraId="1F648D6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674" w:type="dxa"/>
            <w:tcBorders>
              <w:top w:val="nil"/>
              <w:left w:val="nil"/>
              <w:bottom w:val="single" w:sz="4" w:space="0" w:color="auto"/>
              <w:right w:val="single" w:sz="4" w:space="0" w:color="auto"/>
            </w:tcBorders>
            <w:shd w:val="clear" w:color="auto" w:fill="auto"/>
            <w:vAlign w:val="bottom"/>
            <w:hideMark/>
          </w:tcPr>
          <w:p w14:paraId="6F90CDD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880" w:type="dxa"/>
            <w:tcBorders>
              <w:top w:val="nil"/>
              <w:left w:val="nil"/>
              <w:bottom w:val="single" w:sz="4" w:space="0" w:color="auto"/>
              <w:right w:val="single" w:sz="4" w:space="0" w:color="auto"/>
            </w:tcBorders>
            <w:shd w:val="clear" w:color="auto" w:fill="auto"/>
            <w:vAlign w:val="bottom"/>
            <w:hideMark/>
          </w:tcPr>
          <w:p w14:paraId="2135271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r>
      <w:tr w:rsidR="007D749B" w:rsidRPr="007D749B" w14:paraId="35CDC46C" w14:textId="77777777" w:rsidTr="007D749B">
        <w:trPr>
          <w:trHeight w:val="1500"/>
        </w:trPr>
        <w:tc>
          <w:tcPr>
            <w:tcW w:w="439" w:type="dxa"/>
            <w:vMerge/>
            <w:tcBorders>
              <w:top w:val="single" w:sz="8" w:space="0" w:color="auto"/>
              <w:left w:val="single" w:sz="4" w:space="0" w:color="auto"/>
              <w:bottom w:val="single" w:sz="4" w:space="0" w:color="000000"/>
              <w:right w:val="nil"/>
            </w:tcBorders>
            <w:vAlign w:val="center"/>
            <w:hideMark/>
          </w:tcPr>
          <w:p w14:paraId="2061AE5F"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5E6B37D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5-Year strategies in place for relevant institutions</w:t>
            </w:r>
          </w:p>
        </w:tc>
        <w:tc>
          <w:tcPr>
            <w:tcW w:w="781" w:type="dxa"/>
            <w:tcBorders>
              <w:top w:val="nil"/>
              <w:left w:val="nil"/>
              <w:bottom w:val="single" w:sz="4" w:space="0" w:color="auto"/>
              <w:right w:val="single" w:sz="4" w:space="0" w:color="auto"/>
            </w:tcBorders>
            <w:shd w:val="clear" w:color="auto" w:fill="auto"/>
            <w:vAlign w:val="bottom"/>
            <w:hideMark/>
          </w:tcPr>
          <w:p w14:paraId="52494DC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Zero (2015)</w:t>
            </w:r>
          </w:p>
        </w:tc>
        <w:tc>
          <w:tcPr>
            <w:tcW w:w="750" w:type="dxa"/>
            <w:tcBorders>
              <w:top w:val="nil"/>
              <w:left w:val="nil"/>
              <w:bottom w:val="single" w:sz="4" w:space="0" w:color="auto"/>
              <w:right w:val="single" w:sz="4" w:space="0" w:color="auto"/>
            </w:tcBorders>
            <w:shd w:val="clear" w:color="auto" w:fill="auto"/>
            <w:vAlign w:val="bottom"/>
            <w:hideMark/>
          </w:tcPr>
          <w:p w14:paraId="613A9B7F"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LAC and judicial strategies in place (2016)</w:t>
            </w:r>
          </w:p>
        </w:tc>
        <w:tc>
          <w:tcPr>
            <w:tcW w:w="877" w:type="dxa"/>
            <w:tcBorders>
              <w:top w:val="nil"/>
              <w:left w:val="nil"/>
              <w:bottom w:val="single" w:sz="4" w:space="0" w:color="auto"/>
              <w:right w:val="single" w:sz="4" w:space="0" w:color="auto"/>
            </w:tcBorders>
            <w:shd w:val="clear" w:color="auto" w:fill="auto"/>
            <w:vAlign w:val="bottom"/>
            <w:hideMark/>
          </w:tcPr>
          <w:p w14:paraId="206C31C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No endorsed strategic plans in place (LAC and JD have draft </w:t>
            </w:r>
            <w:proofErr w:type="spellStart"/>
            <w:r w:rsidRPr="007D749B">
              <w:rPr>
                <w:rFonts w:ascii="Calibri" w:hAnsi="Calibri" w:cs="Calibri"/>
                <w:color w:val="000000"/>
                <w:szCs w:val="22"/>
                <w:lang w:val="en-US"/>
              </w:rPr>
              <w:t>plancs</w:t>
            </w:r>
            <w:proofErr w:type="spellEnd"/>
            <w:r w:rsidRPr="007D749B">
              <w:rPr>
                <w:rFonts w:ascii="Calibri" w:hAnsi="Calibri" w:cs="Calibri"/>
                <w:color w:val="000000"/>
                <w:szCs w:val="22"/>
                <w:lang w:val="en-US"/>
              </w:rPr>
              <w:t xml:space="preserve"> pending as of 4/2019)</w:t>
            </w:r>
          </w:p>
        </w:tc>
        <w:tc>
          <w:tcPr>
            <w:tcW w:w="1096" w:type="dxa"/>
            <w:tcBorders>
              <w:top w:val="nil"/>
              <w:left w:val="nil"/>
              <w:bottom w:val="single" w:sz="4" w:space="0" w:color="auto"/>
              <w:right w:val="single" w:sz="4" w:space="0" w:color="auto"/>
            </w:tcBorders>
            <w:shd w:val="clear" w:color="auto" w:fill="auto"/>
            <w:vAlign w:val="bottom"/>
            <w:hideMark/>
          </w:tcPr>
          <w:p w14:paraId="71BF571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JD had a high quality corporate plan (2010-2014)</w:t>
            </w:r>
          </w:p>
        </w:tc>
        <w:tc>
          <w:tcPr>
            <w:tcW w:w="1646" w:type="dxa"/>
            <w:tcBorders>
              <w:top w:val="nil"/>
              <w:left w:val="nil"/>
              <w:bottom w:val="single" w:sz="4" w:space="0" w:color="auto"/>
              <w:right w:val="single" w:sz="4" w:space="0" w:color="auto"/>
            </w:tcBorders>
            <w:shd w:val="clear" w:color="auto" w:fill="auto"/>
            <w:vAlign w:val="bottom"/>
            <w:hideMark/>
          </w:tcPr>
          <w:p w14:paraId="547C1FF6"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*O1.2 Strategic planning and budgeting capacity of the LAC (4 point scale)</w:t>
            </w:r>
          </w:p>
        </w:tc>
        <w:tc>
          <w:tcPr>
            <w:tcW w:w="674" w:type="dxa"/>
            <w:tcBorders>
              <w:top w:val="nil"/>
              <w:left w:val="nil"/>
              <w:bottom w:val="single" w:sz="4" w:space="0" w:color="auto"/>
              <w:right w:val="single" w:sz="4" w:space="0" w:color="auto"/>
            </w:tcBorders>
            <w:shd w:val="clear" w:color="auto" w:fill="auto"/>
            <w:vAlign w:val="bottom"/>
            <w:hideMark/>
          </w:tcPr>
          <w:p w14:paraId="38E2F2B7"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*O1.2 - LAC rated 3</w:t>
            </w:r>
          </w:p>
        </w:tc>
        <w:tc>
          <w:tcPr>
            <w:tcW w:w="1880" w:type="dxa"/>
            <w:tcBorders>
              <w:top w:val="nil"/>
              <w:left w:val="nil"/>
              <w:bottom w:val="single" w:sz="4" w:space="0" w:color="auto"/>
              <w:right w:val="single" w:sz="4" w:space="0" w:color="auto"/>
            </w:tcBorders>
            <w:shd w:val="clear" w:color="auto" w:fill="auto"/>
            <w:vAlign w:val="bottom"/>
            <w:hideMark/>
          </w:tcPr>
          <w:p w14:paraId="758621D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*LAC draft strategic plan 2018 -2022 (not approved as of 4/2019 pending updates); UNDP references a Human </w:t>
            </w:r>
            <w:proofErr w:type="spellStart"/>
            <w:r w:rsidRPr="007D749B">
              <w:rPr>
                <w:rFonts w:ascii="Calibri" w:hAnsi="Calibri" w:cs="Calibri"/>
                <w:color w:val="000000"/>
                <w:szCs w:val="22"/>
                <w:lang w:val="en-US"/>
              </w:rPr>
              <w:t>Reources</w:t>
            </w:r>
            <w:proofErr w:type="spellEnd"/>
            <w:r w:rsidRPr="007D749B">
              <w:rPr>
                <w:rFonts w:ascii="Calibri" w:hAnsi="Calibri" w:cs="Calibri"/>
                <w:color w:val="000000"/>
                <w:szCs w:val="22"/>
                <w:lang w:val="en-US"/>
              </w:rPr>
              <w:t xml:space="preserve"> Manual and Finance Manual in </w:t>
            </w:r>
            <w:proofErr w:type="spellStart"/>
            <w:r w:rsidRPr="007D749B">
              <w:rPr>
                <w:rFonts w:ascii="Calibri" w:hAnsi="Calibri" w:cs="Calibri"/>
                <w:color w:val="000000"/>
                <w:szCs w:val="22"/>
                <w:lang w:val="en-US"/>
              </w:rPr>
              <w:t>Yr</w:t>
            </w:r>
            <w:proofErr w:type="spellEnd"/>
            <w:r w:rsidRPr="007D749B">
              <w:rPr>
                <w:rFonts w:ascii="Calibri" w:hAnsi="Calibri" w:cs="Calibri"/>
                <w:color w:val="000000"/>
                <w:szCs w:val="22"/>
                <w:lang w:val="en-US"/>
              </w:rPr>
              <w:t xml:space="preserve"> 2 Report - not referenced as complete by LAC as of 4/2019</w:t>
            </w:r>
            <w:r w:rsidRPr="007D749B">
              <w:rPr>
                <w:rFonts w:ascii="Calibri" w:hAnsi="Calibri" w:cs="Calibri"/>
                <w:color w:val="000000"/>
                <w:szCs w:val="22"/>
                <w:lang w:val="en-US"/>
              </w:rPr>
              <w:br/>
              <w:t xml:space="preserve">*O2.4: UNDP notes additional </w:t>
            </w:r>
            <w:r w:rsidRPr="007D749B">
              <w:rPr>
                <w:rFonts w:ascii="Calibri" w:hAnsi="Calibri" w:cs="Calibri"/>
                <w:color w:val="000000"/>
                <w:szCs w:val="22"/>
                <w:lang w:val="en-US"/>
              </w:rPr>
              <w:lastRenderedPageBreak/>
              <w:t>target of "Other Constitutional Bodies" to be determined - HRADC possible</w:t>
            </w:r>
          </w:p>
        </w:tc>
      </w:tr>
      <w:tr w:rsidR="007D749B" w:rsidRPr="007D749B" w14:paraId="74460371" w14:textId="77777777" w:rsidTr="007D749B">
        <w:trPr>
          <w:trHeight w:val="1200"/>
        </w:trPr>
        <w:tc>
          <w:tcPr>
            <w:tcW w:w="439" w:type="dxa"/>
            <w:vMerge/>
            <w:tcBorders>
              <w:top w:val="single" w:sz="8" w:space="0" w:color="auto"/>
              <w:left w:val="single" w:sz="4" w:space="0" w:color="auto"/>
              <w:bottom w:val="single" w:sz="4" w:space="0" w:color="000000"/>
              <w:right w:val="nil"/>
            </w:tcBorders>
            <w:vAlign w:val="center"/>
            <w:hideMark/>
          </w:tcPr>
          <w:p w14:paraId="31F5326F"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269CA5F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Strategies created and implemented for key management and human resources policies and procedures in LAC</w:t>
            </w:r>
          </w:p>
        </w:tc>
        <w:tc>
          <w:tcPr>
            <w:tcW w:w="781" w:type="dxa"/>
            <w:tcBorders>
              <w:top w:val="nil"/>
              <w:left w:val="nil"/>
              <w:bottom w:val="single" w:sz="4" w:space="0" w:color="auto"/>
              <w:right w:val="single" w:sz="4" w:space="0" w:color="auto"/>
            </w:tcBorders>
            <w:shd w:val="clear" w:color="auto" w:fill="auto"/>
            <w:vAlign w:val="bottom"/>
            <w:hideMark/>
          </w:tcPr>
          <w:p w14:paraId="6296CB5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Job descriptions and staffing tables in place</w:t>
            </w:r>
          </w:p>
        </w:tc>
        <w:tc>
          <w:tcPr>
            <w:tcW w:w="750" w:type="dxa"/>
            <w:tcBorders>
              <w:top w:val="nil"/>
              <w:left w:val="nil"/>
              <w:bottom w:val="single" w:sz="4" w:space="0" w:color="auto"/>
              <w:right w:val="single" w:sz="4" w:space="0" w:color="auto"/>
            </w:tcBorders>
            <w:shd w:val="clear" w:color="auto" w:fill="auto"/>
            <w:vAlign w:val="bottom"/>
            <w:hideMark/>
          </w:tcPr>
          <w:p w14:paraId="4E02C82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Job descriptions, HR policies (2018)</w:t>
            </w:r>
          </w:p>
        </w:tc>
        <w:tc>
          <w:tcPr>
            <w:tcW w:w="877" w:type="dxa"/>
            <w:tcBorders>
              <w:top w:val="nil"/>
              <w:left w:val="nil"/>
              <w:bottom w:val="single" w:sz="4" w:space="0" w:color="auto"/>
              <w:right w:val="single" w:sz="4" w:space="0" w:color="auto"/>
            </w:tcBorders>
            <w:shd w:val="clear" w:color="auto" w:fill="auto"/>
            <w:vAlign w:val="bottom"/>
            <w:hideMark/>
          </w:tcPr>
          <w:p w14:paraId="5BC659D0" w14:textId="6139FB76"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strategie</w:t>
            </w:r>
            <w:r w:rsidR="002736CA">
              <w:rPr>
                <w:rFonts w:ascii="Calibri" w:hAnsi="Calibri" w:cs="Calibri"/>
                <w:color w:val="000000"/>
                <w:szCs w:val="22"/>
                <w:lang w:val="en-US"/>
              </w:rPr>
              <w:t>s</w:t>
            </w:r>
            <w:r w:rsidRPr="007D749B">
              <w:rPr>
                <w:rFonts w:ascii="Calibri" w:hAnsi="Calibri" w:cs="Calibri"/>
                <w:color w:val="000000"/>
                <w:szCs w:val="22"/>
                <w:lang w:val="en-US"/>
              </w:rPr>
              <w:t xml:space="preserve"> implemented (several draft products referenced in FA2J Yr2 Annual Report)</w:t>
            </w:r>
          </w:p>
        </w:tc>
        <w:tc>
          <w:tcPr>
            <w:tcW w:w="1096" w:type="dxa"/>
            <w:tcBorders>
              <w:top w:val="nil"/>
              <w:left w:val="nil"/>
              <w:bottom w:val="single" w:sz="4" w:space="0" w:color="auto"/>
              <w:right w:val="single" w:sz="4" w:space="0" w:color="auto"/>
            </w:tcBorders>
            <w:shd w:val="clear" w:color="auto" w:fill="auto"/>
            <w:vAlign w:val="bottom"/>
            <w:hideMark/>
          </w:tcPr>
          <w:p w14:paraId="637056E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646" w:type="dxa"/>
            <w:tcBorders>
              <w:top w:val="nil"/>
              <w:left w:val="nil"/>
              <w:bottom w:val="single" w:sz="4" w:space="0" w:color="auto"/>
              <w:right w:val="single" w:sz="4" w:space="0" w:color="auto"/>
            </w:tcBorders>
            <w:shd w:val="clear" w:color="auto" w:fill="auto"/>
            <w:vAlign w:val="bottom"/>
            <w:hideMark/>
          </w:tcPr>
          <w:p w14:paraId="67C1D92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*AR 1.2 Capacity of LAC strengthened to enable improved service delivery and responsiveness to priority areas identified by A2J Assessment</w:t>
            </w:r>
          </w:p>
        </w:tc>
        <w:tc>
          <w:tcPr>
            <w:tcW w:w="674" w:type="dxa"/>
            <w:tcBorders>
              <w:top w:val="nil"/>
              <w:left w:val="nil"/>
              <w:bottom w:val="single" w:sz="4" w:space="0" w:color="auto"/>
              <w:right w:val="single" w:sz="4" w:space="0" w:color="auto"/>
            </w:tcBorders>
            <w:shd w:val="clear" w:color="auto" w:fill="auto"/>
            <w:vAlign w:val="bottom"/>
            <w:hideMark/>
          </w:tcPr>
          <w:p w14:paraId="12B521E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*AR 1.1 - linked to work on strategic planning and management / international exchange</w:t>
            </w:r>
          </w:p>
        </w:tc>
        <w:tc>
          <w:tcPr>
            <w:tcW w:w="1880" w:type="dxa"/>
            <w:tcBorders>
              <w:top w:val="nil"/>
              <w:left w:val="nil"/>
              <w:bottom w:val="single" w:sz="4" w:space="0" w:color="auto"/>
              <w:right w:val="single" w:sz="4" w:space="0" w:color="auto"/>
            </w:tcBorders>
            <w:shd w:val="clear" w:color="auto" w:fill="auto"/>
            <w:vAlign w:val="bottom"/>
            <w:hideMark/>
          </w:tcPr>
          <w:p w14:paraId="49E1BE1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r>
      <w:tr w:rsidR="007D749B" w:rsidRPr="007D749B" w14:paraId="7351ADEE" w14:textId="77777777" w:rsidTr="007D749B">
        <w:trPr>
          <w:trHeight w:val="1200"/>
        </w:trPr>
        <w:tc>
          <w:tcPr>
            <w:tcW w:w="439" w:type="dxa"/>
            <w:vMerge/>
            <w:tcBorders>
              <w:top w:val="single" w:sz="8" w:space="0" w:color="auto"/>
              <w:left w:val="single" w:sz="4" w:space="0" w:color="auto"/>
              <w:bottom w:val="single" w:sz="4" w:space="0" w:color="000000"/>
              <w:right w:val="nil"/>
            </w:tcBorders>
            <w:vAlign w:val="center"/>
            <w:hideMark/>
          </w:tcPr>
          <w:p w14:paraId="3CFF01C2"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1DF3451F"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Training needs assessment and training plan completed**</w:t>
            </w:r>
          </w:p>
        </w:tc>
        <w:tc>
          <w:tcPr>
            <w:tcW w:w="781" w:type="dxa"/>
            <w:tcBorders>
              <w:top w:val="nil"/>
              <w:left w:val="nil"/>
              <w:bottom w:val="single" w:sz="4" w:space="0" w:color="auto"/>
              <w:right w:val="single" w:sz="4" w:space="0" w:color="auto"/>
            </w:tcBorders>
            <w:shd w:val="clear" w:color="auto" w:fill="auto"/>
            <w:vAlign w:val="bottom"/>
            <w:hideMark/>
          </w:tcPr>
          <w:p w14:paraId="18AF815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Current training plan (assume 2015); additional training for non-lawyers</w:t>
            </w:r>
          </w:p>
        </w:tc>
        <w:tc>
          <w:tcPr>
            <w:tcW w:w="750" w:type="dxa"/>
            <w:tcBorders>
              <w:top w:val="nil"/>
              <w:left w:val="nil"/>
              <w:bottom w:val="single" w:sz="4" w:space="0" w:color="auto"/>
              <w:right w:val="single" w:sz="4" w:space="0" w:color="auto"/>
            </w:tcBorders>
            <w:shd w:val="clear" w:color="auto" w:fill="auto"/>
            <w:vAlign w:val="bottom"/>
            <w:hideMark/>
          </w:tcPr>
          <w:p w14:paraId="2001C09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*Training needs assessment (2016), and</w:t>
            </w:r>
            <w:r w:rsidRPr="007D749B">
              <w:rPr>
                <w:rFonts w:ascii="Calibri" w:hAnsi="Calibri" w:cs="Calibri"/>
                <w:color w:val="000000"/>
                <w:szCs w:val="22"/>
                <w:lang w:val="en-US"/>
              </w:rPr>
              <w:br/>
              <w:t>*Training plans implemented annually</w:t>
            </w:r>
          </w:p>
        </w:tc>
        <w:tc>
          <w:tcPr>
            <w:tcW w:w="877" w:type="dxa"/>
            <w:tcBorders>
              <w:top w:val="nil"/>
              <w:left w:val="nil"/>
              <w:bottom w:val="single" w:sz="4" w:space="0" w:color="auto"/>
              <w:right w:val="single" w:sz="4" w:space="0" w:color="auto"/>
            </w:tcBorders>
            <w:shd w:val="clear" w:color="auto" w:fill="auto"/>
            <w:vAlign w:val="bottom"/>
            <w:hideMark/>
          </w:tcPr>
          <w:p w14:paraId="7E4666D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No TNA or approved training plan circulated </w:t>
            </w:r>
          </w:p>
        </w:tc>
        <w:tc>
          <w:tcPr>
            <w:tcW w:w="1096" w:type="dxa"/>
            <w:tcBorders>
              <w:top w:val="nil"/>
              <w:left w:val="nil"/>
              <w:bottom w:val="single" w:sz="4" w:space="0" w:color="auto"/>
              <w:right w:val="single" w:sz="4" w:space="0" w:color="auto"/>
            </w:tcBorders>
            <w:shd w:val="clear" w:color="auto" w:fill="auto"/>
            <w:vAlign w:val="bottom"/>
            <w:hideMark/>
          </w:tcPr>
          <w:p w14:paraId="6DE3A42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646" w:type="dxa"/>
            <w:tcBorders>
              <w:top w:val="nil"/>
              <w:left w:val="nil"/>
              <w:bottom w:val="single" w:sz="4" w:space="0" w:color="auto"/>
              <w:right w:val="single" w:sz="4" w:space="0" w:color="auto"/>
            </w:tcBorders>
            <w:shd w:val="clear" w:color="auto" w:fill="auto"/>
            <w:vAlign w:val="bottom"/>
            <w:hideMark/>
          </w:tcPr>
          <w:p w14:paraId="511DAE4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674" w:type="dxa"/>
            <w:tcBorders>
              <w:top w:val="nil"/>
              <w:left w:val="nil"/>
              <w:bottom w:val="single" w:sz="4" w:space="0" w:color="auto"/>
              <w:right w:val="single" w:sz="4" w:space="0" w:color="auto"/>
            </w:tcBorders>
            <w:shd w:val="clear" w:color="auto" w:fill="auto"/>
            <w:vAlign w:val="bottom"/>
            <w:hideMark/>
          </w:tcPr>
          <w:p w14:paraId="7AB4D87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880" w:type="dxa"/>
            <w:tcBorders>
              <w:top w:val="nil"/>
              <w:left w:val="nil"/>
              <w:bottom w:val="single" w:sz="4" w:space="0" w:color="auto"/>
              <w:right w:val="single" w:sz="4" w:space="0" w:color="auto"/>
            </w:tcBorders>
            <w:shd w:val="clear" w:color="auto" w:fill="auto"/>
            <w:vAlign w:val="bottom"/>
            <w:hideMark/>
          </w:tcPr>
          <w:p w14:paraId="06E0A61F"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*NB that Yr2 Annual </w:t>
            </w:r>
            <w:proofErr w:type="spellStart"/>
            <w:r w:rsidRPr="007D749B">
              <w:rPr>
                <w:rFonts w:ascii="Calibri" w:hAnsi="Calibri" w:cs="Calibri"/>
                <w:color w:val="000000"/>
                <w:szCs w:val="22"/>
                <w:lang w:val="en-US"/>
              </w:rPr>
              <w:t>Rpt</w:t>
            </w:r>
            <w:proofErr w:type="spellEnd"/>
            <w:r w:rsidRPr="007D749B">
              <w:rPr>
                <w:rFonts w:ascii="Calibri" w:hAnsi="Calibri" w:cs="Calibri"/>
                <w:color w:val="000000"/>
                <w:szCs w:val="22"/>
                <w:lang w:val="en-US"/>
              </w:rPr>
              <w:t xml:space="preserve"> (Ind 1.3 Summary) states UNDP "has worked with LAC to identify capacity development needs", but no formal TNA identified</w:t>
            </w:r>
          </w:p>
        </w:tc>
      </w:tr>
      <w:tr w:rsidR="007D749B" w:rsidRPr="007D749B" w14:paraId="2999418B" w14:textId="77777777" w:rsidTr="007D749B">
        <w:trPr>
          <w:trHeight w:val="1200"/>
        </w:trPr>
        <w:tc>
          <w:tcPr>
            <w:tcW w:w="439" w:type="dxa"/>
            <w:vMerge/>
            <w:tcBorders>
              <w:top w:val="single" w:sz="8" w:space="0" w:color="auto"/>
              <w:left w:val="single" w:sz="4" w:space="0" w:color="auto"/>
              <w:bottom w:val="single" w:sz="4" w:space="0" w:color="000000"/>
              <w:right w:val="nil"/>
            </w:tcBorders>
            <w:vAlign w:val="center"/>
            <w:hideMark/>
          </w:tcPr>
          <w:p w14:paraId="1F8A65EB"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1B74B5E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Baseline survey of relevant stakeholders completed</w:t>
            </w:r>
          </w:p>
        </w:tc>
        <w:tc>
          <w:tcPr>
            <w:tcW w:w="781" w:type="dxa"/>
            <w:tcBorders>
              <w:top w:val="nil"/>
              <w:left w:val="nil"/>
              <w:bottom w:val="single" w:sz="4" w:space="0" w:color="auto"/>
              <w:right w:val="single" w:sz="4" w:space="0" w:color="auto"/>
            </w:tcBorders>
            <w:shd w:val="clear" w:color="auto" w:fill="auto"/>
            <w:vAlign w:val="bottom"/>
            <w:hideMark/>
          </w:tcPr>
          <w:p w14:paraId="6773F87F" w14:textId="77777777" w:rsidR="007D749B" w:rsidRPr="007D749B" w:rsidRDefault="007D749B" w:rsidP="007D749B">
            <w:pPr>
              <w:rPr>
                <w:rFonts w:ascii="Calibri" w:hAnsi="Calibri" w:cs="Calibri"/>
                <w:color w:val="000000"/>
                <w:szCs w:val="22"/>
                <w:lang w:val="en-US"/>
              </w:rPr>
            </w:pPr>
            <w:proofErr w:type="spellStart"/>
            <w:r w:rsidRPr="007D749B">
              <w:rPr>
                <w:rFonts w:ascii="Calibri" w:hAnsi="Calibri" w:cs="Calibri"/>
                <w:color w:val="000000"/>
                <w:szCs w:val="22"/>
                <w:lang w:val="en-US"/>
              </w:rPr>
              <w:t>Meaurements</w:t>
            </w:r>
            <w:proofErr w:type="spellEnd"/>
            <w:r w:rsidRPr="007D749B">
              <w:rPr>
                <w:rFonts w:ascii="Calibri" w:hAnsi="Calibri" w:cs="Calibri"/>
                <w:color w:val="000000"/>
                <w:szCs w:val="22"/>
                <w:lang w:val="en-US"/>
              </w:rPr>
              <w:t xml:space="preserve"> not being conducted</w:t>
            </w:r>
          </w:p>
        </w:tc>
        <w:tc>
          <w:tcPr>
            <w:tcW w:w="750" w:type="dxa"/>
            <w:tcBorders>
              <w:top w:val="nil"/>
              <w:left w:val="nil"/>
              <w:bottom w:val="single" w:sz="4" w:space="0" w:color="auto"/>
              <w:right w:val="single" w:sz="4" w:space="0" w:color="auto"/>
            </w:tcBorders>
            <w:shd w:val="clear" w:color="auto" w:fill="auto"/>
            <w:vAlign w:val="bottom"/>
            <w:hideMark/>
          </w:tcPr>
          <w:p w14:paraId="6711113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Baseline survey (2016)</w:t>
            </w:r>
          </w:p>
        </w:tc>
        <w:tc>
          <w:tcPr>
            <w:tcW w:w="877" w:type="dxa"/>
            <w:tcBorders>
              <w:top w:val="nil"/>
              <w:left w:val="nil"/>
              <w:bottom w:val="single" w:sz="4" w:space="0" w:color="auto"/>
              <w:right w:val="single" w:sz="4" w:space="0" w:color="auto"/>
            </w:tcBorders>
            <w:shd w:val="clear" w:color="auto" w:fill="auto"/>
            <w:vAlign w:val="bottom"/>
            <w:hideMark/>
          </w:tcPr>
          <w:p w14:paraId="14CDD567"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*Baseline survey of stakeholders complete (recommendations not approved)</w:t>
            </w:r>
          </w:p>
        </w:tc>
        <w:tc>
          <w:tcPr>
            <w:tcW w:w="1096" w:type="dxa"/>
            <w:tcBorders>
              <w:top w:val="nil"/>
              <w:left w:val="nil"/>
              <w:bottom w:val="single" w:sz="4" w:space="0" w:color="auto"/>
              <w:right w:val="single" w:sz="4" w:space="0" w:color="auto"/>
            </w:tcBorders>
            <w:shd w:val="clear" w:color="auto" w:fill="auto"/>
            <w:vAlign w:val="bottom"/>
            <w:hideMark/>
          </w:tcPr>
          <w:p w14:paraId="37809E4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A2J Assessment (Draft) surveyed more than 4000 </w:t>
            </w:r>
            <w:r w:rsidRPr="007D749B">
              <w:rPr>
                <w:rFonts w:ascii="Calibri" w:hAnsi="Calibri" w:cs="Calibri"/>
                <w:color w:val="000000"/>
                <w:szCs w:val="22"/>
                <w:lang w:val="en-US"/>
              </w:rPr>
              <w:lastRenderedPageBreak/>
              <w:t xml:space="preserve">stakeholder (2018)  - however it is not clear that this is the target of "relevant stakeholders) </w:t>
            </w:r>
          </w:p>
        </w:tc>
        <w:tc>
          <w:tcPr>
            <w:tcW w:w="1646" w:type="dxa"/>
            <w:tcBorders>
              <w:top w:val="nil"/>
              <w:left w:val="nil"/>
              <w:bottom w:val="single" w:sz="4" w:space="0" w:color="auto"/>
              <w:right w:val="single" w:sz="4" w:space="0" w:color="auto"/>
            </w:tcBorders>
            <w:shd w:val="clear" w:color="auto" w:fill="auto"/>
            <w:vAlign w:val="bottom"/>
            <w:hideMark/>
          </w:tcPr>
          <w:p w14:paraId="5C448C57"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lastRenderedPageBreak/>
              <w:t> </w:t>
            </w:r>
          </w:p>
        </w:tc>
        <w:tc>
          <w:tcPr>
            <w:tcW w:w="674" w:type="dxa"/>
            <w:tcBorders>
              <w:top w:val="nil"/>
              <w:left w:val="nil"/>
              <w:bottom w:val="single" w:sz="4" w:space="0" w:color="auto"/>
              <w:right w:val="single" w:sz="4" w:space="0" w:color="auto"/>
            </w:tcBorders>
            <w:shd w:val="clear" w:color="auto" w:fill="auto"/>
            <w:vAlign w:val="bottom"/>
            <w:hideMark/>
          </w:tcPr>
          <w:p w14:paraId="4CC8C630"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880" w:type="dxa"/>
            <w:tcBorders>
              <w:top w:val="nil"/>
              <w:left w:val="nil"/>
              <w:bottom w:val="single" w:sz="4" w:space="0" w:color="auto"/>
              <w:right w:val="single" w:sz="4" w:space="0" w:color="auto"/>
            </w:tcBorders>
            <w:shd w:val="clear" w:color="auto" w:fill="auto"/>
            <w:vAlign w:val="bottom"/>
            <w:hideMark/>
          </w:tcPr>
          <w:p w14:paraId="4D67FE7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r>
      <w:tr w:rsidR="007D749B" w:rsidRPr="007D749B" w14:paraId="5793876D" w14:textId="77777777" w:rsidTr="007D749B">
        <w:trPr>
          <w:trHeight w:val="600"/>
        </w:trPr>
        <w:tc>
          <w:tcPr>
            <w:tcW w:w="439" w:type="dxa"/>
            <w:vMerge/>
            <w:tcBorders>
              <w:top w:val="single" w:sz="8" w:space="0" w:color="auto"/>
              <w:left w:val="single" w:sz="4" w:space="0" w:color="auto"/>
              <w:bottom w:val="single" w:sz="4" w:space="0" w:color="000000"/>
              <w:right w:val="nil"/>
            </w:tcBorders>
            <w:vAlign w:val="center"/>
            <w:hideMark/>
          </w:tcPr>
          <w:p w14:paraId="77743B13"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410B2FFA"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LAC participates in international exchanges** </w:t>
            </w:r>
          </w:p>
        </w:tc>
        <w:tc>
          <w:tcPr>
            <w:tcW w:w="781" w:type="dxa"/>
            <w:tcBorders>
              <w:top w:val="nil"/>
              <w:left w:val="nil"/>
              <w:bottom w:val="single" w:sz="4" w:space="0" w:color="auto"/>
              <w:right w:val="single" w:sz="4" w:space="0" w:color="auto"/>
            </w:tcBorders>
            <w:shd w:val="clear" w:color="auto" w:fill="auto"/>
            <w:vAlign w:val="bottom"/>
            <w:hideMark/>
          </w:tcPr>
          <w:p w14:paraId="653C6F3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International exchanges (2015)</w:t>
            </w:r>
          </w:p>
        </w:tc>
        <w:tc>
          <w:tcPr>
            <w:tcW w:w="750" w:type="dxa"/>
            <w:tcBorders>
              <w:top w:val="nil"/>
              <w:left w:val="nil"/>
              <w:bottom w:val="single" w:sz="4" w:space="0" w:color="auto"/>
              <w:right w:val="single" w:sz="4" w:space="0" w:color="auto"/>
            </w:tcBorders>
            <w:shd w:val="clear" w:color="auto" w:fill="auto"/>
            <w:vAlign w:val="bottom"/>
            <w:hideMark/>
          </w:tcPr>
          <w:p w14:paraId="5A82C826"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First international exchanges (2016)</w:t>
            </w:r>
          </w:p>
        </w:tc>
        <w:tc>
          <w:tcPr>
            <w:tcW w:w="877" w:type="dxa"/>
            <w:tcBorders>
              <w:top w:val="nil"/>
              <w:left w:val="nil"/>
              <w:bottom w:val="single" w:sz="4" w:space="0" w:color="auto"/>
              <w:right w:val="single" w:sz="4" w:space="0" w:color="auto"/>
            </w:tcBorders>
            <w:shd w:val="clear" w:color="auto" w:fill="auto"/>
            <w:vAlign w:val="bottom"/>
            <w:hideMark/>
          </w:tcPr>
          <w:p w14:paraId="664544BA"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*1 Exchange (S Africa 2018) </w:t>
            </w:r>
          </w:p>
        </w:tc>
        <w:tc>
          <w:tcPr>
            <w:tcW w:w="1096" w:type="dxa"/>
            <w:tcBorders>
              <w:top w:val="nil"/>
              <w:left w:val="nil"/>
              <w:bottom w:val="single" w:sz="4" w:space="0" w:color="auto"/>
              <w:right w:val="single" w:sz="4" w:space="0" w:color="auto"/>
            </w:tcBorders>
            <w:shd w:val="clear" w:color="auto" w:fill="auto"/>
            <w:vAlign w:val="bottom"/>
            <w:hideMark/>
          </w:tcPr>
          <w:p w14:paraId="0A6A752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646" w:type="dxa"/>
            <w:tcBorders>
              <w:top w:val="nil"/>
              <w:left w:val="nil"/>
              <w:bottom w:val="single" w:sz="4" w:space="0" w:color="auto"/>
              <w:right w:val="single" w:sz="4" w:space="0" w:color="auto"/>
            </w:tcBorders>
            <w:shd w:val="clear" w:color="auto" w:fill="auto"/>
            <w:vAlign w:val="bottom"/>
            <w:hideMark/>
          </w:tcPr>
          <w:p w14:paraId="311C397F"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674" w:type="dxa"/>
            <w:tcBorders>
              <w:top w:val="nil"/>
              <w:left w:val="nil"/>
              <w:bottom w:val="single" w:sz="4" w:space="0" w:color="auto"/>
              <w:right w:val="single" w:sz="4" w:space="0" w:color="auto"/>
            </w:tcBorders>
            <w:shd w:val="clear" w:color="auto" w:fill="auto"/>
            <w:vAlign w:val="bottom"/>
            <w:hideMark/>
          </w:tcPr>
          <w:p w14:paraId="22D6940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880" w:type="dxa"/>
            <w:tcBorders>
              <w:top w:val="nil"/>
              <w:left w:val="nil"/>
              <w:bottom w:val="single" w:sz="4" w:space="0" w:color="auto"/>
              <w:right w:val="single" w:sz="4" w:space="0" w:color="auto"/>
            </w:tcBorders>
            <w:shd w:val="clear" w:color="auto" w:fill="auto"/>
            <w:vAlign w:val="bottom"/>
            <w:hideMark/>
          </w:tcPr>
          <w:p w14:paraId="1CFAAB8A"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r>
      <w:tr w:rsidR="007D749B" w:rsidRPr="007D749B" w14:paraId="095E2C46" w14:textId="77777777" w:rsidTr="007D749B">
        <w:trPr>
          <w:trHeight w:val="1515"/>
        </w:trPr>
        <w:tc>
          <w:tcPr>
            <w:tcW w:w="439" w:type="dxa"/>
            <w:vMerge/>
            <w:tcBorders>
              <w:top w:val="single" w:sz="8" w:space="0" w:color="auto"/>
              <w:left w:val="single" w:sz="4" w:space="0" w:color="auto"/>
              <w:bottom w:val="single" w:sz="4" w:space="0" w:color="000000"/>
              <w:right w:val="nil"/>
            </w:tcBorders>
            <w:vAlign w:val="center"/>
            <w:hideMark/>
          </w:tcPr>
          <w:p w14:paraId="51BF4693"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8" w:space="0" w:color="auto"/>
              <w:right w:val="single" w:sz="4" w:space="0" w:color="auto"/>
            </w:tcBorders>
            <w:shd w:val="clear" w:color="auto" w:fill="auto"/>
            <w:vAlign w:val="bottom"/>
            <w:hideMark/>
          </w:tcPr>
          <w:p w14:paraId="3203576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Comparative law reports available within 18 months, and Fiji law reports available starting from 12 month after start</w:t>
            </w:r>
          </w:p>
        </w:tc>
        <w:tc>
          <w:tcPr>
            <w:tcW w:w="781" w:type="dxa"/>
            <w:tcBorders>
              <w:top w:val="nil"/>
              <w:left w:val="nil"/>
              <w:bottom w:val="single" w:sz="8" w:space="0" w:color="auto"/>
              <w:right w:val="single" w:sz="4" w:space="0" w:color="auto"/>
            </w:tcBorders>
            <w:shd w:val="clear" w:color="auto" w:fill="auto"/>
            <w:vAlign w:val="bottom"/>
            <w:hideMark/>
          </w:tcPr>
          <w:p w14:paraId="453D211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law reports since 2002 (except for 2013) and no comparative law reports</w:t>
            </w:r>
          </w:p>
        </w:tc>
        <w:tc>
          <w:tcPr>
            <w:tcW w:w="750" w:type="dxa"/>
            <w:tcBorders>
              <w:top w:val="nil"/>
              <w:left w:val="nil"/>
              <w:bottom w:val="single" w:sz="8" w:space="0" w:color="auto"/>
              <w:right w:val="single" w:sz="4" w:space="0" w:color="auto"/>
            </w:tcBorders>
            <w:shd w:val="clear" w:color="auto" w:fill="auto"/>
            <w:vAlign w:val="bottom"/>
            <w:hideMark/>
          </w:tcPr>
          <w:p w14:paraId="552BA0A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*Comparative law reports available to LC and JD (2017)</w:t>
            </w:r>
            <w:r w:rsidRPr="007D749B">
              <w:rPr>
                <w:rFonts w:ascii="Calibri" w:hAnsi="Calibri" w:cs="Calibri"/>
                <w:color w:val="000000"/>
                <w:szCs w:val="22"/>
                <w:lang w:val="en-US"/>
              </w:rPr>
              <w:br w:type="page"/>
              <w:t>*Fiji Law Reports printed by 2020, with rolling publication from 2016</w:t>
            </w:r>
          </w:p>
        </w:tc>
        <w:tc>
          <w:tcPr>
            <w:tcW w:w="877" w:type="dxa"/>
            <w:tcBorders>
              <w:top w:val="nil"/>
              <w:left w:val="nil"/>
              <w:bottom w:val="single" w:sz="8" w:space="0" w:color="auto"/>
              <w:right w:val="single" w:sz="4" w:space="0" w:color="auto"/>
            </w:tcBorders>
            <w:shd w:val="clear" w:color="auto" w:fill="auto"/>
            <w:vAlign w:val="bottom"/>
            <w:hideMark/>
          </w:tcPr>
          <w:p w14:paraId="05BE5DE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AR 1.3 / AR 2.3 - reports available for 2002-08, 2012 in hard and soft versions</w:t>
            </w:r>
          </w:p>
        </w:tc>
        <w:tc>
          <w:tcPr>
            <w:tcW w:w="1096" w:type="dxa"/>
            <w:tcBorders>
              <w:top w:val="nil"/>
              <w:left w:val="nil"/>
              <w:bottom w:val="single" w:sz="8" w:space="0" w:color="auto"/>
              <w:right w:val="single" w:sz="4" w:space="0" w:color="auto"/>
            </w:tcBorders>
            <w:shd w:val="clear" w:color="auto" w:fill="auto"/>
            <w:vAlign w:val="bottom"/>
            <w:hideMark/>
          </w:tcPr>
          <w:p w14:paraId="7325A58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646" w:type="dxa"/>
            <w:tcBorders>
              <w:top w:val="nil"/>
              <w:left w:val="nil"/>
              <w:bottom w:val="single" w:sz="8" w:space="0" w:color="auto"/>
              <w:right w:val="single" w:sz="4" w:space="0" w:color="auto"/>
            </w:tcBorders>
            <w:shd w:val="clear" w:color="auto" w:fill="auto"/>
            <w:vAlign w:val="bottom"/>
            <w:hideMark/>
          </w:tcPr>
          <w:p w14:paraId="064C563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*AR 1.3 LAC is able to…access and invoke the relevant law…</w:t>
            </w:r>
            <w:r w:rsidRPr="007D749B">
              <w:rPr>
                <w:rFonts w:ascii="Calibri" w:hAnsi="Calibri" w:cs="Calibri"/>
                <w:color w:val="000000"/>
                <w:szCs w:val="22"/>
                <w:lang w:val="en-US"/>
              </w:rPr>
              <w:br w:type="page"/>
              <w:t>*AR 2.3 JD is able to…access and invoke the relevant law...</w:t>
            </w:r>
          </w:p>
        </w:tc>
        <w:tc>
          <w:tcPr>
            <w:tcW w:w="674" w:type="dxa"/>
            <w:tcBorders>
              <w:top w:val="nil"/>
              <w:left w:val="nil"/>
              <w:bottom w:val="single" w:sz="8" w:space="0" w:color="auto"/>
              <w:right w:val="single" w:sz="4" w:space="0" w:color="auto"/>
            </w:tcBorders>
            <w:shd w:val="clear" w:color="auto" w:fill="auto"/>
            <w:vAlign w:val="bottom"/>
            <w:hideMark/>
          </w:tcPr>
          <w:p w14:paraId="3993F636"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AR 1.3 / AR 2.3 - reports available for 2002-08, 2012 in hard and soft versions</w:t>
            </w:r>
          </w:p>
        </w:tc>
        <w:tc>
          <w:tcPr>
            <w:tcW w:w="1880" w:type="dxa"/>
            <w:tcBorders>
              <w:top w:val="nil"/>
              <w:left w:val="nil"/>
              <w:bottom w:val="single" w:sz="8" w:space="0" w:color="auto"/>
              <w:right w:val="single" w:sz="4" w:space="0" w:color="auto"/>
            </w:tcBorders>
            <w:shd w:val="clear" w:color="auto" w:fill="auto"/>
            <w:vAlign w:val="bottom"/>
            <w:hideMark/>
          </w:tcPr>
          <w:p w14:paraId="7C594FFA"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*Under AR2.3, UNDP reports that 2009 -16 will be digitized and published starting 2019 (2013 volume in hard copy but not digitized before FA2J) along with requested "catch up volumes)</w:t>
            </w:r>
          </w:p>
        </w:tc>
      </w:tr>
      <w:tr w:rsidR="007D749B" w:rsidRPr="007D749B" w14:paraId="470294DE" w14:textId="77777777" w:rsidTr="007D749B">
        <w:trPr>
          <w:trHeight w:val="300"/>
        </w:trPr>
        <w:tc>
          <w:tcPr>
            <w:tcW w:w="439" w:type="dxa"/>
            <w:vMerge/>
            <w:tcBorders>
              <w:top w:val="single" w:sz="8" w:space="0" w:color="auto"/>
              <w:left w:val="single" w:sz="4" w:space="0" w:color="auto"/>
              <w:bottom w:val="single" w:sz="4" w:space="0" w:color="000000"/>
              <w:right w:val="nil"/>
            </w:tcBorders>
            <w:vAlign w:val="center"/>
            <w:hideMark/>
          </w:tcPr>
          <w:p w14:paraId="7CD5360B" w14:textId="77777777" w:rsidR="007D749B" w:rsidRPr="007D749B" w:rsidRDefault="007D749B" w:rsidP="007D749B">
            <w:pPr>
              <w:rPr>
                <w:rFonts w:ascii="Calibri" w:hAnsi="Calibri" w:cs="Calibri"/>
                <w:b/>
                <w:bCs/>
                <w:color w:val="000000"/>
                <w:sz w:val="24"/>
                <w:szCs w:val="24"/>
                <w:lang w:val="en-US"/>
              </w:rPr>
            </w:pPr>
          </w:p>
        </w:tc>
        <w:tc>
          <w:tcPr>
            <w:tcW w:w="4711" w:type="dxa"/>
            <w:gridSpan w:val="5"/>
            <w:tcBorders>
              <w:top w:val="single" w:sz="8" w:space="0" w:color="auto"/>
              <w:left w:val="nil"/>
              <w:bottom w:val="nil"/>
              <w:right w:val="nil"/>
            </w:tcBorders>
            <w:shd w:val="clear" w:color="000000" w:fill="DDEBF7"/>
            <w:vAlign w:val="bottom"/>
            <w:hideMark/>
          </w:tcPr>
          <w:p w14:paraId="1A87422E" w14:textId="77777777" w:rsidR="007D749B" w:rsidRPr="007D749B" w:rsidRDefault="007D749B" w:rsidP="007D749B">
            <w:pPr>
              <w:rPr>
                <w:rFonts w:ascii="Calibri" w:hAnsi="Calibri" w:cs="Calibri"/>
                <w:b/>
                <w:bCs/>
                <w:color w:val="000000"/>
                <w:szCs w:val="22"/>
                <w:lang w:val="en-US"/>
              </w:rPr>
            </w:pPr>
            <w:r w:rsidRPr="007D749B">
              <w:rPr>
                <w:rFonts w:ascii="Calibri" w:hAnsi="Calibri" w:cs="Calibri"/>
                <w:b/>
                <w:bCs/>
                <w:color w:val="000000"/>
                <w:szCs w:val="22"/>
                <w:lang w:val="en-US"/>
              </w:rPr>
              <w:t>Component 1: Result 2</w:t>
            </w:r>
          </w:p>
        </w:tc>
        <w:tc>
          <w:tcPr>
            <w:tcW w:w="4200" w:type="dxa"/>
            <w:gridSpan w:val="3"/>
            <w:tcBorders>
              <w:top w:val="single" w:sz="8" w:space="0" w:color="auto"/>
              <w:left w:val="nil"/>
              <w:bottom w:val="nil"/>
              <w:right w:val="single" w:sz="4" w:space="0" w:color="000000"/>
            </w:tcBorders>
            <w:shd w:val="clear" w:color="000000" w:fill="E7E6E6"/>
            <w:vAlign w:val="bottom"/>
            <w:hideMark/>
          </w:tcPr>
          <w:p w14:paraId="52028DB1" w14:textId="77777777" w:rsidR="007D749B" w:rsidRPr="007D749B" w:rsidRDefault="007D749B" w:rsidP="007D749B">
            <w:pPr>
              <w:jc w:val="center"/>
              <w:rPr>
                <w:rFonts w:ascii="Calibri" w:hAnsi="Calibri" w:cs="Calibri"/>
                <w:color w:val="000000"/>
                <w:szCs w:val="22"/>
                <w:lang w:val="en-US"/>
              </w:rPr>
            </w:pPr>
            <w:r w:rsidRPr="007D749B">
              <w:rPr>
                <w:rFonts w:ascii="Calibri" w:hAnsi="Calibri" w:cs="Calibri"/>
                <w:color w:val="000000"/>
                <w:szCs w:val="22"/>
                <w:lang w:val="en-US"/>
              </w:rPr>
              <w:t> </w:t>
            </w:r>
          </w:p>
        </w:tc>
      </w:tr>
      <w:tr w:rsidR="007D749B" w:rsidRPr="007D749B" w14:paraId="73CEFB23" w14:textId="77777777" w:rsidTr="007D749B">
        <w:trPr>
          <w:trHeight w:val="885"/>
        </w:trPr>
        <w:tc>
          <w:tcPr>
            <w:tcW w:w="439" w:type="dxa"/>
            <w:vMerge/>
            <w:tcBorders>
              <w:top w:val="single" w:sz="8" w:space="0" w:color="auto"/>
              <w:left w:val="single" w:sz="4" w:space="0" w:color="auto"/>
              <w:bottom w:val="single" w:sz="4" w:space="0" w:color="000000"/>
              <w:right w:val="nil"/>
            </w:tcBorders>
            <w:vAlign w:val="center"/>
            <w:hideMark/>
          </w:tcPr>
          <w:p w14:paraId="4915F31F"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6A1CCA5F"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5 LAC offices supported</w:t>
            </w:r>
          </w:p>
        </w:tc>
        <w:tc>
          <w:tcPr>
            <w:tcW w:w="781" w:type="dxa"/>
            <w:tcBorders>
              <w:top w:val="nil"/>
              <w:left w:val="nil"/>
              <w:bottom w:val="single" w:sz="4" w:space="0" w:color="auto"/>
              <w:right w:val="single" w:sz="4" w:space="0" w:color="auto"/>
            </w:tcBorders>
            <w:shd w:val="clear" w:color="auto" w:fill="auto"/>
            <w:vAlign w:val="bottom"/>
            <w:hideMark/>
          </w:tcPr>
          <w:p w14:paraId="6D8C7DB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LAC Offices" (2015)</w:t>
            </w:r>
          </w:p>
        </w:tc>
        <w:tc>
          <w:tcPr>
            <w:tcW w:w="750" w:type="dxa"/>
            <w:tcBorders>
              <w:top w:val="nil"/>
              <w:left w:val="nil"/>
              <w:bottom w:val="single" w:sz="4" w:space="0" w:color="auto"/>
              <w:right w:val="single" w:sz="4" w:space="0" w:color="auto"/>
            </w:tcBorders>
            <w:shd w:val="clear" w:color="auto" w:fill="auto"/>
            <w:vAlign w:val="bottom"/>
            <w:hideMark/>
          </w:tcPr>
          <w:p w14:paraId="41C0DD0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5 LAC offices (2017)</w:t>
            </w:r>
          </w:p>
        </w:tc>
        <w:tc>
          <w:tcPr>
            <w:tcW w:w="877" w:type="dxa"/>
            <w:tcBorders>
              <w:top w:val="nil"/>
              <w:left w:val="nil"/>
              <w:bottom w:val="single" w:sz="4" w:space="0" w:color="auto"/>
              <w:right w:val="single" w:sz="4" w:space="0" w:color="auto"/>
            </w:tcBorders>
            <w:shd w:val="clear" w:color="000000" w:fill="FFFF00"/>
            <w:vAlign w:val="bottom"/>
            <w:hideMark/>
          </w:tcPr>
          <w:p w14:paraId="1EED45D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*AR3.1 - UNDP notes in Yr2 Report under AR 3.1 that Project Board cancelled this output in </w:t>
            </w:r>
            <w:r w:rsidRPr="007D749B">
              <w:rPr>
                <w:rFonts w:ascii="Calibri" w:hAnsi="Calibri" w:cs="Calibri"/>
                <w:color w:val="000000"/>
                <w:szCs w:val="22"/>
                <w:lang w:val="en-US"/>
              </w:rPr>
              <w:lastRenderedPageBreak/>
              <w:t>favor of additional resources for LAC ICT (PB Jan 2018)</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14:paraId="0F9C33B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lastRenderedPageBreak/>
              <w:t xml:space="preserve">Original indicator contained 3 separate measurable aspects - </w:t>
            </w:r>
            <w:proofErr w:type="spellStart"/>
            <w:r w:rsidRPr="007D749B">
              <w:rPr>
                <w:rFonts w:ascii="Calibri" w:hAnsi="Calibri" w:cs="Calibri"/>
                <w:color w:val="000000"/>
                <w:szCs w:val="22"/>
                <w:lang w:val="en-US"/>
              </w:rPr>
              <w:lastRenderedPageBreak/>
              <w:t>dividied</w:t>
            </w:r>
            <w:proofErr w:type="spellEnd"/>
            <w:r w:rsidRPr="007D749B">
              <w:rPr>
                <w:rFonts w:ascii="Calibri" w:hAnsi="Calibri" w:cs="Calibri"/>
                <w:color w:val="000000"/>
                <w:szCs w:val="22"/>
                <w:lang w:val="en-US"/>
              </w:rPr>
              <w:t xml:space="preserve"> here</w:t>
            </w:r>
          </w:p>
        </w:tc>
        <w:tc>
          <w:tcPr>
            <w:tcW w:w="1646" w:type="dxa"/>
            <w:tcBorders>
              <w:top w:val="nil"/>
              <w:left w:val="nil"/>
              <w:bottom w:val="single" w:sz="4" w:space="0" w:color="auto"/>
              <w:right w:val="single" w:sz="4" w:space="0" w:color="auto"/>
            </w:tcBorders>
            <w:shd w:val="clear" w:color="auto" w:fill="auto"/>
            <w:vAlign w:val="bottom"/>
            <w:hideMark/>
          </w:tcPr>
          <w:p w14:paraId="76782C8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lastRenderedPageBreak/>
              <w:t xml:space="preserve">*AR 3.1 Delivery of free legal aid for poor and vulnerable populations through </w:t>
            </w:r>
            <w:r w:rsidRPr="007D749B">
              <w:rPr>
                <w:rFonts w:ascii="Calibri" w:hAnsi="Calibri" w:cs="Calibri"/>
                <w:color w:val="000000"/>
                <w:szCs w:val="22"/>
                <w:lang w:val="en-US"/>
              </w:rPr>
              <w:lastRenderedPageBreak/>
              <w:t>establishment of 4 LAC offices throughout Fiji</w:t>
            </w:r>
          </w:p>
        </w:tc>
        <w:tc>
          <w:tcPr>
            <w:tcW w:w="674" w:type="dxa"/>
            <w:tcBorders>
              <w:top w:val="nil"/>
              <w:left w:val="nil"/>
              <w:bottom w:val="single" w:sz="4" w:space="0" w:color="auto"/>
              <w:right w:val="single" w:sz="4" w:space="0" w:color="auto"/>
            </w:tcBorders>
            <w:shd w:val="clear" w:color="auto" w:fill="auto"/>
            <w:vAlign w:val="bottom"/>
            <w:hideMark/>
          </w:tcPr>
          <w:p w14:paraId="7B50E9F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lastRenderedPageBreak/>
              <w:t xml:space="preserve">*AR 3.1 - 0 </w:t>
            </w:r>
          </w:p>
        </w:tc>
        <w:tc>
          <w:tcPr>
            <w:tcW w:w="1880" w:type="dxa"/>
            <w:tcBorders>
              <w:top w:val="nil"/>
              <w:left w:val="nil"/>
              <w:bottom w:val="single" w:sz="4" w:space="0" w:color="auto"/>
              <w:right w:val="single" w:sz="4" w:space="0" w:color="auto"/>
            </w:tcBorders>
            <w:shd w:val="clear" w:color="000000" w:fill="FFFF00"/>
            <w:vAlign w:val="bottom"/>
            <w:hideMark/>
          </w:tcPr>
          <w:p w14:paraId="6A2DA2E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*AR3.1 - UNDP notes in Yr2 Report under AR 3.1 that Project Board cancelled this output in </w:t>
            </w:r>
            <w:r w:rsidRPr="007D749B">
              <w:rPr>
                <w:rFonts w:ascii="Calibri" w:hAnsi="Calibri" w:cs="Calibri"/>
                <w:color w:val="000000"/>
                <w:szCs w:val="22"/>
                <w:lang w:val="en-US"/>
              </w:rPr>
              <w:lastRenderedPageBreak/>
              <w:t>favor of additional resources for LAC ICT (PB Jan 2018)</w:t>
            </w:r>
          </w:p>
        </w:tc>
      </w:tr>
      <w:tr w:rsidR="007D749B" w:rsidRPr="007D749B" w14:paraId="0D52D9E8" w14:textId="77777777" w:rsidTr="007D749B">
        <w:trPr>
          <w:trHeight w:val="1500"/>
        </w:trPr>
        <w:tc>
          <w:tcPr>
            <w:tcW w:w="439" w:type="dxa"/>
            <w:vMerge/>
            <w:tcBorders>
              <w:top w:val="single" w:sz="8" w:space="0" w:color="auto"/>
              <w:left w:val="single" w:sz="4" w:space="0" w:color="auto"/>
              <w:bottom w:val="single" w:sz="4" w:space="0" w:color="000000"/>
              <w:right w:val="nil"/>
            </w:tcBorders>
            <w:vAlign w:val="center"/>
            <w:hideMark/>
          </w:tcPr>
          <w:p w14:paraId="668566A6"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26BFCEB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3 information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opened in courts</w:t>
            </w:r>
          </w:p>
        </w:tc>
        <w:tc>
          <w:tcPr>
            <w:tcW w:w="781" w:type="dxa"/>
            <w:tcBorders>
              <w:top w:val="nil"/>
              <w:left w:val="nil"/>
              <w:bottom w:val="single" w:sz="4" w:space="0" w:color="auto"/>
              <w:right w:val="single" w:sz="4" w:space="0" w:color="auto"/>
            </w:tcBorders>
            <w:shd w:val="clear" w:color="auto" w:fill="auto"/>
            <w:vAlign w:val="bottom"/>
            <w:hideMark/>
          </w:tcPr>
          <w:p w14:paraId="276AF9B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No information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(2015)</w:t>
            </w:r>
          </w:p>
        </w:tc>
        <w:tc>
          <w:tcPr>
            <w:tcW w:w="750" w:type="dxa"/>
            <w:tcBorders>
              <w:top w:val="nil"/>
              <w:left w:val="nil"/>
              <w:bottom w:val="single" w:sz="4" w:space="0" w:color="auto"/>
              <w:right w:val="single" w:sz="4" w:space="0" w:color="auto"/>
            </w:tcBorders>
            <w:shd w:val="clear" w:color="auto" w:fill="auto"/>
            <w:vAlign w:val="bottom"/>
            <w:hideMark/>
          </w:tcPr>
          <w:p w14:paraId="4DFB694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3 </w:t>
            </w:r>
            <w:proofErr w:type="spellStart"/>
            <w:r w:rsidRPr="007D749B">
              <w:rPr>
                <w:rFonts w:ascii="Calibri" w:hAnsi="Calibri" w:cs="Calibri"/>
                <w:color w:val="000000"/>
                <w:szCs w:val="22"/>
                <w:lang w:val="en-US"/>
              </w:rPr>
              <w:t>informaiton</w:t>
            </w:r>
            <w:proofErr w:type="spellEnd"/>
            <w:r w:rsidRPr="007D749B">
              <w:rPr>
                <w:rFonts w:ascii="Calibri" w:hAnsi="Calibri" w:cs="Calibri"/>
                <w:color w:val="000000"/>
                <w:szCs w:val="22"/>
                <w:lang w:val="en-US"/>
              </w:rPr>
              <w:t xml:space="preserve">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in courts (2016 -17)</w:t>
            </w:r>
          </w:p>
        </w:tc>
        <w:tc>
          <w:tcPr>
            <w:tcW w:w="877" w:type="dxa"/>
            <w:tcBorders>
              <w:top w:val="nil"/>
              <w:left w:val="nil"/>
              <w:bottom w:val="single" w:sz="4" w:space="0" w:color="auto"/>
              <w:right w:val="single" w:sz="4" w:space="0" w:color="auto"/>
            </w:tcBorders>
            <w:shd w:val="clear" w:color="auto" w:fill="auto"/>
            <w:vAlign w:val="bottom"/>
            <w:hideMark/>
          </w:tcPr>
          <w:p w14:paraId="41039E2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*AR3.3 - 3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reported open April 2019 </w:t>
            </w:r>
          </w:p>
        </w:tc>
        <w:tc>
          <w:tcPr>
            <w:tcW w:w="1096" w:type="dxa"/>
            <w:vMerge/>
            <w:tcBorders>
              <w:top w:val="nil"/>
              <w:left w:val="single" w:sz="4" w:space="0" w:color="auto"/>
              <w:bottom w:val="single" w:sz="4" w:space="0" w:color="auto"/>
              <w:right w:val="single" w:sz="4" w:space="0" w:color="auto"/>
            </w:tcBorders>
            <w:vAlign w:val="center"/>
            <w:hideMark/>
          </w:tcPr>
          <w:p w14:paraId="42D7A060" w14:textId="77777777" w:rsidR="007D749B" w:rsidRPr="007D749B" w:rsidRDefault="007D749B" w:rsidP="007D749B">
            <w:pPr>
              <w:rPr>
                <w:rFonts w:ascii="Calibri" w:hAnsi="Calibri" w:cs="Calibri"/>
                <w:color w:val="000000"/>
                <w:szCs w:val="22"/>
                <w:lang w:val="en-US"/>
              </w:rPr>
            </w:pPr>
          </w:p>
        </w:tc>
        <w:tc>
          <w:tcPr>
            <w:tcW w:w="1646" w:type="dxa"/>
            <w:tcBorders>
              <w:top w:val="nil"/>
              <w:left w:val="nil"/>
              <w:bottom w:val="single" w:sz="4" w:space="0" w:color="auto"/>
              <w:right w:val="single" w:sz="4" w:space="0" w:color="auto"/>
            </w:tcBorders>
            <w:shd w:val="clear" w:color="auto" w:fill="auto"/>
            <w:vAlign w:val="bottom"/>
            <w:hideMark/>
          </w:tcPr>
          <w:p w14:paraId="65306B06"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*O3.2 % of users of </w:t>
            </w:r>
            <w:proofErr w:type="spellStart"/>
            <w:r w:rsidRPr="007D749B">
              <w:rPr>
                <w:rFonts w:ascii="Calibri" w:hAnsi="Calibri" w:cs="Calibri"/>
                <w:color w:val="000000"/>
                <w:szCs w:val="22"/>
                <w:lang w:val="en-US"/>
              </w:rPr>
              <w:t>informaiton</w:t>
            </w:r>
            <w:proofErr w:type="spellEnd"/>
            <w:r w:rsidRPr="007D749B">
              <w:rPr>
                <w:rFonts w:ascii="Calibri" w:hAnsi="Calibri" w:cs="Calibri"/>
                <w:color w:val="000000"/>
                <w:szCs w:val="22"/>
                <w:lang w:val="en-US"/>
              </w:rPr>
              <w:t xml:space="preserve">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in courts that are satisfied with services provided</w:t>
            </w:r>
            <w:r w:rsidRPr="007D749B">
              <w:rPr>
                <w:rFonts w:ascii="Calibri" w:hAnsi="Calibri" w:cs="Calibri"/>
                <w:color w:val="000000"/>
                <w:szCs w:val="22"/>
                <w:lang w:val="en-US"/>
              </w:rPr>
              <w:br/>
              <w:t xml:space="preserve">*AR3.3 Increased availability of services … through establishment of 3 </w:t>
            </w:r>
            <w:proofErr w:type="spellStart"/>
            <w:r w:rsidRPr="007D749B">
              <w:rPr>
                <w:rFonts w:ascii="Calibri" w:hAnsi="Calibri" w:cs="Calibri"/>
                <w:color w:val="000000"/>
                <w:szCs w:val="22"/>
                <w:lang w:val="en-US"/>
              </w:rPr>
              <w:t>informaiton</w:t>
            </w:r>
            <w:proofErr w:type="spellEnd"/>
            <w:r w:rsidRPr="007D749B">
              <w:rPr>
                <w:rFonts w:ascii="Calibri" w:hAnsi="Calibri" w:cs="Calibri"/>
                <w:color w:val="000000"/>
                <w:szCs w:val="22"/>
                <w:lang w:val="en-US"/>
              </w:rPr>
              <w:t xml:space="preserve">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in courts…</w:t>
            </w:r>
          </w:p>
        </w:tc>
        <w:tc>
          <w:tcPr>
            <w:tcW w:w="674" w:type="dxa"/>
            <w:tcBorders>
              <w:top w:val="nil"/>
              <w:left w:val="nil"/>
              <w:bottom w:val="single" w:sz="4" w:space="0" w:color="auto"/>
              <w:right w:val="single" w:sz="4" w:space="0" w:color="auto"/>
            </w:tcBorders>
            <w:shd w:val="clear" w:color="auto" w:fill="auto"/>
            <w:vAlign w:val="bottom"/>
            <w:hideMark/>
          </w:tcPr>
          <w:p w14:paraId="0D86B17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*O3.2 0 (No data on satisfaction level of users)</w:t>
            </w:r>
            <w:r w:rsidRPr="007D749B">
              <w:rPr>
                <w:rFonts w:ascii="Calibri" w:hAnsi="Calibri" w:cs="Calibri"/>
                <w:color w:val="000000"/>
                <w:szCs w:val="22"/>
                <w:lang w:val="en-US"/>
              </w:rPr>
              <w:br/>
              <w:t xml:space="preserve">*AR3.3 - 3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reported open April 2019</w:t>
            </w:r>
          </w:p>
        </w:tc>
        <w:tc>
          <w:tcPr>
            <w:tcW w:w="1880" w:type="dxa"/>
            <w:tcBorders>
              <w:top w:val="nil"/>
              <w:left w:val="nil"/>
              <w:bottom w:val="single" w:sz="4" w:space="0" w:color="auto"/>
              <w:right w:val="single" w:sz="4" w:space="0" w:color="auto"/>
            </w:tcBorders>
            <w:shd w:val="clear" w:color="auto" w:fill="auto"/>
            <w:vAlign w:val="bottom"/>
            <w:hideMark/>
          </w:tcPr>
          <w:p w14:paraId="035274A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 AR3.3: 3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reportedly opened in 2018/19 (1 visited) with FA2J providing equipment and JD staffing and managing </w:t>
            </w:r>
            <w:proofErr w:type="spellStart"/>
            <w:r w:rsidRPr="007D749B">
              <w:rPr>
                <w:rFonts w:ascii="Calibri" w:hAnsi="Calibri" w:cs="Calibri"/>
                <w:color w:val="000000"/>
                <w:szCs w:val="22"/>
                <w:lang w:val="en-US"/>
              </w:rPr>
              <w:t>centres</w:t>
            </w:r>
            <w:proofErr w:type="spellEnd"/>
            <w:r w:rsidRPr="007D749B">
              <w:rPr>
                <w:rFonts w:ascii="Calibri" w:hAnsi="Calibri" w:cs="Calibri"/>
                <w:color w:val="000000"/>
                <w:szCs w:val="22"/>
                <w:lang w:val="en-US"/>
              </w:rPr>
              <w:t xml:space="preserve">; no discrete plan, policies, or guidelines provided for </w:t>
            </w:r>
            <w:proofErr w:type="spellStart"/>
            <w:r w:rsidRPr="007D749B">
              <w:rPr>
                <w:rFonts w:ascii="Calibri" w:hAnsi="Calibri" w:cs="Calibri"/>
                <w:color w:val="000000"/>
                <w:szCs w:val="22"/>
                <w:lang w:val="en-US"/>
              </w:rPr>
              <w:t>centres</w:t>
            </w:r>
            <w:proofErr w:type="spellEnd"/>
          </w:p>
        </w:tc>
      </w:tr>
      <w:tr w:rsidR="007D749B" w:rsidRPr="007D749B" w14:paraId="0466637A" w14:textId="77777777" w:rsidTr="007D749B">
        <w:trPr>
          <w:trHeight w:val="1200"/>
        </w:trPr>
        <w:tc>
          <w:tcPr>
            <w:tcW w:w="439" w:type="dxa"/>
            <w:vMerge/>
            <w:tcBorders>
              <w:top w:val="single" w:sz="8" w:space="0" w:color="auto"/>
              <w:left w:val="single" w:sz="4" w:space="0" w:color="auto"/>
              <w:bottom w:val="single" w:sz="4" w:space="0" w:color="000000"/>
              <w:right w:val="nil"/>
            </w:tcBorders>
            <w:vAlign w:val="center"/>
            <w:hideMark/>
          </w:tcPr>
          <w:p w14:paraId="3E7E5095"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0EE6308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The opening of an operational hotline with an increasing number of users</w:t>
            </w:r>
          </w:p>
        </w:tc>
        <w:tc>
          <w:tcPr>
            <w:tcW w:w="781" w:type="dxa"/>
            <w:tcBorders>
              <w:top w:val="nil"/>
              <w:left w:val="nil"/>
              <w:bottom w:val="single" w:sz="4" w:space="0" w:color="auto"/>
              <w:right w:val="single" w:sz="4" w:space="0" w:color="auto"/>
            </w:tcBorders>
            <w:shd w:val="clear" w:color="auto" w:fill="auto"/>
            <w:vAlign w:val="bottom"/>
            <w:hideMark/>
          </w:tcPr>
          <w:p w14:paraId="2FE13FE7"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hotline (2015)</w:t>
            </w:r>
          </w:p>
        </w:tc>
        <w:tc>
          <w:tcPr>
            <w:tcW w:w="750" w:type="dxa"/>
            <w:tcBorders>
              <w:top w:val="nil"/>
              <w:left w:val="nil"/>
              <w:bottom w:val="single" w:sz="4" w:space="0" w:color="auto"/>
              <w:right w:val="single" w:sz="4" w:space="0" w:color="auto"/>
            </w:tcBorders>
            <w:shd w:val="clear" w:color="auto" w:fill="auto"/>
            <w:vAlign w:val="bottom"/>
            <w:hideMark/>
          </w:tcPr>
          <w:p w14:paraId="6F5D60F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Hotline established (2017)</w:t>
            </w:r>
          </w:p>
        </w:tc>
        <w:tc>
          <w:tcPr>
            <w:tcW w:w="877" w:type="dxa"/>
            <w:tcBorders>
              <w:top w:val="nil"/>
              <w:left w:val="nil"/>
              <w:bottom w:val="single" w:sz="4" w:space="0" w:color="auto"/>
              <w:right w:val="single" w:sz="4" w:space="0" w:color="auto"/>
            </w:tcBorders>
            <w:shd w:val="clear" w:color="auto" w:fill="auto"/>
            <w:vAlign w:val="bottom"/>
            <w:hideMark/>
          </w:tcPr>
          <w:p w14:paraId="6C5E2B6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*O3.1 - 0 (helpline not available) (FA2J Yr2 Annual Report)</w:t>
            </w:r>
          </w:p>
        </w:tc>
        <w:tc>
          <w:tcPr>
            <w:tcW w:w="1096" w:type="dxa"/>
            <w:vMerge/>
            <w:tcBorders>
              <w:top w:val="nil"/>
              <w:left w:val="single" w:sz="4" w:space="0" w:color="auto"/>
              <w:bottom w:val="single" w:sz="4" w:space="0" w:color="auto"/>
              <w:right w:val="single" w:sz="4" w:space="0" w:color="auto"/>
            </w:tcBorders>
            <w:vAlign w:val="center"/>
            <w:hideMark/>
          </w:tcPr>
          <w:p w14:paraId="73B45E31" w14:textId="77777777" w:rsidR="007D749B" w:rsidRPr="007D749B" w:rsidRDefault="007D749B" w:rsidP="007D749B">
            <w:pPr>
              <w:rPr>
                <w:rFonts w:ascii="Calibri" w:hAnsi="Calibri" w:cs="Calibri"/>
                <w:color w:val="000000"/>
                <w:szCs w:val="22"/>
                <w:lang w:val="en-US"/>
              </w:rPr>
            </w:pPr>
          </w:p>
        </w:tc>
        <w:tc>
          <w:tcPr>
            <w:tcW w:w="1646" w:type="dxa"/>
            <w:tcBorders>
              <w:top w:val="nil"/>
              <w:left w:val="nil"/>
              <w:bottom w:val="single" w:sz="4" w:space="0" w:color="auto"/>
              <w:right w:val="single" w:sz="4" w:space="0" w:color="auto"/>
            </w:tcBorders>
            <w:shd w:val="clear" w:color="auto" w:fill="auto"/>
            <w:vAlign w:val="bottom"/>
            <w:hideMark/>
          </w:tcPr>
          <w:p w14:paraId="698E722A"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*O3.1 % of users of LAC helpline that are satisfied with  services provided</w:t>
            </w:r>
            <w:r w:rsidRPr="007D749B">
              <w:rPr>
                <w:rFonts w:ascii="Calibri" w:hAnsi="Calibri" w:cs="Calibri"/>
                <w:color w:val="000000"/>
                <w:szCs w:val="22"/>
                <w:lang w:val="en-US"/>
              </w:rPr>
              <w:br/>
              <w:t>*AR3.2 Increased delivery of access to justice…through establishment of … hotline at LAC</w:t>
            </w:r>
          </w:p>
        </w:tc>
        <w:tc>
          <w:tcPr>
            <w:tcW w:w="674" w:type="dxa"/>
            <w:tcBorders>
              <w:top w:val="nil"/>
              <w:left w:val="nil"/>
              <w:bottom w:val="single" w:sz="4" w:space="0" w:color="auto"/>
              <w:right w:val="single" w:sz="4" w:space="0" w:color="auto"/>
            </w:tcBorders>
            <w:shd w:val="clear" w:color="auto" w:fill="auto"/>
            <w:vAlign w:val="bottom"/>
            <w:hideMark/>
          </w:tcPr>
          <w:p w14:paraId="18BE928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*O3.1 - 0 (helpline not available)</w:t>
            </w:r>
            <w:r w:rsidRPr="007D749B">
              <w:rPr>
                <w:rFonts w:ascii="Calibri" w:hAnsi="Calibri" w:cs="Calibri"/>
                <w:color w:val="000000"/>
                <w:szCs w:val="22"/>
                <w:lang w:val="en-US"/>
              </w:rPr>
              <w:br/>
              <w:t>*AR3.2 - Not established</w:t>
            </w:r>
          </w:p>
        </w:tc>
        <w:tc>
          <w:tcPr>
            <w:tcW w:w="1880" w:type="dxa"/>
            <w:tcBorders>
              <w:top w:val="nil"/>
              <w:left w:val="nil"/>
              <w:bottom w:val="single" w:sz="4" w:space="0" w:color="auto"/>
              <w:right w:val="single" w:sz="4" w:space="0" w:color="auto"/>
            </w:tcBorders>
            <w:shd w:val="clear" w:color="auto" w:fill="auto"/>
            <w:vAlign w:val="bottom"/>
            <w:hideMark/>
          </w:tcPr>
          <w:p w14:paraId="6208BDC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*O3.1 / AR3.2: Installation of helpline planned for Q1 2019 (</w:t>
            </w:r>
            <w:proofErr w:type="spellStart"/>
            <w:r w:rsidRPr="007D749B">
              <w:rPr>
                <w:rFonts w:ascii="Calibri" w:hAnsi="Calibri" w:cs="Calibri"/>
                <w:color w:val="000000"/>
                <w:szCs w:val="22"/>
                <w:lang w:val="en-US"/>
              </w:rPr>
              <w:t>Yr</w:t>
            </w:r>
            <w:proofErr w:type="spellEnd"/>
            <w:r w:rsidRPr="007D749B">
              <w:rPr>
                <w:rFonts w:ascii="Calibri" w:hAnsi="Calibri" w:cs="Calibri"/>
                <w:color w:val="000000"/>
                <w:szCs w:val="22"/>
                <w:lang w:val="en-US"/>
              </w:rPr>
              <w:t xml:space="preserve"> 2 Report); Not installed as of 4/2019</w:t>
            </w:r>
          </w:p>
        </w:tc>
      </w:tr>
      <w:tr w:rsidR="007D749B" w:rsidRPr="007D749B" w14:paraId="2FE0E9F1" w14:textId="77777777" w:rsidTr="007D749B">
        <w:trPr>
          <w:trHeight w:val="1440"/>
        </w:trPr>
        <w:tc>
          <w:tcPr>
            <w:tcW w:w="439" w:type="dxa"/>
            <w:vMerge/>
            <w:tcBorders>
              <w:top w:val="single" w:sz="8" w:space="0" w:color="auto"/>
              <w:left w:val="single" w:sz="4" w:space="0" w:color="auto"/>
              <w:bottom w:val="single" w:sz="4" w:space="0" w:color="000000"/>
              <w:right w:val="nil"/>
            </w:tcBorders>
            <w:vAlign w:val="center"/>
            <w:hideMark/>
          </w:tcPr>
          <w:p w14:paraId="6702F86A"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8" w:space="0" w:color="auto"/>
              <w:right w:val="single" w:sz="4" w:space="0" w:color="auto"/>
            </w:tcBorders>
            <w:shd w:val="clear" w:color="auto" w:fill="auto"/>
            <w:vAlign w:val="bottom"/>
            <w:hideMark/>
          </w:tcPr>
          <w:p w14:paraId="7800E414"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Court users perceptions and public perception of LAC and court efficiency and quality improved 20% over the duration of the project</w:t>
            </w:r>
          </w:p>
        </w:tc>
        <w:tc>
          <w:tcPr>
            <w:tcW w:w="781" w:type="dxa"/>
            <w:tcBorders>
              <w:top w:val="nil"/>
              <w:left w:val="nil"/>
              <w:bottom w:val="single" w:sz="8" w:space="0" w:color="auto"/>
              <w:right w:val="single" w:sz="4" w:space="0" w:color="auto"/>
            </w:tcBorders>
            <w:shd w:val="clear" w:color="auto" w:fill="auto"/>
            <w:vAlign w:val="bottom"/>
            <w:hideMark/>
          </w:tcPr>
          <w:p w14:paraId="553AD0D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baseline available - on measurements conducted (2015)"</w:t>
            </w:r>
          </w:p>
        </w:tc>
        <w:tc>
          <w:tcPr>
            <w:tcW w:w="750" w:type="dxa"/>
            <w:tcBorders>
              <w:top w:val="nil"/>
              <w:left w:val="nil"/>
              <w:bottom w:val="single" w:sz="8" w:space="0" w:color="auto"/>
              <w:right w:val="single" w:sz="4" w:space="0" w:color="auto"/>
            </w:tcBorders>
            <w:shd w:val="clear" w:color="auto" w:fill="auto"/>
            <w:vAlign w:val="bottom"/>
            <w:hideMark/>
          </w:tcPr>
          <w:p w14:paraId="4C6AD8C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Baseline survey (2016) with quality improved by 20% by 2020</w:t>
            </w:r>
          </w:p>
        </w:tc>
        <w:tc>
          <w:tcPr>
            <w:tcW w:w="877" w:type="dxa"/>
            <w:tcBorders>
              <w:top w:val="nil"/>
              <w:left w:val="nil"/>
              <w:bottom w:val="single" w:sz="8" w:space="0" w:color="auto"/>
              <w:right w:val="single" w:sz="4" w:space="0" w:color="auto"/>
            </w:tcBorders>
            <w:shd w:val="clear" w:color="auto" w:fill="auto"/>
            <w:vAlign w:val="bottom"/>
            <w:hideMark/>
          </w:tcPr>
          <w:p w14:paraId="3A0BB3E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specific "court user" perception baseline established</w:t>
            </w:r>
          </w:p>
        </w:tc>
        <w:tc>
          <w:tcPr>
            <w:tcW w:w="1096" w:type="dxa"/>
            <w:tcBorders>
              <w:top w:val="nil"/>
              <w:left w:val="nil"/>
              <w:bottom w:val="single" w:sz="8" w:space="0" w:color="auto"/>
              <w:right w:val="single" w:sz="4" w:space="0" w:color="auto"/>
            </w:tcBorders>
            <w:shd w:val="clear" w:color="auto" w:fill="auto"/>
            <w:vAlign w:val="bottom"/>
            <w:hideMark/>
          </w:tcPr>
          <w:p w14:paraId="6E0225D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Baseline elements for this section edited to align with indicators</w:t>
            </w:r>
          </w:p>
        </w:tc>
        <w:tc>
          <w:tcPr>
            <w:tcW w:w="1646" w:type="dxa"/>
            <w:tcBorders>
              <w:top w:val="nil"/>
              <w:left w:val="nil"/>
              <w:bottom w:val="single" w:sz="8" w:space="0" w:color="auto"/>
              <w:right w:val="single" w:sz="4" w:space="0" w:color="auto"/>
            </w:tcBorders>
            <w:shd w:val="clear" w:color="000000" w:fill="D0CECE"/>
            <w:vAlign w:val="bottom"/>
            <w:hideMark/>
          </w:tcPr>
          <w:p w14:paraId="6372C9C0"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674" w:type="dxa"/>
            <w:tcBorders>
              <w:top w:val="nil"/>
              <w:left w:val="nil"/>
              <w:bottom w:val="single" w:sz="8" w:space="0" w:color="auto"/>
              <w:right w:val="single" w:sz="4" w:space="0" w:color="auto"/>
            </w:tcBorders>
            <w:shd w:val="clear" w:color="000000" w:fill="D0CECE"/>
            <w:vAlign w:val="bottom"/>
            <w:hideMark/>
          </w:tcPr>
          <w:p w14:paraId="45B2B55F"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880" w:type="dxa"/>
            <w:tcBorders>
              <w:top w:val="nil"/>
              <w:left w:val="nil"/>
              <w:bottom w:val="single" w:sz="8" w:space="0" w:color="auto"/>
              <w:right w:val="nil"/>
            </w:tcBorders>
            <w:shd w:val="clear" w:color="auto" w:fill="auto"/>
            <w:vAlign w:val="bottom"/>
            <w:hideMark/>
          </w:tcPr>
          <w:p w14:paraId="73E4E98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specific "court user" perception baseline established; UNDP indicators based on internal assessments (UNDP M&amp;E framework) or general population (A2J Assessment (Draft))</w:t>
            </w:r>
          </w:p>
        </w:tc>
      </w:tr>
      <w:tr w:rsidR="007D749B" w:rsidRPr="007D749B" w14:paraId="2BE73DCB" w14:textId="77777777" w:rsidTr="007D749B">
        <w:trPr>
          <w:trHeight w:val="300"/>
        </w:trPr>
        <w:tc>
          <w:tcPr>
            <w:tcW w:w="439" w:type="dxa"/>
            <w:vMerge/>
            <w:tcBorders>
              <w:top w:val="single" w:sz="8" w:space="0" w:color="auto"/>
              <w:left w:val="single" w:sz="4" w:space="0" w:color="auto"/>
              <w:bottom w:val="single" w:sz="4" w:space="0" w:color="000000"/>
              <w:right w:val="nil"/>
            </w:tcBorders>
            <w:vAlign w:val="center"/>
            <w:hideMark/>
          </w:tcPr>
          <w:p w14:paraId="627B980B" w14:textId="77777777" w:rsidR="007D749B" w:rsidRPr="007D749B" w:rsidRDefault="007D749B" w:rsidP="007D749B">
            <w:pPr>
              <w:rPr>
                <w:rFonts w:ascii="Calibri" w:hAnsi="Calibri" w:cs="Calibri"/>
                <w:b/>
                <w:bCs/>
                <w:color w:val="000000"/>
                <w:sz w:val="24"/>
                <w:szCs w:val="24"/>
                <w:lang w:val="en-US"/>
              </w:rPr>
            </w:pPr>
          </w:p>
        </w:tc>
        <w:tc>
          <w:tcPr>
            <w:tcW w:w="4711" w:type="dxa"/>
            <w:gridSpan w:val="5"/>
            <w:tcBorders>
              <w:top w:val="single" w:sz="8" w:space="0" w:color="auto"/>
              <w:left w:val="nil"/>
              <w:bottom w:val="nil"/>
              <w:right w:val="nil"/>
            </w:tcBorders>
            <w:shd w:val="clear" w:color="000000" w:fill="DDEBF7"/>
            <w:vAlign w:val="bottom"/>
            <w:hideMark/>
          </w:tcPr>
          <w:p w14:paraId="3A84C180" w14:textId="77777777" w:rsidR="007D749B" w:rsidRPr="007D749B" w:rsidRDefault="007D749B" w:rsidP="007D749B">
            <w:pPr>
              <w:rPr>
                <w:rFonts w:ascii="Calibri" w:hAnsi="Calibri" w:cs="Calibri"/>
                <w:b/>
                <w:bCs/>
                <w:color w:val="000000"/>
                <w:szCs w:val="22"/>
                <w:lang w:val="en-US"/>
              </w:rPr>
            </w:pPr>
            <w:r w:rsidRPr="007D749B">
              <w:rPr>
                <w:rFonts w:ascii="Calibri" w:hAnsi="Calibri" w:cs="Calibri"/>
                <w:b/>
                <w:bCs/>
                <w:color w:val="000000"/>
                <w:szCs w:val="22"/>
                <w:lang w:val="en-US"/>
              </w:rPr>
              <w:t>Component II: Result 3</w:t>
            </w:r>
          </w:p>
        </w:tc>
        <w:tc>
          <w:tcPr>
            <w:tcW w:w="4200" w:type="dxa"/>
            <w:gridSpan w:val="3"/>
            <w:tcBorders>
              <w:top w:val="single" w:sz="8" w:space="0" w:color="auto"/>
              <w:left w:val="nil"/>
              <w:bottom w:val="nil"/>
              <w:right w:val="single" w:sz="4" w:space="0" w:color="000000"/>
            </w:tcBorders>
            <w:shd w:val="clear" w:color="000000" w:fill="E7E6E6"/>
            <w:vAlign w:val="bottom"/>
            <w:hideMark/>
          </w:tcPr>
          <w:p w14:paraId="12002DBC" w14:textId="77777777" w:rsidR="007D749B" w:rsidRPr="007D749B" w:rsidRDefault="007D749B" w:rsidP="007D749B">
            <w:pPr>
              <w:jc w:val="center"/>
              <w:rPr>
                <w:rFonts w:ascii="Calibri" w:hAnsi="Calibri" w:cs="Calibri"/>
                <w:color w:val="000000"/>
                <w:szCs w:val="22"/>
                <w:lang w:val="en-US"/>
              </w:rPr>
            </w:pPr>
            <w:r w:rsidRPr="007D749B">
              <w:rPr>
                <w:rFonts w:ascii="Calibri" w:hAnsi="Calibri" w:cs="Calibri"/>
                <w:color w:val="000000"/>
                <w:szCs w:val="22"/>
                <w:lang w:val="en-US"/>
              </w:rPr>
              <w:t> </w:t>
            </w:r>
          </w:p>
        </w:tc>
      </w:tr>
      <w:tr w:rsidR="007D749B" w:rsidRPr="007D749B" w14:paraId="5B5DD175" w14:textId="77777777" w:rsidTr="007D749B">
        <w:trPr>
          <w:trHeight w:val="2100"/>
        </w:trPr>
        <w:tc>
          <w:tcPr>
            <w:tcW w:w="439" w:type="dxa"/>
            <w:vMerge/>
            <w:tcBorders>
              <w:top w:val="single" w:sz="8" w:space="0" w:color="auto"/>
              <w:left w:val="single" w:sz="4" w:space="0" w:color="auto"/>
              <w:bottom w:val="single" w:sz="4" w:space="0" w:color="000000"/>
              <w:right w:val="nil"/>
            </w:tcBorders>
            <w:vAlign w:val="center"/>
            <w:hideMark/>
          </w:tcPr>
          <w:p w14:paraId="613A6CEF"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1972050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Realization of accompaniment services in at least 4 communities used for piloting the initiative</w:t>
            </w:r>
          </w:p>
        </w:tc>
        <w:tc>
          <w:tcPr>
            <w:tcW w:w="781" w:type="dxa"/>
            <w:tcBorders>
              <w:top w:val="nil"/>
              <w:left w:val="nil"/>
              <w:bottom w:val="single" w:sz="4" w:space="0" w:color="auto"/>
              <w:right w:val="single" w:sz="4" w:space="0" w:color="auto"/>
            </w:tcBorders>
            <w:shd w:val="clear" w:color="auto" w:fill="auto"/>
            <w:vAlign w:val="bottom"/>
            <w:hideMark/>
          </w:tcPr>
          <w:p w14:paraId="4637050D"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baseline available - on measurements conducted (2015)"</w:t>
            </w:r>
          </w:p>
        </w:tc>
        <w:tc>
          <w:tcPr>
            <w:tcW w:w="750" w:type="dxa"/>
            <w:tcBorders>
              <w:top w:val="nil"/>
              <w:left w:val="nil"/>
              <w:bottom w:val="single" w:sz="4" w:space="0" w:color="auto"/>
              <w:right w:val="single" w:sz="4" w:space="0" w:color="auto"/>
            </w:tcBorders>
            <w:shd w:val="clear" w:color="auto" w:fill="auto"/>
            <w:vAlign w:val="bottom"/>
            <w:hideMark/>
          </w:tcPr>
          <w:p w14:paraId="47C9B01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At least 4 pilot areas covered by 2018</w:t>
            </w:r>
          </w:p>
        </w:tc>
        <w:tc>
          <w:tcPr>
            <w:tcW w:w="877" w:type="dxa"/>
            <w:tcBorders>
              <w:top w:val="nil"/>
              <w:left w:val="nil"/>
              <w:bottom w:val="single" w:sz="4" w:space="0" w:color="auto"/>
              <w:right w:val="single" w:sz="4" w:space="0" w:color="auto"/>
            </w:tcBorders>
            <w:shd w:val="clear" w:color="auto" w:fill="auto"/>
            <w:vAlign w:val="bottom"/>
            <w:hideMark/>
          </w:tcPr>
          <w:p w14:paraId="1F746F0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*AR4.1 - 0 (4/2019)</w:t>
            </w:r>
            <w:r w:rsidRPr="007D749B">
              <w:rPr>
                <w:rFonts w:ascii="Calibri" w:hAnsi="Calibri" w:cs="Calibri"/>
                <w:color w:val="000000"/>
                <w:szCs w:val="22"/>
                <w:lang w:val="en-US"/>
              </w:rPr>
              <w:br/>
              <w:t>*AR4.2 - 0 (4/2019)</w:t>
            </w:r>
          </w:p>
        </w:tc>
        <w:tc>
          <w:tcPr>
            <w:tcW w:w="1096" w:type="dxa"/>
            <w:tcBorders>
              <w:top w:val="nil"/>
              <w:left w:val="nil"/>
              <w:bottom w:val="single" w:sz="4" w:space="0" w:color="auto"/>
              <w:right w:val="single" w:sz="4" w:space="0" w:color="auto"/>
            </w:tcBorders>
            <w:shd w:val="clear" w:color="auto" w:fill="auto"/>
            <w:vAlign w:val="bottom"/>
            <w:hideMark/>
          </w:tcPr>
          <w:p w14:paraId="50D4BDE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646" w:type="dxa"/>
            <w:tcBorders>
              <w:top w:val="nil"/>
              <w:left w:val="nil"/>
              <w:bottom w:val="single" w:sz="4" w:space="0" w:color="auto"/>
              <w:right w:val="single" w:sz="4" w:space="0" w:color="auto"/>
            </w:tcBorders>
            <w:shd w:val="clear" w:color="auto" w:fill="auto"/>
            <w:vAlign w:val="bottom"/>
            <w:hideMark/>
          </w:tcPr>
          <w:p w14:paraId="0C873180"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AR4.1 Development of a model and implementation plan for a network of community advocates to deliver accompaniment access to justice services</w:t>
            </w:r>
            <w:r w:rsidRPr="007D749B">
              <w:rPr>
                <w:rFonts w:ascii="Calibri" w:hAnsi="Calibri" w:cs="Calibri"/>
                <w:color w:val="000000"/>
                <w:szCs w:val="22"/>
                <w:lang w:val="en-US"/>
              </w:rPr>
              <w:br/>
              <w:t>AR4.2 Number of networks of community advocates established, operational and producing regular data…</w:t>
            </w:r>
          </w:p>
        </w:tc>
        <w:tc>
          <w:tcPr>
            <w:tcW w:w="674" w:type="dxa"/>
            <w:tcBorders>
              <w:top w:val="nil"/>
              <w:left w:val="nil"/>
              <w:bottom w:val="single" w:sz="4" w:space="0" w:color="auto"/>
              <w:right w:val="single" w:sz="4" w:space="0" w:color="auto"/>
            </w:tcBorders>
            <w:shd w:val="clear" w:color="auto" w:fill="auto"/>
            <w:vAlign w:val="bottom"/>
            <w:hideMark/>
          </w:tcPr>
          <w:p w14:paraId="3982AD67"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*AR4.1 - 0 (4/2019)</w:t>
            </w:r>
            <w:r w:rsidRPr="007D749B">
              <w:rPr>
                <w:rFonts w:ascii="Calibri" w:hAnsi="Calibri" w:cs="Calibri"/>
                <w:color w:val="000000"/>
                <w:szCs w:val="22"/>
                <w:lang w:val="en-US"/>
              </w:rPr>
              <w:br/>
              <w:t>*AR4.2 - 0 (4/2019)</w:t>
            </w:r>
          </w:p>
        </w:tc>
        <w:tc>
          <w:tcPr>
            <w:tcW w:w="1880" w:type="dxa"/>
            <w:tcBorders>
              <w:top w:val="nil"/>
              <w:left w:val="nil"/>
              <w:bottom w:val="single" w:sz="4" w:space="0" w:color="auto"/>
              <w:right w:val="single" w:sz="4" w:space="0" w:color="auto"/>
            </w:tcBorders>
            <w:shd w:val="clear" w:color="auto" w:fill="auto"/>
            <w:vAlign w:val="bottom"/>
            <w:hideMark/>
          </w:tcPr>
          <w:p w14:paraId="6543213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*AR4.1: the development of a model and a plan is outlined as a separate output in the workplan; no model or plan available 4/2019</w:t>
            </w:r>
            <w:r w:rsidRPr="007D749B">
              <w:rPr>
                <w:rFonts w:ascii="Calibri" w:hAnsi="Calibri" w:cs="Calibri"/>
                <w:color w:val="000000"/>
                <w:szCs w:val="22"/>
                <w:lang w:val="en-US"/>
              </w:rPr>
              <w:br/>
              <w:t xml:space="preserve">*AR4.2: UNDP reports that grantee CSOs will individually be supported to develop network implementation plan in 3 pilot divisions (Yr2 </w:t>
            </w:r>
            <w:r w:rsidRPr="007D749B">
              <w:rPr>
                <w:rFonts w:ascii="Calibri" w:hAnsi="Calibri" w:cs="Calibri"/>
                <w:color w:val="000000"/>
                <w:szCs w:val="22"/>
                <w:lang w:val="en-US"/>
              </w:rPr>
              <w:lastRenderedPageBreak/>
              <w:t>Report, Section AR 4.1); there is not a reference to a national network - note that the output is worded as a "network of community advocates" and not as the "# of community advocates"</w:t>
            </w:r>
          </w:p>
        </w:tc>
      </w:tr>
      <w:tr w:rsidR="007D749B" w:rsidRPr="007D749B" w14:paraId="58894599" w14:textId="77777777" w:rsidTr="007D749B">
        <w:trPr>
          <w:trHeight w:val="1500"/>
        </w:trPr>
        <w:tc>
          <w:tcPr>
            <w:tcW w:w="439" w:type="dxa"/>
            <w:vMerge/>
            <w:tcBorders>
              <w:top w:val="single" w:sz="8" w:space="0" w:color="auto"/>
              <w:left w:val="single" w:sz="4" w:space="0" w:color="auto"/>
              <w:bottom w:val="single" w:sz="4" w:space="0" w:color="000000"/>
              <w:right w:val="nil"/>
            </w:tcBorders>
            <w:vAlign w:val="center"/>
            <w:hideMark/>
          </w:tcPr>
          <w:p w14:paraId="3939623A"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697A140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The realization of awareness raising services in cooperation with the LAC annually</w:t>
            </w:r>
          </w:p>
        </w:tc>
        <w:tc>
          <w:tcPr>
            <w:tcW w:w="781" w:type="dxa"/>
            <w:tcBorders>
              <w:top w:val="nil"/>
              <w:left w:val="nil"/>
              <w:bottom w:val="single" w:sz="4" w:space="0" w:color="auto"/>
              <w:right w:val="single" w:sz="4" w:space="0" w:color="auto"/>
            </w:tcBorders>
            <w:shd w:val="clear" w:color="auto" w:fill="auto"/>
            <w:vAlign w:val="bottom"/>
            <w:hideMark/>
          </w:tcPr>
          <w:p w14:paraId="0B600D6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baseline available - on measurements conducted (2015)"</w:t>
            </w:r>
          </w:p>
        </w:tc>
        <w:tc>
          <w:tcPr>
            <w:tcW w:w="750" w:type="dxa"/>
            <w:tcBorders>
              <w:top w:val="nil"/>
              <w:left w:val="nil"/>
              <w:bottom w:val="single" w:sz="4" w:space="0" w:color="auto"/>
              <w:right w:val="single" w:sz="4" w:space="0" w:color="auto"/>
            </w:tcBorders>
            <w:shd w:val="clear" w:color="auto" w:fill="auto"/>
            <w:vAlign w:val="bottom"/>
            <w:hideMark/>
          </w:tcPr>
          <w:p w14:paraId="7EEF7B6A"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1 LAC/NGO awareness campaign annually (2016)</w:t>
            </w:r>
          </w:p>
        </w:tc>
        <w:tc>
          <w:tcPr>
            <w:tcW w:w="877" w:type="dxa"/>
            <w:tcBorders>
              <w:top w:val="nil"/>
              <w:left w:val="nil"/>
              <w:bottom w:val="single" w:sz="4" w:space="0" w:color="auto"/>
              <w:right w:val="single" w:sz="4" w:space="0" w:color="auto"/>
            </w:tcBorders>
            <w:shd w:val="clear" w:color="auto" w:fill="auto"/>
            <w:vAlign w:val="bottom"/>
            <w:hideMark/>
          </w:tcPr>
          <w:p w14:paraId="445E7E87"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*O3.3 - 0 through 4/2019 </w:t>
            </w:r>
            <w:r w:rsidRPr="007D749B">
              <w:rPr>
                <w:rFonts w:ascii="Calibri" w:hAnsi="Calibri" w:cs="Calibri"/>
                <w:color w:val="000000"/>
                <w:szCs w:val="22"/>
                <w:lang w:val="en-US"/>
              </w:rPr>
              <w:br/>
              <w:t>*AR3.4 - 0 through 4/2019</w:t>
            </w:r>
          </w:p>
        </w:tc>
        <w:tc>
          <w:tcPr>
            <w:tcW w:w="1096" w:type="dxa"/>
            <w:tcBorders>
              <w:top w:val="nil"/>
              <w:left w:val="nil"/>
              <w:bottom w:val="single" w:sz="4" w:space="0" w:color="auto"/>
              <w:right w:val="single" w:sz="4" w:space="0" w:color="auto"/>
            </w:tcBorders>
            <w:shd w:val="clear" w:color="auto" w:fill="auto"/>
            <w:vAlign w:val="bottom"/>
            <w:hideMark/>
          </w:tcPr>
          <w:p w14:paraId="7828E5F8"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646" w:type="dxa"/>
            <w:tcBorders>
              <w:top w:val="nil"/>
              <w:left w:val="nil"/>
              <w:bottom w:val="single" w:sz="4" w:space="0" w:color="auto"/>
              <w:right w:val="single" w:sz="4" w:space="0" w:color="auto"/>
            </w:tcBorders>
            <w:shd w:val="clear" w:color="auto" w:fill="auto"/>
            <w:vAlign w:val="bottom"/>
            <w:hideMark/>
          </w:tcPr>
          <w:p w14:paraId="540B4EA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*O3.3 Number of people indicating increased understanding and awareness of their rights…disaggregated by provider, topic, and for people by sex, geography and population group</w:t>
            </w:r>
            <w:r w:rsidRPr="007D749B">
              <w:rPr>
                <w:rFonts w:ascii="Calibri" w:hAnsi="Calibri" w:cs="Calibri"/>
                <w:color w:val="000000"/>
                <w:szCs w:val="22"/>
                <w:lang w:val="en-US"/>
              </w:rPr>
              <w:br/>
              <w:t>AR3.4 Increasing impoverished and vulnerable groups awareness on accessing legal rights and services</w:t>
            </w:r>
          </w:p>
        </w:tc>
        <w:tc>
          <w:tcPr>
            <w:tcW w:w="674" w:type="dxa"/>
            <w:tcBorders>
              <w:top w:val="nil"/>
              <w:left w:val="nil"/>
              <w:bottom w:val="single" w:sz="4" w:space="0" w:color="auto"/>
              <w:right w:val="single" w:sz="4" w:space="0" w:color="auto"/>
            </w:tcBorders>
            <w:shd w:val="clear" w:color="auto" w:fill="auto"/>
            <w:vAlign w:val="bottom"/>
            <w:hideMark/>
          </w:tcPr>
          <w:p w14:paraId="50D47A49"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*O3.3 - 0 through 4/2019 </w:t>
            </w:r>
            <w:r w:rsidRPr="007D749B">
              <w:rPr>
                <w:rFonts w:ascii="Calibri" w:hAnsi="Calibri" w:cs="Calibri"/>
                <w:color w:val="000000"/>
                <w:szCs w:val="22"/>
                <w:lang w:val="en-US"/>
              </w:rPr>
              <w:br/>
              <w:t>*AR3.4 - 0 through 4/2019</w:t>
            </w:r>
          </w:p>
        </w:tc>
        <w:tc>
          <w:tcPr>
            <w:tcW w:w="1880" w:type="dxa"/>
            <w:tcBorders>
              <w:top w:val="nil"/>
              <w:left w:val="nil"/>
              <w:bottom w:val="single" w:sz="4" w:space="0" w:color="auto"/>
              <w:right w:val="single" w:sz="4" w:space="0" w:color="auto"/>
            </w:tcBorders>
            <w:shd w:val="clear" w:color="auto" w:fill="auto"/>
            <w:vAlign w:val="bottom"/>
            <w:hideMark/>
          </w:tcPr>
          <w:p w14:paraId="02642FC5"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*O3.3: 3 CSO's received outreach grants in Dec 2018 for activities in 2019</w:t>
            </w:r>
            <w:r w:rsidRPr="007D749B">
              <w:rPr>
                <w:rFonts w:ascii="Calibri" w:hAnsi="Calibri" w:cs="Calibri"/>
                <w:color w:val="000000"/>
                <w:szCs w:val="22"/>
                <w:lang w:val="en-US"/>
              </w:rPr>
              <w:br/>
              <w:t xml:space="preserve">*AR3.4: Activities have been consolidated with output under Output 4 targeting work with CSOs: </w:t>
            </w:r>
            <w:r w:rsidRPr="007D749B">
              <w:rPr>
                <w:rFonts w:ascii="Calibri" w:hAnsi="Calibri" w:cs="Calibri"/>
                <w:b/>
                <w:bCs/>
                <w:color w:val="000000"/>
                <w:szCs w:val="22"/>
                <w:lang w:val="en-US"/>
              </w:rPr>
              <w:t>NB that this may unintentionally lead to failure to link work with CSOs to LAC and JD outreach</w:t>
            </w:r>
          </w:p>
        </w:tc>
      </w:tr>
      <w:tr w:rsidR="007D749B" w:rsidRPr="007D749B" w14:paraId="0FD199C2" w14:textId="77777777" w:rsidTr="007D749B">
        <w:trPr>
          <w:trHeight w:val="1200"/>
        </w:trPr>
        <w:tc>
          <w:tcPr>
            <w:tcW w:w="439" w:type="dxa"/>
            <w:vMerge/>
            <w:tcBorders>
              <w:top w:val="single" w:sz="8" w:space="0" w:color="auto"/>
              <w:left w:val="single" w:sz="4" w:space="0" w:color="auto"/>
              <w:bottom w:val="single" w:sz="4" w:space="0" w:color="000000"/>
              <w:right w:val="nil"/>
            </w:tcBorders>
            <w:vAlign w:val="center"/>
            <w:hideMark/>
          </w:tcPr>
          <w:p w14:paraId="253FDECB" w14:textId="77777777" w:rsidR="007D749B" w:rsidRPr="007D749B" w:rsidRDefault="007D749B" w:rsidP="007D749B">
            <w:pPr>
              <w:rPr>
                <w:rFonts w:ascii="Calibri" w:hAnsi="Calibri" w:cs="Calibri"/>
                <w:b/>
                <w:bCs/>
                <w:color w:val="000000"/>
                <w:sz w:val="24"/>
                <w:szCs w:val="24"/>
                <w:lang w:val="en-US"/>
              </w:rPr>
            </w:pPr>
          </w:p>
        </w:tc>
        <w:tc>
          <w:tcPr>
            <w:tcW w:w="1207" w:type="dxa"/>
            <w:tcBorders>
              <w:top w:val="nil"/>
              <w:left w:val="nil"/>
              <w:bottom w:val="single" w:sz="4" w:space="0" w:color="auto"/>
              <w:right w:val="single" w:sz="4" w:space="0" w:color="auto"/>
            </w:tcBorders>
            <w:shd w:val="clear" w:color="auto" w:fill="auto"/>
            <w:vAlign w:val="bottom"/>
            <w:hideMark/>
          </w:tcPr>
          <w:p w14:paraId="1E52E4EB"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Baseline Survey conducted and monitoring of progress</w:t>
            </w:r>
          </w:p>
        </w:tc>
        <w:tc>
          <w:tcPr>
            <w:tcW w:w="781" w:type="dxa"/>
            <w:tcBorders>
              <w:top w:val="nil"/>
              <w:left w:val="nil"/>
              <w:bottom w:val="single" w:sz="4" w:space="0" w:color="auto"/>
              <w:right w:val="single" w:sz="4" w:space="0" w:color="auto"/>
            </w:tcBorders>
            <w:shd w:val="clear" w:color="auto" w:fill="auto"/>
            <w:vAlign w:val="bottom"/>
            <w:hideMark/>
          </w:tcPr>
          <w:p w14:paraId="6D24D6A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"No baseline available - on measurements conducted (2015)"</w:t>
            </w:r>
          </w:p>
        </w:tc>
        <w:tc>
          <w:tcPr>
            <w:tcW w:w="750" w:type="dxa"/>
            <w:tcBorders>
              <w:top w:val="nil"/>
              <w:left w:val="nil"/>
              <w:bottom w:val="single" w:sz="4" w:space="0" w:color="auto"/>
              <w:right w:val="single" w:sz="4" w:space="0" w:color="auto"/>
            </w:tcBorders>
            <w:shd w:val="clear" w:color="auto" w:fill="auto"/>
            <w:vAlign w:val="bottom"/>
            <w:hideMark/>
          </w:tcPr>
          <w:p w14:paraId="394C7361"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Baseline survey (2016)</w:t>
            </w:r>
          </w:p>
        </w:tc>
        <w:tc>
          <w:tcPr>
            <w:tcW w:w="877" w:type="dxa"/>
            <w:tcBorders>
              <w:top w:val="nil"/>
              <w:left w:val="nil"/>
              <w:bottom w:val="single" w:sz="4" w:space="0" w:color="auto"/>
              <w:right w:val="single" w:sz="4" w:space="0" w:color="auto"/>
            </w:tcBorders>
            <w:shd w:val="clear" w:color="auto" w:fill="auto"/>
            <w:vAlign w:val="bottom"/>
            <w:hideMark/>
          </w:tcPr>
          <w:p w14:paraId="44F3237C"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FA at 6 expands definition to "baseline study on the legal knowledge and awareness of citizens"</w:t>
            </w:r>
          </w:p>
        </w:tc>
        <w:tc>
          <w:tcPr>
            <w:tcW w:w="1096" w:type="dxa"/>
            <w:tcBorders>
              <w:top w:val="nil"/>
              <w:left w:val="nil"/>
              <w:bottom w:val="single" w:sz="4" w:space="0" w:color="auto"/>
              <w:right w:val="single" w:sz="4" w:space="0" w:color="auto"/>
            </w:tcBorders>
            <w:shd w:val="clear" w:color="auto" w:fill="auto"/>
            <w:vAlign w:val="bottom"/>
            <w:hideMark/>
          </w:tcPr>
          <w:p w14:paraId="3EA51E5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A2J Assessment (Draft) 2018 - did not assess legal knowledge and awareness of citizens</w:t>
            </w:r>
          </w:p>
        </w:tc>
        <w:tc>
          <w:tcPr>
            <w:tcW w:w="1646" w:type="dxa"/>
            <w:tcBorders>
              <w:top w:val="nil"/>
              <w:left w:val="nil"/>
              <w:bottom w:val="single" w:sz="4" w:space="0" w:color="auto"/>
              <w:right w:val="single" w:sz="4" w:space="0" w:color="auto"/>
            </w:tcBorders>
            <w:shd w:val="clear" w:color="000000" w:fill="D0CECE"/>
            <w:vAlign w:val="bottom"/>
            <w:hideMark/>
          </w:tcPr>
          <w:p w14:paraId="5F88F432"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674" w:type="dxa"/>
            <w:tcBorders>
              <w:top w:val="nil"/>
              <w:left w:val="nil"/>
              <w:bottom w:val="single" w:sz="4" w:space="0" w:color="auto"/>
              <w:right w:val="single" w:sz="4" w:space="0" w:color="auto"/>
            </w:tcBorders>
            <w:shd w:val="clear" w:color="000000" w:fill="D0CECE"/>
            <w:vAlign w:val="bottom"/>
            <w:hideMark/>
          </w:tcPr>
          <w:p w14:paraId="240D1C26"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w:t>
            </w:r>
          </w:p>
        </w:tc>
        <w:tc>
          <w:tcPr>
            <w:tcW w:w="1880" w:type="dxa"/>
            <w:tcBorders>
              <w:top w:val="nil"/>
              <w:left w:val="nil"/>
              <w:bottom w:val="single" w:sz="4" w:space="0" w:color="auto"/>
              <w:right w:val="single" w:sz="4" w:space="0" w:color="auto"/>
            </w:tcBorders>
            <w:shd w:val="clear" w:color="auto" w:fill="auto"/>
            <w:vAlign w:val="bottom"/>
            <w:hideMark/>
          </w:tcPr>
          <w:p w14:paraId="25FDAC8E"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Neither Balancing the Scales nor A2J Assessment (Draft) 2018 - did not assess legal knowledge and awareness of citizens</w:t>
            </w:r>
          </w:p>
        </w:tc>
      </w:tr>
      <w:tr w:rsidR="007D749B" w:rsidRPr="007D749B" w14:paraId="30040A66" w14:textId="77777777" w:rsidTr="007D749B">
        <w:trPr>
          <w:trHeight w:val="300"/>
        </w:trPr>
        <w:tc>
          <w:tcPr>
            <w:tcW w:w="439" w:type="dxa"/>
            <w:tcBorders>
              <w:top w:val="nil"/>
              <w:left w:val="nil"/>
              <w:bottom w:val="nil"/>
              <w:right w:val="nil"/>
            </w:tcBorders>
            <w:shd w:val="clear" w:color="auto" w:fill="auto"/>
            <w:noWrap/>
            <w:vAlign w:val="center"/>
            <w:hideMark/>
          </w:tcPr>
          <w:p w14:paraId="7704569A" w14:textId="77777777" w:rsidR="007D749B" w:rsidRPr="007D749B" w:rsidRDefault="007D749B" w:rsidP="007D749B">
            <w:pPr>
              <w:rPr>
                <w:rFonts w:ascii="Calibri" w:hAnsi="Calibri" w:cs="Calibri"/>
                <w:color w:val="000000"/>
                <w:szCs w:val="22"/>
                <w:lang w:val="en-US"/>
              </w:rPr>
            </w:pPr>
          </w:p>
        </w:tc>
        <w:tc>
          <w:tcPr>
            <w:tcW w:w="1207" w:type="dxa"/>
            <w:tcBorders>
              <w:top w:val="nil"/>
              <w:left w:val="nil"/>
              <w:bottom w:val="nil"/>
              <w:right w:val="nil"/>
            </w:tcBorders>
            <w:shd w:val="clear" w:color="auto" w:fill="auto"/>
            <w:vAlign w:val="bottom"/>
            <w:hideMark/>
          </w:tcPr>
          <w:p w14:paraId="7C7B5BCF" w14:textId="77777777" w:rsidR="007D749B" w:rsidRPr="007D749B" w:rsidRDefault="007D749B" w:rsidP="007D749B">
            <w:pPr>
              <w:jc w:val="center"/>
              <w:rPr>
                <w:color w:val="auto"/>
                <w:sz w:val="20"/>
                <w:lang w:val="en-US"/>
              </w:rPr>
            </w:pPr>
          </w:p>
        </w:tc>
        <w:tc>
          <w:tcPr>
            <w:tcW w:w="781" w:type="dxa"/>
            <w:tcBorders>
              <w:top w:val="nil"/>
              <w:left w:val="nil"/>
              <w:bottom w:val="nil"/>
              <w:right w:val="nil"/>
            </w:tcBorders>
            <w:shd w:val="clear" w:color="auto" w:fill="auto"/>
            <w:vAlign w:val="bottom"/>
            <w:hideMark/>
          </w:tcPr>
          <w:p w14:paraId="237E1CCC" w14:textId="77777777" w:rsidR="007D749B" w:rsidRPr="007D749B" w:rsidRDefault="007D749B" w:rsidP="007D749B">
            <w:pPr>
              <w:rPr>
                <w:color w:val="auto"/>
                <w:sz w:val="20"/>
                <w:lang w:val="en-US"/>
              </w:rPr>
            </w:pPr>
          </w:p>
        </w:tc>
        <w:tc>
          <w:tcPr>
            <w:tcW w:w="750" w:type="dxa"/>
            <w:tcBorders>
              <w:top w:val="nil"/>
              <w:left w:val="nil"/>
              <w:bottom w:val="nil"/>
              <w:right w:val="nil"/>
            </w:tcBorders>
            <w:shd w:val="clear" w:color="auto" w:fill="auto"/>
            <w:vAlign w:val="bottom"/>
            <w:hideMark/>
          </w:tcPr>
          <w:p w14:paraId="382376AE" w14:textId="77777777" w:rsidR="007D749B" w:rsidRPr="007D749B" w:rsidRDefault="007D749B" w:rsidP="007D749B">
            <w:pPr>
              <w:rPr>
                <w:color w:val="auto"/>
                <w:sz w:val="20"/>
                <w:lang w:val="en-US"/>
              </w:rPr>
            </w:pPr>
          </w:p>
        </w:tc>
        <w:tc>
          <w:tcPr>
            <w:tcW w:w="877" w:type="dxa"/>
            <w:tcBorders>
              <w:top w:val="nil"/>
              <w:left w:val="nil"/>
              <w:bottom w:val="nil"/>
              <w:right w:val="nil"/>
            </w:tcBorders>
            <w:shd w:val="clear" w:color="auto" w:fill="auto"/>
            <w:vAlign w:val="bottom"/>
            <w:hideMark/>
          </w:tcPr>
          <w:p w14:paraId="438CD05F" w14:textId="77777777" w:rsidR="007D749B" w:rsidRPr="007D749B" w:rsidRDefault="007D749B" w:rsidP="007D749B">
            <w:pPr>
              <w:rPr>
                <w:color w:val="auto"/>
                <w:sz w:val="20"/>
                <w:lang w:val="en-US"/>
              </w:rPr>
            </w:pPr>
          </w:p>
        </w:tc>
        <w:tc>
          <w:tcPr>
            <w:tcW w:w="1096" w:type="dxa"/>
            <w:tcBorders>
              <w:top w:val="nil"/>
              <w:left w:val="nil"/>
              <w:bottom w:val="nil"/>
              <w:right w:val="nil"/>
            </w:tcBorders>
            <w:shd w:val="clear" w:color="auto" w:fill="auto"/>
            <w:vAlign w:val="bottom"/>
            <w:hideMark/>
          </w:tcPr>
          <w:p w14:paraId="0C229A37" w14:textId="77777777" w:rsidR="007D749B" w:rsidRPr="007D749B" w:rsidRDefault="007D749B" w:rsidP="007D749B">
            <w:pPr>
              <w:rPr>
                <w:color w:val="auto"/>
                <w:sz w:val="20"/>
                <w:lang w:val="en-US"/>
              </w:rPr>
            </w:pPr>
          </w:p>
        </w:tc>
        <w:tc>
          <w:tcPr>
            <w:tcW w:w="1646" w:type="dxa"/>
            <w:tcBorders>
              <w:top w:val="nil"/>
              <w:left w:val="nil"/>
              <w:bottom w:val="nil"/>
              <w:right w:val="nil"/>
            </w:tcBorders>
            <w:shd w:val="clear" w:color="auto" w:fill="auto"/>
            <w:vAlign w:val="bottom"/>
            <w:hideMark/>
          </w:tcPr>
          <w:p w14:paraId="2682F152" w14:textId="77777777" w:rsidR="007D749B" w:rsidRPr="007D749B" w:rsidRDefault="007D749B" w:rsidP="007D749B">
            <w:pPr>
              <w:rPr>
                <w:color w:val="auto"/>
                <w:sz w:val="20"/>
                <w:lang w:val="en-US"/>
              </w:rPr>
            </w:pPr>
          </w:p>
        </w:tc>
        <w:tc>
          <w:tcPr>
            <w:tcW w:w="674" w:type="dxa"/>
            <w:tcBorders>
              <w:top w:val="nil"/>
              <w:left w:val="nil"/>
              <w:bottom w:val="nil"/>
              <w:right w:val="nil"/>
            </w:tcBorders>
            <w:shd w:val="clear" w:color="auto" w:fill="auto"/>
            <w:vAlign w:val="bottom"/>
            <w:hideMark/>
          </w:tcPr>
          <w:p w14:paraId="08709941" w14:textId="77777777" w:rsidR="007D749B" w:rsidRPr="007D749B" w:rsidRDefault="007D749B" w:rsidP="007D749B">
            <w:pPr>
              <w:rPr>
                <w:color w:val="auto"/>
                <w:sz w:val="20"/>
                <w:lang w:val="en-US"/>
              </w:rPr>
            </w:pPr>
          </w:p>
        </w:tc>
        <w:tc>
          <w:tcPr>
            <w:tcW w:w="1880" w:type="dxa"/>
            <w:tcBorders>
              <w:top w:val="nil"/>
              <w:left w:val="nil"/>
              <w:bottom w:val="nil"/>
              <w:right w:val="nil"/>
            </w:tcBorders>
            <w:shd w:val="clear" w:color="auto" w:fill="auto"/>
            <w:vAlign w:val="bottom"/>
            <w:hideMark/>
          </w:tcPr>
          <w:p w14:paraId="62B40A82" w14:textId="77777777" w:rsidR="007D749B" w:rsidRPr="007D749B" w:rsidRDefault="007D749B" w:rsidP="007D749B">
            <w:pPr>
              <w:rPr>
                <w:color w:val="auto"/>
                <w:sz w:val="20"/>
                <w:lang w:val="en-US"/>
              </w:rPr>
            </w:pPr>
          </w:p>
        </w:tc>
      </w:tr>
      <w:tr w:rsidR="007D749B" w:rsidRPr="007D749B" w14:paraId="07B2A0C2" w14:textId="77777777" w:rsidTr="007D749B">
        <w:trPr>
          <w:trHeight w:val="300"/>
        </w:trPr>
        <w:tc>
          <w:tcPr>
            <w:tcW w:w="439" w:type="dxa"/>
            <w:tcBorders>
              <w:top w:val="nil"/>
              <w:left w:val="nil"/>
              <w:bottom w:val="nil"/>
              <w:right w:val="nil"/>
            </w:tcBorders>
            <w:shd w:val="clear" w:color="auto" w:fill="auto"/>
            <w:noWrap/>
            <w:vAlign w:val="bottom"/>
            <w:hideMark/>
          </w:tcPr>
          <w:p w14:paraId="260FB77C" w14:textId="77777777" w:rsidR="007D749B" w:rsidRPr="007D749B" w:rsidRDefault="007D749B" w:rsidP="007D749B">
            <w:pPr>
              <w:rPr>
                <w:color w:val="auto"/>
                <w:sz w:val="20"/>
                <w:lang w:val="en-US"/>
              </w:rPr>
            </w:pPr>
          </w:p>
        </w:tc>
        <w:tc>
          <w:tcPr>
            <w:tcW w:w="4711" w:type="dxa"/>
            <w:gridSpan w:val="5"/>
            <w:tcBorders>
              <w:top w:val="nil"/>
              <w:left w:val="nil"/>
              <w:bottom w:val="nil"/>
              <w:right w:val="nil"/>
            </w:tcBorders>
            <w:shd w:val="clear" w:color="auto" w:fill="auto"/>
            <w:noWrap/>
            <w:vAlign w:val="bottom"/>
            <w:hideMark/>
          </w:tcPr>
          <w:p w14:paraId="43FECE0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*Paraphrased from p10 of FED/2015/38-757</w:t>
            </w:r>
          </w:p>
        </w:tc>
        <w:tc>
          <w:tcPr>
            <w:tcW w:w="1646" w:type="dxa"/>
            <w:tcBorders>
              <w:top w:val="nil"/>
              <w:left w:val="nil"/>
              <w:bottom w:val="nil"/>
              <w:right w:val="nil"/>
            </w:tcBorders>
            <w:shd w:val="clear" w:color="auto" w:fill="auto"/>
            <w:noWrap/>
            <w:vAlign w:val="bottom"/>
            <w:hideMark/>
          </w:tcPr>
          <w:p w14:paraId="21322B40" w14:textId="77777777" w:rsidR="007D749B" w:rsidRPr="007D749B" w:rsidRDefault="007D749B" w:rsidP="007D749B">
            <w:pPr>
              <w:rPr>
                <w:rFonts w:ascii="Calibri" w:hAnsi="Calibri" w:cs="Calibri"/>
                <w:color w:val="000000"/>
                <w:szCs w:val="22"/>
                <w:lang w:val="en-US"/>
              </w:rPr>
            </w:pPr>
          </w:p>
        </w:tc>
        <w:tc>
          <w:tcPr>
            <w:tcW w:w="674" w:type="dxa"/>
            <w:tcBorders>
              <w:top w:val="nil"/>
              <w:left w:val="nil"/>
              <w:bottom w:val="nil"/>
              <w:right w:val="nil"/>
            </w:tcBorders>
            <w:shd w:val="clear" w:color="auto" w:fill="auto"/>
            <w:noWrap/>
            <w:vAlign w:val="bottom"/>
            <w:hideMark/>
          </w:tcPr>
          <w:p w14:paraId="1CB1E7C8" w14:textId="77777777" w:rsidR="007D749B" w:rsidRPr="007D749B" w:rsidRDefault="007D749B" w:rsidP="007D749B">
            <w:pPr>
              <w:rPr>
                <w:color w:val="auto"/>
                <w:sz w:val="20"/>
                <w:lang w:val="en-US"/>
              </w:rPr>
            </w:pPr>
          </w:p>
        </w:tc>
        <w:tc>
          <w:tcPr>
            <w:tcW w:w="1880" w:type="dxa"/>
            <w:tcBorders>
              <w:top w:val="nil"/>
              <w:left w:val="nil"/>
              <w:bottom w:val="nil"/>
              <w:right w:val="nil"/>
            </w:tcBorders>
            <w:shd w:val="clear" w:color="auto" w:fill="auto"/>
            <w:noWrap/>
            <w:vAlign w:val="bottom"/>
            <w:hideMark/>
          </w:tcPr>
          <w:p w14:paraId="7015999A" w14:textId="77777777" w:rsidR="007D749B" w:rsidRPr="007D749B" w:rsidRDefault="007D749B" w:rsidP="007D749B">
            <w:pPr>
              <w:rPr>
                <w:color w:val="auto"/>
                <w:sz w:val="20"/>
                <w:lang w:val="en-US"/>
              </w:rPr>
            </w:pPr>
          </w:p>
        </w:tc>
      </w:tr>
      <w:tr w:rsidR="007D749B" w:rsidRPr="007D749B" w14:paraId="22A3A8DD" w14:textId="77777777" w:rsidTr="007D749B">
        <w:trPr>
          <w:trHeight w:val="585"/>
        </w:trPr>
        <w:tc>
          <w:tcPr>
            <w:tcW w:w="439" w:type="dxa"/>
            <w:tcBorders>
              <w:top w:val="nil"/>
              <w:left w:val="nil"/>
              <w:bottom w:val="nil"/>
              <w:right w:val="nil"/>
            </w:tcBorders>
            <w:shd w:val="clear" w:color="auto" w:fill="auto"/>
            <w:noWrap/>
            <w:vAlign w:val="bottom"/>
            <w:hideMark/>
          </w:tcPr>
          <w:p w14:paraId="6ACDF709" w14:textId="77777777" w:rsidR="007D749B" w:rsidRPr="007D749B" w:rsidRDefault="007D749B" w:rsidP="007D749B">
            <w:pPr>
              <w:rPr>
                <w:color w:val="auto"/>
                <w:sz w:val="20"/>
                <w:lang w:val="en-US"/>
              </w:rPr>
            </w:pPr>
          </w:p>
        </w:tc>
        <w:tc>
          <w:tcPr>
            <w:tcW w:w="4711" w:type="dxa"/>
            <w:gridSpan w:val="5"/>
            <w:tcBorders>
              <w:top w:val="nil"/>
              <w:left w:val="nil"/>
              <w:bottom w:val="nil"/>
              <w:right w:val="nil"/>
            </w:tcBorders>
            <w:shd w:val="clear" w:color="auto" w:fill="auto"/>
            <w:vAlign w:val="bottom"/>
            <w:hideMark/>
          </w:tcPr>
          <w:p w14:paraId="7A8AF5D3" w14:textId="77777777" w:rsidR="007D749B" w:rsidRPr="007D749B" w:rsidRDefault="007D749B" w:rsidP="007D749B">
            <w:pPr>
              <w:rPr>
                <w:rFonts w:ascii="Calibri" w:hAnsi="Calibri" w:cs="Calibri"/>
                <w:color w:val="000000"/>
                <w:szCs w:val="22"/>
                <w:lang w:val="en-US"/>
              </w:rPr>
            </w:pPr>
            <w:r w:rsidRPr="007D749B">
              <w:rPr>
                <w:rFonts w:ascii="Calibri" w:hAnsi="Calibri" w:cs="Calibri"/>
                <w:color w:val="000000"/>
                <w:szCs w:val="22"/>
                <w:lang w:val="en-US"/>
              </w:rPr>
              <w:t xml:space="preserve">** FA included "NB: Specific targets for number of trained staff, international exchange, NGOs training, NGO awareness activities etc. will be </w:t>
            </w:r>
            <w:proofErr w:type="spellStart"/>
            <w:r w:rsidRPr="007D749B">
              <w:rPr>
                <w:rFonts w:ascii="Calibri" w:hAnsi="Calibri" w:cs="Calibri"/>
                <w:color w:val="000000"/>
                <w:szCs w:val="22"/>
                <w:lang w:val="en-US"/>
              </w:rPr>
              <w:t>st</w:t>
            </w:r>
            <w:proofErr w:type="spellEnd"/>
            <w:r w:rsidRPr="007D749B">
              <w:rPr>
                <w:rFonts w:ascii="Calibri" w:hAnsi="Calibri" w:cs="Calibri"/>
                <w:color w:val="000000"/>
                <w:szCs w:val="22"/>
                <w:lang w:val="en-US"/>
              </w:rPr>
              <w:t xml:space="preserve"> annually and monitored by the Steering Committee" - </w:t>
            </w:r>
            <w:r w:rsidRPr="007D749B">
              <w:rPr>
                <w:rFonts w:ascii="Calibri" w:hAnsi="Calibri" w:cs="Calibri"/>
                <w:b/>
                <w:bCs/>
                <w:color w:val="000000"/>
                <w:szCs w:val="22"/>
                <w:lang w:val="en-US"/>
              </w:rPr>
              <w:t>however, the NGO elements of this note were not directly referenced in the table of indicators</w:t>
            </w:r>
          </w:p>
        </w:tc>
        <w:tc>
          <w:tcPr>
            <w:tcW w:w="1646" w:type="dxa"/>
            <w:tcBorders>
              <w:top w:val="nil"/>
              <w:left w:val="nil"/>
              <w:bottom w:val="nil"/>
              <w:right w:val="nil"/>
            </w:tcBorders>
            <w:shd w:val="clear" w:color="auto" w:fill="auto"/>
            <w:noWrap/>
            <w:vAlign w:val="bottom"/>
            <w:hideMark/>
          </w:tcPr>
          <w:p w14:paraId="40058CAC" w14:textId="77777777" w:rsidR="007D749B" w:rsidRPr="007D749B" w:rsidRDefault="007D749B" w:rsidP="007D749B">
            <w:pPr>
              <w:rPr>
                <w:rFonts w:ascii="Calibri" w:hAnsi="Calibri" w:cs="Calibri"/>
                <w:color w:val="000000"/>
                <w:szCs w:val="22"/>
                <w:lang w:val="en-US"/>
              </w:rPr>
            </w:pPr>
          </w:p>
        </w:tc>
        <w:tc>
          <w:tcPr>
            <w:tcW w:w="674" w:type="dxa"/>
            <w:tcBorders>
              <w:top w:val="nil"/>
              <w:left w:val="nil"/>
              <w:bottom w:val="nil"/>
              <w:right w:val="nil"/>
            </w:tcBorders>
            <w:shd w:val="clear" w:color="auto" w:fill="auto"/>
            <w:noWrap/>
            <w:vAlign w:val="bottom"/>
            <w:hideMark/>
          </w:tcPr>
          <w:p w14:paraId="2FF2876A" w14:textId="77777777" w:rsidR="007D749B" w:rsidRPr="007D749B" w:rsidRDefault="007D749B" w:rsidP="007D749B">
            <w:pPr>
              <w:rPr>
                <w:color w:val="auto"/>
                <w:sz w:val="20"/>
                <w:lang w:val="en-US"/>
              </w:rPr>
            </w:pPr>
          </w:p>
        </w:tc>
        <w:tc>
          <w:tcPr>
            <w:tcW w:w="1880" w:type="dxa"/>
            <w:tcBorders>
              <w:top w:val="nil"/>
              <w:left w:val="nil"/>
              <w:bottom w:val="nil"/>
              <w:right w:val="nil"/>
            </w:tcBorders>
            <w:shd w:val="clear" w:color="auto" w:fill="auto"/>
            <w:noWrap/>
            <w:vAlign w:val="bottom"/>
            <w:hideMark/>
          </w:tcPr>
          <w:p w14:paraId="0641BAB0" w14:textId="77777777" w:rsidR="007D749B" w:rsidRPr="007D749B" w:rsidRDefault="007D749B" w:rsidP="007D749B">
            <w:pPr>
              <w:rPr>
                <w:color w:val="auto"/>
                <w:sz w:val="20"/>
                <w:lang w:val="en-US"/>
              </w:rPr>
            </w:pPr>
          </w:p>
        </w:tc>
      </w:tr>
    </w:tbl>
    <w:p w14:paraId="43DB18A0" w14:textId="747AEBFC" w:rsidR="005B20F5" w:rsidRDefault="005B20F5" w:rsidP="00BD34F4">
      <w:pPr>
        <w:rPr>
          <w:rFonts w:eastAsia="Arial"/>
        </w:rPr>
      </w:pPr>
    </w:p>
    <w:p w14:paraId="2ABC1291" w14:textId="7122A771" w:rsidR="00B40AC8" w:rsidRDefault="00B40AC8" w:rsidP="00BD34F4">
      <w:pPr>
        <w:rPr>
          <w:rFonts w:eastAsia="Arial"/>
        </w:rPr>
      </w:pPr>
    </w:p>
    <w:p w14:paraId="1F5BD84E" w14:textId="77777777" w:rsidR="00B40AC8" w:rsidRDefault="00B40AC8" w:rsidP="00BD34F4">
      <w:pPr>
        <w:rPr>
          <w:rFonts w:eastAsia="Arial"/>
        </w:rPr>
        <w:sectPr w:rsidR="00B40AC8" w:rsidSect="00B342F3">
          <w:pgSz w:w="16838" w:h="11906" w:orient="landscape" w:code="9"/>
          <w:pgMar w:top="1440" w:right="1440" w:bottom="1440" w:left="1440" w:header="720" w:footer="720" w:gutter="0"/>
          <w:cols w:space="720"/>
          <w:titlePg/>
          <w:docGrid w:linePitch="360"/>
        </w:sectPr>
      </w:pPr>
    </w:p>
    <w:p w14:paraId="597E8605" w14:textId="3A8D2601" w:rsidR="00B40AC8" w:rsidRDefault="00B40AC8" w:rsidP="00B40AC8">
      <w:pPr>
        <w:pStyle w:val="Heading1"/>
        <w:rPr>
          <w:rFonts w:eastAsia="Arial"/>
        </w:rPr>
      </w:pPr>
      <w:bookmarkStart w:id="39" w:name="_Toc12804593"/>
      <w:bookmarkStart w:id="40" w:name="_Hlk10436692"/>
      <w:r>
        <w:rPr>
          <w:rFonts w:eastAsia="Arial"/>
        </w:rPr>
        <w:lastRenderedPageBreak/>
        <w:t>Annex 7 – Proposed Refinements to Project Board Structure</w:t>
      </w:r>
      <w:bookmarkEnd w:id="39"/>
    </w:p>
    <w:p w14:paraId="53F7BACC" w14:textId="61C5F40E" w:rsidR="00B40AC8" w:rsidRDefault="00B40AC8" w:rsidP="00B40AC8">
      <w:pPr>
        <w:rPr>
          <w:rFonts w:eastAsia="Arial"/>
        </w:rPr>
      </w:pPr>
    </w:p>
    <w:p w14:paraId="0230B606" w14:textId="7A07D784" w:rsidR="00B40AC8" w:rsidRPr="00B40AC8" w:rsidRDefault="00B40AC8" w:rsidP="00B40AC8">
      <w:pPr>
        <w:rPr>
          <w:rFonts w:eastAsia="Arial"/>
        </w:rPr>
      </w:pPr>
      <w:r w:rsidRPr="00B40AC8">
        <w:rPr>
          <w:rFonts w:eastAsia="Arial"/>
          <w:noProof/>
          <w:lang w:val="en-CA" w:eastAsia="en-CA"/>
        </w:rPr>
        <w:drawing>
          <wp:inline distT="0" distB="0" distL="0" distR="0" wp14:anchorId="19E3EBB3" wp14:editId="6550AA70">
            <wp:extent cx="8099972" cy="45562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166469" cy="4593639"/>
                    </a:xfrm>
                    <a:prstGeom prst="rect">
                      <a:avLst/>
                    </a:prstGeom>
                  </pic:spPr>
                </pic:pic>
              </a:graphicData>
            </a:graphic>
          </wp:inline>
        </w:drawing>
      </w:r>
    </w:p>
    <w:p w14:paraId="45D105EB" w14:textId="7EDCF563" w:rsidR="00B40AC8" w:rsidRDefault="00B40AC8" w:rsidP="00BD34F4">
      <w:pPr>
        <w:rPr>
          <w:rFonts w:eastAsia="Arial"/>
        </w:rPr>
      </w:pPr>
    </w:p>
    <w:p w14:paraId="7DBEE22E" w14:textId="7D110323" w:rsidR="00B40AC8" w:rsidRDefault="00B40AC8" w:rsidP="00BD34F4">
      <w:pPr>
        <w:rPr>
          <w:rFonts w:eastAsia="Arial"/>
        </w:rPr>
      </w:pPr>
    </w:p>
    <w:p w14:paraId="5E18DD48" w14:textId="77777777" w:rsidR="00B40AC8" w:rsidRDefault="00B40AC8" w:rsidP="00BD34F4">
      <w:pPr>
        <w:rPr>
          <w:rFonts w:eastAsia="Arial"/>
        </w:rPr>
        <w:sectPr w:rsidR="00B40AC8" w:rsidSect="00B342F3">
          <w:pgSz w:w="16838" w:h="11906" w:orient="landscape" w:code="9"/>
          <w:pgMar w:top="1440" w:right="1440" w:bottom="1440" w:left="1440" w:header="720" w:footer="720" w:gutter="0"/>
          <w:cols w:space="720"/>
          <w:titlePg/>
          <w:docGrid w:linePitch="360"/>
        </w:sectPr>
      </w:pPr>
    </w:p>
    <w:p w14:paraId="10B25F96" w14:textId="5692A94B" w:rsidR="00B40AC8" w:rsidRDefault="00B40AC8" w:rsidP="00B40AC8">
      <w:pPr>
        <w:pStyle w:val="Heading1"/>
        <w:rPr>
          <w:rFonts w:eastAsia="Arial"/>
        </w:rPr>
      </w:pPr>
      <w:bookmarkStart w:id="41" w:name="_Toc12804594"/>
      <w:r>
        <w:rPr>
          <w:rFonts w:eastAsia="Arial"/>
        </w:rPr>
        <w:lastRenderedPageBreak/>
        <w:t>Annex 8 – FA2J in the Context of UNDP and UN Regional Programming</w:t>
      </w:r>
      <w:bookmarkEnd w:id="41"/>
    </w:p>
    <w:p w14:paraId="53759363" w14:textId="60A42171" w:rsidR="00B40AC8" w:rsidRDefault="00B40AC8" w:rsidP="00BD34F4">
      <w:pPr>
        <w:rPr>
          <w:rFonts w:eastAsia="Arial"/>
        </w:rPr>
      </w:pPr>
    </w:p>
    <w:p w14:paraId="13A3DC26" w14:textId="10414718" w:rsidR="00B40AC8" w:rsidRDefault="00B40AC8" w:rsidP="00BD34F4">
      <w:pPr>
        <w:rPr>
          <w:rFonts w:eastAsia="Arial"/>
        </w:rPr>
      </w:pPr>
    </w:p>
    <w:p w14:paraId="33511A6B" w14:textId="405C88C6" w:rsidR="00B40AC8" w:rsidRDefault="00B40AC8" w:rsidP="00BD34F4">
      <w:pPr>
        <w:rPr>
          <w:rFonts w:eastAsia="Arial"/>
          <w:noProof/>
          <w:lang w:val="en-CA" w:eastAsia="en-CA"/>
        </w:rPr>
      </w:pPr>
      <w:r w:rsidRPr="00B40AC8">
        <w:rPr>
          <w:rFonts w:eastAsia="Arial"/>
          <w:noProof/>
          <w:lang w:val="en-CA" w:eastAsia="en-CA"/>
        </w:rPr>
        <w:drawing>
          <wp:inline distT="0" distB="0" distL="0" distR="0" wp14:anchorId="69673AC8" wp14:editId="41F1BFFB">
            <wp:extent cx="8357446" cy="4701064"/>
            <wp:effectExtent l="0" t="0" r="571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357446" cy="4701064"/>
                    </a:xfrm>
                    <a:prstGeom prst="rect">
                      <a:avLst/>
                    </a:prstGeom>
                  </pic:spPr>
                </pic:pic>
              </a:graphicData>
            </a:graphic>
          </wp:inline>
        </w:drawing>
      </w:r>
    </w:p>
    <w:bookmarkEnd w:id="40"/>
    <w:p w14:paraId="63C45C15" w14:textId="77777777" w:rsidR="00B076AE" w:rsidRPr="00B076AE" w:rsidRDefault="00B076AE" w:rsidP="00B076AE">
      <w:pPr>
        <w:rPr>
          <w:rFonts w:eastAsia="Arial"/>
        </w:rPr>
      </w:pPr>
    </w:p>
    <w:sectPr w:rsidR="00B076AE" w:rsidRPr="00B076AE" w:rsidSect="00B342F3">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6EA0F" w14:textId="77777777" w:rsidR="00592694" w:rsidRDefault="00592694">
      <w:r>
        <w:separator/>
      </w:r>
    </w:p>
  </w:endnote>
  <w:endnote w:type="continuationSeparator" w:id="0">
    <w:p w14:paraId="0AFB3F72" w14:textId="77777777" w:rsidR="00592694" w:rsidRDefault="0059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492813"/>
      <w:docPartObj>
        <w:docPartGallery w:val="Page Numbers (Bottom of Page)"/>
        <w:docPartUnique/>
      </w:docPartObj>
    </w:sdtPr>
    <w:sdtEndPr>
      <w:rPr>
        <w:noProof/>
      </w:rPr>
    </w:sdtEndPr>
    <w:sdtContent>
      <w:p w14:paraId="7412D27F" w14:textId="6DA67ACD" w:rsidR="00DE577B" w:rsidRDefault="00DE577B">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5D849D49" w14:textId="4B0AB01B" w:rsidR="00DE577B" w:rsidRDefault="00DE577B" w:rsidP="00A03B07">
    <w:pPr>
      <w:tabs>
        <w:tab w:val="left" w:pos="7800"/>
      </w:tabs>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C4B7" w14:textId="1AB32D72" w:rsidR="00DE577B" w:rsidRDefault="00DE577B">
    <w:pPr>
      <w:pStyle w:val="Footer"/>
      <w:jc w:val="right"/>
    </w:pPr>
  </w:p>
  <w:p w14:paraId="33749250" w14:textId="77777777" w:rsidR="00DE577B" w:rsidRDefault="00DE5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493150"/>
      <w:docPartObj>
        <w:docPartGallery w:val="Page Numbers (Bottom of Page)"/>
        <w:docPartUnique/>
      </w:docPartObj>
    </w:sdtPr>
    <w:sdtEndPr>
      <w:rPr>
        <w:noProof/>
      </w:rPr>
    </w:sdtEndPr>
    <w:sdtContent>
      <w:p w14:paraId="2F029001" w14:textId="184F0184" w:rsidR="00DE577B" w:rsidRDefault="00DE577B">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15BF0E5" w14:textId="77777777" w:rsidR="00DE577B" w:rsidRDefault="00DE5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1881" w14:textId="77777777" w:rsidR="00592694" w:rsidRDefault="00592694">
      <w:r>
        <w:separator/>
      </w:r>
    </w:p>
  </w:footnote>
  <w:footnote w:type="continuationSeparator" w:id="0">
    <w:p w14:paraId="40832538" w14:textId="77777777" w:rsidR="00592694" w:rsidRDefault="00592694">
      <w:r>
        <w:continuationSeparator/>
      </w:r>
    </w:p>
  </w:footnote>
  <w:footnote w:id="1">
    <w:p w14:paraId="55E50624" w14:textId="1053F2B3" w:rsidR="00DE577B" w:rsidRPr="00B26B8E" w:rsidRDefault="00DE577B">
      <w:pPr>
        <w:pStyle w:val="FootnoteText"/>
        <w:rPr>
          <w:lang w:val="en-US"/>
        </w:rPr>
      </w:pPr>
      <w:r>
        <w:rPr>
          <w:rStyle w:val="FootnoteReference"/>
        </w:rPr>
        <w:footnoteRef/>
      </w:r>
      <w:r>
        <w:t xml:space="preserve"> </w:t>
      </w:r>
      <w:r>
        <w:rPr>
          <w:lang w:val="en-US"/>
        </w:rPr>
        <w:t>UNDP Fiji Access to Justice Project Document.</w:t>
      </w:r>
    </w:p>
  </w:footnote>
  <w:footnote w:id="2">
    <w:p w14:paraId="78E571B8" w14:textId="34741E16" w:rsidR="00DE577B" w:rsidRPr="003854EF" w:rsidRDefault="00DE577B">
      <w:pPr>
        <w:pStyle w:val="FootnoteText"/>
        <w:rPr>
          <w:lang w:val="en-US"/>
        </w:rPr>
      </w:pPr>
      <w:r>
        <w:rPr>
          <w:rStyle w:val="FootnoteReference"/>
        </w:rPr>
        <w:footnoteRef/>
      </w:r>
      <w:r>
        <w:t xml:space="preserve"> </w:t>
      </w:r>
      <w:r w:rsidRPr="006B1A26">
        <w:rPr>
          <w:rFonts w:eastAsia="Arial"/>
        </w:rPr>
        <w:t>Annex 6</w:t>
      </w:r>
      <w:r>
        <w:rPr>
          <w:rFonts w:eastAsia="Arial"/>
        </w:rPr>
        <w:t xml:space="preserve"> contains a comparative table linking the M&amp;E frameworks in the Fiji Access to Justice Financing Agreement (EU Delegation document) and the FA2J Project Document (UNDP document). The two documents used different terminology to capture targets at each level of programming. </w:t>
      </w:r>
    </w:p>
  </w:footnote>
  <w:footnote w:id="3">
    <w:p w14:paraId="10E07F73" w14:textId="77777777" w:rsidR="00DE577B" w:rsidRPr="00B435A7" w:rsidRDefault="00DE577B" w:rsidP="00DD424E">
      <w:pPr>
        <w:pStyle w:val="FootnoteText"/>
        <w:rPr>
          <w:lang w:val="en-US"/>
        </w:rPr>
      </w:pPr>
      <w:r>
        <w:rPr>
          <w:rStyle w:val="FootnoteReference"/>
        </w:rPr>
        <w:footnoteRef/>
      </w:r>
      <w:r>
        <w:t xml:space="preserve"> </w:t>
      </w:r>
      <w:r>
        <w:rPr>
          <w:lang w:val="en-US"/>
        </w:rPr>
        <w:t>FA2J Project Document at 12.</w:t>
      </w:r>
    </w:p>
  </w:footnote>
  <w:footnote w:id="4">
    <w:p w14:paraId="0F862331" w14:textId="77777777" w:rsidR="00DE577B" w:rsidRPr="00B4359F" w:rsidRDefault="00DE577B" w:rsidP="00DD424E">
      <w:pPr>
        <w:pStyle w:val="FootnoteText"/>
        <w:rPr>
          <w:lang w:val="en-US"/>
        </w:rPr>
      </w:pPr>
      <w:r>
        <w:rPr>
          <w:rStyle w:val="FootnoteReference"/>
        </w:rPr>
        <w:footnoteRef/>
      </w:r>
      <w:r>
        <w:t xml:space="preserve"> Data provided by Legal Aid Commission, 20 May 2019. First Hour background provided by FPF, </w:t>
      </w:r>
      <w:r>
        <w:rPr>
          <w:lang w:val="en-US"/>
        </w:rPr>
        <w:t xml:space="preserve">noting that </w:t>
      </w:r>
      <w:r>
        <w:rPr>
          <w:rFonts w:eastAsia="Arial"/>
        </w:rPr>
        <w:t xml:space="preserve">First Hour support grew out of collaboration between justice sector actors led by the Chief Justice of Fiji following the Universal Periodic Review in 2015; First Hour measures include immediate access to legal advice for detainees and video recording of statements given to police. As of the MTE, the initiative has been piloted in two Suva police stations and is receiving sustained government support through institutional budgets. </w:t>
      </w:r>
      <w:r>
        <w:rPr>
          <w:lang w:val="en-US"/>
        </w:rPr>
        <w:t>Interview Assist. Commissioner, FPF, 30 April 2019</w:t>
      </w:r>
    </w:p>
  </w:footnote>
  <w:footnote w:id="5">
    <w:p w14:paraId="2800BC0F" w14:textId="77777777" w:rsidR="00DE577B" w:rsidRPr="0048539A" w:rsidRDefault="00DE577B" w:rsidP="00DD424E">
      <w:pPr>
        <w:pStyle w:val="FootnoteText"/>
        <w:rPr>
          <w:lang w:val="en-US"/>
        </w:rPr>
      </w:pPr>
      <w:r>
        <w:rPr>
          <w:rStyle w:val="FootnoteReference"/>
        </w:rPr>
        <w:footnoteRef/>
      </w:r>
      <w:r>
        <w:t xml:space="preserve"> </w:t>
      </w:r>
      <w:proofErr w:type="spellStart"/>
      <w:r>
        <w:rPr>
          <w:lang w:val="en-US"/>
        </w:rPr>
        <w:t>HiiL</w:t>
      </w:r>
      <w:proofErr w:type="spellEnd"/>
      <w:r>
        <w:rPr>
          <w:lang w:val="en-US"/>
        </w:rPr>
        <w:t xml:space="preserve">. Assessment of Access to Justice in Fiji (DRAFT). 2018 at 10. The Acting Director of LAC advised that support continued to grow through the MTE period, and noted that discrepancies between male / female support levels that have been reported in the Assessment of Access to Justice (pp 11 citing Balancing the Scales) were due to unreported numbers of cases “briefed out” to private firms if one partner in a dispute was already represented by the LAC. Interview Acting Director, LAC. 23 April 2019. </w:t>
      </w:r>
    </w:p>
  </w:footnote>
  <w:footnote w:id="6">
    <w:p w14:paraId="49D6C3D2" w14:textId="77777777" w:rsidR="00DE577B" w:rsidRPr="00B435A7" w:rsidRDefault="00DE577B" w:rsidP="00DD424E">
      <w:pPr>
        <w:pStyle w:val="FootnoteText"/>
        <w:rPr>
          <w:lang w:val="en-US"/>
        </w:rPr>
      </w:pPr>
      <w:r>
        <w:rPr>
          <w:rStyle w:val="FootnoteReference"/>
        </w:rPr>
        <w:footnoteRef/>
      </w:r>
      <w:r>
        <w:t xml:space="preserve"> </w:t>
      </w:r>
      <w:r>
        <w:rPr>
          <w:lang w:val="en-US"/>
        </w:rPr>
        <w:t xml:space="preserve">Id. at 22 reporting 2517 applications in 2017 and 4618 applications in 2018. </w:t>
      </w:r>
    </w:p>
  </w:footnote>
  <w:footnote w:id="7">
    <w:p w14:paraId="4F231B31" w14:textId="77777777" w:rsidR="00DE577B" w:rsidRPr="0048539A" w:rsidRDefault="00DE577B" w:rsidP="00DD424E">
      <w:pPr>
        <w:pStyle w:val="FootnoteText"/>
        <w:rPr>
          <w:lang w:val="en-US"/>
        </w:rPr>
      </w:pPr>
      <w:r>
        <w:rPr>
          <w:rStyle w:val="FootnoteReference"/>
        </w:rPr>
        <w:footnoteRef/>
      </w:r>
      <w:r>
        <w:t xml:space="preserve"> Id. at 17. </w:t>
      </w:r>
    </w:p>
  </w:footnote>
  <w:footnote w:id="8">
    <w:p w14:paraId="10D700B8" w14:textId="77777777" w:rsidR="00DE577B" w:rsidRPr="00A30781" w:rsidRDefault="00DE577B" w:rsidP="00DD424E">
      <w:pPr>
        <w:pStyle w:val="FootnoteText"/>
        <w:rPr>
          <w:lang w:val="en-US"/>
        </w:rPr>
      </w:pPr>
      <w:r>
        <w:rPr>
          <w:rStyle w:val="FootnoteReference"/>
        </w:rPr>
        <w:footnoteRef/>
      </w:r>
      <w:r>
        <w:t xml:space="preserve"> </w:t>
      </w:r>
      <w:r>
        <w:rPr>
          <w:lang w:val="en-US"/>
        </w:rPr>
        <w:t xml:space="preserve">Interview Acting Director, LAC. 23 April 2019. </w:t>
      </w:r>
    </w:p>
  </w:footnote>
  <w:footnote w:id="9">
    <w:p w14:paraId="0BAE76EC" w14:textId="77777777" w:rsidR="00DE577B" w:rsidRPr="00A6516B" w:rsidRDefault="00DE577B" w:rsidP="001D5D3C">
      <w:pPr>
        <w:pStyle w:val="FootnoteText"/>
        <w:rPr>
          <w:lang w:val="en-US"/>
        </w:rPr>
      </w:pPr>
      <w:r>
        <w:rPr>
          <w:rStyle w:val="FootnoteReference"/>
        </w:rPr>
        <w:footnoteRef/>
      </w:r>
      <w:r>
        <w:t xml:space="preserve"> </w:t>
      </w:r>
      <w:r>
        <w:rPr>
          <w:lang w:val="en-US"/>
        </w:rPr>
        <w:t xml:space="preserve">Interview Country Director, MSP. 29 April 2019. </w:t>
      </w:r>
    </w:p>
  </w:footnote>
  <w:footnote w:id="10">
    <w:p w14:paraId="3F14F08F" w14:textId="77777777" w:rsidR="00DE577B" w:rsidRPr="0036021E" w:rsidRDefault="00DE577B" w:rsidP="001D5D3C">
      <w:pPr>
        <w:pStyle w:val="FootnoteText"/>
        <w:rPr>
          <w:lang w:val="en-US"/>
        </w:rPr>
      </w:pPr>
      <w:r>
        <w:rPr>
          <w:rStyle w:val="FootnoteReference"/>
        </w:rPr>
        <w:footnoteRef/>
      </w:r>
      <w:r>
        <w:t xml:space="preserve"> </w:t>
      </w:r>
      <w:r>
        <w:rPr>
          <w:lang w:val="en-US"/>
        </w:rPr>
        <w:t xml:space="preserve">EU. Results Oriented Monitoring Report (ROM): Fiji Access to Justice Integrated Technical Assistance Programme. January 2019 (DRAFT). (Results Oriented Monitoring Report). </w:t>
      </w:r>
    </w:p>
  </w:footnote>
  <w:footnote w:id="11">
    <w:p w14:paraId="215D79F7" w14:textId="77777777" w:rsidR="00DE577B" w:rsidRPr="00A6290F" w:rsidRDefault="00DE577B" w:rsidP="001D5D3C">
      <w:pPr>
        <w:pStyle w:val="FootnoteText"/>
        <w:rPr>
          <w:lang w:val="en-US"/>
        </w:rPr>
      </w:pPr>
      <w:r>
        <w:rPr>
          <w:rStyle w:val="FootnoteReference"/>
        </w:rPr>
        <w:footnoteRef/>
      </w:r>
      <w:r>
        <w:t xml:space="preserve"> </w:t>
      </w:r>
      <w:r>
        <w:rPr>
          <w:lang w:val="en-US"/>
        </w:rPr>
        <w:t xml:space="preserve">During the 7 May 2019 </w:t>
      </w:r>
      <w:proofErr w:type="spellStart"/>
      <w:r>
        <w:rPr>
          <w:lang w:val="en-US"/>
        </w:rPr>
        <w:t>Outbrief</w:t>
      </w:r>
      <w:proofErr w:type="spellEnd"/>
      <w:r>
        <w:rPr>
          <w:lang w:val="en-US"/>
        </w:rPr>
        <w:t xml:space="preserve">, a question was raised regarding gaps in attention to CSOs; the Financing Agreement establishes Component II Result 3 to focus on the development of accompaniment services by CSOs in cooperation with LAC. However, on page 10 of the Financing Agreement, the drafters also note that specific targets relating to NGOs “will be set annually and monitored by the Steering Committee”. The lack of annual reviews of targets appears to therefore be the cause of gaps from both the perspective of the Financing Agreement and the Project Document. </w:t>
      </w:r>
    </w:p>
  </w:footnote>
  <w:footnote w:id="12">
    <w:p w14:paraId="1A1CAE4F" w14:textId="77777777" w:rsidR="00DE577B" w:rsidRPr="004409C2" w:rsidRDefault="00DE577B" w:rsidP="001D5D3C">
      <w:pPr>
        <w:pStyle w:val="FootnoteText"/>
        <w:rPr>
          <w:lang w:val="en-US"/>
        </w:rPr>
      </w:pPr>
      <w:r>
        <w:rPr>
          <w:rStyle w:val="FootnoteReference"/>
        </w:rPr>
        <w:footnoteRef/>
      </w:r>
      <w:r>
        <w:t xml:space="preserve"> </w:t>
      </w:r>
      <w:r>
        <w:rPr>
          <w:lang w:val="en-US"/>
        </w:rPr>
        <w:t xml:space="preserve">The World Bank (WB) reports that the basic needs poverty line for Fiji is USD 3.10 per day (approximately FJD 6.73 / day, or FJD 2,456 / year), which is far below the LAC means test limit of FJD 15,000. Using 2008/09 data, the WB estimated that urban poverty in Fiji had dropped to around 26%, but rural poverty remained at 44% and rates for urban squatter settlements were a primary reason for limited progress against some poverty indicators. The World Bank. Country Engagement Note for the Republic of Fiji for the Period FY 2015-2017. 4 February 2015. </w:t>
      </w:r>
    </w:p>
  </w:footnote>
  <w:footnote w:id="13">
    <w:p w14:paraId="5957BB4E" w14:textId="77777777" w:rsidR="00DE577B" w:rsidRPr="003D5AFC" w:rsidRDefault="00DE577B" w:rsidP="001D5D3C">
      <w:pPr>
        <w:pStyle w:val="FootnoteText"/>
        <w:rPr>
          <w:lang w:val="en-US"/>
        </w:rPr>
      </w:pPr>
      <w:r>
        <w:rPr>
          <w:rStyle w:val="FootnoteReference"/>
        </w:rPr>
        <w:footnoteRef/>
      </w:r>
      <w:r>
        <w:t xml:space="preserve"> </w:t>
      </w:r>
      <w:r>
        <w:rPr>
          <w:lang w:val="en-US"/>
        </w:rPr>
        <w:t xml:space="preserve">Noting that FA2J duty bearer partners have endorsed a Government of Fiji protocol relating to GBV that can provide a basis for discussions on gender-related aspects of materials and a framework to guide the development of materials for people with disabilities. Ministry of Women, Children &amp; Poverty Alleviation. Fiji National Service Delivery Protocol for Responding to Cases of Gender Based Violence. February 2018. (Supported by UN Women). </w:t>
      </w:r>
    </w:p>
  </w:footnote>
  <w:footnote w:id="14">
    <w:p w14:paraId="15B9786E" w14:textId="77777777" w:rsidR="00DE577B" w:rsidRPr="00336097" w:rsidRDefault="00DE577B" w:rsidP="001D5D3C">
      <w:pPr>
        <w:pStyle w:val="FootnoteText"/>
        <w:rPr>
          <w:lang w:val="en-US"/>
        </w:rPr>
      </w:pPr>
      <w:r>
        <w:rPr>
          <w:rStyle w:val="FootnoteReference"/>
        </w:rPr>
        <w:footnoteRef/>
      </w:r>
      <w:r>
        <w:t xml:space="preserve"> </w:t>
      </w:r>
      <w:r>
        <w:rPr>
          <w:lang w:val="en-US"/>
        </w:rPr>
        <w:t xml:space="preserve">Interview Asst Commissioner of Police, 30 April 2019; Interview DPP, 3 May 2019. </w:t>
      </w:r>
    </w:p>
  </w:footnote>
  <w:footnote w:id="15">
    <w:p w14:paraId="4DBE1393" w14:textId="77777777" w:rsidR="00F34E26" w:rsidRPr="00A54686" w:rsidRDefault="00F34E26" w:rsidP="00F34E26">
      <w:pPr>
        <w:pStyle w:val="FootnoteText"/>
        <w:rPr>
          <w:lang w:val="en-US"/>
        </w:rPr>
      </w:pPr>
      <w:r>
        <w:rPr>
          <w:rStyle w:val="FootnoteReference"/>
        </w:rPr>
        <w:footnoteRef/>
      </w:r>
      <w:r>
        <w:t xml:space="preserve"> </w:t>
      </w:r>
      <w:r>
        <w:rPr>
          <w:lang w:val="en-US"/>
        </w:rPr>
        <w:t xml:space="preserve">Papua New Guinea, for example, has had some positive results with its Law and Justice Sector National Coordinating Mechanism, which has extensive support from the Government of Australia but faces challenges. See </w:t>
      </w:r>
      <w:hyperlink r:id="rId1" w:history="1">
        <w:r>
          <w:rPr>
            <w:rStyle w:val="Hyperlink"/>
          </w:rPr>
          <w:t>https://dfat.gov.au/about-us/publications/Documents/png-law-and-justice-jss4d-design.pdf</w:t>
        </w:r>
      </w:hyperlink>
      <w:r>
        <w:t xml:space="preserve">. </w:t>
      </w:r>
    </w:p>
  </w:footnote>
  <w:footnote w:id="16">
    <w:p w14:paraId="1001BD4E" w14:textId="77777777" w:rsidR="00F34E26" w:rsidRPr="00BB7949" w:rsidRDefault="00F34E26" w:rsidP="00F34E26">
      <w:pPr>
        <w:pStyle w:val="FootnoteText"/>
        <w:rPr>
          <w:lang w:val="en-US"/>
        </w:rPr>
      </w:pPr>
      <w:r>
        <w:rPr>
          <w:rStyle w:val="FootnoteReference"/>
        </w:rPr>
        <w:footnoteRef/>
      </w:r>
      <w:r>
        <w:t xml:space="preserve"> </w:t>
      </w:r>
      <w:r>
        <w:rPr>
          <w:lang w:val="en-US"/>
        </w:rPr>
        <w:t xml:space="preserve">Balancing the Scales (Full Digital Report) at 26. </w:t>
      </w:r>
    </w:p>
  </w:footnote>
  <w:footnote w:id="17">
    <w:p w14:paraId="69671C42" w14:textId="2DDAEE51" w:rsidR="00DE577B" w:rsidRDefault="00DE577B">
      <w:pPr>
        <w:pStyle w:val="FootnoteText"/>
      </w:pPr>
      <w:r>
        <w:rPr>
          <w:rStyle w:val="FootnoteReference"/>
        </w:rPr>
        <w:footnoteRef/>
      </w:r>
      <w:r>
        <w:t xml:space="preserve"> </w:t>
      </w:r>
      <w:r w:rsidRPr="00F7349E">
        <w:t>UNEG Ethical Guidelines</w:t>
      </w:r>
      <w:r>
        <w:t xml:space="preserve"> for Evaluation, March 2008; UNEG Norms and Standards for Evaluation, 2016. </w:t>
      </w:r>
    </w:p>
  </w:footnote>
  <w:footnote w:id="18">
    <w:p w14:paraId="5D4789BE" w14:textId="0E2354FF" w:rsidR="00DE577B" w:rsidRPr="000357A0" w:rsidRDefault="00DE577B">
      <w:pPr>
        <w:pStyle w:val="FootnoteText"/>
        <w:rPr>
          <w:lang w:val="en-US"/>
        </w:rPr>
      </w:pPr>
      <w:r>
        <w:rPr>
          <w:rStyle w:val="FootnoteReference"/>
        </w:rPr>
        <w:footnoteRef/>
      </w:r>
      <w:r>
        <w:t xml:space="preserve"> </w:t>
      </w:r>
      <w:r>
        <w:rPr>
          <w:lang w:val="en-US"/>
        </w:rPr>
        <w:t xml:space="preserve">Terms of Reference, Mid Term Evaluation for UNDP Pacific Fiji Access to Justice Project. Attached as Annex 1. </w:t>
      </w:r>
    </w:p>
  </w:footnote>
  <w:footnote w:id="19">
    <w:p w14:paraId="1257DA52" w14:textId="57CFC415" w:rsidR="00DE577B" w:rsidRPr="00E167C2" w:rsidRDefault="00DE577B">
      <w:pPr>
        <w:pStyle w:val="FootnoteText"/>
        <w:rPr>
          <w:rStyle w:val="FootnoteChar"/>
        </w:rPr>
      </w:pPr>
      <w:r>
        <w:rPr>
          <w:rStyle w:val="FootnoteReference"/>
        </w:rPr>
        <w:footnoteRef/>
      </w:r>
      <w:r>
        <w:t xml:space="preserve"> </w:t>
      </w:r>
      <w:r w:rsidRPr="00E167C2">
        <w:rPr>
          <w:rStyle w:val="FootnoteChar"/>
        </w:rPr>
        <w:t xml:space="preserve">Italics are used where language in the original TOR has been modified through discussions during the preparation of the Inception Report. </w:t>
      </w:r>
    </w:p>
  </w:footnote>
  <w:footnote w:id="20">
    <w:p w14:paraId="7FB24AA1" w14:textId="1DF7F4CD" w:rsidR="00DE577B" w:rsidRPr="008C5D14" w:rsidRDefault="00DE577B">
      <w:pPr>
        <w:pStyle w:val="FootnoteText"/>
        <w:rPr>
          <w:lang w:val="en-US"/>
        </w:rPr>
      </w:pPr>
      <w:r>
        <w:rPr>
          <w:rStyle w:val="FootnoteReference"/>
        </w:rPr>
        <w:footnoteRef/>
      </w:r>
      <w:r>
        <w:t xml:space="preserve"> </w:t>
      </w:r>
      <w:r>
        <w:rPr>
          <w:lang w:val="en-US"/>
        </w:rPr>
        <w:t xml:space="preserve">In sum, participants of the </w:t>
      </w:r>
      <w:proofErr w:type="spellStart"/>
      <w:r>
        <w:rPr>
          <w:lang w:val="en-US"/>
        </w:rPr>
        <w:t>outbrief</w:t>
      </w:r>
      <w:proofErr w:type="spellEnd"/>
      <w:r>
        <w:rPr>
          <w:lang w:val="en-US"/>
        </w:rPr>
        <w:t xml:space="preserve"> meeting requested that consideration be given to: 1)  reviewing possible discrepancies between the Financing Agreement, FED/2015/038-757, and the UNDP Fiji Access to Justice Project Document, Project Number 00092247; and 2) consider the implication of the review on planned inputs for 2019. </w:t>
      </w:r>
    </w:p>
  </w:footnote>
  <w:footnote w:id="21">
    <w:p w14:paraId="32B11EF4" w14:textId="3439F52E" w:rsidR="00DE577B" w:rsidRPr="003332A6" w:rsidRDefault="00DE577B">
      <w:pPr>
        <w:pStyle w:val="FootnoteText"/>
        <w:rPr>
          <w:lang w:val="en-US"/>
        </w:rPr>
      </w:pPr>
      <w:r>
        <w:rPr>
          <w:rStyle w:val="FootnoteReference"/>
        </w:rPr>
        <w:footnoteRef/>
      </w:r>
      <w:r>
        <w:t xml:space="preserve"> </w:t>
      </w:r>
      <w:r>
        <w:rPr>
          <w:lang w:val="en-US"/>
        </w:rPr>
        <w:t xml:space="preserve">Options for addressing this confusion were discussed at the 7 May 2019 </w:t>
      </w:r>
      <w:proofErr w:type="spellStart"/>
      <w:r>
        <w:rPr>
          <w:lang w:val="en-US"/>
        </w:rPr>
        <w:t>Outbrief</w:t>
      </w:r>
      <w:proofErr w:type="spellEnd"/>
      <w:r>
        <w:rPr>
          <w:lang w:val="en-US"/>
        </w:rPr>
        <w:t xml:space="preserve"> and are included in Chapter 5: Conclusions and Recommendations. </w:t>
      </w:r>
    </w:p>
  </w:footnote>
  <w:footnote w:id="22">
    <w:p w14:paraId="70E21776" w14:textId="318C951A" w:rsidR="00DE577B" w:rsidRPr="005B20F5" w:rsidRDefault="00DE577B" w:rsidP="00DE577B">
      <w:pPr>
        <w:pStyle w:val="FootnoteText"/>
        <w:rPr>
          <w:lang w:val="en-US"/>
        </w:rPr>
      </w:pPr>
      <w:r>
        <w:rPr>
          <w:rStyle w:val="FootnoteReference"/>
        </w:rPr>
        <w:footnoteRef/>
      </w:r>
      <w:r>
        <w:t xml:space="preserve"> Theory of Change </w:t>
      </w:r>
      <w:r>
        <w:rPr>
          <w:lang w:val="en-US"/>
        </w:rPr>
        <w:t xml:space="preserve">Attached as </w:t>
      </w:r>
      <w:r w:rsidRPr="006B1A26">
        <w:rPr>
          <w:lang w:val="en-US"/>
        </w:rPr>
        <w:t>Annex 3.</w:t>
      </w:r>
    </w:p>
  </w:footnote>
  <w:footnote w:id="23">
    <w:p w14:paraId="0F0DAF16" w14:textId="77777777" w:rsidR="00DE577B" w:rsidRPr="005B20F5" w:rsidRDefault="00DE577B" w:rsidP="00BB3B69">
      <w:pPr>
        <w:pStyle w:val="FootnoteText"/>
        <w:rPr>
          <w:lang w:val="en-US"/>
        </w:rPr>
      </w:pPr>
      <w:r>
        <w:rPr>
          <w:rStyle w:val="FootnoteReference"/>
        </w:rPr>
        <w:footnoteRef/>
      </w:r>
      <w:r>
        <w:t xml:space="preserve"> </w:t>
      </w:r>
      <w:r w:rsidRPr="006B1A26">
        <w:rPr>
          <w:lang w:val="en-US"/>
        </w:rPr>
        <w:t>Annex 2.</w:t>
      </w:r>
    </w:p>
  </w:footnote>
  <w:footnote w:id="24">
    <w:p w14:paraId="4E2C8759" w14:textId="09B8E2BC" w:rsidR="00DE577B" w:rsidRPr="0030735A" w:rsidRDefault="00DE577B">
      <w:pPr>
        <w:pStyle w:val="FootnoteText"/>
        <w:rPr>
          <w:lang w:val="en-US"/>
        </w:rPr>
      </w:pPr>
      <w:r>
        <w:rPr>
          <w:rStyle w:val="FootnoteReference"/>
        </w:rPr>
        <w:footnoteRef/>
      </w:r>
      <w:r>
        <w:t xml:space="preserve"> </w:t>
      </w:r>
      <w:r>
        <w:rPr>
          <w:lang w:val="en-US"/>
        </w:rPr>
        <w:t>Annex 5.</w:t>
      </w:r>
    </w:p>
  </w:footnote>
  <w:footnote w:id="25">
    <w:p w14:paraId="0AC2BC76" w14:textId="77777777" w:rsidR="00DE577B" w:rsidRDefault="00DE577B" w:rsidP="004027F2">
      <w:pPr>
        <w:pStyle w:val="FootnoteText"/>
      </w:pPr>
      <w:r>
        <w:rPr>
          <w:rStyle w:val="FootnoteReference"/>
        </w:rPr>
        <w:footnoteRef/>
      </w:r>
      <w:r>
        <w:t xml:space="preserve"> Description of the Action of the project “Fiji Access to Justice Project”, </w:t>
      </w:r>
      <w:r w:rsidRPr="00A350A4">
        <w:t>FED/2016/ 378-171</w:t>
      </w:r>
      <w:r>
        <w:t>.(Description of the Action)</w:t>
      </w:r>
    </w:p>
  </w:footnote>
  <w:footnote w:id="26">
    <w:p w14:paraId="6BC4ADBB" w14:textId="77777777" w:rsidR="00DE577B" w:rsidRDefault="00DE577B" w:rsidP="004027F2">
      <w:pPr>
        <w:pStyle w:val="FootnoteText"/>
      </w:pPr>
      <w:r>
        <w:rPr>
          <w:rStyle w:val="FootnoteReference"/>
        </w:rPr>
        <w:footnoteRef/>
      </w:r>
      <w:r>
        <w:t xml:space="preserve"> In October 2007, the EU suspended engagement with Fiji in line with provisions of the Cotonou Agreement. </w:t>
      </w:r>
      <w:hyperlink r:id="rId2" w:history="1">
        <w:r>
          <w:rPr>
            <w:rStyle w:val="Hyperlink"/>
          </w:rPr>
          <w:t>https://ec.europa.eu/europeaid/countries/fiji_en</w:t>
        </w:r>
      </w:hyperlink>
    </w:p>
  </w:footnote>
  <w:footnote w:id="27">
    <w:p w14:paraId="7349DCB0" w14:textId="77777777" w:rsidR="00DE577B" w:rsidRDefault="00DE577B" w:rsidP="004027F2">
      <w:pPr>
        <w:pStyle w:val="FootnoteText"/>
      </w:pPr>
      <w:r>
        <w:rPr>
          <w:rStyle w:val="FootnoteReference"/>
        </w:rPr>
        <w:footnoteRef/>
      </w:r>
      <w:r>
        <w:t xml:space="preserve"> Financing Agreement between the European Union and the Republic of Fiji, FED/2015/038-757.</w:t>
      </w:r>
    </w:p>
  </w:footnote>
  <w:footnote w:id="28">
    <w:p w14:paraId="73A44BB0" w14:textId="77777777" w:rsidR="00DE577B" w:rsidRDefault="00DE577B" w:rsidP="004027F2">
      <w:pPr>
        <w:pStyle w:val="FootnoteText"/>
      </w:pPr>
      <w:r>
        <w:rPr>
          <w:rStyle w:val="FootnoteReference"/>
        </w:rPr>
        <w:footnoteRef/>
      </w:r>
      <w:r>
        <w:t xml:space="preserve"> Description of the Action at 16.</w:t>
      </w:r>
    </w:p>
  </w:footnote>
  <w:footnote w:id="29">
    <w:p w14:paraId="00F8939B" w14:textId="77777777" w:rsidR="00DE577B" w:rsidRDefault="00DE577B" w:rsidP="004027F2">
      <w:pPr>
        <w:pStyle w:val="FootnoteText"/>
      </w:pPr>
      <w:r>
        <w:rPr>
          <w:rStyle w:val="FootnoteReference"/>
        </w:rPr>
        <w:footnoteRef/>
      </w:r>
      <w:r>
        <w:t xml:space="preserve"> Description of the Action at 16-17. </w:t>
      </w:r>
    </w:p>
  </w:footnote>
  <w:footnote w:id="30">
    <w:p w14:paraId="48C64917" w14:textId="64D6C825" w:rsidR="00DE577B" w:rsidRPr="00B435A7" w:rsidRDefault="00DE577B">
      <w:pPr>
        <w:pStyle w:val="FootnoteText"/>
        <w:rPr>
          <w:lang w:val="en-US"/>
        </w:rPr>
      </w:pPr>
      <w:r>
        <w:rPr>
          <w:rStyle w:val="FootnoteReference"/>
        </w:rPr>
        <w:footnoteRef/>
      </w:r>
      <w:r>
        <w:t xml:space="preserve"> </w:t>
      </w:r>
      <w:r>
        <w:rPr>
          <w:lang w:val="en-US"/>
        </w:rPr>
        <w:t>FA2J Project Document at 12.</w:t>
      </w:r>
    </w:p>
  </w:footnote>
  <w:footnote w:id="31">
    <w:p w14:paraId="4697853B" w14:textId="027EFDC6" w:rsidR="00DE577B" w:rsidRPr="00B4359F" w:rsidRDefault="00DE577B">
      <w:pPr>
        <w:pStyle w:val="FootnoteText"/>
        <w:rPr>
          <w:lang w:val="en-US"/>
        </w:rPr>
      </w:pPr>
      <w:r>
        <w:rPr>
          <w:rStyle w:val="FootnoteReference"/>
        </w:rPr>
        <w:footnoteRef/>
      </w:r>
      <w:r>
        <w:t xml:space="preserve"> Data provided by Legal Aid Commission, 20 May 2019. First Hour background provided by FPF, </w:t>
      </w:r>
      <w:r>
        <w:rPr>
          <w:lang w:val="en-US"/>
        </w:rPr>
        <w:t xml:space="preserve">noting that </w:t>
      </w:r>
      <w:r>
        <w:rPr>
          <w:rFonts w:eastAsia="Arial"/>
        </w:rPr>
        <w:t xml:space="preserve">First Hour support grew out of collaboration between justice sector actors led by the Chief Justice of Fiji following the Universal Periodic Review in 2015; First Hour measures include immediate access to legal advice for detainees and video recording of statements given to police. As of the MTE, the initiative has been piloted in two Suva police stations and is receiving sustained government support through institutional budgets. </w:t>
      </w:r>
      <w:r>
        <w:rPr>
          <w:lang w:val="en-US"/>
        </w:rPr>
        <w:t>Interview Assist. Commissioner, FPF, 30 April 2019</w:t>
      </w:r>
    </w:p>
  </w:footnote>
  <w:footnote w:id="32">
    <w:p w14:paraId="6ED6CFD2" w14:textId="3C9993F2" w:rsidR="00DE577B" w:rsidRPr="0048539A" w:rsidRDefault="00DE577B">
      <w:pPr>
        <w:pStyle w:val="FootnoteText"/>
        <w:rPr>
          <w:lang w:val="en-US"/>
        </w:rPr>
      </w:pPr>
      <w:r>
        <w:rPr>
          <w:rStyle w:val="FootnoteReference"/>
        </w:rPr>
        <w:footnoteRef/>
      </w:r>
      <w:r>
        <w:t xml:space="preserve"> </w:t>
      </w:r>
      <w:proofErr w:type="spellStart"/>
      <w:r>
        <w:rPr>
          <w:lang w:val="en-US"/>
        </w:rPr>
        <w:t>HiiL</w:t>
      </w:r>
      <w:proofErr w:type="spellEnd"/>
      <w:r>
        <w:rPr>
          <w:lang w:val="en-US"/>
        </w:rPr>
        <w:t xml:space="preserve">. Assessment of Access to Justice in Fiji (DRAFT). 2018 at 10. The Acting Director of LAC advised that support continued to grow through the MTE period, and noted that discrepancies between male / female support levels that have been reported in the Assessment of Access to Justice (pp 11 citing Balancing the Scales) were due to unreported numbers of cases “briefed out” to private firms if one partner in a dispute was already represented by the LAC. Interview Acting Director, LAC. 23 April 2019. </w:t>
      </w:r>
    </w:p>
  </w:footnote>
  <w:footnote w:id="33">
    <w:p w14:paraId="6FEBBA03" w14:textId="5E0A5137" w:rsidR="00DE577B" w:rsidRPr="003574EE" w:rsidRDefault="00DE577B">
      <w:pPr>
        <w:pStyle w:val="FootnoteText"/>
        <w:rPr>
          <w:lang w:val="en-US"/>
        </w:rPr>
      </w:pPr>
      <w:r>
        <w:rPr>
          <w:rStyle w:val="FootnoteReference"/>
        </w:rPr>
        <w:footnoteRef/>
      </w:r>
      <w:r>
        <w:t xml:space="preserve"> </w:t>
      </w:r>
      <w:r>
        <w:rPr>
          <w:lang w:val="en-US"/>
        </w:rPr>
        <w:t xml:space="preserve">Fiji Bureau of Statistics. </w:t>
      </w:r>
      <w:hyperlink r:id="rId3" w:history="1">
        <w:r>
          <w:rPr>
            <w:rStyle w:val="Hyperlink"/>
          </w:rPr>
          <w:t>https://www.statsfiji.gov.fj/statistics/other-statistics/crimes-offences</w:t>
        </w:r>
      </w:hyperlink>
    </w:p>
  </w:footnote>
  <w:footnote w:id="34">
    <w:p w14:paraId="36C2F319" w14:textId="37A60448" w:rsidR="00DE577B" w:rsidRPr="00251D55" w:rsidRDefault="00DE577B">
      <w:pPr>
        <w:pStyle w:val="FootnoteText"/>
        <w:rPr>
          <w:lang w:val="en-US"/>
        </w:rPr>
      </w:pPr>
      <w:r>
        <w:rPr>
          <w:rStyle w:val="FootnoteReference"/>
        </w:rPr>
        <w:footnoteRef/>
      </w:r>
      <w:r>
        <w:t xml:space="preserve"> </w:t>
      </w:r>
      <w:r>
        <w:rPr>
          <w:lang w:val="en-US"/>
        </w:rPr>
        <w:t xml:space="preserve">FWRM. Balancing the Scales of Justice – Court Annex. 2017 at 24. </w:t>
      </w:r>
    </w:p>
  </w:footnote>
  <w:footnote w:id="35">
    <w:p w14:paraId="51D14AF1" w14:textId="3064236D" w:rsidR="00DE577B" w:rsidRPr="00B435A7" w:rsidRDefault="00DE577B">
      <w:pPr>
        <w:pStyle w:val="FootnoteText"/>
        <w:rPr>
          <w:lang w:val="en-US"/>
        </w:rPr>
      </w:pPr>
      <w:r>
        <w:rPr>
          <w:rStyle w:val="FootnoteReference"/>
        </w:rPr>
        <w:footnoteRef/>
      </w:r>
      <w:r>
        <w:t xml:space="preserve"> </w:t>
      </w:r>
      <w:r>
        <w:rPr>
          <w:lang w:val="en-US"/>
        </w:rPr>
        <w:t xml:space="preserve">Id. at 22 reporting 2517 applications in 2017 and 4618 applications in 2018. </w:t>
      </w:r>
    </w:p>
  </w:footnote>
  <w:footnote w:id="36">
    <w:p w14:paraId="117497EA" w14:textId="3B1A0977" w:rsidR="00DE577B" w:rsidRPr="0048539A" w:rsidRDefault="00DE577B">
      <w:pPr>
        <w:pStyle w:val="FootnoteText"/>
        <w:rPr>
          <w:lang w:val="en-US"/>
        </w:rPr>
      </w:pPr>
      <w:r>
        <w:rPr>
          <w:rStyle w:val="FootnoteReference"/>
        </w:rPr>
        <w:footnoteRef/>
      </w:r>
      <w:r>
        <w:t xml:space="preserve"> Id. at 17. </w:t>
      </w:r>
    </w:p>
  </w:footnote>
  <w:footnote w:id="37">
    <w:p w14:paraId="7C5D4D2D" w14:textId="0A56E56B" w:rsidR="00DE577B" w:rsidRPr="00A30781" w:rsidRDefault="00DE577B">
      <w:pPr>
        <w:pStyle w:val="FootnoteText"/>
        <w:rPr>
          <w:lang w:val="en-US"/>
        </w:rPr>
      </w:pPr>
      <w:r>
        <w:rPr>
          <w:rStyle w:val="FootnoteReference"/>
        </w:rPr>
        <w:footnoteRef/>
      </w:r>
      <w:r>
        <w:t xml:space="preserve"> </w:t>
      </w:r>
      <w:r>
        <w:rPr>
          <w:lang w:val="en-US"/>
        </w:rPr>
        <w:t xml:space="preserve">Interview Acting Director, LAC. 23 April 2019. </w:t>
      </w:r>
    </w:p>
  </w:footnote>
  <w:footnote w:id="38">
    <w:p w14:paraId="33D5CB8B" w14:textId="77777777" w:rsidR="00DE577B" w:rsidRPr="00E732C1" w:rsidRDefault="00DE577B" w:rsidP="00A525FE">
      <w:pPr>
        <w:pStyle w:val="FootnoteText"/>
        <w:rPr>
          <w:lang w:val="en-US"/>
        </w:rPr>
      </w:pPr>
      <w:r>
        <w:rPr>
          <w:rStyle w:val="FootnoteReference"/>
        </w:rPr>
        <w:footnoteRef/>
      </w:r>
      <w:r>
        <w:t xml:space="preserve"> </w:t>
      </w:r>
      <w:r>
        <w:rPr>
          <w:lang w:val="en-US"/>
        </w:rPr>
        <w:t xml:space="preserve">See </w:t>
      </w:r>
      <w:r w:rsidRPr="00E732C1">
        <w:t>United States Department of State, </w:t>
      </w:r>
      <w:r w:rsidRPr="00E732C1">
        <w:rPr>
          <w:iCs/>
        </w:rPr>
        <w:t>2012 Country Reports on Human Rights Practices - Fiji</w:t>
      </w:r>
      <w:r w:rsidRPr="00E732C1">
        <w:t>, 19 April 2013</w:t>
      </w:r>
      <w:r>
        <w:t>.</w:t>
      </w:r>
    </w:p>
  </w:footnote>
  <w:footnote w:id="39">
    <w:p w14:paraId="2BEE75BB" w14:textId="77777777" w:rsidR="00DE577B" w:rsidRPr="007D71E9" w:rsidRDefault="00DE577B" w:rsidP="00A525FE">
      <w:pPr>
        <w:pStyle w:val="FootnoteText"/>
        <w:rPr>
          <w:lang w:val="en-US"/>
        </w:rPr>
      </w:pPr>
      <w:r>
        <w:rPr>
          <w:rStyle w:val="FootnoteReference"/>
        </w:rPr>
        <w:footnoteRef/>
      </w:r>
      <w:r>
        <w:t xml:space="preserve"> </w:t>
      </w:r>
      <w:r>
        <w:rPr>
          <w:lang w:val="en-US"/>
        </w:rPr>
        <w:t xml:space="preserve">Republic of Fiji, Ministry of Economy. 5-Year &amp; 20-Year National Development Plan: Transforming Fiji. November 2017. (NDP). </w:t>
      </w:r>
    </w:p>
  </w:footnote>
  <w:footnote w:id="40">
    <w:p w14:paraId="2D053E32" w14:textId="22B18CAB" w:rsidR="00DE577B" w:rsidRPr="00CD542A" w:rsidRDefault="00DE577B">
      <w:pPr>
        <w:pStyle w:val="FootnoteText"/>
        <w:rPr>
          <w:lang w:val="en-US"/>
        </w:rPr>
      </w:pPr>
      <w:r>
        <w:rPr>
          <w:rStyle w:val="FootnoteReference"/>
        </w:rPr>
        <w:footnoteRef/>
      </w:r>
      <w:r>
        <w:t xml:space="preserve"> NDP Forward. </w:t>
      </w:r>
    </w:p>
  </w:footnote>
  <w:footnote w:id="41">
    <w:p w14:paraId="44271DB5" w14:textId="6C6A6425" w:rsidR="00DE577B" w:rsidRPr="00CD542A" w:rsidRDefault="00DE577B">
      <w:pPr>
        <w:pStyle w:val="FootnoteText"/>
        <w:rPr>
          <w:lang w:val="en-US"/>
        </w:rPr>
      </w:pPr>
      <w:r>
        <w:rPr>
          <w:rStyle w:val="FootnoteReference"/>
        </w:rPr>
        <w:footnoteRef/>
      </w:r>
      <w:r>
        <w:t xml:space="preserve"> </w:t>
      </w:r>
      <w:r>
        <w:rPr>
          <w:lang w:val="en-US"/>
        </w:rPr>
        <w:t xml:space="preserve">NDP at 61. </w:t>
      </w:r>
    </w:p>
  </w:footnote>
  <w:footnote w:id="42">
    <w:p w14:paraId="7E459175" w14:textId="50054D70" w:rsidR="00DE577B" w:rsidRPr="008A08E2" w:rsidRDefault="00DE577B">
      <w:pPr>
        <w:pStyle w:val="FootnoteText"/>
        <w:rPr>
          <w:lang w:val="en-US"/>
        </w:rPr>
      </w:pPr>
      <w:r>
        <w:rPr>
          <w:rStyle w:val="FootnoteReference"/>
        </w:rPr>
        <w:footnoteRef/>
      </w:r>
      <w:r>
        <w:t xml:space="preserve"> </w:t>
      </w:r>
      <w:proofErr w:type="spellStart"/>
      <w:r>
        <w:t>HiiL</w:t>
      </w:r>
      <w:proofErr w:type="spellEnd"/>
      <w:r>
        <w:t xml:space="preserve">. </w:t>
      </w:r>
      <w:r>
        <w:rPr>
          <w:lang w:val="en-US"/>
        </w:rPr>
        <w:t>Assessment of Access to Justice in Fiji (Draft) at 12. (A2J Assessment).</w:t>
      </w:r>
    </w:p>
  </w:footnote>
  <w:footnote w:id="43">
    <w:p w14:paraId="3FB63C35" w14:textId="235AAC6C" w:rsidR="00DE577B" w:rsidRPr="00E732C1" w:rsidRDefault="00DE577B">
      <w:pPr>
        <w:pStyle w:val="FootnoteText"/>
        <w:rPr>
          <w:lang w:val="en-US"/>
        </w:rPr>
      </w:pPr>
      <w:r>
        <w:rPr>
          <w:rStyle w:val="FootnoteReference"/>
        </w:rPr>
        <w:footnoteRef/>
      </w:r>
      <w:r>
        <w:t xml:space="preserve"> </w:t>
      </w:r>
      <w:r>
        <w:rPr>
          <w:lang w:val="en-US"/>
        </w:rPr>
        <w:t>NDP at 66.</w:t>
      </w:r>
    </w:p>
  </w:footnote>
  <w:footnote w:id="44">
    <w:p w14:paraId="6E9CE35B" w14:textId="77777777" w:rsidR="00DE577B" w:rsidRPr="002C2443" w:rsidRDefault="00DE577B" w:rsidP="00B17194">
      <w:pPr>
        <w:pStyle w:val="FootnoteText"/>
        <w:rPr>
          <w:lang w:val="en-US"/>
        </w:rPr>
      </w:pPr>
      <w:r>
        <w:rPr>
          <w:rStyle w:val="FootnoteReference"/>
        </w:rPr>
        <w:footnoteRef/>
      </w:r>
      <w:r>
        <w:t xml:space="preserve"> </w:t>
      </w:r>
      <w:r>
        <w:rPr>
          <w:lang w:val="en-US"/>
        </w:rPr>
        <w:t xml:space="preserve">NDP at 5. </w:t>
      </w:r>
    </w:p>
  </w:footnote>
  <w:footnote w:id="45">
    <w:p w14:paraId="6097A424" w14:textId="2632CE1F" w:rsidR="00DE577B" w:rsidRPr="00E821C6" w:rsidRDefault="00DE577B">
      <w:pPr>
        <w:pStyle w:val="FootnoteText"/>
        <w:rPr>
          <w:lang w:val="en-US"/>
        </w:rPr>
      </w:pPr>
      <w:r>
        <w:rPr>
          <w:rStyle w:val="FootnoteReference"/>
        </w:rPr>
        <w:footnoteRef/>
      </w:r>
      <w:r>
        <w:t xml:space="preserve"> </w:t>
      </w:r>
      <w:r>
        <w:rPr>
          <w:lang w:val="en-US"/>
        </w:rPr>
        <w:t xml:space="preserve">Interview President, FDPF. 6 May 2019 noting specifically changes to government policy relating to access to financial support. </w:t>
      </w:r>
    </w:p>
  </w:footnote>
  <w:footnote w:id="46">
    <w:p w14:paraId="47F46CF7" w14:textId="7F9AEE54" w:rsidR="00DE577B" w:rsidRPr="002C2443" w:rsidRDefault="00DE577B">
      <w:pPr>
        <w:pStyle w:val="FootnoteText"/>
        <w:rPr>
          <w:lang w:val="en-US"/>
        </w:rPr>
      </w:pPr>
      <w:r>
        <w:rPr>
          <w:rStyle w:val="FootnoteReference"/>
        </w:rPr>
        <w:footnoteRef/>
      </w:r>
      <w:r>
        <w:t xml:space="preserve"> </w:t>
      </w:r>
      <w:hyperlink r:id="rId4" w:history="1">
        <w:r>
          <w:rPr>
            <w:rStyle w:val="Hyperlink"/>
          </w:rPr>
          <w:t>http://asiapacific.unwomen.org/en/countries/fiji/co/fiji</w:t>
        </w:r>
      </w:hyperlink>
    </w:p>
  </w:footnote>
  <w:footnote w:id="47">
    <w:p w14:paraId="51FE9C5B" w14:textId="6715DAB7" w:rsidR="00DE577B" w:rsidRPr="000B0802" w:rsidRDefault="00DE577B">
      <w:pPr>
        <w:pStyle w:val="FootnoteText"/>
        <w:rPr>
          <w:lang w:val="en-US"/>
        </w:rPr>
      </w:pPr>
      <w:r>
        <w:rPr>
          <w:rStyle w:val="FootnoteReference"/>
        </w:rPr>
        <w:footnoteRef/>
      </w:r>
      <w:r>
        <w:t xml:space="preserve"> </w:t>
      </w:r>
      <w:r>
        <w:rPr>
          <w:lang w:val="en-US"/>
        </w:rPr>
        <w:t>This document was successfully updated in 2018 and has eleven signatories from government and civil society, including the LAC, Judicial Department, MSP, and Empower Pacific.</w:t>
      </w:r>
    </w:p>
  </w:footnote>
  <w:footnote w:id="48">
    <w:p w14:paraId="4C7AB416" w14:textId="4847700F" w:rsidR="00DE577B" w:rsidRPr="000B0802" w:rsidRDefault="00DE577B">
      <w:pPr>
        <w:pStyle w:val="FootnoteText"/>
        <w:rPr>
          <w:lang w:val="en-US"/>
        </w:rPr>
      </w:pPr>
      <w:r>
        <w:rPr>
          <w:rStyle w:val="FootnoteReference"/>
        </w:rPr>
        <w:footnoteRef/>
      </w:r>
      <w:r>
        <w:t xml:space="preserve"> </w:t>
      </w:r>
      <w:hyperlink r:id="rId5" w:history="1">
        <w:r>
          <w:rPr>
            <w:rStyle w:val="Hyperlink"/>
          </w:rPr>
          <w:t>https://www.unicef.org/eap/press-releases/unicef-and-fiji-judiciary-partner-protect-children-contact-law</w:t>
        </w:r>
      </w:hyperlink>
    </w:p>
  </w:footnote>
  <w:footnote w:id="49">
    <w:p w14:paraId="00193B07" w14:textId="18AED2F0" w:rsidR="00DE577B" w:rsidRPr="00591B5A" w:rsidRDefault="00DE577B">
      <w:pPr>
        <w:pStyle w:val="FootnoteText"/>
        <w:rPr>
          <w:lang w:val="en-US"/>
        </w:rPr>
      </w:pPr>
      <w:r>
        <w:rPr>
          <w:rStyle w:val="FootnoteReference"/>
        </w:rPr>
        <w:footnoteRef/>
      </w:r>
      <w:r>
        <w:t xml:space="preserve"> </w:t>
      </w:r>
      <w:r>
        <w:rPr>
          <w:lang w:val="en-US"/>
        </w:rPr>
        <w:t>Interview Country Director, MSP, 29 April 2019.</w:t>
      </w:r>
    </w:p>
  </w:footnote>
  <w:footnote w:id="50">
    <w:p w14:paraId="79DFCF3D" w14:textId="3C5103A1" w:rsidR="00DE577B" w:rsidRPr="00591B5A" w:rsidRDefault="00DE577B">
      <w:pPr>
        <w:pStyle w:val="FootnoteText"/>
        <w:rPr>
          <w:lang w:val="en-US"/>
        </w:rPr>
      </w:pPr>
      <w:r>
        <w:rPr>
          <w:rStyle w:val="FootnoteReference"/>
        </w:rPr>
        <w:footnoteRef/>
      </w:r>
      <w:r>
        <w:t xml:space="preserve"> </w:t>
      </w:r>
      <w:hyperlink r:id="rId6" w:history="1">
        <w:r>
          <w:rPr>
            <w:rStyle w:val="Hyperlink"/>
          </w:rPr>
          <w:t>http://msp.org.fj/director/</w:t>
        </w:r>
      </w:hyperlink>
    </w:p>
  </w:footnote>
  <w:footnote w:id="51">
    <w:p w14:paraId="51DBB2FB" w14:textId="1B5B14AF" w:rsidR="00DE577B" w:rsidRPr="00591B5A" w:rsidRDefault="00DE577B">
      <w:pPr>
        <w:pStyle w:val="FootnoteText"/>
        <w:rPr>
          <w:lang w:val="en-US"/>
        </w:rPr>
      </w:pPr>
      <w:r>
        <w:rPr>
          <w:rStyle w:val="FootnoteReference"/>
        </w:rPr>
        <w:footnoteRef/>
      </w:r>
      <w:r>
        <w:t xml:space="preserve"> </w:t>
      </w:r>
      <w:r>
        <w:rPr>
          <w:lang w:val="en-US"/>
        </w:rPr>
        <w:t xml:space="preserve">Interview Director, FWRM. 9 May 2019. </w:t>
      </w:r>
    </w:p>
  </w:footnote>
  <w:footnote w:id="52">
    <w:p w14:paraId="555CCB9D" w14:textId="32E46009" w:rsidR="00DE577B" w:rsidRPr="00782566" w:rsidRDefault="00DE577B">
      <w:pPr>
        <w:pStyle w:val="FootnoteText"/>
        <w:rPr>
          <w:lang w:val="en-US"/>
        </w:rPr>
      </w:pPr>
      <w:r>
        <w:rPr>
          <w:rStyle w:val="FootnoteReference"/>
        </w:rPr>
        <w:footnoteRef/>
      </w:r>
      <w:r>
        <w:t xml:space="preserve"> </w:t>
      </w:r>
      <w:r>
        <w:rPr>
          <w:lang w:val="en-US"/>
        </w:rPr>
        <w:t xml:space="preserve">Interview CEO and staff, Empower Pacific. 25 April 2019. </w:t>
      </w:r>
    </w:p>
  </w:footnote>
  <w:footnote w:id="53">
    <w:p w14:paraId="14F6746D" w14:textId="6CF34E7D" w:rsidR="00DE577B" w:rsidRPr="00957C42" w:rsidRDefault="00DE577B">
      <w:pPr>
        <w:pStyle w:val="FootnoteText"/>
        <w:rPr>
          <w:lang w:val="en-US"/>
        </w:rPr>
      </w:pPr>
      <w:r>
        <w:rPr>
          <w:rStyle w:val="FootnoteReference"/>
        </w:rPr>
        <w:footnoteRef/>
      </w:r>
      <w:r>
        <w:t xml:space="preserve"> </w:t>
      </w:r>
      <w:hyperlink r:id="rId7" w:history="1">
        <w:r>
          <w:rPr>
            <w:rStyle w:val="Hyperlink"/>
          </w:rPr>
          <w:t>http://empowerpacific.com/about-empower-pacific</w:t>
        </w:r>
      </w:hyperlink>
    </w:p>
  </w:footnote>
  <w:footnote w:id="54">
    <w:p w14:paraId="0992B7DC" w14:textId="59536567" w:rsidR="00DE577B" w:rsidRPr="00F93DE3" w:rsidRDefault="00DE577B">
      <w:pPr>
        <w:pStyle w:val="FootnoteText"/>
        <w:rPr>
          <w:lang w:val="en-US"/>
        </w:rPr>
      </w:pPr>
      <w:r>
        <w:rPr>
          <w:rStyle w:val="FootnoteReference"/>
        </w:rPr>
        <w:footnoteRef/>
      </w:r>
      <w:r>
        <w:t xml:space="preserve"> </w:t>
      </w:r>
      <w:r>
        <w:rPr>
          <w:lang w:val="en-US"/>
        </w:rPr>
        <w:t xml:space="preserve">Interview President, FDPF. 6 May 2019. </w:t>
      </w:r>
    </w:p>
  </w:footnote>
  <w:footnote w:id="55">
    <w:p w14:paraId="2734332D" w14:textId="25A43B56" w:rsidR="00DE577B" w:rsidRPr="00F93DE3" w:rsidRDefault="00DE577B">
      <w:pPr>
        <w:pStyle w:val="FootnoteText"/>
        <w:rPr>
          <w:lang w:val="en-US"/>
        </w:rPr>
      </w:pPr>
      <w:r>
        <w:rPr>
          <w:rStyle w:val="FootnoteReference"/>
        </w:rPr>
        <w:footnoteRef/>
      </w:r>
      <w:r>
        <w:t xml:space="preserve"> </w:t>
      </w:r>
      <w:r>
        <w:rPr>
          <w:lang w:val="en-US"/>
        </w:rPr>
        <w:t xml:space="preserve">Id. </w:t>
      </w:r>
    </w:p>
  </w:footnote>
  <w:footnote w:id="56">
    <w:p w14:paraId="556EE99C" w14:textId="4E3B6213" w:rsidR="00DE577B" w:rsidRPr="00DD037E" w:rsidRDefault="00DE577B">
      <w:pPr>
        <w:pStyle w:val="FootnoteText"/>
        <w:rPr>
          <w:lang w:val="en-US"/>
        </w:rPr>
      </w:pPr>
      <w:r>
        <w:rPr>
          <w:rStyle w:val="FootnoteReference"/>
        </w:rPr>
        <w:footnoteRef/>
      </w:r>
      <w:r>
        <w:t xml:space="preserve"> </w:t>
      </w:r>
      <w:r>
        <w:rPr>
          <w:lang w:val="en-US"/>
        </w:rPr>
        <w:t xml:space="preserve">Interview Director, FWRM. 9 May 2019 (by telephone). </w:t>
      </w:r>
    </w:p>
  </w:footnote>
  <w:footnote w:id="57">
    <w:p w14:paraId="4DF453C9" w14:textId="132C6792" w:rsidR="00DE577B" w:rsidRPr="00DD037E" w:rsidRDefault="00DE577B">
      <w:pPr>
        <w:pStyle w:val="FootnoteText"/>
        <w:rPr>
          <w:lang w:val="en-US"/>
        </w:rPr>
      </w:pPr>
      <w:r>
        <w:rPr>
          <w:rStyle w:val="FootnoteReference"/>
        </w:rPr>
        <w:footnoteRef/>
      </w:r>
      <w:r>
        <w:t xml:space="preserve"> </w:t>
      </w:r>
      <w:r>
        <w:rPr>
          <w:lang w:val="en-US"/>
        </w:rPr>
        <w:t>Interview President, FDPF. 6 May 2019.</w:t>
      </w:r>
    </w:p>
  </w:footnote>
  <w:footnote w:id="58">
    <w:p w14:paraId="7E8A6CE9" w14:textId="7543BCCC" w:rsidR="00DE577B" w:rsidRPr="00DD037E" w:rsidRDefault="00DE577B">
      <w:pPr>
        <w:pStyle w:val="FootnoteText"/>
        <w:rPr>
          <w:lang w:val="en-US"/>
        </w:rPr>
      </w:pPr>
      <w:r>
        <w:rPr>
          <w:rStyle w:val="FootnoteReference"/>
        </w:rPr>
        <w:footnoteRef/>
      </w:r>
      <w:r>
        <w:t xml:space="preserve"> </w:t>
      </w:r>
      <w:r>
        <w:rPr>
          <w:lang w:val="en-US"/>
        </w:rPr>
        <w:t xml:space="preserve">Id. </w:t>
      </w:r>
    </w:p>
  </w:footnote>
  <w:footnote w:id="59">
    <w:p w14:paraId="1698A018" w14:textId="0CD2D5DF" w:rsidR="00DE577B" w:rsidRPr="001966E3" w:rsidRDefault="00DE577B">
      <w:pPr>
        <w:pStyle w:val="FootnoteText"/>
        <w:rPr>
          <w:lang w:val="en-US"/>
        </w:rPr>
      </w:pPr>
      <w:r>
        <w:rPr>
          <w:rStyle w:val="FootnoteReference"/>
        </w:rPr>
        <w:footnoteRef/>
      </w:r>
      <w:r>
        <w:t xml:space="preserve"> Interview </w:t>
      </w:r>
      <w:r>
        <w:rPr>
          <w:lang w:val="en-US"/>
        </w:rPr>
        <w:t xml:space="preserve">Director, FWRM. 9 May 2019. </w:t>
      </w:r>
    </w:p>
  </w:footnote>
  <w:footnote w:id="60">
    <w:p w14:paraId="3F383F58" w14:textId="24B9544F" w:rsidR="00DE577B" w:rsidRPr="009D47BE" w:rsidRDefault="00DE577B">
      <w:pPr>
        <w:pStyle w:val="FootnoteText"/>
        <w:rPr>
          <w:lang w:val="en-US"/>
        </w:rPr>
      </w:pPr>
      <w:r>
        <w:rPr>
          <w:rStyle w:val="FootnoteReference"/>
        </w:rPr>
        <w:footnoteRef/>
      </w:r>
      <w:r>
        <w:t xml:space="preserve"> </w:t>
      </w:r>
      <w:r>
        <w:rPr>
          <w:lang w:val="en-US"/>
        </w:rPr>
        <w:t xml:space="preserve">Acting Director of LAC E-Mail, 4 May 2019. </w:t>
      </w:r>
    </w:p>
  </w:footnote>
  <w:footnote w:id="61">
    <w:p w14:paraId="0CCEF4A1" w14:textId="7CB37397" w:rsidR="00DE577B" w:rsidRPr="00626FC0" w:rsidRDefault="00DE577B">
      <w:pPr>
        <w:pStyle w:val="FootnoteText"/>
        <w:rPr>
          <w:lang w:val="en-US"/>
        </w:rPr>
      </w:pPr>
      <w:r>
        <w:rPr>
          <w:rStyle w:val="FootnoteReference"/>
        </w:rPr>
        <w:footnoteRef/>
      </w:r>
      <w:r>
        <w:t xml:space="preserve"> </w:t>
      </w:r>
      <w:r>
        <w:rPr>
          <w:lang w:val="en-US"/>
        </w:rPr>
        <w:t>Government partners report that Government of Fiji public financial management systems require internal reports and annual budget submissions, with quarterly updates and requests for budget disbursements; these important internal documents are up to date, however they are not available for public review. Each data call to an institution currently requires the allocation of staff time to update and review data, which contributes to frustration within government partners that have heavy workloads and externally with partners seeking access to data.</w:t>
      </w:r>
    </w:p>
  </w:footnote>
  <w:footnote w:id="62">
    <w:p w14:paraId="16151517" w14:textId="1BEF050B" w:rsidR="00DE577B" w:rsidRPr="008454A2" w:rsidRDefault="00DE577B">
      <w:pPr>
        <w:pStyle w:val="FootnoteText"/>
        <w:rPr>
          <w:lang w:val="en-US"/>
        </w:rPr>
      </w:pPr>
      <w:r>
        <w:rPr>
          <w:rStyle w:val="FootnoteReference"/>
        </w:rPr>
        <w:footnoteRef/>
      </w:r>
      <w:r>
        <w:t xml:space="preserve"> </w:t>
      </w:r>
      <w:r>
        <w:rPr>
          <w:lang w:val="en-US"/>
        </w:rPr>
        <w:t>ROM at 6.</w:t>
      </w:r>
    </w:p>
  </w:footnote>
  <w:footnote w:id="63">
    <w:p w14:paraId="31AC3721" w14:textId="7F34E350" w:rsidR="00DE577B" w:rsidRPr="00553EA4" w:rsidRDefault="00DE577B">
      <w:pPr>
        <w:pStyle w:val="FootnoteText"/>
        <w:rPr>
          <w:lang w:val="en-US"/>
        </w:rPr>
      </w:pPr>
      <w:r>
        <w:rPr>
          <w:rStyle w:val="FootnoteReference"/>
        </w:rPr>
        <w:footnoteRef/>
      </w:r>
      <w:r>
        <w:t xml:space="preserve"> </w:t>
      </w:r>
      <w:r>
        <w:rPr>
          <w:lang w:val="en-US"/>
        </w:rPr>
        <w:t xml:space="preserve">Interview EU Delegation, 24 April 2019 noting that some issues had escalated to larger problems before the EU was notified of them.  </w:t>
      </w:r>
    </w:p>
  </w:footnote>
  <w:footnote w:id="64">
    <w:p w14:paraId="1FE05A80" w14:textId="2BC03D70" w:rsidR="00DE577B" w:rsidRPr="00713F4C" w:rsidRDefault="00DE577B">
      <w:pPr>
        <w:pStyle w:val="FootnoteText"/>
        <w:rPr>
          <w:lang w:val="en-US"/>
        </w:rPr>
      </w:pPr>
      <w:r>
        <w:rPr>
          <w:rStyle w:val="FootnoteReference"/>
        </w:rPr>
        <w:footnoteRef/>
      </w:r>
      <w:r>
        <w:t xml:space="preserve"> </w:t>
      </w:r>
      <w:r>
        <w:rPr>
          <w:lang w:val="en-US"/>
        </w:rPr>
        <w:t xml:space="preserve">Financing Agreement at 8. </w:t>
      </w:r>
    </w:p>
  </w:footnote>
  <w:footnote w:id="65">
    <w:p w14:paraId="21E6107A" w14:textId="7BE906DD" w:rsidR="00DE577B" w:rsidRPr="009F5BF1" w:rsidRDefault="00DE577B">
      <w:pPr>
        <w:pStyle w:val="FootnoteText"/>
        <w:rPr>
          <w:lang w:val="en-US"/>
        </w:rPr>
      </w:pPr>
      <w:r>
        <w:rPr>
          <w:rStyle w:val="FootnoteReference"/>
        </w:rPr>
        <w:footnoteRef/>
      </w:r>
      <w:r>
        <w:t xml:space="preserve"> Description of Action at 16.</w:t>
      </w:r>
    </w:p>
  </w:footnote>
  <w:footnote w:id="66">
    <w:p w14:paraId="7D189FCB" w14:textId="1D3B05E4" w:rsidR="00DE577B" w:rsidRPr="002D4EB0" w:rsidRDefault="00DE577B">
      <w:pPr>
        <w:pStyle w:val="FootnoteText"/>
        <w:rPr>
          <w:lang w:val="en-US"/>
        </w:rPr>
      </w:pPr>
      <w:r>
        <w:rPr>
          <w:rStyle w:val="FootnoteReference"/>
        </w:rPr>
        <w:footnoteRef/>
      </w:r>
      <w:r>
        <w:t xml:space="preserve"> </w:t>
      </w:r>
      <w:r>
        <w:rPr>
          <w:lang w:val="en-US"/>
        </w:rPr>
        <w:t xml:space="preserve">Interview EU Delegation, 24 April 2019; Interview Acting Director LAC, 24 April 2019.  </w:t>
      </w:r>
    </w:p>
  </w:footnote>
  <w:footnote w:id="67">
    <w:p w14:paraId="5BC8EE77" w14:textId="49082A8C" w:rsidR="00DE577B" w:rsidRPr="00790DCD" w:rsidRDefault="00DE577B">
      <w:pPr>
        <w:pStyle w:val="FootnoteText"/>
        <w:rPr>
          <w:lang w:val="en-US"/>
        </w:rPr>
      </w:pPr>
      <w:r>
        <w:rPr>
          <w:rStyle w:val="FootnoteReference"/>
        </w:rPr>
        <w:footnoteRef/>
      </w:r>
      <w:r>
        <w:t xml:space="preserve"> </w:t>
      </w:r>
      <w:r>
        <w:rPr>
          <w:lang w:val="en-US"/>
        </w:rPr>
        <w:t xml:space="preserve">Interviews with </w:t>
      </w:r>
      <w:r w:rsidRPr="00BF1C5E">
        <w:rPr>
          <w:lang w:val="en-US"/>
        </w:rPr>
        <w:t>PM and A2J Advisor UNDP, _23  April 2019.</w:t>
      </w:r>
    </w:p>
  </w:footnote>
  <w:footnote w:id="68">
    <w:p w14:paraId="25CEED99" w14:textId="583798FB" w:rsidR="00DE577B" w:rsidRPr="00FC427D" w:rsidRDefault="00DE577B">
      <w:pPr>
        <w:pStyle w:val="FootnoteText"/>
        <w:rPr>
          <w:lang w:val="en-US"/>
        </w:rPr>
      </w:pPr>
      <w:r>
        <w:rPr>
          <w:rStyle w:val="FootnoteReference"/>
        </w:rPr>
        <w:footnoteRef/>
      </w:r>
      <w:r>
        <w:t xml:space="preserve"> </w:t>
      </w:r>
      <w:proofErr w:type="spellStart"/>
      <w:r>
        <w:t>Eg</w:t>
      </w:r>
      <w:proofErr w:type="spellEnd"/>
      <w:r>
        <w:t xml:space="preserve">, Interview with </w:t>
      </w:r>
      <w:r w:rsidRPr="00BF1C5E">
        <w:t>UN Women,</w:t>
      </w:r>
      <w:r>
        <w:t xml:space="preserve"> 3 May 2019</w:t>
      </w:r>
      <w:r w:rsidRPr="00BF1C5E">
        <w:t>, n</w:t>
      </w:r>
      <w:r>
        <w:t>oting previous experience with a four year long effort to establish a case management system. Also note that the establishment of a case management system has been part of the Judicial Department’s Corporate Plan since at least 2014. Judicial Department. 2014 Annual Corporate Plan: For the Financial Year Ending 31</w:t>
      </w:r>
      <w:r w:rsidRPr="00AD557B">
        <w:rPr>
          <w:vertAlign w:val="superscript"/>
        </w:rPr>
        <w:t>st</w:t>
      </w:r>
      <w:r>
        <w:t xml:space="preserve"> December 2014. This is the only corporate plan available on the Judicial Department web site. </w:t>
      </w:r>
    </w:p>
  </w:footnote>
  <w:footnote w:id="69">
    <w:p w14:paraId="60E542AA" w14:textId="1B00BAB7" w:rsidR="00DE577B" w:rsidRPr="00F955AC" w:rsidRDefault="00DE577B">
      <w:pPr>
        <w:pStyle w:val="FootnoteText"/>
        <w:rPr>
          <w:lang w:val="en-US"/>
        </w:rPr>
      </w:pPr>
      <w:r>
        <w:rPr>
          <w:rStyle w:val="FootnoteReference"/>
        </w:rPr>
        <w:footnoteRef/>
      </w:r>
      <w:r>
        <w:t xml:space="preserve"> Interview with PM and A2J Advisor UNDP, 24</w:t>
      </w:r>
      <w:r w:rsidRPr="00BF1C5E">
        <w:t xml:space="preserve"> April 2019; Interview with Chief Justice and CR Judicial Department, </w:t>
      </w:r>
      <w:r>
        <w:t>1 May</w:t>
      </w:r>
      <w:r w:rsidRPr="00BF1C5E">
        <w:t xml:space="preserve"> 2019.</w:t>
      </w:r>
      <w:r>
        <w:t xml:space="preserve">  </w:t>
      </w:r>
    </w:p>
  </w:footnote>
  <w:footnote w:id="70">
    <w:p w14:paraId="72212B98" w14:textId="700851F7" w:rsidR="00DE577B" w:rsidRPr="002C08C7" w:rsidRDefault="00DE577B">
      <w:pPr>
        <w:pStyle w:val="FootnoteText"/>
        <w:rPr>
          <w:lang w:val="en-US"/>
        </w:rPr>
      </w:pPr>
      <w:r>
        <w:rPr>
          <w:rStyle w:val="FootnoteReference"/>
        </w:rPr>
        <w:footnoteRef/>
      </w:r>
      <w:r>
        <w:t xml:space="preserve"> </w:t>
      </w:r>
      <w:r>
        <w:rPr>
          <w:lang w:val="en-US"/>
        </w:rPr>
        <w:t xml:space="preserve">Adam Liptak, “Accused of ‘Terrorism’ for Putting Legal Materials On-Line,” NY Times. May 13, 2019. </w:t>
      </w:r>
      <w:hyperlink r:id="rId8" w:history="1">
        <w:r>
          <w:rPr>
            <w:rStyle w:val="Hyperlink"/>
          </w:rPr>
          <w:t>https://www.nytimes.com/2019/05/13/us/politics/georgia-official-code-copyright.html</w:t>
        </w:r>
      </w:hyperlink>
    </w:p>
  </w:footnote>
  <w:footnote w:id="71">
    <w:p w14:paraId="7E14AC6A" w14:textId="639B6056" w:rsidR="00DE577B" w:rsidRPr="00BD1027" w:rsidRDefault="00DE577B">
      <w:pPr>
        <w:pStyle w:val="FootnoteText"/>
        <w:rPr>
          <w:lang w:val="en-US"/>
        </w:rPr>
      </w:pPr>
      <w:r>
        <w:rPr>
          <w:rStyle w:val="FootnoteReference"/>
        </w:rPr>
        <w:footnoteRef/>
      </w:r>
      <w:r>
        <w:t xml:space="preserve"> </w:t>
      </w:r>
      <w:r>
        <w:rPr>
          <w:lang w:val="en-US"/>
        </w:rPr>
        <w:t xml:space="preserve">ROM at 7. </w:t>
      </w:r>
    </w:p>
  </w:footnote>
  <w:footnote w:id="72">
    <w:p w14:paraId="15CD17BD" w14:textId="0AC6D939" w:rsidR="00DE577B" w:rsidRPr="00BD1027" w:rsidRDefault="00DE577B">
      <w:pPr>
        <w:pStyle w:val="FootnoteText"/>
        <w:rPr>
          <w:lang w:val="en-US"/>
        </w:rPr>
      </w:pPr>
      <w:r>
        <w:rPr>
          <w:rStyle w:val="FootnoteReference"/>
        </w:rPr>
        <w:footnoteRef/>
      </w:r>
      <w:r>
        <w:t xml:space="preserve"> </w:t>
      </w:r>
      <w:r>
        <w:rPr>
          <w:lang w:val="en-US"/>
        </w:rPr>
        <w:t xml:space="preserve">See ROM at 6. Note that budget reviews did not raise any concerns about whether staff costs were misallocated. </w:t>
      </w:r>
    </w:p>
  </w:footnote>
  <w:footnote w:id="73">
    <w:p w14:paraId="4B68BF6C" w14:textId="68D98A20" w:rsidR="00DE577B" w:rsidRPr="006C3543" w:rsidRDefault="00DE577B">
      <w:pPr>
        <w:pStyle w:val="FootnoteText"/>
        <w:rPr>
          <w:lang w:val="en-US"/>
        </w:rPr>
      </w:pPr>
      <w:r>
        <w:rPr>
          <w:rStyle w:val="FootnoteReference"/>
        </w:rPr>
        <w:footnoteRef/>
      </w:r>
      <w:r>
        <w:t xml:space="preserve"> </w:t>
      </w:r>
      <w:r>
        <w:rPr>
          <w:lang w:val="en-US"/>
        </w:rPr>
        <w:t>Interview Governance Coordinator UNDP, 30</w:t>
      </w:r>
      <w:r w:rsidRPr="00BF1C5E">
        <w:rPr>
          <w:lang w:val="en-US"/>
        </w:rPr>
        <w:t xml:space="preserve"> April 2019.</w:t>
      </w:r>
      <w:r>
        <w:rPr>
          <w:lang w:val="en-US"/>
        </w:rPr>
        <w:t xml:space="preserve"> </w:t>
      </w:r>
    </w:p>
  </w:footnote>
  <w:footnote w:id="74">
    <w:p w14:paraId="562970CB" w14:textId="2862CC53" w:rsidR="00DE577B" w:rsidRPr="006C3543" w:rsidRDefault="00DE577B">
      <w:pPr>
        <w:pStyle w:val="FootnoteText"/>
        <w:rPr>
          <w:lang w:val="en-US"/>
        </w:rPr>
      </w:pPr>
      <w:r>
        <w:rPr>
          <w:rStyle w:val="FootnoteReference"/>
        </w:rPr>
        <w:footnoteRef/>
      </w:r>
      <w:r>
        <w:t xml:space="preserve"> </w:t>
      </w:r>
      <w:r>
        <w:rPr>
          <w:lang w:val="en-US"/>
        </w:rPr>
        <w:t xml:space="preserve">Interview FA2J PM UNDP, 24 April 2019. </w:t>
      </w:r>
    </w:p>
  </w:footnote>
  <w:footnote w:id="75">
    <w:p w14:paraId="148D654D" w14:textId="2A63693B" w:rsidR="00DE577B" w:rsidRPr="0088710B" w:rsidRDefault="00DE577B">
      <w:pPr>
        <w:pStyle w:val="FootnoteText"/>
        <w:rPr>
          <w:lang w:val="en-US"/>
        </w:rPr>
      </w:pPr>
      <w:r>
        <w:rPr>
          <w:rStyle w:val="FootnoteReference"/>
        </w:rPr>
        <w:footnoteRef/>
      </w:r>
      <w:r>
        <w:t xml:space="preserve"> </w:t>
      </w:r>
      <w:r>
        <w:rPr>
          <w:lang w:val="en-US"/>
        </w:rPr>
        <w:t xml:space="preserve">Interview EU Delegation, 24 April 2019. </w:t>
      </w:r>
    </w:p>
  </w:footnote>
  <w:footnote w:id="76">
    <w:p w14:paraId="69C3B728" w14:textId="3BC5C552" w:rsidR="00DE577B" w:rsidRPr="0024073B" w:rsidRDefault="00DE577B">
      <w:pPr>
        <w:pStyle w:val="FootnoteText"/>
        <w:rPr>
          <w:lang w:val="en-US"/>
        </w:rPr>
      </w:pPr>
      <w:r>
        <w:rPr>
          <w:rStyle w:val="FootnoteReference"/>
        </w:rPr>
        <w:footnoteRef/>
      </w:r>
      <w:r>
        <w:t xml:space="preserve"> </w:t>
      </w:r>
      <w:r>
        <w:rPr>
          <w:lang w:val="en-US"/>
        </w:rPr>
        <w:t xml:space="preserve">ROM at 5. </w:t>
      </w:r>
    </w:p>
  </w:footnote>
  <w:footnote w:id="77">
    <w:p w14:paraId="7DC6B1C0" w14:textId="42140997" w:rsidR="00DE577B" w:rsidRPr="002F6828" w:rsidRDefault="00DE577B">
      <w:pPr>
        <w:pStyle w:val="FootnoteText"/>
        <w:rPr>
          <w:lang w:val="en-US"/>
        </w:rPr>
      </w:pPr>
      <w:r>
        <w:rPr>
          <w:rStyle w:val="FootnoteReference"/>
        </w:rPr>
        <w:footnoteRef/>
      </w:r>
      <w:r>
        <w:t xml:space="preserve"> </w:t>
      </w:r>
      <w:r>
        <w:rPr>
          <w:lang w:val="en-US"/>
        </w:rPr>
        <w:t>UNDP Internal Report. 2018 Budget vs Actual. April 2019.</w:t>
      </w:r>
    </w:p>
  </w:footnote>
  <w:footnote w:id="78">
    <w:p w14:paraId="6F2D8464" w14:textId="7F9FAFC2" w:rsidR="00DE577B" w:rsidRPr="00DE3CDC" w:rsidRDefault="00DE577B">
      <w:pPr>
        <w:pStyle w:val="FootnoteText"/>
        <w:rPr>
          <w:lang w:val="en-US"/>
        </w:rPr>
      </w:pPr>
      <w:r>
        <w:rPr>
          <w:rStyle w:val="FootnoteReference"/>
        </w:rPr>
        <w:footnoteRef/>
      </w:r>
      <w:r>
        <w:t xml:space="preserve"> </w:t>
      </w:r>
      <w:r>
        <w:rPr>
          <w:lang w:val="en-US"/>
        </w:rPr>
        <w:t xml:space="preserve">Interview OIC </w:t>
      </w:r>
      <w:r w:rsidRPr="00BF1C5E">
        <w:rPr>
          <w:lang w:val="en-US"/>
        </w:rPr>
        <w:t xml:space="preserve">LAC North, </w:t>
      </w:r>
      <w:r>
        <w:rPr>
          <w:lang w:val="en-US"/>
        </w:rPr>
        <w:t>26</w:t>
      </w:r>
      <w:r w:rsidRPr="00BF1C5E">
        <w:rPr>
          <w:lang w:val="en-US"/>
        </w:rPr>
        <w:t xml:space="preserve"> April</w:t>
      </w:r>
      <w:r>
        <w:rPr>
          <w:lang w:val="en-US"/>
        </w:rPr>
        <w:t xml:space="preserve"> 2019. </w:t>
      </w:r>
    </w:p>
  </w:footnote>
  <w:footnote w:id="79">
    <w:p w14:paraId="0783FF36" w14:textId="03956B22" w:rsidR="00DE577B" w:rsidRPr="00DE3CDC" w:rsidRDefault="00DE577B">
      <w:pPr>
        <w:pStyle w:val="FootnoteText"/>
        <w:rPr>
          <w:lang w:val="en-US"/>
        </w:rPr>
      </w:pPr>
      <w:r>
        <w:rPr>
          <w:rStyle w:val="FootnoteReference"/>
        </w:rPr>
        <w:footnoteRef/>
      </w:r>
      <w:r>
        <w:t xml:space="preserve"> </w:t>
      </w:r>
      <w:r>
        <w:rPr>
          <w:lang w:val="en-US"/>
        </w:rPr>
        <w:t xml:space="preserve">Interview Asst Commissioner of Police, 30 April 2019. </w:t>
      </w:r>
    </w:p>
  </w:footnote>
  <w:footnote w:id="80">
    <w:p w14:paraId="4BE30AB9" w14:textId="716619C0" w:rsidR="00DE577B" w:rsidRPr="0091545F" w:rsidRDefault="00DE577B">
      <w:pPr>
        <w:pStyle w:val="FootnoteText"/>
        <w:rPr>
          <w:lang w:val="en-US"/>
        </w:rPr>
      </w:pPr>
      <w:r>
        <w:rPr>
          <w:rStyle w:val="FootnoteReference"/>
        </w:rPr>
        <w:footnoteRef/>
      </w:r>
      <w:r>
        <w:t xml:space="preserve"> </w:t>
      </w:r>
      <w:r>
        <w:rPr>
          <w:lang w:val="en-US"/>
        </w:rPr>
        <w:t xml:space="preserve">Interview EU Delegation, _24 April, 2019; Interview Acting Director LAC, 24 April 2019. </w:t>
      </w:r>
    </w:p>
  </w:footnote>
  <w:footnote w:id="81">
    <w:p w14:paraId="1CC42F6D" w14:textId="5038F1CB" w:rsidR="00DE577B" w:rsidRPr="00477228" w:rsidRDefault="00DE577B">
      <w:pPr>
        <w:pStyle w:val="FootnoteText"/>
        <w:rPr>
          <w:lang w:val="en-US"/>
        </w:rPr>
      </w:pPr>
      <w:r>
        <w:rPr>
          <w:rStyle w:val="FootnoteReference"/>
        </w:rPr>
        <w:footnoteRef/>
      </w:r>
      <w:r>
        <w:t xml:space="preserve"> </w:t>
      </w:r>
      <w:r>
        <w:rPr>
          <w:lang w:val="en-US"/>
        </w:rPr>
        <w:t xml:space="preserve">Interview Asst Commissioner of Police, 30 April 2019. </w:t>
      </w:r>
    </w:p>
  </w:footnote>
  <w:footnote w:id="82">
    <w:p w14:paraId="77BFF7E3" w14:textId="77777777" w:rsidR="00DE577B" w:rsidRPr="006E1A2F" w:rsidRDefault="00DE577B" w:rsidP="000233D4">
      <w:pPr>
        <w:pStyle w:val="FootnoteText"/>
        <w:rPr>
          <w:lang w:val="en-US"/>
        </w:rPr>
      </w:pPr>
      <w:r>
        <w:rPr>
          <w:rStyle w:val="FootnoteReference"/>
        </w:rPr>
        <w:footnoteRef/>
      </w:r>
      <w:r>
        <w:t xml:space="preserve"> </w:t>
      </w:r>
      <w:r>
        <w:rPr>
          <w:lang w:val="en-US"/>
        </w:rPr>
        <w:t xml:space="preserve">Interview President, FDPF. 3 May 2019. </w:t>
      </w:r>
    </w:p>
  </w:footnote>
  <w:footnote w:id="83">
    <w:p w14:paraId="1A95B5B4" w14:textId="77777777" w:rsidR="00DE577B" w:rsidRPr="005E139F" w:rsidRDefault="00DE577B" w:rsidP="000233D4">
      <w:pPr>
        <w:pStyle w:val="FootnoteText"/>
        <w:rPr>
          <w:lang w:val="en-US"/>
        </w:rPr>
      </w:pPr>
      <w:r>
        <w:rPr>
          <w:rStyle w:val="FootnoteReference"/>
        </w:rPr>
        <w:footnoteRef/>
      </w:r>
      <w:r>
        <w:t xml:space="preserve"> Interview Director, FWRM. 9 May 2019. </w:t>
      </w:r>
    </w:p>
  </w:footnote>
  <w:footnote w:id="84">
    <w:p w14:paraId="0F32DA66" w14:textId="0A8A167C" w:rsidR="00DE577B" w:rsidRPr="00B21817" w:rsidRDefault="00DE577B">
      <w:pPr>
        <w:pStyle w:val="FootnoteText"/>
        <w:rPr>
          <w:lang w:val="en-US"/>
        </w:rPr>
      </w:pPr>
      <w:r>
        <w:rPr>
          <w:rStyle w:val="FootnoteReference"/>
        </w:rPr>
        <w:footnoteRef/>
      </w:r>
      <w:r>
        <w:t xml:space="preserve"> </w:t>
      </w:r>
      <w:r>
        <w:rPr>
          <w:lang w:val="en-US"/>
        </w:rPr>
        <w:t>Interview Director FWRM, 9 May 2019.</w:t>
      </w:r>
    </w:p>
  </w:footnote>
  <w:footnote w:id="85">
    <w:p w14:paraId="26068B13" w14:textId="475F5456" w:rsidR="00DE577B" w:rsidRPr="00E81209" w:rsidRDefault="00DE577B">
      <w:pPr>
        <w:pStyle w:val="FootnoteText"/>
        <w:rPr>
          <w:lang w:val="en-US"/>
        </w:rPr>
      </w:pPr>
      <w:r>
        <w:rPr>
          <w:rStyle w:val="FootnoteReference"/>
        </w:rPr>
        <w:footnoteRef/>
      </w:r>
      <w:r>
        <w:t xml:space="preserve"> </w:t>
      </w:r>
      <w:r>
        <w:rPr>
          <w:lang w:val="en-US"/>
        </w:rPr>
        <w:t xml:space="preserve">United Nations Pacific Strategy 2018-2022: A Multi-Country Sustainable Development Framework in the Pacific Region. </w:t>
      </w:r>
    </w:p>
  </w:footnote>
  <w:footnote w:id="86">
    <w:p w14:paraId="4846D379" w14:textId="3C70AE04" w:rsidR="00DE577B" w:rsidRPr="00F634E3" w:rsidRDefault="00DE577B">
      <w:pPr>
        <w:pStyle w:val="FootnoteText"/>
        <w:rPr>
          <w:lang w:val="en-US"/>
        </w:rPr>
      </w:pPr>
      <w:r>
        <w:rPr>
          <w:rStyle w:val="FootnoteReference"/>
        </w:rPr>
        <w:footnoteRef/>
      </w:r>
      <w:r>
        <w:t xml:space="preserve"> </w:t>
      </w:r>
      <w:r>
        <w:rPr>
          <w:lang w:val="en-US"/>
        </w:rPr>
        <w:t xml:space="preserve">Interview UN Women, 3 May 2019. </w:t>
      </w:r>
    </w:p>
  </w:footnote>
  <w:footnote w:id="87">
    <w:p w14:paraId="15B341D9" w14:textId="35653024" w:rsidR="00DE577B" w:rsidRPr="00CF50F1" w:rsidRDefault="00DE577B">
      <w:pPr>
        <w:pStyle w:val="FootnoteText"/>
        <w:rPr>
          <w:lang w:val="en-US"/>
        </w:rPr>
      </w:pPr>
      <w:r>
        <w:rPr>
          <w:rStyle w:val="FootnoteReference"/>
        </w:rPr>
        <w:footnoteRef/>
      </w:r>
      <w:r>
        <w:t xml:space="preserve"> </w:t>
      </w:r>
      <w:r>
        <w:rPr>
          <w:lang w:val="en-US"/>
        </w:rPr>
        <w:t xml:space="preserve">UNDP. Description of Action: Fiji Access to Justice Project. FED/2016/378-171 </w:t>
      </w:r>
    </w:p>
  </w:footnote>
  <w:footnote w:id="88">
    <w:p w14:paraId="2E1E1F6D" w14:textId="55F98EE6" w:rsidR="00DE577B" w:rsidRPr="00AD517C" w:rsidRDefault="00DE577B">
      <w:pPr>
        <w:pStyle w:val="FootnoteText"/>
        <w:rPr>
          <w:lang w:val="en-US"/>
        </w:rPr>
      </w:pPr>
      <w:r>
        <w:rPr>
          <w:rStyle w:val="FootnoteReference"/>
        </w:rPr>
        <w:footnoteRef/>
      </w:r>
      <w:r>
        <w:t xml:space="preserve"> </w:t>
      </w:r>
      <w:r>
        <w:rPr>
          <w:lang w:val="en-US"/>
        </w:rPr>
        <w:t xml:space="preserve">Financing Agreement at 2. </w:t>
      </w:r>
    </w:p>
  </w:footnote>
  <w:footnote w:id="89">
    <w:p w14:paraId="33AD28F9" w14:textId="1A30FF5D" w:rsidR="00DE577B" w:rsidRPr="007F459B" w:rsidRDefault="00DE577B">
      <w:pPr>
        <w:pStyle w:val="FootnoteText"/>
        <w:rPr>
          <w:lang w:val="en-US"/>
        </w:rPr>
      </w:pPr>
      <w:r>
        <w:rPr>
          <w:rStyle w:val="FootnoteReference"/>
        </w:rPr>
        <w:footnoteRef/>
      </w:r>
      <w:r>
        <w:t xml:space="preserve"> </w:t>
      </w:r>
      <w:r>
        <w:rPr>
          <w:lang w:val="en-US"/>
        </w:rPr>
        <w:t>Interview Director FWRM, 9 May 2019; Interview UN Women, 3 May 2019.</w:t>
      </w:r>
    </w:p>
  </w:footnote>
  <w:footnote w:id="90">
    <w:p w14:paraId="5BB68A86" w14:textId="77777777" w:rsidR="00DE577B" w:rsidRPr="00CF50F1" w:rsidRDefault="00DE577B" w:rsidP="000E59D5">
      <w:pPr>
        <w:pStyle w:val="FootnoteText"/>
        <w:rPr>
          <w:lang w:val="en-US"/>
        </w:rPr>
      </w:pPr>
      <w:r>
        <w:rPr>
          <w:rStyle w:val="FootnoteReference"/>
        </w:rPr>
        <w:footnoteRef/>
      </w:r>
      <w:r>
        <w:t xml:space="preserve"> </w:t>
      </w:r>
      <w:r>
        <w:rPr>
          <w:lang w:val="en-US"/>
        </w:rPr>
        <w:t xml:space="preserve">UNDP. Description of Action: Fiji Access to Justice Project. FED/2016/378-171 </w:t>
      </w:r>
    </w:p>
  </w:footnote>
  <w:footnote w:id="91">
    <w:p w14:paraId="691C40BE" w14:textId="77777777" w:rsidR="00DE577B" w:rsidRPr="00A6516B" w:rsidRDefault="00DE577B" w:rsidP="005E090F">
      <w:pPr>
        <w:pStyle w:val="FootnoteText"/>
        <w:rPr>
          <w:lang w:val="en-US"/>
        </w:rPr>
      </w:pPr>
      <w:r>
        <w:rPr>
          <w:rStyle w:val="FootnoteReference"/>
        </w:rPr>
        <w:footnoteRef/>
      </w:r>
      <w:r>
        <w:t xml:space="preserve"> </w:t>
      </w:r>
      <w:r>
        <w:rPr>
          <w:lang w:val="en-US"/>
        </w:rPr>
        <w:t xml:space="preserve">Interview Country Director, MSP. 29 April 2019. </w:t>
      </w:r>
    </w:p>
  </w:footnote>
  <w:footnote w:id="92">
    <w:p w14:paraId="4747A394" w14:textId="77777777" w:rsidR="00DE577B" w:rsidRPr="0036021E" w:rsidRDefault="00DE577B" w:rsidP="00AD7A04">
      <w:pPr>
        <w:pStyle w:val="FootnoteText"/>
        <w:rPr>
          <w:lang w:val="en-US"/>
        </w:rPr>
      </w:pPr>
      <w:r>
        <w:rPr>
          <w:rStyle w:val="FootnoteReference"/>
        </w:rPr>
        <w:footnoteRef/>
      </w:r>
      <w:r>
        <w:t xml:space="preserve"> </w:t>
      </w:r>
      <w:r>
        <w:rPr>
          <w:lang w:val="en-US"/>
        </w:rPr>
        <w:t xml:space="preserve">EU. Results Oriented Monitoring Report (ROM): Fiji Access to Justice Integrated Technical Assistance Programme. January 2019 (DRAFT). (Results Oriented Monitoring Report). </w:t>
      </w:r>
    </w:p>
  </w:footnote>
  <w:footnote w:id="93">
    <w:p w14:paraId="41A7CD78" w14:textId="77777777" w:rsidR="00DE577B" w:rsidRPr="00A6290F" w:rsidRDefault="00DE577B" w:rsidP="005E090F">
      <w:pPr>
        <w:pStyle w:val="FootnoteText"/>
        <w:rPr>
          <w:lang w:val="en-US"/>
        </w:rPr>
      </w:pPr>
      <w:r>
        <w:rPr>
          <w:rStyle w:val="FootnoteReference"/>
        </w:rPr>
        <w:footnoteRef/>
      </w:r>
      <w:r>
        <w:t xml:space="preserve"> </w:t>
      </w:r>
      <w:r>
        <w:rPr>
          <w:lang w:val="en-US"/>
        </w:rPr>
        <w:t xml:space="preserve">During the 7 May 2019 </w:t>
      </w:r>
      <w:proofErr w:type="spellStart"/>
      <w:r>
        <w:rPr>
          <w:lang w:val="en-US"/>
        </w:rPr>
        <w:t>Outbrief</w:t>
      </w:r>
      <w:proofErr w:type="spellEnd"/>
      <w:r>
        <w:rPr>
          <w:lang w:val="en-US"/>
        </w:rPr>
        <w:t xml:space="preserve">, a question was raised regarding gaps in attention to CSOs; the Financing Agreement establishes Component II Result 3 to focus on the development of accompaniment services by CSOs in cooperation with LAC. However, on page 10 of the Financing Agreement, the drafters also note that specific targets relating to NGOs “will be set annually and monitored by the Steering Committee”. The lack of annual reviews of targets appears to therefore be the cause of gaps from both the perspective of the Financing Agreement and the Project Document. </w:t>
      </w:r>
    </w:p>
  </w:footnote>
  <w:footnote w:id="94">
    <w:p w14:paraId="42CED4BD" w14:textId="070AAE5E" w:rsidR="00DE577B" w:rsidRPr="004409C2" w:rsidRDefault="00DE577B">
      <w:pPr>
        <w:pStyle w:val="FootnoteText"/>
        <w:rPr>
          <w:lang w:val="en-US"/>
        </w:rPr>
      </w:pPr>
      <w:r>
        <w:rPr>
          <w:rStyle w:val="FootnoteReference"/>
        </w:rPr>
        <w:footnoteRef/>
      </w:r>
      <w:r>
        <w:t xml:space="preserve"> </w:t>
      </w:r>
      <w:r>
        <w:rPr>
          <w:lang w:val="en-US"/>
        </w:rPr>
        <w:t xml:space="preserve">The World Bank (WB) reports that the basic needs poverty line for Fiji is USD 3.10 per day (approximately FJD 6.73 / day, or FJD 2,456 / year), which is far below the LAC means test limit of FJD 15,000. Using 2008/09 data, the WB estimated that urban poverty in Fiji had dropped to around 26%, but rural poverty remained at 44% and rates for urban squatter settlements were a primary reason for limited progress against some poverty indicators. The World Bank. Country Engagement Note for the Republic of Fiji for the Period FY 2015-2017. 4 February 2015. </w:t>
      </w:r>
    </w:p>
  </w:footnote>
  <w:footnote w:id="95">
    <w:p w14:paraId="1EBD1639" w14:textId="288351E0" w:rsidR="00DE577B" w:rsidRPr="003D5AFC" w:rsidRDefault="00DE577B" w:rsidP="005E090F">
      <w:pPr>
        <w:pStyle w:val="FootnoteText"/>
        <w:rPr>
          <w:lang w:val="en-US"/>
        </w:rPr>
      </w:pPr>
      <w:r>
        <w:rPr>
          <w:rStyle w:val="FootnoteReference"/>
        </w:rPr>
        <w:footnoteRef/>
      </w:r>
      <w:r>
        <w:t xml:space="preserve"> </w:t>
      </w:r>
      <w:r>
        <w:rPr>
          <w:lang w:val="en-US"/>
        </w:rPr>
        <w:t xml:space="preserve">Noting that FA2J duty bearer partners have endorsed a Government of Fiji protocol relating to GBV that can provide a basis for discussions on gender-related aspects of materials and a framework to guide the development of materials for people with disabilities. Ministry of Women, Children &amp; Poverty Alleviation. Fiji National Service Delivery Protocol for Responding to Cases of Gender Based Violence. February 2018. (Supported by UN Women). </w:t>
      </w:r>
    </w:p>
  </w:footnote>
  <w:footnote w:id="96">
    <w:p w14:paraId="085E8812" w14:textId="77777777" w:rsidR="00DE577B" w:rsidRPr="00336097" w:rsidRDefault="00DE577B" w:rsidP="00556282">
      <w:pPr>
        <w:pStyle w:val="FootnoteText"/>
        <w:rPr>
          <w:lang w:val="en-US"/>
        </w:rPr>
      </w:pPr>
      <w:r>
        <w:rPr>
          <w:rStyle w:val="FootnoteReference"/>
        </w:rPr>
        <w:footnoteRef/>
      </w:r>
      <w:r>
        <w:t xml:space="preserve"> </w:t>
      </w:r>
      <w:r>
        <w:rPr>
          <w:lang w:val="en-US"/>
        </w:rPr>
        <w:t xml:space="preserve">Interview Asst Commissioner of Police, 30 April 2019; Interview DPP, 3 May 2019. </w:t>
      </w:r>
    </w:p>
  </w:footnote>
  <w:footnote w:id="97">
    <w:p w14:paraId="0D475343" w14:textId="317F8643" w:rsidR="00A54686" w:rsidRPr="00A54686" w:rsidRDefault="00A54686">
      <w:pPr>
        <w:pStyle w:val="FootnoteText"/>
        <w:rPr>
          <w:lang w:val="en-US"/>
        </w:rPr>
      </w:pPr>
      <w:r>
        <w:rPr>
          <w:rStyle w:val="FootnoteReference"/>
        </w:rPr>
        <w:footnoteRef/>
      </w:r>
      <w:r>
        <w:t xml:space="preserve"> </w:t>
      </w:r>
      <w:r>
        <w:rPr>
          <w:lang w:val="en-US"/>
        </w:rPr>
        <w:t xml:space="preserve">Papua New Guinea, for example, has had some positive results with its Law and Justice Sector National Coordinating Mechanism, which has extensive support from the Government of Australia but faces challenges. See </w:t>
      </w:r>
      <w:hyperlink r:id="rId9" w:history="1">
        <w:r>
          <w:rPr>
            <w:rStyle w:val="Hyperlink"/>
          </w:rPr>
          <w:t>https://dfat.gov.au/about-us/publications/Documents/png-law-and-justice-jss4d-design.pdf</w:t>
        </w:r>
      </w:hyperlink>
      <w:r>
        <w:t xml:space="preserve">. </w:t>
      </w:r>
    </w:p>
  </w:footnote>
  <w:footnote w:id="98">
    <w:p w14:paraId="23E9A026" w14:textId="4DA8D73B" w:rsidR="00BB7949" w:rsidRPr="00BB7949" w:rsidRDefault="00BB7949">
      <w:pPr>
        <w:pStyle w:val="FootnoteText"/>
        <w:rPr>
          <w:lang w:val="en-US"/>
        </w:rPr>
      </w:pPr>
      <w:r>
        <w:rPr>
          <w:rStyle w:val="FootnoteReference"/>
        </w:rPr>
        <w:footnoteRef/>
      </w:r>
      <w:r>
        <w:t xml:space="preserve"> </w:t>
      </w:r>
      <w:r>
        <w:rPr>
          <w:lang w:val="en-US"/>
        </w:rPr>
        <w:t xml:space="preserve">Balancing the Scales (Full Digital Report) at 26.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D8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99D6D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A02666"/>
    <w:multiLevelType w:val="hybridMultilevel"/>
    <w:tmpl w:val="ED4E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D3A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06BCF"/>
    <w:multiLevelType w:val="hybridMultilevel"/>
    <w:tmpl w:val="5F7E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2884"/>
    <w:multiLevelType w:val="hybridMultilevel"/>
    <w:tmpl w:val="0CF8D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92475"/>
    <w:multiLevelType w:val="hybridMultilevel"/>
    <w:tmpl w:val="8C24D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21894"/>
    <w:multiLevelType w:val="hybridMultilevel"/>
    <w:tmpl w:val="0CF8D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F49D3"/>
    <w:multiLevelType w:val="hybridMultilevel"/>
    <w:tmpl w:val="D2B27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D2826"/>
    <w:multiLevelType w:val="hybridMultilevel"/>
    <w:tmpl w:val="0AE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F4FC0"/>
    <w:multiLevelType w:val="hybridMultilevel"/>
    <w:tmpl w:val="AE48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3105D1"/>
    <w:multiLevelType w:val="hybridMultilevel"/>
    <w:tmpl w:val="BB425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625F5"/>
    <w:multiLevelType w:val="multilevel"/>
    <w:tmpl w:val="D360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E4745D"/>
    <w:multiLevelType w:val="hybridMultilevel"/>
    <w:tmpl w:val="D534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30842"/>
    <w:multiLevelType w:val="hybridMultilevel"/>
    <w:tmpl w:val="38743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200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60B46"/>
    <w:multiLevelType w:val="hybridMultilevel"/>
    <w:tmpl w:val="6EC88EE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3C635B99"/>
    <w:multiLevelType w:val="hybridMultilevel"/>
    <w:tmpl w:val="38743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11F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E12EA9"/>
    <w:multiLevelType w:val="hybridMultilevel"/>
    <w:tmpl w:val="32D4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F167C"/>
    <w:multiLevelType w:val="hybridMultilevel"/>
    <w:tmpl w:val="1AAE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F6D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B543C1"/>
    <w:multiLevelType w:val="multilevel"/>
    <w:tmpl w:val="0B0620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CD74D83"/>
    <w:multiLevelType w:val="hybridMultilevel"/>
    <w:tmpl w:val="E492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
  </w:num>
  <w:num w:numId="4">
    <w:abstractNumId w:val="6"/>
  </w:num>
  <w:num w:numId="5">
    <w:abstractNumId w:val="0"/>
  </w:num>
  <w:num w:numId="6">
    <w:abstractNumId w:val="15"/>
  </w:num>
  <w:num w:numId="7">
    <w:abstractNumId w:val="21"/>
  </w:num>
  <w:num w:numId="8">
    <w:abstractNumId w:val="12"/>
  </w:num>
  <w:num w:numId="9">
    <w:abstractNumId w:val="23"/>
  </w:num>
  <w:num w:numId="10">
    <w:abstractNumId w:val="3"/>
  </w:num>
  <w:num w:numId="11">
    <w:abstractNumId w:val="18"/>
  </w:num>
  <w:num w:numId="12">
    <w:abstractNumId w:val="10"/>
  </w:num>
  <w:num w:numId="13">
    <w:abstractNumId w:val="19"/>
  </w:num>
  <w:num w:numId="14">
    <w:abstractNumId w:val="13"/>
  </w:num>
  <w:num w:numId="15">
    <w:abstractNumId w:val="20"/>
  </w:num>
  <w:num w:numId="16">
    <w:abstractNumId w:val="16"/>
  </w:num>
  <w:num w:numId="17">
    <w:abstractNumId w:val="4"/>
  </w:num>
  <w:num w:numId="18">
    <w:abstractNumId w:val="9"/>
  </w:num>
  <w:num w:numId="19">
    <w:abstractNumId w:val="5"/>
  </w:num>
  <w:num w:numId="20">
    <w:abstractNumId w:val="2"/>
  </w:num>
  <w:num w:numId="21">
    <w:abstractNumId w:val="17"/>
  </w:num>
  <w:num w:numId="22">
    <w:abstractNumId w:val="7"/>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41"/>
    <w:rsid w:val="00014758"/>
    <w:rsid w:val="00014D2F"/>
    <w:rsid w:val="0001528B"/>
    <w:rsid w:val="000153EC"/>
    <w:rsid w:val="000233D4"/>
    <w:rsid w:val="00024460"/>
    <w:rsid w:val="0003009B"/>
    <w:rsid w:val="000338E6"/>
    <w:rsid w:val="00035713"/>
    <w:rsid w:val="000357A0"/>
    <w:rsid w:val="000407B5"/>
    <w:rsid w:val="00056698"/>
    <w:rsid w:val="00074BE7"/>
    <w:rsid w:val="00076376"/>
    <w:rsid w:val="00080DB1"/>
    <w:rsid w:val="00085040"/>
    <w:rsid w:val="0009031C"/>
    <w:rsid w:val="0009420A"/>
    <w:rsid w:val="000B0323"/>
    <w:rsid w:val="000B0802"/>
    <w:rsid w:val="000C178C"/>
    <w:rsid w:val="000D2D23"/>
    <w:rsid w:val="000E59D5"/>
    <w:rsid w:val="000F4375"/>
    <w:rsid w:val="00102CB1"/>
    <w:rsid w:val="00111B37"/>
    <w:rsid w:val="00112B76"/>
    <w:rsid w:val="0011458A"/>
    <w:rsid w:val="00122CE0"/>
    <w:rsid w:val="0012422F"/>
    <w:rsid w:val="00135D4C"/>
    <w:rsid w:val="001404A3"/>
    <w:rsid w:val="001452F8"/>
    <w:rsid w:val="001530C2"/>
    <w:rsid w:val="0015390A"/>
    <w:rsid w:val="00154AA2"/>
    <w:rsid w:val="001619F0"/>
    <w:rsid w:val="001908F3"/>
    <w:rsid w:val="001966E3"/>
    <w:rsid w:val="001A1035"/>
    <w:rsid w:val="001B49E9"/>
    <w:rsid w:val="001C2AF1"/>
    <w:rsid w:val="001C7CDE"/>
    <w:rsid w:val="001D5B8E"/>
    <w:rsid w:val="001D5D3C"/>
    <w:rsid w:val="001E131F"/>
    <w:rsid w:val="001E17D2"/>
    <w:rsid w:val="001E372A"/>
    <w:rsid w:val="001E5E06"/>
    <w:rsid w:val="001F2CC3"/>
    <w:rsid w:val="00206AF1"/>
    <w:rsid w:val="002129AA"/>
    <w:rsid w:val="002209D9"/>
    <w:rsid w:val="00223EF0"/>
    <w:rsid w:val="00232F50"/>
    <w:rsid w:val="0024073B"/>
    <w:rsid w:val="002412B2"/>
    <w:rsid w:val="00251D55"/>
    <w:rsid w:val="0025576E"/>
    <w:rsid w:val="002559AE"/>
    <w:rsid w:val="00264B07"/>
    <w:rsid w:val="002736CA"/>
    <w:rsid w:val="00286485"/>
    <w:rsid w:val="002877CE"/>
    <w:rsid w:val="00293EF2"/>
    <w:rsid w:val="002A1363"/>
    <w:rsid w:val="002A58AB"/>
    <w:rsid w:val="002A7F2C"/>
    <w:rsid w:val="002B6A90"/>
    <w:rsid w:val="002C08C7"/>
    <w:rsid w:val="002C2443"/>
    <w:rsid w:val="002C344B"/>
    <w:rsid w:val="002C4A8F"/>
    <w:rsid w:val="002C59AD"/>
    <w:rsid w:val="002D4EB0"/>
    <w:rsid w:val="002D5D27"/>
    <w:rsid w:val="002D766E"/>
    <w:rsid w:val="002F6828"/>
    <w:rsid w:val="003067A9"/>
    <w:rsid w:val="0030735A"/>
    <w:rsid w:val="0031544E"/>
    <w:rsid w:val="00315D18"/>
    <w:rsid w:val="003332A6"/>
    <w:rsid w:val="00336097"/>
    <w:rsid w:val="00336EF8"/>
    <w:rsid w:val="00343AAF"/>
    <w:rsid w:val="003530A4"/>
    <w:rsid w:val="003574EE"/>
    <w:rsid w:val="0036021E"/>
    <w:rsid w:val="003854EF"/>
    <w:rsid w:val="00385CE6"/>
    <w:rsid w:val="003A6967"/>
    <w:rsid w:val="003B0FB8"/>
    <w:rsid w:val="003B7E1C"/>
    <w:rsid w:val="003D5AFC"/>
    <w:rsid w:val="003E5441"/>
    <w:rsid w:val="004027F2"/>
    <w:rsid w:val="00411668"/>
    <w:rsid w:val="00413190"/>
    <w:rsid w:val="00417B32"/>
    <w:rsid w:val="00420FC2"/>
    <w:rsid w:val="00430D2A"/>
    <w:rsid w:val="00440333"/>
    <w:rsid w:val="004409C2"/>
    <w:rsid w:val="00457AEC"/>
    <w:rsid w:val="0047142B"/>
    <w:rsid w:val="00477228"/>
    <w:rsid w:val="00483831"/>
    <w:rsid w:val="0048539A"/>
    <w:rsid w:val="00486C2F"/>
    <w:rsid w:val="0049121F"/>
    <w:rsid w:val="004A0C45"/>
    <w:rsid w:val="004A26B0"/>
    <w:rsid w:val="004A5B3A"/>
    <w:rsid w:val="004B0E87"/>
    <w:rsid w:val="004B2432"/>
    <w:rsid w:val="004B53D3"/>
    <w:rsid w:val="004E0F28"/>
    <w:rsid w:val="004E1E8B"/>
    <w:rsid w:val="004E4C03"/>
    <w:rsid w:val="004F46A2"/>
    <w:rsid w:val="005079B2"/>
    <w:rsid w:val="00511A18"/>
    <w:rsid w:val="00513EF8"/>
    <w:rsid w:val="00514868"/>
    <w:rsid w:val="005215AF"/>
    <w:rsid w:val="005327F0"/>
    <w:rsid w:val="00532B01"/>
    <w:rsid w:val="005333B4"/>
    <w:rsid w:val="005336C6"/>
    <w:rsid w:val="00553EA4"/>
    <w:rsid w:val="00556282"/>
    <w:rsid w:val="00567BA9"/>
    <w:rsid w:val="00580B7D"/>
    <w:rsid w:val="00581BE1"/>
    <w:rsid w:val="00584BD1"/>
    <w:rsid w:val="00585A0A"/>
    <w:rsid w:val="00591B5A"/>
    <w:rsid w:val="00592694"/>
    <w:rsid w:val="005B20F5"/>
    <w:rsid w:val="005D07EF"/>
    <w:rsid w:val="005E090F"/>
    <w:rsid w:val="005E139F"/>
    <w:rsid w:val="005E3630"/>
    <w:rsid w:val="005F5770"/>
    <w:rsid w:val="005F5C5C"/>
    <w:rsid w:val="0060664B"/>
    <w:rsid w:val="00616E8B"/>
    <w:rsid w:val="00621540"/>
    <w:rsid w:val="0062469B"/>
    <w:rsid w:val="00626FC0"/>
    <w:rsid w:val="006307CB"/>
    <w:rsid w:val="006418EC"/>
    <w:rsid w:val="00642959"/>
    <w:rsid w:val="00644AC4"/>
    <w:rsid w:val="0065375E"/>
    <w:rsid w:val="006622D4"/>
    <w:rsid w:val="00671897"/>
    <w:rsid w:val="00672E43"/>
    <w:rsid w:val="00675CB4"/>
    <w:rsid w:val="006809A4"/>
    <w:rsid w:val="0069104D"/>
    <w:rsid w:val="006944FF"/>
    <w:rsid w:val="006A539B"/>
    <w:rsid w:val="006A5E7E"/>
    <w:rsid w:val="006B1A26"/>
    <w:rsid w:val="006B2A65"/>
    <w:rsid w:val="006B7214"/>
    <w:rsid w:val="006C0B74"/>
    <w:rsid w:val="006C0CA4"/>
    <w:rsid w:val="006C3543"/>
    <w:rsid w:val="006C52AD"/>
    <w:rsid w:val="006D442A"/>
    <w:rsid w:val="006E1A2F"/>
    <w:rsid w:val="00704A0D"/>
    <w:rsid w:val="007077AC"/>
    <w:rsid w:val="00707CB6"/>
    <w:rsid w:val="00713F4C"/>
    <w:rsid w:val="00717E54"/>
    <w:rsid w:val="00723F1C"/>
    <w:rsid w:val="00731B09"/>
    <w:rsid w:val="00735208"/>
    <w:rsid w:val="00741DA1"/>
    <w:rsid w:val="00762E6A"/>
    <w:rsid w:val="00766019"/>
    <w:rsid w:val="007679CE"/>
    <w:rsid w:val="00775DB4"/>
    <w:rsid w:val="00777C13"/>
    <w:rsid w:val="00780BF2"/>
    <w:rsid w:val="00782566"/>
    <w:rsid w:val="0079011F"/>
    <w:rsid w:val="00790DCD"/>
    <w:rsid w:val="007913F8"/>
    <w:rsid w:val="007931A2"/>
    <w:rsid w:val="00795498"/>
    <w:rsid w:val="007C2DEC"/>
    <w:rsid w:val="007D4AF3"/>
    <w:rsid w:val="007D6A9C"/>
    <w:rsid w:val="007D71E9"/>
    <w:rsid w:val="007D749B"/>
    <w:rsid w:val="007E1E84"/>
    <w:rsid w:val="007F459B"/>
    <w:rsid w:val="00804595"/>
    <w:rsid w:val="00806EE7"/>
    <w:rsid w:val="00814E64"/>
    <w:rsid w:val="00816A4F"/>
    <w:rsid w:val="00826D9A"/>
    <w:rsid w:val="00836F1D"/>
    <w:rsid w:val="008454A2"/>
    <w:rsid w:val="00847D04"/>
    <w:rsid w:val="00866298"/>
    <w:rsid w:val="0088710B"/>
    <w:rsid w:val="008A08E2"/>
    <w:rsid w:val="008A3C29"/>
    <w:rsid w:val="008C2A57"/>
    <w:rsid w:val="008C5D14"/>
    <w:rsid w:val="008E6F75"/>
    <w:rsid w:val="0090502C"/>
    <w:rsid w:val="00913F83"/>
    <w:rsid w:val="0091545F"/>
    <w:rsid w:val="00926DB5"/>
    <w:rsid w:val="00946D4D"/>
    <w:rsid w:val="00955BA1"/>
    <w:rsid w:val="00957C42"/>
    <w:rsid w:val="00981AED"/>
    <w:rsid w:val="009828CA"/>
    <w:rsid w:val="00995439"/>
    <w:rsid w:val="009B4638"/>
    <w:rsid w:val="009D47BE"/>
    <w:rsid w:val="009D63B5"/>
    <w:rsid w:val="009E612B"/>
    <w:rsid w:val="009F202B"/>
    <w:rsid w:val="009F5BF1"/>
    <w:rsid w:val="009F63FD"/>
    <w:rsid w:val="00A03B07"/>
    <w:rsid w:val="00A050EB"/>
    <w:rsid w:val="00A071A2"/>
    <w:rsid w:val="00A1619C"/>
    <w:rsid w:val="00A20F92"/>
    <w:rsid w:val="00A27567"/>
    <w:rsid w:val="00A30781"/>
    <w:rsid w:val="00A3184F"/>
    <w:rsid w:val="00A3203D"/>
    <w:rsid w:val="00A3420B"/>
    <w:rsid w:val="00A525FE"/>
    <w:rsid w:val="00A54686"/>
    <w:rsid w:val="00A55DAF"/>
    <w:rsid w:val="00A5658A"/>
    <w:rsid w:val="00A6290F"/>
    <w:rsid w:val="00A6516B"/>
    <w:rsid w:val="00A72744"/>
    <w:rsid w:val="00A72BC7"/>
    <w:rsid w:val="00A762CF"/>
    <w:rsid w:val="00A9074D"/>
    <w:rsid w:val="00AC0B05"/>
    <w:rsid w:val="00AD0EC5"/>
    <w:rsid w:val="00AD3B05"/>
    <w:rsid w:val="00AD517C"/>
    <w:rsid w:val="00AD557B"/>
    <w:rsid w:val="00AD7A04"/>
    <w:rsid w:val="00AE5873"/>
    <w:rsid w:val="00B0061A"/>
    <w:rsid w:val="00B01DF7"/>
    <w:rsid w:val="00B076AE"/>
    <w:rsid w:val="00B104D3"/>
    <w:rsid w:val="00B10AF5"/>
    <w:rsid w:val="00B11C41"/>
    <w:rsid w:val="00B12FD0"/>
    <w:rsid w:val="00B17194"/>
    <w:rsid w:val="00B21817"/>
    <w:rsid w:val="00B21C13"/>
    <w:rsid w:val="00B26660"/>
    <w:rsid w:val="00B26B8E"/>
    <w:rsid w:val="00B26BB1"/>
    <w:rsid w:val="00B27C05"/>
    <w:rsid w:val="00B27D05"/>
    <w:rsid w:val="00B342F3"/>
    <w:rsid w:val="00B34D70"/>
    <w:rsid w:val="00B40AC8"/>
    <w:rsid w:val="00B4359F"/>
    <w:rsid w:val="00B435A7"/>
    <w:rsid w:val="00B45BD7"/>
    <w:rsid w:val="00B53848"/>
    <w:rsid w:val="00B56A50"/>
    <w:rsid w:val="00B641D5"/>
    <w:rsid w:val="00B6462D"/>
    <w:rsid w:val="00B6619A"/>
    <w:rsid w:val="00B92493"/>
    <w:rsid w:val="00B96054"/>
    <w:rsid w:val="00BA220E"/>
    <w:rsid w:val="00BA4678"/>
    <w:rsid w:val="00BB1500"/>
    <w:rsid w:val="00BB3A2A"/>
    <w:rsid w:val="00BB3B69"/>
    <w:rsid w:val="00BB7949"/>
    <w:rsid w:val="00BC6B41"/>
    <w:rsid w:val="00BD010C"/>
    <w:rsid w:val="00BD1027"/>
    <w:rsid w:val="00BD34F4"/>
    <w:rsid w:val="00BD3E50"/>
    <w:rsid w:val="00BD62FA"/>
    <w:rsid w:val="00BE1A0F"/>
    <w:rsid w:val="00BE7382"/>
    <w:rsid w:val="00BF1C5E"/>
    <w:rsid w:val="00BF3D50"/>
    <w:rsid w:val="00BF45FE"/>
    <w:rsid w:val="00BF7AFF"/>
    <w:rsid w:val="00C17C6A"/>
    <w:rsid w:val="00C26AC1"/>
    <w:rsid w:val="00C273FB"/>
    <w:rsid w:val="00C27CCD"/>
    <w:rsid w:val="00C33545"/>
    <w:rsid w:val="00C52853"/>
    <w:rsid w:val="00C61F46"/>
    <w:rsid w:val="00C7728B"/>
    <w:rsid w:val="00C8210C"/>
    <w:rsid w:val="00C82DA0"/>
    <w:rsid w:val="00C869B3"/>
    <w:rsid w:val="00C875F4"/>
    <w:rsid w:val="00C9217F"/>
    <w:rsid w:val="00CA3145"/>
    <w:rsid w:val="00CA7A18"/>
    <w:rsid w:val="00CC221F"/>
    <w:rsid w:val="00CD131C"/>
    <w:rsid w:val="00CD542A"/>
    <w:rsid w:val="00CF50F1"/>
    <w:rsid w:val="00D03EC8"/>
    <w:rsid w:val="00D121FA"/>
    <w:rsid w:val="00D129C8"/>
    <w:rsid w:val="00D14CD8"/>
    <w:rsid w:val="00D1693D"/>
    <w:rsid w:val="00D23DD0"/>
    <w:rsid w:val="00D26447"/>
    <w:rsid w:val="00D32012"/>
    <w:rsid w:val="00D335DD"/>
    <w:rsid w:val="00D401BF"/>
    <w:rsid w:val="00D41CFA"/>
    <w:rsid w:val="00D43593"/>
    <w:rsid w:val="00D51FC3"/>
    <w:rsid w:val="00D75C79"/>
    <w:rsid w:val="00D855F0"/>
    <w:rsid w:val="00D86972"/>
    <w:rsid w:val="00D86FF0"/>
    <w:rsid w:val="00D90D72"/>
    <w:rsid w:val="00D914F5"/>
    <w:rsid w:val="00DA5682"/>
    <w:rsid w:val="00DB121B"/>
    <w:rsid w:val="00DC0401"/>
    <w:rsid w:val="00DC16EE"/>
    <w:rsid w:val="00DD037E"/>
    <w:rsid w:val="00DD424E"/>
    <w:rsid w:val="00DE3CDC"/>
    <w:rsid w:val="00DE577B"/>
    <w:rsid w:val="00E00B02"/>
    <w:rsid w:val="00E036A6"/>
    <w:rsid w:val="00E039CF"/>
    <w:rsid w:val="00E05A04"/>
    <w:rsid w:val="00E167C2"/>
    <w:rsid w:val="00E21D22"/>
    <w:rsid w:val="00E420C5"/>
    <w:rsid w:val="00E63BD2"/>
    <w:rsid w:val="00E6597B"/>
    <w:rsid w:val="00E732C1"/>
    <w:rsid w:val="00E81209"/>
    <w:rsid w:val="00E821C6"/>
    <w:rsid w:val="00E85CBF"/>
    <w:rsid w:val="00E874C8"/>
    <w:rsid w:val="00E97603"/>
    <w:rsid w:val="00E97E86"/>
    <w:rsid w:val="00EA4E6A"/>
    <w:rsid w:val="00EC1BF9"/>
    <w:rsid w:val="00EC33B8"/>
    <w:rsid w:val="00EC5703"/>
    <w:rsid w:val="00ED061C"/>
    <w:rsid w:val="00ED629C"/>
    <w:rsid w:val="00ED7AB2"/>
    <w:rsid w:val="00EE7F59"/>
    <w:rsid w:val="00F02BFC"/>
    <w:rsid w:val="00F02FF1"/>
    <w:rsid w:val="00F10160"/>
    <w:rsid w:val="00F116DB"/>
    <w:rsid w:val="00F14364"/>
    <w:rsid w:val="00F174A7"/>
    <w:rsid w:val="00F20363"/>
    <w:rsid w:val="00F27041"/>
    <w:rsid w:val="00F27812"/>
    <w:rsid w:val="00F326DD"/>
    <w:rsid w:val="00F34E26"/>
    <w:rsid w:val="00F42BEB"/>
    <w:rsid w:val="00F634E3"/>
    <w:rsid w:val="00F70968"/>
    <w:rsid w:val="00F71DEE"/>
    <w:rsid w:val="00F7349E"/>
    <w:rsid w:val="00F73CDF"/>
    <w:rsid w:val="00F76CB5"/>
    <w:rsid w:val="00F8229B"/>
    <w:rsid w:val="00F91FD0"/>
    <w:rsid w:val="00F93DE3"/>
    <w:rsid w:val="00F955AC"/>
    <w:rsid w:val="00FC3464"/>
    <w:rsid w:val="00FC427D"/>
    <w:rsid w:val="00FD1056"/>
    <w:rsid w:val="00FD35BC"/>
    <w:rsid w:val="00FF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53D0A"/>
  <w15:chartTrackingRefBased/>
  <w15:docId w15:val="{2475E1E9-D30F-4F5F-A76C-57694065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B5"/>
    <w:pPr>
      <w:spacing w:line="240" w:lineRule="auto"/>
    </w:pPr>
    <w:rPr>
      <w:rFonts w:ascii="Times New Roman" w:eastAsia="Times New Roman" w:hAnsi="Times New Roman" w:cs="Times New Roman"/>
      <w:color w:val="000000" w:themeColor="text1"/>
      <w:szCs w:val="20"/>
      <w:lang w:val="en-GB"/>
    </w:rPr>
  </w:style>
  <w:style w:type="paragraph" w:styleId="Heading1">
    <w:name w:val="heading 1"/>
    <w:basedOn w:val="Normal"/>
    <w:next w:val="Normal"/>
    <w:link w:val="Heading1Char"/>
    <w:uiPriority w:val="9"/>
    <w:qFormat/>
    <w:rsid w:val="00F02F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2F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2443"/>
    <w:pPr>
      <w:keepNext/>
      <w:keepLines/>
      <w:spacing w:before="40"/>
      <w:jc w:val="center"/>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B41"/>
    <w:rPr>
      <w:rFonts w:ascii="Segoe UI" w:eastAsia="Times New Roman" w:hAnsi="Segoe UI" w:cs="Segoe UI"/>
      <w:sz w:val="18"/>
      <w:szCs w:val="18"/>
    </w:rPr>
  </w:style>
  <w:style w:type="table" w:styleId="TableGrid">
    <w:name w:val="Table Grid"/>
    <w:basedOn w:val="TableNormal"/>
    <w:uiPriority w:val="59"/>
    <w:rsid w:val="008662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2FF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2FF1"/>
    <w:pPr>
      <w:ind w:left="720"/>
      <w:contextualSpacing/>
    </w:pPr>
  </w:style>
  <w:style w:type="character" w:customStyle="1" w:styleId="Heading2Char">
    <w:name w:val="Heading 2 Char"/>
    <w:basedOn w:val="DefaultParagraphFont"/>
    <w:link w:val="Heading2"/>
    <w:uiPriority w:val="9"/>
    <w:rsid w:val="00F02F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2443"/>
    <w:rPr>
      <w:rFonts w:asciiTheme="majorHAnsi" w:eastAsiaTheme="majorEastAsia" w:hAnsiTheme="majorHAnsi" w:cstheme="majorBidi"/>
      <w:color w:val="1F3763" w:themeColor="accent1" w:themeShade="7F"/>
      <w:sz w:val="24"/>
      <w:szCs w:val="24"/>
      <w:lang w:val="en-GB"/>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rsid w:val="00E167C2"/>
    <w:rPr>
      <w:sz w:val="18"/>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rsid w:val="00E167C2"/>
    <w:rPr>
      <w:rFonts w:ascii="Times New Roman" w:eastAsia="Times New Roman" w:hAnsi="Times New Roman" w:cs="Times New Roman"/>
      <w:color w:val="000000" w:themeColor="text1"/>
      <w:sz w:val="18"/>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w:basedOn w:val="DefaultParagraphFont"/>
    <w:uiPriority w:val="99"/>
    <w:unhideWhenUsed/>
    <w:rsid w:val="00B34D70"/>
    <w:rPr>
      <w:vertAlign w:val="superscript"/>
    </w:rPr>
  </w:style>
  <w:style w:type="character" w:styleId="Hyperlink">
    <w:name w:val="Hyperlink"/>
    <w:basedOn w:val="DefaultParagraphFont"/>
    <w:uiPriority w:val="99"/>
    <w:unhideWhenUsed/>
    <w:rsid w:val="000C178C"/>
    <w:rPr>
      <w:color w:val="0000FF"/>
      <w:u w:val="single"/>
    </w:rPr>
  </w:style>
  <w:style w:type="paragraph" w:customStyle="1" w:styleId="Footnote">
    <w:name w:val="Footnote"/>
    <w:basedOn w:val="FootnoteText"/>
    <w:link w:val="FootnoteChar"/>
    <w:qFormat/>
    <w:rsid w:val="00E167C2"/>
  </w:style>
  <w:style w:type="paragraph" w:styleId="Header">
    <w:name w:val="header"/>
    <w:basedOn w:val="Normal"/>
    <w:link w:val="HeaderChar"/>
    <w:uiPriority w:val="99"/>
    <w:unhideWhenUsed/>
    <w:rsid w:val="00A03B07"/>
    <w:pPr>
      <w:tabs>
        <w:tab w:val="center" w:pos="4680"/>
        <w:tab w:val="right" w:pos="9360"/>
      </w:tabs>
    </w:pPr>
  </w:style>
  <w:style w:type="character" w:customStyle="1" w:styleId="FootnoteChar">
    <w:name w:val="Footnote Char"/>
    <w:basedOn w:val="FootnoteTextChar"/>
    <w:link w:val="Footnote"/>
    <w:rsid w:val="00E167C2"/>
    <w:rPr>
      <w:rFonts w:ascii="Times New Roman" w:eastAsia="Times New Roman" w:hAnsi="Times New Roman" w:cs="Times New Roman"/>
      <w:color w:val="000000" w:themeColor="text1"/>
      <w:sz w:val="18"/>
      <w:szCs w:val="20"/>
    </w:rPr>
  </w:style>
  <w:style w:type="character" w:customStyle="1" w:styleId="HeaderChar">
    <w:name w:val="Header Char"/>
    <w:basedOn w:val="DefaultParagraphFont"/>
    <w:link w:val="Header"/>
    <w:uiPriority w:val="99"/>
    <w:rsid w:val="00A03B07"/>
    <w:rPr>
      <w:rFonts w:ascii="Times New Roman" w:eastAsia="Times New Roman" w:hAnsi="Times New Roman" w:cs="Times New Roman"/>
      <w:color w:val="000000" w:themeColor="text1"/>
      <w:szCs w:val="20"/>
    </w:rPr>
  </w:style>
  <w:style w:type="paragraph" w:styleId="Footer">
    <w:name w:val="footer"/>
    <w:basedOn w:val="Normal"/>
    <w:link w:val="FooterChar"/>
    <w:uiPriority w:val="99"/>
    <w:unhideWhenUsed/>
    <w:rsid w:val="00A03B07"/>
    <w:pPr>
      <w:tabs>
        <w:tab w:val="center" w:pos="4680"/>
        <w:tab w:val="right" w:pos="9360"/>
      </w:tabs>
    </w:pPr>
  </w:style>
  <w:style w:type="character" w:customStyle="1" w:styleId="FooterChar">
    <w:name w:val="Footer Char"/>
    <w:basedOn w:val="DefaultParagraphFont"/>
    <w:link w:val="Footer"/>
    <w:uiPriority w:val="99"/>
    <w:rsid w:val="00A03B07"/>
    <w:rPr>
      <w:rFonts w:ascii="Times New Roman" w:eastAsia="Times New Roman" w:hAnsi="Times New Roman" w:cs="Times New Roman"/>
      <w:color w:val="000000" w:themeColor="text1"/>
      <w:szCs w:val="20"/>
    </w:rPr>
  </w:style>
  <w:style w:type="table" w:styleId="GridTable4-Accent1">
    <w:name w:val="Grid Table 4 Accent 1"/>
    <w:basedOn w:val="TableNormal"/>
    <w:uiPriority w:val="49"/>
    <w:rsid w:val="00C33545"/>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rsid w:val="0015390A"/>
    <w:rPr>
      <w:color w:val="605E5C"/>
      <w:shd w:val="clear" w:color="auto" w:fill="E1DFDD"/>
    </w:rPr>
  </w:style>
  <w:style w:type="paragraph" w:styleId="TOCHeading">
    <w:name w:val="TOC Heading"/>
    <w:basedOn w:val="Heading1"/>
    <w:next w:val="Normal"/>
    <w:uiPriority w:val="39"/>
    <w:unhideWhenUsed/>
    <w:qFormat/>
    <w:rsid w:val="000407B5"/>
    <w:pPr>
      <w:spacing w:line="259" w:lineRule="auto"/>
      <w:outlineLvl w:val="9"/>
    </w:pPr>
    <w:rPr>
      <w:lang w:val="en-US"/>
    </w:rPr>
  </w:style>
  <w:style w:type="paragraph" w:styleId="TOC1">
    <w:name w:val="toc 1"/>
    <w:basedOn w:val="Normal"/>
    <w:next w:val="Normal"/>
    <w:autoRedefine/>
    <w:uiPriority w:val="39"/>
    <w:unhideWhenUsed/>
    <w:rsid w:val="000407B5"/>
    <w:pPr>
      <w:spacing w:after="100"/>
    </w:pPr>
  </w:style>
  <w:style w:type="paragraph" w:styleId="TOC2">
    <w:name w:val="toc 2"/>
    <w:basedOn w:val="Normal"/>
    <w:next w:val="Normal"/>
    <w:autoRedefine/>
    <w:uiPriority w:val="39"/>
    <w:unhideWhenUsed/>
    <w:rsid w:val="000407B5"/>
    <w:pPr>
      <w:spacing w:after="100"/>
      <w:ind w:left="220"/>
    </w:pPr>
  </w:style>
  <w:style w:type="paragraph" w:styleId="TOC3">
    <w:name w:val="toc 3"/>
    <w:basedOn w:val="Normal"/>
    <w:next w:val="Normal"/>
    <w:autoRedefine/>
    <w:uiPriority w:val="39"/>
    <w:unhideWhenUsed/>
    <w:rsid w:val="000407B5"/>
    <w:pPr>
      <w:spacing w:after="100"/>
      <w:ind w:left="440"/>
    </w:pPr>
  </w:style>
  <w:style w:type="table" w:styleId="PlainTable5">
    <w:name w:val="Plain Table 5"/>
    <w:basedOn w:val="TableNormal"/>
    <w:uiPriority w:val="45"/>
    <w:rsid w:val="00385CE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90502C"/>
    <w:rPr>
      <w:sz w:val="16"/>
      <w:szCs w:val="16"/>
    </w:rPr>
  </w:style>
  <w:style w:type="paragraph" w:styleId="CommentText">
    <w:name w:val="annotation text"/>
    <w:basedOn w:val="Normal"/>
    <w:link w:val="CommentTextChar"/>
    <w:uiPriority w:val="99"/>
    <w:semiHidden/>
    <w:unhideWhenUsed/>
    <w:rsid w:val="0090502C"/>
    <w:rPr>
      <w:sz w:val="20"/>
    </w:rPr>
  </w:style>
  <w:style w:type="character" w:customStyle="1" w:styleId="CommentTextChar">
    <w:name w:val="Comment Text Char"/>
    <w:basedOn w:val="DefaultParagraphFont"/>
    <w:link w:val="CommentText"/>
    <w:uiPriority w:val="99"/>
    <w:semiHidden/>
    <w:rsid w:val="0090502C"/>
    <w:rPr>
      <w:rFonts w:ascii="Times New Roman" w:eastAsia="Times New Roman" w:hAnsi="Times New Roman" w:cs="Times New Roman"/>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90502C"/>
    <w:rPr>
      <w:b/>
      <w:bCs/>
    </w:rPr>
  </w:style>
  <w:style w:type="character" w:customStyle="1" w:styleId="CommentSubjectChar">
    <w:name w:val="Comment Subject Char"/>
    <w:basedOn w:val="CommentTextChar"/>
    <w:link w:val="CommentSubject"/>
    <w:uiPriority w:val="99"/>
    <w:semiHidden/>
    <w:rsid w:val="0090502C"/>
    <w:rPr>
      <w:rFonts w:ascii="Times New Roman" w:eastAsia="Times New Roman" w:hAnsi="Times New Roman" w:cs="Times New Roman"/>
      <w:b/>
      <w:bCs/>
      <w:color w:val="000000" w:themeColor="text1"/>
      <w:sz w:val="20"/>
      <w:szCs w:val="20"/>
      <w:lang w:val="en-GB"/>
    </w:rPr>
  </w:style>
  <w:style w:type="paragraph" w:styleId="Caption">
    <w:name w:val="caption"/>
    <w:basedOn w:val="Normal"/>
    <w:next w:val="Normal"/>
    <w:uiPriority w:val="35"/>
    <w:unhideWhenUsed/>
    <w:qFormat/>
    <w:rsid w:val="00723F1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0878">
      <w:bodyDiv w:val="1"/>
      <w:marLeft w:val="0"/>
      <w:marRight w:val="0"/>
      <w:marTop w:val="0"/>
      <w:marBottom w:val="0"/>
      <w:divBdr>
        <w:top w:val="none" w:sz="0" w:space="0" w:color="auto"/>
        <w:left w:val="none" w:sz="0" w:space="0" w:color="auto"/>
        <w:bottom w:val="none" w:sz="0" w:space="0" w:color="auto"/>
        <w:right w:val="none" w:sz="0" w:space="0" w:color="auto"/>
      </w:divBdr>
    </w:div>
    <w:div w:id="346490703">
      <w:bodyDiv w:val="1"/>
      <w:marLeft w:val="0"/>
      <w:marRight w:val="0"/>
      <w:marTop w:val="0"/>
      <w:marBottom w:val="0"/>
      <w:divBdr>
        <w:top w:val="none" w:sz="0" w:space="0" w:color="auto"/>
        <w:left w:val="none" w:sz="0" w:space="0" w:color="auto"/>
        <w:bottom w:val="none" w:sz="0" w:space="0" w:color="auto"/>
        <w:right w:val="none" w:sz="0" w:space="0" w:color="auto"/>
      </w:divBdr>
    </w:div>
    <w:div w:id="517742956">
      <w:bodyDiv w:val="1"/>
      <w:marLeft w:val="0"/>
      <w:marRight w:val="0"/>
      <w:marTop w:val="0"/>
      <w:marBottom w:val="0"/>
      <w:divBdr>
        <w:top w:val="none" w:sz="0" w:space="0" w:color="auto"/>
        <w:left w:val="none" w:sz="0" w:space="0" w:color="auto"/>
        <w:bottom w:val="none" w:sz="0" w:space="0" w:color="auto"/>
        <w:right w:val="none" w:sz="0" w:space="0" w:color="auto"/>
      </w:divBdr>
    </w:div>
    <w:div w:id="644967556">
      <w:bodyDiv w:val="1"/>
      <w:marLeft w:val="0"/>
      <w:marRight w:val="0"/>
      <w:marTop w:val="0"/>
      <w:marBottom w:val="0"/>
      <w:divBdr>
        <w:top w:val="none" w:sz="0" w:space="0" w:color="auto"/>
        <w:left w:val="none" w:sz="0" w:space="0" w:color="auto"/>
        <w:bottom w:val="none" w:sz="0" w:space="0" w:color="auto"/>
        <w:right w:val="none" w:sz="0" w:space="0" w:color="auto"/>
      </w:divBdr>
    </w:div>
    <w:div w:id="1179781585">
      <w:bodyDiv w:val="1"/>
      <w:marLeft w:val="0"/>
      <w:marRight w:val="0"/>
      <w:marTop w:val="0"/>
      <w:marBottom w:val="0"/>
      <w:divBdr>
        <w:top w:val="none" w:sz="0" w:space="0" w:color="auto"/>
        <w:left w:val="none" w:sz="0" w:space="0" w:color="auto"/>
        <w:bottom w:val="none" w:sz="0" w:space="0" w:color="auto"/>
        <w:right w:val="none" w:sz="0" w:space="0" w:color="auto"/>
      </w:divBdr>
    </w:div>
    <w:div w:id="1423912457">
      <w:bodyDiv w:val="1"/>
      <w:marLeft w:val="0"/>
      <w:marRight w:val="0"/>
      <w:marTop w:val="0"/>
      <w:marBottom w:val="0"/>
      <w:divBdr>
        <w:top w:val="none" w:sz="0" w:space="0" w:color="auto"/>
        <w:left w:val="none" w:sz="0" w:space="0" w:color="auto"/>
        <w:bottom w:val="none" w:sz="0" w:space="0" w:color="auto"/>
        <w:right w:val="none" w:sz="0" w:space="0" w:color="auto"/>
      </w:divBdr>
    </w:div>
    <w:div w:id="1431850473">
      <w:bodyDiv w:val="1"/>
      <w:marLeft w:val="0"/>
      <w:marRight w:val="0"/>
      <w:marTop w:val="0"/>
      <w:marBottom w:val="0"/>
      <w:divBdr>
        <w:top w:val="none" w:sz="0" w:space="0" w:color="auto"/>
        <w:left w:val="none" w:sz="0" w:space="0" w:color="auto"/>
        <w:bottom w:val="none" w:sz="0" w:space="0" w:color="auto"/>
        <w:right w:val="none" w:sz="0" w:space="0" w:color="auto"/>
      </w:divBdr>
    </w:div>
    <w:div w:id="1580747848">
      <w:bodyDiv w:val="1"/>
      <w:marLeft w:val="0"/>
      <w:marRight w:val="0"/>
      <w:marTop w:val="0"/>
      <w:marBottom w:val="0"/>
      <w:divBdr>
        <w:top w:val="none" w:sz="0" w:space="0" w:color="auto"/>
        <w:left w:val="none" w:sz="0" w:space="0" w:color="auto"/>
        <w:bottom w:val="none" w:sz="0" w:space="0" w:color="auto"/>
        <w:right w:val="none" w:sz="0" w:space="0" w:color="auto"/>
      </w:divBdr>
    </w:div>
    <w:div w:id="1661039067">
      <w:bodyDiv w:val="1"/>
      <w:marLeft w:val="0"/>
      <w:marRight w:val="0"/>
      <w:marTop w:val="0"/>
      <w:marBottom w:val="0"/>
      <w:divBdr>
        <w:top w:val="none" w:sz="0" w:space="0" w:color="auto"/>
        <w:left w:val="none" w:sz="0" w:space="0" w:color="auto"/>
        <w:bottom w:val="none" w:sz="0" w:space="0" w:color="auto"/>
        <w:right w:val="none" w:sz="0" w:space="0" w:color="auto"/>
      </w:divBdr>
    </w:div>
    <w:div w:id="1820272014">
      <w:bodyDiv w:val="1"/>
      <w:marLeft w:val="0"/>
      <w:marRight w:val="0"/>
      <w:marTop w:val="0"/>
      <w:marBottom w:val="0"/>
      <w:divBdr>
        <w:top w:val="none" w:sz="0" w:space="0" w:color="auto"/>
        <w:left w:val="none" w:sz="0" w:space="0" w:color="auto"/>
        <w:bottom w:val="none" w:sz="0" w:space="0" w:color="auto"/>
        <w:right w:val="none" w:sz="0" w:space="0" w:color="auto"/>
      </w:divBdr>
    </w:div>
    <w:div w:id="18675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mailto:Salma.elhagyousif@undp.org"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mailto:Ronald.kumar@undp.org" TargetMode="External"/><Relationship Id="rId42"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mailto:Yohan67@hotmail.com" TargetMode="External"/><Relationship Id="rId38" Type="http://schemas.openxmlformats.org/officeDocument/2006/relationships/hyperlink" Target="mailto:lanietatuimabu@fdpf.or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Legal.aid@msp.org.fj"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hyperlink" Target="mailto:kkumar@gmail.com" TargetMode="External"/><Relationship Id="rId37" Type="http://schemas.openxmlformats.org/officeDocument/2006/relationships/hyperlink" Target="mailto:president@fdpf.org" TargetMode="External"/><Relationship Id="rId40" Type="http://schemas.openxmlformats.org/officeDocument/2006/relationships/hyperlink" Target="mailto:nalini@fwrm.org.fj"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2.png"/><Relationship Id="rId28" Type="http://schemas.openxmlformats.org/officeDocument/2006/relationships/hyperlink" Target="mailto:Program.manager@msp.org.fj" TargetMode="External"/><Relationship Id="rId36" Type="http://schemas.openxmlformats.org/officeDocument/2006/relationships/hyperlink" Target="mailto:Abigail.erikson@unwomen.org" TargetMode="Externa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hyperlink" Target="mailto:Dyfan.jones@undp.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image" Target="media/image11.png"/><Relationship Id="rId27" Type="http://schemas.openxmlformats.org/officeDocument/2006/relationships/hyperlink" Target="mailto:logistics@msp.org.fj" TargetMode="External"/><Relationship Id="rId30" Type="http://schemas.openxmlformats.org/officeDocument/2006/relationships/hyperlink" Target="mailto:Itendra@gmail.com" TargetMode="External"/><Relationship Id="rId35" Type="http://schemas.openxmlformats.org/officeDocument/2006/relationships/hyperlink" Target="mailto:Christopher.pryde@gmail.com"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19/05/13/us/politics/georgia-official-code-copyright.html" TargetMode="External"/><Relationship Id="rId3" Type="http://schemas.openxmlformats.org/officeDocument/2006/relationships/hyperlink" Target="https://www.statsfiji.gov.fj/statistics/other-statistics/crimes-offences" TargetMode="External"/><Relationship Id="rId7" Type="http://schemas.openxmlformats.org/officeDocument/2006/relationships/hyperlink" Target="http://empowerpacific.com/about-empower-pacific" TargetMode="External"/><Relationship Id="rId2" Type="http://schemas.openxmlformats.org/officeDocument/2006/relationships/hyperlink" Target="https://ec.europa.eu/europeaid/countries/fiji_en" TargetMode="External"/><Relationship Id="rId1" Type="http://schemas.openxmlformats.org/officeDocument/2006/relationships/hyperlink" Target="https://dfat.gov.au/about-us/publications/Documents/png-law-and-justice-jss4d-design.pdf" TargetMode="External"/><Relationship Id="rId6" Type="http://schemas.openxmlformats.org/officeDocument/2006/relationships/hyperlink" Target="http://msp.org.fj/director/" TargetMode="External"/><Relationship Id="rId5" Type="http://schemas.openxmlformats.org/officeDocument/2006/relationships/hyperlink" Target="https://www.unicef.org/eap/press-releases/unicef-and-fiji-judiciary-partner-protect-children-contact-law" TargetMode="External"/><Relationship Id="rId4" Type="http://schemas.openxmlformats.org/officeDocument/2006/relationships/hyperlink" Target="http://asiapacific.unwomen.org/en/countries/fiji/co/fiji" TargetMode="External"/><Relationship Id="rId9" Type="http://schemas.openxmlformats.org/officeDocument/2006/relationships/hyperlink" Target="https://dfat.gov.au/about-us/publications/Documents/png-law-and-justice-jss4d-desig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sng" strike="noStrike" kern="1200" spc="0" baseline="0">
                <a:solidFill>
                  <a:schemeClr val="tx1">
                    <a:lumMod val="65000"/>
                    <a:lumOff val="35000"/>
                  </a:schemeClr>
                </a:solidFill>
                <a:latin typeface="+mn-lt"/>
                <a:ea typeface="+mn-ea"/>
                <a:cs typeface="+mn-cs"/>
              </a:defRPr>
            </a:pPr>
            <a:r>
              <a:rPr lang="en-US" u="sng"/>
              <a:t>Comparison of Advisory Services Provided in 2017 &amp; 2018</a:t>
            </a:r>
          </a:p>
        </c:rich>
      </c:tx>
      <c:overlay val="0"/>
      <c:spPr>
        <a:noFill/>
        <a:ln>
          <a:noFill/>
        </a:ln>
        <a:effectLst/>
      </c:spPr>
      <c:txPr>
        <a:bodyPr rot="0" spcFirstLastPara="1" vertOverflow="ellipsis" vert="horz" wrap="square" anchor="ctr" anchorCtr="1"/>
        <a:lstStyle/>
        <a:p>
          <a:pPr>
            <a:defRPr sz="1400" b="1" i="0" u="sng"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'[190520_LAC Stats Breakdown_SDeo.xlsx]Advice'!$G$6</c:f>
              <c:strCache>
                <c:ptCount val="1"/>
                <c:pt idx="0">
                  <c:v>2017</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'[190520_LAC Stats Breakdown_SDeo.xlsx]Advice'!$F$7:$F$9</c:f>
              <c:strCache>
                <c:ptCount val="3"/>
                <c:pt idx="0">
                  <c:v>Family</c:v>
                </c:pt>
                <c:pt idx="1">
                  <c:v>Criminal</c:v>
                </c:pt>
                <c:pt idx="2">
                  <c:v>Civil</c:v>
                </c:pt>
              </c:strCache>
            </c:strRef>
          </c:cat>
          <c:val>
            <c:numRef>
              <c:f>'[190520_LAC Stats Breakdown_SDeo.xlsx]Advice'!$G$7:$G$9</c:f>
              <c:numCache>
                <c:formatCode>General</c:formatCode>
                <c:ptCount val="3"/>
                <c:pt idx="0">
                  <c:v>8091</c:v>
                </c:pt>
                <c:pt idx="1">
                  <c:v>3563</c:v>
                </c:pt>
                <c:pt idx="2">
                  <c:v>10747</c:v>
                </c:pt>
              </c:numCache>
            </c:numRef>
          </c:val>
          <c:extLst>
            <c:ext xmlns:c16="http://schemas.microsoft.com/office/drawing/2014/chart" uri="{C3380CC4-5D6E-409C-BE32-E72D297353CC}">
              <c16:uniqueId val="{00000000-AF88-4630-9385-AEF9F232DF3E}"/>
            </c:ext>
          </c:extLst>
        </c:ser>
        <c:ser>
          <c:idx val="1"/>
          <c:order val="1"/>
          <c:tx>
            <c:strRef>
              <c:f>'[190520_LAC Stats Breakdown_SDeo.xlsx]Advice'!$H$6</c:f>
              <c:strCache>
                <c:ptCount val="1"/>
                <c:pt idx="0">
                  <c:v>2018</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'[190520_LAC Stats Breakdown_SDeo.xlsx]Advice'!$F$7:$F$9</c:f>
              <c:strCache>
                <c:ptCount val="3"/>
                <c:pt idx="0">
                  <c:v>Family</c:v>
                </c:pt>
                <c:pt idx="1">
                  <c:v>Criminal</c:v>
                </c:pt>
                <c:pt idx="2">
                  <c:v>Civil</c:v>
                </c:pt>
              </c:strCache>
            </c:strRef>
          </c:cat>
          <c:val>
            <c:numRef>
              <c:f>'[190520_LAC Stats Breakdown_SDeo.xlsx]Advice'!$H$7:$H$9</c:f>
              <c:numCache>
                <c:formatCode>General</c:formatCode>
                <c:ptCount val="3"/>
                <c:pt idx="0">
                  <c:v>8702</c:v>
                </c:pt>
                <c:pt idx="1">
                  <c:v>4420</c:v>
                </c:pt>
                <c:pt idx="2">
                  <c:v>13603</c:v>
                </c:pt>
              </c:numCache>
            </c:numRef>
          </c:val>
          <c:extLst>
            <c:ext xmlns:c16="http://schemas.microsoft.com/office/drawing/2014/chart" uri="{C3380CC4-5D6E-409C-BE32-E72D297353CC}">
              <c16:uniqueId val="{00000001-AF88-4630-9385-AEF9F232DF3E}"/>
            </c:ext>
          </c:extLst>
        </c:ser>
        <c:dLbls>
          <c:showLegendKey val="0"/>
          <c:showVal val="0"/>
          <c:showCatName val="0"/>
          <c:showSerName val="0"/>
          <c:showPercent val="0"/>
          <c:showBubbleSize val="0"/>
        </c:dLbls>
        <c:gapWidth val="219"/>
        <c:overlap val="-27"/>
        <c:axId val="424784240"/>
        <c:axId val="424786592"/>
      </c:barChart>
      <c:catAx>
        <c:axId val="4247842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Types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4786592"/>
        <c:crosses val="autoZero"/>
        <c:auto val="1"/>
        <c:lblAlgn val="ctr"/>
        <c:lblOffset val="100"/>
        <c:noMultiLvlLbl val="0"/>
      </c:catAx>
      <c:valAx>
        <c:axId val="42478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Advise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478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BC3C-4A1C-41EB-B0E4-DB7E30F5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77</Pages>
  <Words>20018</Words>
  <Characters>114105</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P</dc:creator>
  <cp:keywords/>
  <dc:description/>
  <cp:lastModifiedBy>Julie van Dassen</cp:lastModifiedBy>
  <cp:revision>3</cp:revision>
  <dcterms:created xsi:type="dcterms:W3CDTF">2019-07-26T02:07:00Z</dcterms:created>
  <dcterms:modified xsi:type="dcterms:W3CDTF">2019-07-26T02:09:00Z</dcterms:modified>
</cp:coreProperties>
</file>