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AE4C5" w14:textId="77777777" w:rsidR="00184393" w:rsidRPr="00C50F13" w:rsidRDefault="000E3B51" w:rsidP="00184393">
      <w:pPr>
        <w:rPr>
          <w:lang w:val="fr-FR"/>
        </w:rPr>
      </w:pPr>
      <w:r w:rsidRPr="00C50F13">
        <w:rPr>
          <w:noProof/>
          <w:lang w:val="en-US"/>
        </w:rPr>
        <mc:AlternateContent>
          <mc:Choice Requires="wps">
            <w:drawing>
              <wp:anchor distT="0" distB="0" distL="114300" distR="114300" simplePos="0" relativeHeight="251656190" behindDoc="0" locked="1" layoutInCell="1" allowOverlap="1" wp14:anchorId="11B93872" wp14:editId="09B73905">
                <wp:simplePos x="0" y="0"/>
                <wp:positionH relativeFrom="column">
                  <wp:posOffset>5548630</wp:posOffset>
                </wp:positionH>
                <wp:positionV relativeFrom="page">
                  <wp:posOffset>-1159510</wp:posOffset>
                </wp:positionV>
                <wp:extent cx="6202800" cy="12391200"/>
                <wp:effectExtent l="0" t="0" r="7620" b="0"/>
                <wp:wrapNone/>
                <wp:docPr id="1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2800" cy="12391200"/>
                        </a:xfrm>
                        <a:prstGeom prst="ellipse">
                          <a:avLst/>
                        </a:prstGeom>
                        <a:solidFill>
                          <a:srgbClr val="2F54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4F4349" id="Oval 4" o:spid="_x0000_s1026" style="position:absolute;margin-left:436.9pt;margin-top:-91.3pt;width:488.4pt;height:975.7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" fillcolor="#2f5496" stroked="f">
                <w10:wrap anchory="page"/>
                <w10:anchorlock/>
              </v:oval>
            </w:pict>
          </mc:Fallback>
        </mc:AlternateContent>
      </w:r>
    </w:p>
    <w:p w14:paraId="61F74550" w14:textId="77777777" w:rsidR="00184393" w:rsidRPr="00C50F13" w:rsidRDefault="00184393" w:rsidP="00184393">
      <w:pPr>
        <w:rPr>
          <w:lang w:val="fr-FR"/>
        </w:rPr>
      </w:pPr>
    </w:p>
    <w:p w14:paraId="662AEF8B" w14:textId="77777777" w:rsidR="00184393" w:rsidRPr="00C50F13" w:rsidRDefault="00184393" w:rsidP="00184393">
      <w:pPr>
        <w:rPr>
          <w:lang w:val="fr-FR"/>
        </w:rPr>
      </w:pPr>
    </w:p>
    <w:p w14:paraId="18348D67" w14:textId="77777777" w:rsidR="00184393" w:rsidRPr="00C50F13" w:rsidRDefault="00184393" w:rsidP="00184393">
      <w:pPr>
        <w:rPr>
          <w:lang w:val="fr-FR"/>
        </w:rPr>
      </w:pPr>
    </w:p>
    <w:p w14:paraId="33215D18" w14:textId="77777777" w:rsidR="00184393" w:rsidRPr="00C50F13" w:rsidRDefault="00184393" w:rsidP="00184393">
      <w:pPr>
        <w:rPr>
          <w:lang w:val="fr-FR"/>
        </w:rPr>
      </w:pPr>
    </w:p>
    <w:p w14:paraId="21FD2FCC" w14:textId="77777777" w:rsidR="00184393" w:rsidRPr="00C50F13" w:rsidRDefault="00184393" w:rsidP="00184393">
      <w:pPr>
        <w:rPr>
          <w:lang w:val="fr-FR"/>
        </w:rPr>
      </w:pPr>
    </w:p>
    <w:p w14:paraId="091F62EE" w14:textId="77777777" w:rsidR="00184393" w:rsidRPr="00C50F13" w:rsidRDefault="00B80033" w:rsidP="00184393">
      <w:pPr>
        <w:rPr>
          <w:lang w:val="fr-FR"/>
        </w:rPr>
      </w:pPr>
      <w:r w:rsidRPr="00C50F13">
        <w:rPr>
          <w:noProof/>
          <w:lang w:val="en-US"/>
        </w:rPr>
        <mc:AlternateContent>
          <mc:Choice Requires="wps">
            <w:drawing>
              <wp:anchor distT="45720" distB="45720" distL="114300" distR="114300" simplePos="0" relativeHeight="251673600" behindDoc="0" locked="0" layoutInCell="1" allowOverlap="1" wp14:anchorId="551332DB" wp14:editId="60264831">
                <wp:simplePos x="0" y="0"/>
                <wp:positionH relativeFrom="page">
                  <wp:posOffset>647700</wp:posOffset>
                </wp:positionH>
                <wp:positionV relativeFrom="margin">
                  <wp:posOffset>2228850</wp:posOffset>
                </wp:positionV>
                <wp:extent cx="5743575" cy="542925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429250"/>
                        </a:xfrm>
                        <a:prstGeom prst="rect">
                          <a:avLst/>
                        </a:prstGeom>
                        <a:noFill/>
                        <a:ln w="9525">
                          <a:noFill/>
                          <a:miter lim="800000"/>
                          <a:headEnd/>
                          <a:tailEnd/>
                        </a:ln>
                      </wps:spPr>
                      <wps:txbx>
                        <w:txbxContent>
                          <w:p w14:paraId="4D650B64" w14:textId="3E6DC040" w:rsidR="001572D7" w:rsidRDefault="001572D7" w:rsidP="00400988">
                            <w:pPr>
                              <w:autoSpaceDE w:val="0"/>
                              <w:autoSpaceDN w:val="0"/>
                              <w:adjustRightInd w:val="0"/>
                              <w:spacing w:before="0" w:after="0" w:line="240" w:lineRule="auto"/>
                              <w:jc w:val="right"/>
                              <w:rPr>
                                <w:b/>
                                <w:color w:val="133C66"/>
                                <w:sz w:val="40"/>
                                <w:szCs w:val="36"/>
                                <w:lang w:val="fr-FR"/>
                              </w:rPr>
                            </w:pPr>
                            <w:r w:rsidRPr="00C50F13">
                              <w:rPr>
                                <w:b/>
                                <w:color w:val="133C66"/>
                                <w:sz w:val="40"/>
                                <w:szCs w:val="36"/>
                                <w:lang w:val="fr-FR"/>
                              </w:rPr>
                              <w:t xml:space="preserve">Examen à mi-parcours du projet PNUD-GEF </w:t>
                            </w:r>
                          </w:p>
                          <w:p w14:paraId="359CBD88" w14:textId="3A7591D9" w:rsidR="001572D7" w:rsidRPr="00C50F13" w:rsidRDefault="001572D7" w:rsidP="00400988">
                            <w:pPr>
                              <w:autoSpaceDE w:val="0"/>
                              <w:autoSpaceDN w:val="0"/>
                              <w:adjustRightInd w:val="0"/>
                              <w:spacing w:before="0" w:after="0" w:line="240" w:lineRule="auto"/>
                              <w:jc w:val="right"/>
                              <w:rPr>
                                <w:color w:val="133C66"/>
                                <w:sz w:val="32"/>
                                <w:szCs w:val="36"/>
                                <w:lang w:val="fr-FR"/>
                              </w:rPr>
                            </w:pPr>
                            <w:r w:rsidRPr="00C50F13">
                              <w:rPr>
                                <w:b/>
                                <w:color w:val="133C66"/>
                                <w:sz w:val="40"/>
                                <w:szCs w:val="36"/>
                                <w:lang w:val="fr-FR"/>
                              </w:rPr>
                              <w:t>« Approche paysage pour la conservation et la gestion de la biodiversité menacée de Madagascar, axée sur le paysage forestier sec et épineux de la région Atsimo Andrefana, Madagascar »</w:t>
                            </w:r>
                            <w:r w:rsidRPr="00C50F13">
                              <w:rPr>
                                <w:b/>
                                <w:color w:val="133C66"/>
                                <w:sz w:val="36"/>
                                <w:szCs w:val="36"/>
                                <w:lang w:val="fr-FR"/>
                              </w:rPr>
                              <w:br/>
                            </w:r>
                            <w:r w:rsidRPr="00C50F13">
                              <w:rPr>
                                <w:color w:val="133C66"/>
                                <w:sz w:val="32"/>
                                <w:szCs w:val="36"/>
                                <w:lang w:val="fr-FR"/>
                              </w:rPr>
                              <w:t>PIMS#</w:t>
                            </w:r>
                            <w:r>
                              <w:rPr>
                                <w:color w:val="133C66"/>
                                <w:sz w:val="32"/>
                                <w:szCs w:val="36"/>
                                <w:lang w:val="fr-FR"/>
                              </w:rPr>
                              <w:t>5263</w:t>
                            </w:r>
                          </w:p>
                          <w:p w14:paraId="591FE5E4" w14:textId="77777777" w:rsidR="001572D7" w:rsidRPr="00C50F13" w:rsidRDefault="001572D7" w:rsidP="00400988">
                            <w:pPr>
                              <w:autoSpaceDE w:val="0"/>
                              <w:autoSpaceDN w:val="0"/>
                              <w:adjustRightInd w:val="0"/>
                              <w:spacing w:before="0" w:after="0" w:line="240" w:lineRule="auto"/>
                              <w:jc w:val="right"/>
                              <w:rPr>
                                <w:color w:val="133C66"/>
                                <w:sz w:val="32"/>
                                <w:szCs w:val="36"/>
                                <w:lang w:val="fr-FR"/>
                              </w:rPr>
                            </w:pPr>
                          </w:p>
                          <w:p w14:paraId="37C353B7" w14:textId="163B76E3" w:rsidR="001572D7" w:rsidRPr="00C50F13" w:rsidRDefault="001572D7" w:rsidP="00400988">
                            <w:pPr>
                              <w:autoSpaceDE w:val="0"/>
                              <w:autoSpaceDN w:val="0"/>
                              <w:adjustRightInd w:val="0"/>
                              <w:spacing w:before="0" w:after="0" w:line="240" w:lineRule="auto"/>
                              <w:jc w:val="right"/>
                              <w:rPr>
                                <w:b/>
                                <w:color w:val="133C66"/>
                                <w:sz w:val="36"/>
                                <w:szCs w:val="36"/>
                                <w:lang w:val="fr-FR"/>
                              </w:rPr>
                            </w:pPr>
                            <w:r>
                              <w:rPr>
                                <w:color w:val="133C66"/>
                                <w:sz w:val="32"/>
                                <w:szCs w:val="36"/>
                                <w:lang w:val="fr-FR"/>
                              </w:rPr>
                              <w:t>Rapport</w:t>
                            </w:r>
                            <w:r w:rsidRPr="00C50F13">
                              <w:rPr>
                                <w:color w:val="133C66"/>
                                <w:sz w:val="32"/>
                                <w:szCs w:val="36"/>
                                <w:lang w:val="fr-FR"/>
                              </w:rPr>
                              <w:t xml:space="preserve"> d</w:t>
                            </w:r>
                            <w:r>
                              <w:rPr>
                                <w:color w:val="133C66"/>
                                <w:sz w:val="32"/>
                                <w:szCs w:val="36"/>
                                <w:lang w:val="fr-FR"/>
                              </w:rPr>
                              <w:t>’évaluation final</w:t>
                            </w:r>
                          </w:p>
                          <w:p w14:paraId="5B6F5EEF" w14:textId="77777777" w:rsidR="001572D7" w:rsidRPr="00C50F13" w:rsidRDefault="001572D7" w:rsidP="00400988">
                            <w:pPr>
                              <w:jc w:val="left"/>
                              <w:rPr>
                                <w:color w:val="133C66"/>
                                <w:lang w:val="fr-FR"/>
                              </w:rPr>
                            </w:pPr>
                          </w:p>
                          <w:p w14:paraId="5A99CD4A" w14:textId="77777777" w:rsidR="001572D7" w:rsidRPr="00C50F13" w:rsidRDefault="001572D7" w:rsidP="00400988">
                            <w:pPr>
                              <w:jc w:val="left"/>
                              <w:rPr>
                                <w:color w:val="133C66"/>
                                <w:sz w:val="24"/>
                                <w:szCs w:val="24"/>
                                <w:lang w:val="fr-FR"/>
                              </w:rPr>
                            </w:pPr>
                          </w:p>
                          <w:p w14:paraId="59658140" w14:textId="77777777" w:rsidR="001572D7" w:rsidRPr="00C50F13" w:rsidRDefault="001572D7" w:rsidP="00400988">
                            <w:pPr>
                              <w:jc w:val="left"/>
                              <w:rPr>
                                <w:color w:val="133C66"/>
                                <w:sz w:val="24"/>
                                <w:szCs w:val="24"/>
                                <w:lang w:val="fr-FR"/>
                              </w:rPr>
                            </w:pPr>
                          </w:p>
                          <w:p w14:paraId="261C4746" w14:textId="286C57F1" w:rsidR="001572D7" w:rsidRPr="00C50F13" w:rsidRDefault="001572D7" w:rsidP="00400988">
                            <w:pPr>
                              <w:jc w:val="left"/>
                              <w:rPr>
                                <w:color w:val="133C66"/>
                                <w:sz w:val="24"/>
                                <w:szCs w:val="24"/>
                                <w:lang w:val="fr-FR"/>
                              </w:rPr>
                            </w:pPr>
                            <w:r w:rsidRPr="00C50F13">
                              <w:rPr>
                                <w:color w:val="133C66"/>
                                <w:sz w:val="24"/>
                                <w:szCs w:val="24"/>
                                <w:lang w:val="fr-FR"/>
                              </w:rPr>
                              <w:t xml:space="preserve">Présenté par: </w:t>
                            </w:r>
                            <w:r w:rsidRPr="00C50F13">
                              <w:rPr>
                                <w:color w:val="133C66"/>
                                <w:sz w:val="24"/>
                                <w:szCs w:val="24"/>
                                <w:lang w:val="fr-FR"/>
                              </w:rPr>
                              <w:tab/>
                            </w:r>
                            <w:r>
                              <w:rPr>
                                <w:color w:val="133C66"/>
                                <w:sz w:val="24"/>
                                <w:szCs w:val="24"/>
                                <w:lang w:val="fr-FR"/>
                              </w:rPr>
                              <w:t xml:space="preserve">Baastel </w:t>
                            </w:r>
                            <w:r w:rsidRPr="00C50F13">
                              <w:rPr>
                                <w:color w:val="133C66"/>
                                <w:sz w:val="24"/>
                                <w:szCs w:val="24"/>
                                <w:lang w:val="fr-FR"/>
                              </w:rPr>
                              <w:t xml:space="preserve"> </w:t>
                            </w:r>
                          </w:p>
                          <w:p w14:paraId="25E705CC" w14:textId="3C648915" w:rsidR="001572D7" w:rsidRPr="00C50F13" w:rsidRDefault="001572D7" w:rsidP="00400988">
                            <w:pPr>
                              <w:spacing w:before="0" w:after="0" w:line="240" w:lineRule="auto"/>
                              <w:jc w:val="left"/>
                              <w:rPr>
                                <w:color w:val="133C66"/>
                                <w:sz w:val="24"/>
                                <w:szCs w:val="24"/>
                                <w:lang w:val="fr-FR"/>
                              </w:rPr>
                            </w:pPr>
                            <w:r w:rsidRPr="00C50F13">
                              <w:rPr>
                                <w:color w:val="133C66"/>
                                <w:sz w:val="24"/>
                                <w:szCs w:val="24"/>
                                <w:lang w:val="fr-FR"/>
                              </w:rPr>
                              <w:t xml:space="preserve">Demandé par: </w:t>
                            </w:r>
                            <w:r>
                              <w:rPr>
                                <w:color w:val="133C66"/>
                                <w:sz w:val="24"/>
                                <w:szCs w:val="24"/>
                                <w:lang w:val="fr-FR"/>
                              </w:rPr>
                              <w:t>Programme des Nations Unies pour le Développement (PNUD)</w:t>
                            </w:r>
                          </w:p>
                          <w:p w14:paraId="2AD633E2" w14:textId="77777777" w:rsidR="001572D7" w:rsidRPr="00C50F13" w:rsidRDefault="001572D7" w:rsidP="00400988">
                            <w:pPr>
                              <w:jc w:val="right"/>
                              <w:rPr>
                                <w:b/>
                                <w:color w:val="133C66"/>
                                <w:sz w:val="36"/>
                                <w:szCs w:val="36"/>
                                <w:lang w:val="fr-FR"/>
                              </w:rPr>
                            </w:pPr>
                          </w:p>
                          <w:p w14:paraId="76913798" w14:textId="4EA9BEB1" w:rsidR="001572D7" w:rsidRPr="00C50F13" w:rsidRDefault="001572D7" w:rsidP="00400988">
                            <w:pPr>
                              <w:jc w:val="right"/>
                              <w:rPr>
                                <w:b/>
                                <w:color w:val="1A3156"/>
                                <w:sz w:val="36"/>
                                <w:szCs w:val="36"/>
                                <w:lang w:val="fr-FR"/>
                              </w:rPr>
                            </w:pPr>
                            <w:r>
                              <w:rPr>
                                <w:b/>
                                <w:color w:val="133C66"/>
                                <w:sz w:val="36"/>
                                <w:szCs w:val="36"/>
                                <w:lang w:val="fr-FR"/>
                              </w:rPr>
                              <w:t>Janvier 28</w:t>
                            </w:r>
                            <w:r w:rsidRPr="004F0FD8">
                              <w:rPr>
                                <w:b/>
                                <w:color w:val="133C66"/>
                                <w:sz w:val="36"/>
                                <w:szCs w:val="36"/>
                                <w:lang w:val="fr-FR"/>
                              </w:rPr>
                              <w:t>, 20</w:t>
                            </w:r>
                            <w:r>
                              <w:rPr>
                                <w:b/>
                                <w:color w:val="133C66"/>
                                <w:sz w:val="36"/>
                                <w:szCs w:val="36"/>
                                <w:lang w:val="fr-FR"/>
                              </w:rPr>
                              <w:t>20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51332DB" id="_x0000_t202" coordsize="21600,21600" o:spt="202" path="m,l,21600r21600,l21600,xe">
                <v:stroke joinstyle="miter"/>
                <v:path gradientshapeok="t" o:connecttype="rect"/>
              </v:shapetype>
              <v:shape id="Zone de texte 2" o:spid="_x0000_s1026" type="#_x0000_t202" style="position:absolute;left:0;text-align:left;margin-left:51pt;margin-top:175.5pt;width:452.25pt;height:427.5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" filled="f" stroked="f">
                <v:textbox>
                  <w:txbxContent>
                    <w:p w14:paraId="4D650B64" w14:textId="3E6DC040" w:rsidR="001572D7" w:rsidRDefault="001572D7" w:rsidP="00400988">
                      <w:pPr>
                        <w:autoSpaceDE w:val="0"/>
                        <w:autoSpaceDN w:val="0"/>
                        <w:adjustRightInd w:val="0"/>
                        <w:spacing w:before="0" w:after="0" w:line="240" w:lineRule="auto"/>
                        <w:jc w:val="right"/>
                        <w:rPr>
                          <w:b/>
                          <w:color w:val="133C66"/>
                          <w:sz w:val="40"/>
                          <w:szCs w:val="36"/>
                          <w:lang w:val="fr-FR"/>
                        </w:rPr>
                      </w:pPr>
                      <w:r w:rsidRPr="00C50F13">
                        <w:rPr>
                          <w:b/>
                          <w:color w:val="133C66"/>
                          <w:sz w:val="40"/>
                          <w:szCs w:val="36"/>
                          <w:lang w:val="fr-FR"/>
                        </w:rPr>
                        <w:t xml:space="preserve">Examen à mi-parcours du projet PNUD-GEF </w:t>
                      </w:r>
                    </w:p>
                    <w:p w14:paraId="359CBD88" w14:textId="3A7591D9" w:rsidR="001572D7" w:rsidRPr="00C50F13" w:rsidRDefault="001572D7" w:rsidP="00400988">
                      <w:pPr>
                        <w:autoSpaceDE w:val="0"/>
                        <w:autoSpaceDN w:val="0"/>
                        <w:adjustRightInd w:val="0"/>
                        <w:spacing w:before="0" w:after="0" w:line="240" w:lineRule="auto"/>
                        <w:jc w:val="right"/>
                        <w:rPr>
                          <w:color w:val="133C66"/>
                          <w:sz w:val="32"/>
                          <w:szCs w:val="36"/>
                          <w:lang w:val="fr-FR"/>
                        </w:rPr>
                      </w:pPr>
                      <w:r w:rsidRPr="00C50F13">
                        <w:rPr>
                          <w:b/>
                          <w:color w:val="133C66"/>
                          <w:sz w:val="40"/>
                          <w:szCs w:val="36"/>
                          <w:lang w:val="fr-FR"/>
                        </w:rPr>
                        <w:t>« Approche paysage pour la conservation et la gestion de la biodiversité menacée de Madagascar, axée sur le paysage forestier sec et épineux de la région Atsimo Andrefana, Madagascar »</w:t>
                      </w:r>
                      <w:r w:rsidRPr="00C50F13">
                        <w:rPr>
                          <w:b/>
                          <w:color w:val="133C66"/>
                          <w:sz w:val="36"/>
                          <w:szCs w:val="36"/>
                          <w:lang w:val="fr-FR"/>
                        </w:rPr>
                        <w:br/>
                      </w:r>
                      <w:r w:rsidRPr="00C50F13">
                        <w:rPr>
                          <w:color w:val="133C66"/>
                          <w:sz w:val="32"/>
                          <w:szCs w:val="36"/>
                          <w:lang w:val="fr-FR"/>
                        </w:rPr>
                        <w:t>PIMS#</w:t>
                      </w:r>
                      <w:r>
                        <w:rPr>
                          <w:color w:val="133C66"/>
                          <w:sz w:val="32"/>
                          <w:szCs w:val="36"/>
                          <w:lang w:val="fr-FR"/>
                        </w:rPr>
                        <w:t>5263</w:t>
                      </w:r>
                    </w:p>
                    <w:p w14:paraId="591FE5E4" w14:textId="77777777" w:rsidR="001572D7" w:rsidRPr="00C50F13" w:rsidRDefault="001572D7" w:rsidP="00400988">
                      <w:pPr>
                        <w:autoSpaceDE w:val="0"/>
                        <w:autoSpaceDN w:val="0"/>
                        <w:adjustRightInd w:val="0"/>
                        <w:spacing w:before="0" w:after="0" w:line="240" w:lineRule="auto"/>
                        <w:jc w:val="right"/>
                        <w:rPr>
                          <w:color w:val="133C66"/>
                          <w:sz w:val="32"/>
                          <w:szCs w:val="36"/>
                          <w:lang w:val="fr-FR"/>
                        </w:rPr>
                      </w:pPr>
                    </w:p>
                    <w:p w14:paraId="37C353B7" w14:textId="163B76E3" w:rsidR="001572D7" w:rsidRPr="00C50F13" w:rsidRDefault="001572D7" w:rsidP="00400988">
                      <w:pPr>
                        <w:autoSpaceDE w:val="0"/>
                        <w:autoSpaceDN w:val="0"/>
                        <w:adjustRightInd w:val="0"/>
                        <w:spacing w:before="0" w:after="0" w:line="240" w:lineRule="auto"/>
                        <w:jc w:val="right"/>
                        <w:rPr>
                          <w:b/>
                          <w:color w:val="133C66"/>
                          <w:sz w:val="36"/>
                          <w:szCs w:val="36"/>
                          <w:lang w:val="fr-FR"/>
                        </w:rPr>
                      </w:pPr>
                      <w:r>
                        <w:rPr>
                          <w:color w:val="133C66"/>
                          <w:sz w:val="32"/>
                          <w:szCs w:val="36"/>
                          <w:lang w:val="fr-FR"/>
                        </w:rPr>
                        <w:t>Rapport</w:t>
                      </w:r>
                      <w:r w:rsidRPr="00C50F13">
                        <w:rPr>
                          <w:color w:val="133C66"/>
                          <w:sz w:val="32"/>
                          <w:szCs w:val="36"/>
                          <w:lang w:val="fr-FR"/>
                        </w:rPr>
                        <w:t xml:space="preserve"> d</w:t>
                      </w:r>
                      <w:r>
                        <w:rPr>
                          <w:color w:val="133C66"/>
                          <w:sz w:val="32"/>
                          <w:szCs w:val="36"/>
                          <w:lang w:val="fr-FR"/>
                        </w:rPr>
                        <w:t>’évaluation final</w:t>
                      </w:r>
                    </w:p>
                    <w:p w14:paraId="5B6F5EEF" w14:textId="77777777" w:rsidR="001572D7" w:rsidRPr="00C50F13" w:rsidRDefault="001572D7" w:rsidP="00400988">
                      <w:pPr>
                        <w:jc w:val="left"/>
                        <w:rPr>
                          <w:color w:val="133C66"/>
                          <w:lang w:val="fr-FR"/>
                        </w:rPr>
                      </w:pPr>
                    </w:p>
                    <w:p w14:paraId="5A99CD4A" w14:textId="77777777" w:rsidR="001572D7" w:rsidRPr="00C50F13" w:rsidRDefault="001572D7" w:rsidP="00400988">
                      <w:pPr>
                        <w:jc w:val="left"/>
                        <w:rPr>
                          <w:color w:val="133C66"/>
                          <w:sz w:val="24"/>
                          <w:szCs w:val="24"/>
                          <w:lang w:val="fr-FR"/>
                        </w:rPr>
                      </w:pPr>
                    </w:p>
                    <w:p w14:paraId="59658140" w14:textId="77777777" w:rsidR="001572D7" w:rsidRPr="00C50F13" w:rsidRDefault="001572D7" w:rsidP="00400988">
                      <w:pPr>
                        <w:jc w:val="left"/>
                        <w:rPr>
                          <w:color w:val="133C66"/>
                          <w:sz w:val="24"/>
                          <w:szCs w:val="24"/>
                          <w:lang w:val="fr-FR"/>
                        </w:rPr>
                      </w:pPr>
                    </w:p>
                    <w:p w14:paraId="261C4746" w14:textId="286C57F1" w:rsidR="001572D7" w:rsidRPr="00C50F13" w:rsidRDefault="001572D7" w:rsidP="00400988">
                      <w:pPr>
                        <w:jc w:val="left"/>
                        <w:rPr>
                          <w:color w:val="133C66"/>
                          <w:sz w:val="24"/>
                          <w:szCs w:val="24"/>
                          <w:lang w:val="fr-FR"/>
                        </w:rPr>
                      </w:pPr>
                      <w:r w:rsidRPr="00C50F13">
                        <w:rPr>
                          <w:color w:val="133C66"/>
                          <w:sz w:val="24"/>
                          <w:szCs w:val="24"/>
                          <w:lang w:val="fr-FR"/>
                        </w:rPr>
                        <w:t xml:space="preserve">Présenté par: </w:t>
                      </w:r>
                      <w:r w:rsidRPr="00C50F13">
                        <w:rPr>
                          <w:color w:val="133C66"/>
                          <w:sz w:val="24"/>
                          <w:szCs w:val="24"/>
                          <w:lang w:val="fr-FR"/>
                        </w:rPr>
                        <w:tab/>
                      </w:r>
                      <w:r>
                        <w:rPr>
                          <w:color w:val="133C66"/>
                          <w:sz w:val="24"/>
                          <w:szCs w:val="24"/>
                          <w:lang w:val="fr-FR"/>
                        </w:rPr>
                        <w:t xml:space="preserve">Baastel </w:t>
                      </w:r>
                      <w:r w:rsidRPr="00C50F13">
                        <w:rPr>
                          <w:color w:val="133C66"/>
                          <w:sz w:val="24"/>
                          <w:szCs w:val="24"/>
                          <w:lang w:val="fr-FR"/>
                        </w:rPr>
                        <w:t xml:space="preserve"> </w:t>
                      </w:r>
                    </w:p>
                    <w:p w14:paraId="25E705CC" w14:textId="3C648915" w:rsidR="001572D7" w:rsidRPr="00C50F13" w:rsidRDefault="001572D7" w:rsidP="00400988">
                      <w:pPr>
                        <w:spacing w:before="0" w:after="0" w:line="240" w:lineRule="auto"/>
                        <w:jc w:val="left"/>
                        <w:rPr>
                          <w:color w:val="133C66"/>
                          <w:sz w:val="24"/>
                          <w:szCs w:val="24"/>
                          <w:lang w:val="fr-FR"/>
                        </w:rPr>
                      </w:pPr>
                      <w:r w:rsidRPr="00C50F13">
                        <w:rPr>
                          <w:color w:val="133C66"/>
                          <w:sz w:val="24"/>
                          <w:szCs w:val="24"/>
                          <w:lang w:val="fr-FR"/>
                        </w:rPr>
                        <w:t xml:space="preserve">Demandé par: </w:t>
                      </w:r>
                      <w:r>
                        <w:rPr>
                          <w:color w:val="133C66"/>
                          <w:sz w:val="24"/>
                          <w:szCs w:val="24"/>
                          <w:lang w:val="fr-FR"/>
                        </w:rPr>
                        <w:t>Programme des Nations Unies pour le Développement (PNUD)</w:t>
                      </w:r>
                    </w:p>
                    <w:p w14:paraId="2AD633E2" w14:textId="77777777" w:rsidR="001572D7" w:rsidRPr="00C50F13" w:rsidRDefault="001572D7" w:rsidP="00400988">
                      <w:pPr>
                        <w:jc w:val="right"/>
                        <w:rPr>
                          <w:b/>
                          <w:color w:val="133C66"/>
                          <w:sz w:val="36"/>
                          <w:szCs w:val="36"/>
                          <w:lang w:val="fr-FR"/>
                        </w:rPr>
                      </w:pPr>
                    </w:p>
                    <w:p w14:paraId="76913798" w14:textId="4EA9BEB1" w:rsidR="001572D7" w:rsidRPr="00C50F13" w:rsidRDefault="001572D7" w:rsidP="00400988">
                      <w:pPr>
                        <w:jc w:val="right"/>
                        <w:rPr>
                          <w:b/>
                          <w:color w:val="1A3156"/>
                          <w:sz w:val="36"/>
                          <w:szCs w:val="36"/>
                          <w:lang w:val="fr-FR"/>
                        </w:rPr>
                      </w:pPr>
                      <w:r>
                        <w:rPr>
                          <w:b/>
                          <w:color w:val="133C66"/>
                          <w:sz w:val="36"/>
                          <w:szCs w:val="36"/>
                          <w:lang w:val="fr-FR"/>
                        </w:rPr>
                        <w:t>Janvier 28</w:t>
                      </w:r>
                      <w:r w:rsidRPr="004F0FD8">
                        <w:rPr>
                          <w:b/>
                          <w:color w:val="133C66"/>
                          <w:sz w:val="36"/>
                          <w:szCs w:val="36"/>
                          <w:lang w:val="fr-FR"/>
                        </w:rPr>
                        <w:t>, 20</w:t>
                      </w:r>
                      <w:r>
                        <w:rPr>
                          <w:b/>
                          <w:color w:val="133C66"/>
                          <w:sz w:val="36"/>
                          <w:szCs w:val="36"/>
                          <w:lang w:val="fr-FR"/>
                        </w:rPr>
                        <w:t>20</w:t>
                      </w:r>
                    </w:p>
                  </w:txbxContent>
                </v:textbox>
                <w10:wrap type="square" anchorx="page" anchory="margin"/>
              </v:shape>
            </w:pict>
          </mc:Fallback>
        </mc:AlternateContent>
      </w:r>
    </w:p>
    <w:p w14:paraId="1422F252" w14:textId="77777777" w:rsidR="00184393" w:rsidRPr="00C50F13" w:rsidRDefault="00184393" w:rsidP="00184393">
      <w:pPr>
        <w:rPr>
          <w:lang w:val="fr-FR"/>
        </w:rPr>
      </w:pPr>
    </w:p>
    <w:p w14:paraId="1BB6ED90" w14:textId="77777777" w:rsidR="00184393" w:rsidRPr="00C50F13" w:rsidRDefault="00184393" w:rsidP="00184393">
      <w:pPr>
        <w:rPr>
          <w:lang w:val="fr-FR"/>
        </w:rPr>
      </w:pPr>
    </w:p>
    <w:p w14:paraId="53C46283" w14:textId="77777777" w:rsidR="00184393" w:rsidRPr="00C50F13" w:rsidRDefault="00184393" w:rsidP="00184393">
      <w:pPr>
        <w:rPr>
          <w:lang w:val="fr-FR"/>
        </w:rPr>
      </w:pPr>
    </w:p>
    <w:p w14:paraId="30041415" w14:textId="77777777" w:rsidR="00184393" w:rsidRPr="00C50F13" w:rsidRDefault="00184393" w:rsidP="00184393">
      <w:pPr>
        <w:rPr>
          <w:lang w:val="fr-FR"/>
        </w:rPr>
      </w:pPr>
    </w:p>
    <w:p w14:paraId="278330F6" w14:textId="77777777" w:rsidR="00184393" w:rsidRPr="00C50F13" w:rsidRDefault="00184393" w:rsidP="00184393">
      <w:pPr>
        <w:rPr>
          <w:lang w:val="fr-FR"/>
        </w:rPr>
      </w:pPr>
    </w:p>
    <w:p w14:paraId="6EFA2435" w14:textId="77777777" w:rsidR="00184393" w:rsidRPr="00C50F13" w:rsidRDefault="00184393" w:rsidP="00184393">
      <w:pPr>
        <w:rPr>
          <w:lang w:val="fr-FR"/>
        </w:rPr>
      </w:pPr>
    </w:p>
    <w:p w14:paraId="0D4BF31A" w14:textId="77777777" w:rsidR="00184393" w:rsidRPr="00C50F13" w:rsidRDefault="00184393" w:rsidP="00184393">
      <w:pPr>
        <w:rPr>
          <w:lang w:val="fr-FR"/>
        </w:rPr>
      </w:pPr>
    </w:p>
    <w:p w14:paraId="35B9EB03" w14:textId="77777777" w:rsidR="00184393" w:rsidRPr="00C50F13" w:rsidRDefault="00184393" w:rsidP="00184393">
      <w:pPr>
        <w:rPr>
          <w:lang w:val="fr-FR"/>
        </w:rPr>
      </w:pPr>
    </w:p>
    <w:p w14:paraId="38799F44" w14:textId="77777777" w:rsidR="00184393" w:rsidRPr="00C50F13" w:rsidRDefault="00184393" w:rsidP="00184393">
      <w:pPr>
        <w:rPr>
          <w:lang w:val="fr-FR"/>
        </w:rPr>
      </w:pPr>
    </w:p>
    <w:p w14:paraId="2CDFD0FE" w14:textId="77777777" w:rsidR="00184393" w:rsidRPr="00C50F13" w:rsidRDefault="00184393" w:rsidP="00184393">
      <w:pPr>
        <w:rPr>
          <w:lang w:val="fr-FR"/>
        </w:rPr>
      </w:pPr>
    </w:p>
    <w:p w14:paraId="21615939" w14:textId="77777777" w:rsidR="00184393" w:rsidRPr="00C50F13" w:rsidRDefault="00184393" w:rsidP="00184393">
      <w:pPr>
        <w:rPr>
          <w:lang w:val="fr-FR"/>
        </w:rPr>
      </w:pPr>
    </w:p>
    <w:p w14:paraId="2EA894FC" w14:textId="77777777" w:rsidR="00184393" w:rsidRPr="00C50F13" w:rsidRDefault="00184393" w:rsidP="00184393">
      <w:pPr>
        <w:rPr>
          <w:lang w:val="fr-FR"/>
        </w:rPr>
      </w:pPr>
    </w:p>
    <w:p w14:paraId="146840A5" w14:textId="77777777" w:rsidR="00184393" w:rsidRPr="00C50F13" w:rsidRDefault="00184393" w:rsidP="00184393">
      <w:pPr>
        <w:rPr>
          <w:lang w:val="fr-FR"/>
        </w:rPr>
      </w:pPr>
    </w:p>
    <w:p w14:paraId="7E84BD26" w14:textId="77777777" w:rsidR="00184393" w:rsidRPr="00C50F13" w:rsidRDefault="00184393" w:rsidP="00184393">
      <w:pPr>
        <w:rPr>
          <w:lang w:val="fr-FR"/>
        </w:rPr>
      </w:pPr>
    </w:p>
    <w:p w14:paraId="45595862" w14:textId="77777777" w:rsidR="00184393" w:rsidRPr="00C50F13" w:rsidRDefault="00184393" w:rsidP="00184393">
      <w:pPr>
        <w:rPr>
          <w:lang w:val="fr-FR"/>
        </w:rPr>
      </w:pPr>
    </w:p>
    <w:p w14:paraId="0FA091EE" w14:textId="77777777" w:rsidR="00184393" w:rsidRPr="00C50F13" w:rsidRDefault="00184393" w:rsidP="00184393">
      <w:pPr>
        <w:rPr>
          <w:lang w:val="fr-FR"/>
        </w:rPr>
      </w:pPr>
    </w:p>
    <w:p w14:paraId="1E0B0146" w14:textId="77777777" w:rsidR="00184393" w:rsidRPr="00C50F13" w:rsidRDefault="00184393" w:rsidP="00184393">
      <w:pPr>
        <w:rPr>
          <w:lang w:val="fr-FR"/>
        </w:rPr>
      </w:pPr>
    </w:p>
    <w:p w14:paraId="273C9B8B" w14:textId="77777777" w:rsidR="00184393" w:rsidRPr="00C50F13" w:rsidRDefault="00184393" w:rsidP="00184393">
      <w:pPr>
        <w:rPr>
          <w:lang w:val="fr-FR"/>
        </w:rPr>
        <w:sectPr w:rsidR="00184393" w:rsidRPr="00C50F13" w:rsidSect="006B24FE">
          <w:pgSz w:w="12240" w:h="15840"/>
          <w:pgMar w:top="1440" w:right="1440" w:bottom="1440" w:left="1440" w:header="720" w:footer="432" w:gutter="0"/>
          <w:cols w:space="720"/>
          <w:docGrid w:linePitch="360"/>
        </w:sectPr>
      </w:pPr>
    </w:p>
    <w:p w14:paraId="5B27F76A" w14:textId="77777777" w:rsidR="00B80033" w:rsidRPr="00C50F13" w:rsidRDefault="00B80033" w:rsidP="00184393">
      <w:pPr>
        <w:rPr>
          <w:lang w:val="fr-FR"/>
        </w:rPr>
      </w:pPr>
    </w:p>
    <w:p w14:paraId="274B8822" w14:textId="77777777" w:rsidR="006B24FE" w:rsidRPr="00C50F13" w:rsidRDefault="006B24FE" w:rsidP="00184393">
      <w:pPr>
        <w:rPr>
          <w:lang w:val="fr-FR"/>
        </w:rPr>
      </w:pPr>
    </w:p>
    <w:p w14:paraId="17B2460A" w14:textId="77777777" w:rsidR="006B24FE" w:rsidRPr="00C50F13" w:rsidRDefault="006B24FE" w:rsidP="00184393">
      <w:pPr>
        <w:rPr>
          <w:lang w:val="fr-FR"/>
        </w:rPr>
      </w:pPr>
    </w:p>
    <w:p w14:paraId="2D359E43" w14:textId="77777777" w:rsidR="006B24FE" w:rsidRPr="00C50F13" w:rsidRDefault="006B24FE" w:rsidP="00184393">
      <w:pPr>
        <w:rPr>
          <w:lang w:val="fr-FR"/>
        </w:rPr>
      </w:pPr>
    </w:p>
    <w:p w14:paraId="7D0545C1" w14:textId="77777777" w:rsidR="006B24FE" w:rsidRPr="00C50F13" w:rsidRDefault="006B24FE" w:rsidP="00184393">
      <w:pPr>
        <w:rPr>
          <w:lang w:val="fr-FR"/>
        </w:rPr>
      </w:pPr>
    </w:p>
    <w:p w14:paraId="4E520003" w14:textId="77777777" w:rsidR="006B24FE" w:rsidRPr="00C50F13" w:rsidRDefault="006B24FE" w:rsidP="00184393">
      <w:pPr>
        <w:rPr>
          <w:lang w:val="fr-FR"/>
        </w:rPr>
      </w:pPr>
    </w:p>
    <w:p w14:paraId="3AD75984" w14:textId="77777777" w:rsidR="006B24FE" w:rsidRPr="00C50F13" w:rsidRDefault="006B24FE" w:rsidP="00184393">
      <w:pPr>
        <w:rPr>
          <w:lang w:val="fr-FR"/>
        </w:rPr>
      </w:pPr>
    </w:p>
    <w:p w14:paraId="72920267" w14:textId="77777777" w:rsidR="006B24FE" w:rsidRPr="00C50F13" w:rsidRDefault="006B24FE" w:rsidP="00184393">
      <w:pPr>
        <w:rPr>
          <w:lang w:val="fr-FR"/>
        </w:rPr>
      </w:pPr>
    </w:p>
    <w:p w14:paraId="6673275F" w14:textId="77777777" w:rsidR="006B24FE" w:rsidRPr="00C50F13" w:rsidRDefault="006B24FE" w:rsidP="00184393">
      <w:pPr>
        <w:rPr>
          <w:lang w:val="fr-FR"/>
        </w:rPr>
      </w:pPr>
    </w:p>
    <w:p w14:paraId="6ABA4E63" w14:textId="77777777" w:rsidR="006B24FE" w:rsidRPr="00C50F13" w:rsidRDefault="006B24FE" w:rsidP="00184393">
      <w:pPr>
        <w:rPr>
          <w:lang w:val="fr-FR"/>
        </w:rPr>
      </w:pPr>
    </w:p>
    <w:p w14:paraId="085E14DE" w14:textId="77777777" w:rsidR="006B24FE" w:rsidRPr="00C50F13" w:rsidRDefault="006B24FE" w:rsidP="00184393">
      <w:pPr>
        <w:rPr>
          <w:lang w:val="fr-FR"/>
        </w:rPr>
      </w:pPr>
    </w:p>
    <w:p w14:paraId="1C534784" w14:textId="77777777" w:rsidR="006B24FE" w:rsidRPr="00C50F13" w:rsidRDefault="006B24FE" w:rsidP="00184393">
      <w:pPr>
        <w:rPr>
          <w:lang w:val="fr-FR"/>
        </w:rPr>
      </w:pPr>
    </w:p>
    <w:p w14:paraId="41EB55A4" w14:textId="77777777" w:rsidR="006B24FE" w:rsidRPr="00C50F13" w:rsidRDefault="006B24FE" w:rsidP="00184393">
      <w:pPr>
        <w:rPr>
          <w:lang w:val="fr-FR"/>
        </w:rPr>
      </w:pPr>
    </w:p>
    <w:p w14:paraId="7C414160" w14:textId="77777777" w:rsidR="006B24FE" w:rsidRPr="00C50F13" w:rsidRDefault="006B24FE" w:rsidP="00184393">
      <w:pPr>
        <w:rPr>
          <w:lang w:val="fr-FR"/>
        </w:rPr>
      </w:pPr>
    </w:p>
    <w:p w14:paraId="6E76070B" w14:textId="77777777" w:rsidR="006B24FE" w:rsidRPr="00C50F13" w:rsidRDefault="006B24FE" w:rsidP="00184393">
      <w:pPr>
        <w:rPr>
          <w:lang w:val="fr-FR"/>
        </w:rPr>
      </w:pPr>
    </w:p>
    <w:p w14:paraId="40F924E9" w14:textId="77777777" w:rsidR="006B24FE" w:rsidRPr="00C50F13" w:rsidRDefault="006B24FE" w:rsidP="00184393">
      <w:pPr>
        <w:rPr>
          <w:lang w:val="fr-FR"/>
        </w:rPr>
      </w:pPr>
    </w:p>
    <w:p w14:paraId="3109D87C" w14:textId="77777777" w:rsidR="006B24FE" w:rsidRPr="00C50F13" w:rsidRDefault="006B24FE" w:rsidP="00184393">
      <w:pPr>
        <w:rPr>
          <w:lang w:val="fr-FR"/>
        </w:rPr>
      </w:pPr>
    </w:p>
    <w:p w14:paraId="61C2DEB8" w14:textId="77777777" w:rsidR="006B24FE" w:rsidRPr="00C50F13" w:rsidRDefault="006B24FE" w:rsidP="00184393">
      <w:pPr>
        <w:rPr>
          <w:lang w:val="fr-FR"/>
        </w:rPr>
      </w:pPr>
    </w:p>
    <w:p w14:paraId="0BE7123D" w14:textId="77777777" w:rsidR="006B24FE" w:rsidRPr="00C50F13" w:rsidRDefault="006B24FE" w:rsidP="00184393">
      <w:pPr>
        <w:rPr>
          <w:lang w:val="fr-FR"/>
        </w:rPr>
      </w:pPr>
    </w:p>
    <w:p w14:paraId="3AB35606" w14:textId="77777777" w:rsidR="006B24FE" w:rsidRPr="00C50F13" w:rsidRDefault="006B24FE" w:rsidP="00184393">
      <w:pPr>
        <w:rPr>
          <w:lang w:val="fr-FR"/>
        </w:rPr>
      </w:pPr>
    </w:p>
    <w:p w14:paraId="0CF7EFF0" w14:textId="77777777" w:rsidR="006B24FE" w:rsidRPr="00C50F13" w:rsidRDefault="006B24FE" w:rsidP="00184393">
      <w:pPr>
        <w:rPr>
          <w:lang w:val="fr-FR"/>
        </w:rPr>
      </w:pPr>
    </w:p>
    <w:p w14:paraId="1EBC6FCE" w14:textId="77777777" w:rsidR="006B24FE" w:rsidRPr="00C50F13" w:rsidRDefault="006B24FE" w:rsidP="00184393">
      <w:pPr>
        <w:rPr>
          <w:lang w:val="fr-FR"/>
        </w:rPr>
      </w:pPr>
    </w:p>
    <w:p w14:paraId="3E19EC5B" w14:textId="77777777" w:rsidR="006B24FE" w:rsidRPr="00C50F13" w:rsidRDefault="006B24FE" w:rsidP="00184393">
      <w:pPr>
        <w:rPr>
          <w:lang w:val="fr-FR"/>
        </w:rPr>
      </w:pPr>
    </w:p>
    <w:p w14:paraId="038D3395" w14:textId="77777777" w:rsidR="006B24FE" w:rsidRPr="00C50F13" w:rsidRDefault="006B24FE" w:rsidP="00184393">
      <w:pPr>
        <w:rPr>
          <w:lang w:val="fr-FR"/>
        </w:rPr>
        <w:sectPr w:rsidR="006B24FE" w:rsidRPr="00C50F13" w:rsidSect="006B24FE">
          <w:pgSz w:w="12240" w:h="15840"/>
          <w:pgMar w:top="1440" w:right="1440" w:bottom="1440" w:left="1440" w:header="720" w:footer="432" w:gutter="0"/>
          <w:cols w:space="720"/>
          <w:docGrid w:linePitch="360"/>
        </w:sectPr>
      </w:pPr>
    </w:p>
    <w:p w14:paraId="5B008A68" w14:textId="5D3F7122" w:rsidR="006B24FE" w:rsidRPr="00823CD6" w:rsidRDefault="000E3B51" w:rsidP="00766C3B">
      <w:pPr>
        <w:pStyle w:val="Titre"/>
        <w:rPr>
          <w:lang w:val="fr-FR"/>
        </w:rPr>
      </w:pPr>
      <w:r w:rsidRPr="00C50F13">
        <w:rPr>
          <w:noProof/>
          <w:lang w:val="en-US"/>
        </w:rPr>
        <w:lastRenderedPageBreak/>
        <mc:AlternateContent>
          <mc:Choice Requires="wps">
            <w:drawing>
              <wp:anchor distT="0" distB="0" distL="114300" distR="114300" simplePos="0" relativeHeight="251676672" behindDoc="1" locked="0" layoutInCell="1" allowOverlap="1" wp14:anchorId="0A5BE159" wp14:editId="01E0C9A9">
                <wp:simplePos x="0" y="0"/>
                <wp:positionH relativeFrom="column">
                  <wp:posOffset>6227445</wp:posOffset>
                </wp:positionH>
                <wp:positionV relativeFrom="paragraph">
                  <wp:posOffset>-2070100</wp:posOffset>
                </wp:positionV>
                <wp:extent cx="2998470" cy="12391390"/>
                <wp:effectExtent l="0" t="0" r="0" b="0"/>
                <wp:wrapNone/>
                <wp:docPr id="12" name="Ellips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8470" cy="12391390"/>
                        </a:xfrm>
                        <a:prstGeom prst="ellipse">
                          <a:avLst/>
                        </a:prstGeom>
                        <a:solidFill>
                          <a:srgbClr val="2F549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635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566FAE" id="Ellipse 35" o:spid="_x0000_s1026" style="position:absolute;margin-left:490.35pt;margin-top:-163pt;width:236.1pt;height:975.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" fillcolor="#2f5496" stroked="f"/>
            </w:pict>
          </mc:Fallback>
        </mc:AlternateContent>
      </w:r>
      <w:r w:rsidR="00EE3F99" w:rsidRPr="00C50F13">
        <w:rPr>
          <w:noProof/>
          <w:lang w:val="fr-FR"/>
        </w:rPr>
        <w:t>Table des m</w:t>
      </w:r>
      <w:r w:rsidR="00EE3F99" w:rsidRPr="00EE3F99">
        <w:rPr>
          <w:noProof/>
          <w:lang w:val="fr-FR"/>
        </w:rPr>
        <w:t>atières</w:t>
      </w:r>
    </w:p>
    <w:p w14:paraId="2EDDE0F6" w14:textId="06BB6201" w:rsidR="008E6AFA" w:rsidRDefault="00171BF7">
      <w:pPr>
        <w:pStyle w:val="TM1"/>
        <w:rPr>
          <w:rFonts w:asciiTheme="minorHAnsi" w:hAnsiTheme="minorHAnsi"/>
          <w:b w:val="0"/>
          <w:noProof/>
          <w:color w:val="auto"/>
          <w:sz w:val="24"/>
          <w:szCs w:val="24"/>
          <w:lang w:val="en-GB" w:eastAsia="en-GB"/>
        </w:rPr>
      </w:pPr>
      <w:r w:rsidRPr="00C50F13">
        <w:rPr>
          <w:lang w:val="fr-FR"/>
        </w:rPr>
        <w:fldChar w:fldCharType="begin"/>
      </w:r>
      <w:r w:rsidRPr="00823CD6">
        <w:rPr>
          <w:lang w:val="fr-FR"/>
        </w:rPr>
        <w:instrText xml:space="preserve"> TOC \o "1-2" \h \z \t "Titre,1" </w:instrText>
      </w:r>
      <w:r w:rsidRPr="00C50F13">
        <w:rPr>
          <w:lang w:val="fr-FR"/>
        </w:rPr>
        <w:fldChar w:fldCharType="separate"/>
      </w:r>
      <w:hyperlink w:anchor="_Toc31122550" w:history="1">
        <w:r w:rsidR="008E6AFA" w:rsidRPr="0097777C">
          <w:rPr>
            <w:rStyle w:val="Lienhypertexte"/>
            <w:noProof/>
            <w:lang w:val="fr-FR"/>
          </w:rPr>
          <w:t>Résumé exécutif</w:t>
        </w:r>
        <w:r w:rsidR="008E6AFA">
          <w:rPr>
            <w:noProof/>
            <w:webHidden/>
          </w:rPr>
          <w:tab/>
        </w:r>
        <w:r w:rsidR="008E6AFA">
          <w:rPr>
            <w:noProof/>
            <w:webHidden/>
          </w:rPr>
          <w:fldChar w:fldCharType="begin"/>
        </w:r>
        <w:r w:rsidR="008E6AFA">
          <w:rPr>
            <w:noProof/>
            <w:webHidden/>
          </w:rPr>
          <w:instrText xml:space="preserve"> PAGEREF _Toc31122550 \h </w:instrText>
        </w:r>
        <w:r w:rsidR="008E6AFA">
          <w:rPr>
            <w:noProof/>
            <w:webHidden/>
          </w:rPr>
        </w:r>
        <w:r w:rsidR="008E6AFA">
          <w:rPr>
            <w:noProof/>
            <w:webHidden/>
          </w:rPr>
          <w:fldChar w:fldCharType="separate"/>
        </w:r>
        <w:r w:rsidR="008E6AFA">
          <w:rPr>
            <w:noProof/>
            <w:webHidden/>
          </w:rPr>
          <w:t>1</w:t>
        </w:r>
        <w:r w:rsidR="008E6AFA">
          <w:rPr>
            <w:noProof/>
            <w:webHidden/>
          </w:rPr>
          <w:fldChar w:fldCharType="end"/>
        </w:r>
      </w:hyperlink>
    </w:p>
    <w:p w14:paraId="110C1244" w14:textId="6A936AB2" w:rsidR="008E6AFA" w:rsidRDefault="002B73C6">
      <w:pPr>
        <w:pStyle w:val="TM1"/>
        <w:rPr>
          <w:rFonts w:asciiTheme="minorHAnsi" w:hAnsiTheme="minorHAnsi"/>
          <w:b w:val="0"/>
          <w:noProof/>
          <w:color w:val="auto"/>
          <w:sz w:val="24"/>
          <w:szCs w:val="24"/>
          <w:lang w:val="en-GB" w:eastAsia="en-GB"/>
        </w:rPr>
      </w:pPr>
      <w:hyperlink w:anchor="_Toc31122551" w:history="1">
        <w:r w:rsidR="008E6AFA" w:rsidRPr="0097777C">
          <w:rPr>
            <w:rStyle w:val="Lienhypertexte"/>
            <w:noProof/>
            <w:lang w:val="fr-FR"/>
          </w:rPr>
          <w:t>1.</w:t>
        </w:r>
        <w:r w:rsidR="008E6AFA">
          <w:rPr>
            <w:rFonts w:asciiTheme="minorHAnsi" w:hAnsiTheme="minorHAnsi"/>
            <w:b w:val="0"/>
            <w:noProof/>
            <w:color w:val="auto"/>
            <w:sz w:val="24"/>
            <w:szCs w:val="24"/>
            <w:lang w:val="en-GB" w:eastAsia="en-GB"/>
          </w:rPr>
          <w:tab/>
        </w:r>
        <w:r w:rsidR="008E6AFA" w:rsidRPr="0097777C">
          <w:rPr>
            <w:rStyle w:val="Lienhypertexte"/>
            <w:noProof/>
            <w:lang w:val="fr-FR"/>
          </w:rPr>
          <w:t>Introduction</w:t>
        </w:r>
        <w:r w:rsidR="008E6AFA">
          <w:rPr>
            <w:noProof/>
            <w:webHidden/>
          </w:rPr>
          <w:tab/>
        </w:r>
        <w:r w:rsidR="008E6AFA">
          <w:rPr>
            <w:noProof/>
            <w:webHidden/>
          </w:rPr>
          <w:fldChar w:fldCharType="begin"/>
        </w:r>
        <w:r w:rsidR="008E6AFA">
          <w:rPr>
            <w:noProof/>
            <w:webHidden/>
          </w:rPr>
          <w:instrText xml:space="preserve"> PAGEREF _Toc31122551 \h </w:instrText>
        </w:r>
        <w:r w:rsidR="008E6AFA">
          <w:rPr>
            <w:noProof/>
            <w:webHidden/>
          </w:rPr>
        </w:r>
        <w:r w:rsidR="008E6AFA">
          <w:rPr>
            <w:noProof/>
            <w:webHidden/>
          </w:rPr>
          <w:fldChar w:fldCharType="separate"/>
        </w:r>
        <w:r w:rsidR="008E6AFA">
          <w:rPr>
            <w:noProof/>
            <w:webHidden/>
          </w:rPr>
          <w:t>6</w:t>
        </w:r>
        <w:r w:rsidR="008E6AFA">
          <w:rPr>
            <w:noProof/>
            <w:webHidden/>
          </w:rPr>
          <w:fldChar w:fldCharType="end"/>
        </w:r>
      </w:hyperlink>
    </w:p>
    <w:p w14:paraId="17256677" w14:textId="45A8D67E" w:rsidR="008E6AFA" w:rsidRDefault="002B73C6">
      <w:pPr>
        <w:pStyle w:val="TM2"/>
        <w:rPr>
          <w:rFonts w:asciiTheme="minorHAnsi" w:hAnsiTheme="minorHAnsi"/>
          <w:b w:val="0"/>
          <w:noProof/>
          <w:color w:val="auto"/>
          <w:sz w:val="24"/>
          <w:szCs w:val="24"/>
          <w:lang w:val="en-GB" w:eastAsia="en-GB"/>
        </w:rPr>
      </w:pPr>
      <w:hyperlink w:anchor="_Toc31122552" w:history="1">
        <w:r w:rsidR="008E6AFA" w:rsidRPr="0097777C">
          <w:rPr>
            <w:rStyle w:val="Lienhypertexte"/>
            <w:noProof/>
            <w:lang w:val="fr-FR"/>
          </w:rPr>
          <w:t>1.1.</w:t>
        </w:r>
        <w:r w:rsidR="008E6AFA">
          <w:rPr>
            <w:rFonts w:asciiTheme="minorHAnsi" w:hAnsiTheme="minorHAnsi"/>
            <w:b w:val="0"/>
            <w:noProof/>
            <w:color w:val="auto"/>
            <w:sz w:val="24"/>
            <w:szCs w:val="24"/>
            <w:lang w:val="en-GB" w:eastAsia="en-GB"/>
          </w:rPr>
          <w:tab/>
        </w:r>
        <w:r w:rsidR="008E6AFA" w:rsidRPr="0097777C">
          <w:rPr>
            <w:rStyle w:val="Lienhypertexte"/>
            <w:noProof/>
            <w:lang w:val="fr-FR"/>
          </w:rPr>
          <w:t>Finalités et objectifs de l’évaluation à mi-parcours</w:t>
        </w:r>
        <w:r w:rsidR="008E6AFA">
          <w:rPr>
            <w:noProof/>
            <w:webHidden/>
          </w:rPr>
          <w:tab/>
        </w:r>
        <w:r w:rsidR="008E6AFA">
          <w:rPr>
            <w:noProof/>
            <w:webHidden/>
          </w:rPr>
          <w:fldChar w:fldCharType="begin"/>
        </w:r>
        <w:r w:rsidR="008E6AFA">
          <w:rPr>
            <w:noProof/>
            <w:webHidden/>
          </w:rPr>
          <w:instrText xml:space="preserve"> PAGEREF _Toc31122552 \h </w:instrText>
        </w:r>
        <w:r w:rsidR="008E6AFA">
          <w:rPr>
            <w:noProof/>
            <w:webHidden/>
          </w:rPr>
        </w:r>
        <w:r w:rsidR="008E6AFA">
          <w:rPr>
            <w:noProof/>
            <w:webHidden/>
          </w:rPr>
          <w:fldChar w:fldCharType="separate"/>
        </w:r>
        <w:r w:rsidR="008E6AFA">
          <w:rPr>
            <w:noProof/>
            <w:webHidden/>
          </w:rPr>
          <w:t>6</w:t>
        </w:r>
        <w:r w:rsidR="008E6AFA">
          <w:rPr>
            <w:noProof/>
            <w:webHidden/>
          </w:rPr>
          <w:fldChar w:fldCharType="end"/>
        </w:r>
      </w:hyperlink>
    </w:p>
    <w:p w14:paraId="10D899B5" w14:textId="1EA4A29F" w:rsidR="008E6AFA" w:rsidRDefault="002B73C6">
      <w:pPr>
        <w:pStyle w:val="TM2"/>
        <w:rPr>
          <w:rFonts w:asciiTheme="minorHAnsi" w:hAnsiTheme="minorHAnsi"/>
          <w:b w:val="0"/>
          <w:noProof/>
          <w:color w:val="auto"/>
          <w:sz w:val="24"/>
          <w:szCs w:val="24"/>
          <w:lang w:val="en-GB" w:eastAsia="en-GB"/>
        </w:rPr>
      </w:pPr>
      <w:hyperlink w:anchor="_Toc31122553" w:history="1">
        <w:r w:rsidR="008E6AFA" w:rsidRPr="0097777C">
          <w:rPr>
            <w:rStyle w:val="Lienhypertexte"/>
            <w:noProof/>
            <w:lang w:val="fr-FR"/>
          </w:rPr>
          <w:t>1.2.</w:t>
        </w:r>
        <w:r w:rsidR="008E6AFA">
          <w:rPr>
            <w:rFonts w:asciiTheme="minorHAnsi" w:hAnsiTheme="minorHAnsi"/>
            <w:b w:val="0"/>
            <w:noProof/>
            <w:color w:val="auto"/>
            <w:sz w:val="24"/>
            <w:szCs w:val="24"/>
            <w:lang w:val="en-GB" w:eastAsia="en-GB"/>
          </w:rPr>
          <w:tab/>
        </w:r>
        <w:r w:rsidR="008E6AFA" w:rsidRPr="0097777C">
          <w:rPr>
            <w:rStyle w:val="Lienhypertexte"/>
            <w:noProof/>
            <w:lang w:val="fr-FR"/>
          </w:rPr>
          <w:t>Portée et Méthodologie</w:t>
        </w:r>
        <w:r w:rsidR="008E6AFA">
          <w:rPr>
            <w:noProof/>
            <w:webHidden/>
          </w:rPr>
          <w:tab/>
        </w:r>
        <w:r w:rsidR="008E6AFA">
          <w:rPr>
            <w:noProof/>
            <w:webHidden/>
          </w:rPr>
          <w:fldChar w:fldCharType="begin"/>
        </w:r>
        <w:r w:rsidR="008E6AFA">
          <w:rPr>
            <w:noProof/>
            <w:webHidden/>
          </w:rPr>
          <w:instrText xml:space="preserve"> PAGEREF _Toc31122553 \h </w:instrText>
        </w:r>
        <w:r w:rsidR="008E6AFA">
          <w:rPr>
            <w:noProof/>
            <w:webHidden/>
          </w:rPr>
        </w:r>
        <w:r w:rsidR="008E6AFA">
          <w:rPr>
            <w:noProof/>
            <w:webHidden/>
          </w:rPr>
          <w:fldChar w:fldCharType="separate"/>
        </w:r>
        <w:r w:rsidR="008E6AFA">
          <w:rPr>
            <w:noProof/>
            <w:webHidden/>
          </w:rPr>
          <w:t>6</w:t>
        </w:r>
        <w:r w:rsidR="008E6AFA">
          <w:rPr>
            <w:noProof/>
            <w:webHidden/>
          </w:rPr>
          <w:fldChar w:fldCharType="end"/>
        </w:r>
      </w:hyperlink>
    </w:p>
    <w:p w14:paraId="608D6A40" w14:textId="19023883" w:rsidR="008E6AFA" w:rsidRDefault="002B73C6">
      <w:pPr>
        <w:pStyle w:val="TM2"/>
        <w:rPr>
          <w:rFonts w:asciiTheme="minorHAnsi" w:hAnsiTheme="minorHAnsi"/>
          <w:b w:val="0"/>
          <w:noProof/>
          <w:color w:val="auto"/>
          <w:sz w:val="24"/>
          <w:szCs w:val="24"/>
          <w:lang w:val="en-GB" w:eastAsia="en-GB"/>
        </w:rPr>
      </w:pPr>
      <w:hyperlink w:anchor="_Toc31122554" w:history="1">
        <w:r w:rsidR="008E6AFA" w:rsidRPr="0097777C">
          <w:rPr>
            <w:rStyle w:val="Lienhypertexte"/>
            <w:noProof/>
            <w:lang w:val="fr-FR"/>
          </w:rPr>
          <w:t>1.3.</w:t>
        </w:r>
        <w:r w:rsidR="008E6AFA">
          <w:rPr>
            <w:rFonts w:asciiTheme="minorHAnsi" w:hAnsiTheme="minorHAnsi"/>
            <w:b w:val="0"/>
            <w:noProof/>
            <w:color w:val="auto"/>
            <w:sz w:val="24"/>
            <w:szCs w:val="24"/>
            <w:lang w:val="en-GB" w:eastAsia="en-GB"/>
          </w:rPr>
          <w:tab/>
        </w:r>
        <w:r w:rsidR="008E6AFA" w:rsidRPr="0097777C">
          <w:rPr>
            <w:rStyle w:val="Lienhypertexte"/>
            <w:noProof/>
            <w:lang w:val="fr-FR"/>
          </w:rPr>
          <w:t>Structure du rapport d’évaluation</w:t>
        </w:r>
        <w:r w:rsidR="008E6AFA">
          <w:rPr>
            <w:noProof/>
            <w:webHidden/>
          </w:rPr>
          <w:tab/>
        </w:r>
        <w:r w:rsidR="008E6AFA">
          <w:rPr>
            <w:noProof/>
            <w:webHidden/>
          </w:rPr>
          <w:fldChar w:fldCharType="begin"/>
        </w:r>
        <w:r w:rsidR="008E6AFA">
          <w:rPr>
            <w:noProof/>
            <w:webHidden/>
          </w:rPr>
          <w:instrText xml:space="preserve"> PAGEREF _Toc31122554 \h </w:instrText>
        </w:r>
        <w:r w:rsidR="008E6AFA">
          <w:rPr>
            <w:noProof/>
            <w:webHidden/>
          </w:rPr>
        </w:r>
        <w:r w:rsidR="008E6AFA">
          <w:rPr>
            <w:noProof/>
            <w:webHidden/>
          </w:rPr>
          <w:fldChar w:fldCharType="separate"/>
        </w:r>
        <w:r w:rsidR="008E6AFA">
          <w:rPr>
            <w:noProof/>
            <w:webHidden/>
          </w:rPr>
          <w:t>7</w:t>
        </w:r>
        <w:r w:rsidR="008E6AFA">
          <w:rPr>
            <w:noProof/>
            <w:webHidden/>
          </w:rPr>
          <w:fldChar w:fldCharType="end"/>
        </w:r>
      </w:hyperlink>
    </w:p>
    <w:p w14:paraId="2C320D9D" w14:textId="2F7DE33C" w:rsidR="008E6AFA" w:rsidRDefault="002B73C6">
      <w:pPr>
        <w:pStyle w:val="TM1"/>
        <w:rPr>
          <w:rFonts w:asciiTheme="minorHAnsi" w:hAnsiTheme="minorHAnsi"/>
          <w:b w:val="0"/>
          <w:noProof/>
          <w:color w:val="auto"/>
          <w:sz w:val="24"/>
          <w:szCs w:val="24"/>
          <w:lang w:val="en-GB" w:eastAsia="en-GB"/>
        </w:rPr>
      </w:pPr>
      <w:hyperlink w:anchor="_Toc31122555" w:history="1">
        <w:r w:rsidR="008E6AFA" w:rsidRPr="0097777C">
          <w:rPr>
            <w:rStyle w:val="Lienhypertexte"/>
            <w:noProof/>
            <w:lang w:val="fr-FR"/>
          </w:rPr>
          <w:t>2.</w:t>
        </w:r>
        <w:r w:rsidR="008E6AFA">
          <w:rPr>
            <w:rFonts w:asciiTheme="minorHAnsi" w:hAnsiTheme="minorHAnsi"/>
            <w:b w:val="0"/>
            <w:noProof/>
            <w:color w:val="auto"/>
            <w:sz w:val="24"/>
            <w:szCs w:val="24"/>
            <w:lang w:val="en-GB" w:eastAsia="en-GB"/>
          </w:rPr>
          <w:tab/>
        </w:r>
        <w:r w:rsidR="008E6AFA" w:rsidRPr="0097777C">
          <w:rPr>
            <w:rStyle w:val="Lienhypertexte"/>
            <w:noProof/>
            <w:lang w:val="fr-FR"/>
          </w:rPr>
          <w:t>Le projet et son contexte</w:t>
        </w:r>
        <w:r w:rsidR="008E6AFA">
          <w:rPr>
            <w:noProof/>
            <w:webHidden/>
          </w:rPr>
          <w:tab/>
        </w:r>
        <w:r w:rsidR="008E6AFA">
          <w:rPr>
            <w:noProof/>
            <w:webHidden/>
          </w:rPr>
          <w:fldChar w:fldCharType="begin"/>
        </w:r>
        <w:r w:rsidR="008E6AFA">
          <w:rPr>
            <w:noProof/>
            <w:webHidden/>
          </w:rPr>
          <w:instrText xml:space="preserve"> PAGEREF _Toc31122555 \h </w:instrText>
        </w:r>
        <w:r w:rsidR="008E6AFA">
          <w:rPr>
            <w:noProof/>
            <w:webHidden/>
          </w:rPr>
        </w:r>
        <w:r w:rsidR="008E6AFA">
          <w:rPr>
            <w:noProof/>
            <w:webHidden/>
          </w:rPr>
          <w:fldChar w:fldCharType="separate"/>
        </w:r>
        <w:r w:rsidR="008E6AFA">
          <w:rPr>
            <w:noProof/>
            <w:webHidden/>
          </w:rPr>
          <w:t>8</w:t>
        </w:r>
        <w:r w:rsidR="008E6AFA">
          <w:rPr>
            <w:noProof/>
            <w:webHidden/>
          </w:rPr>
          <w:fldChar w:fldCharType="end"/>
        </w:r>
      </w:hyperlink>
    </w:p>
    <w:p w14:paraId="17411D40" w14:textId="5A48D878" w:rsidR="008E6AFA" w:rsidRDefault="002B73C6">
      <w:pPr>
        <w:pStyle w:val="TM1"/>
        <w:rPr>
          <w:rFonts w:asciiTheme="minorHAnsi" w:hAnsiTheme="minorHAnsi"/>
          <w:b w:val="0"/>
          <w:noProof/>
          <w:color w:val="auto"/>
          <w:sz w:val="24"/>
          <w:szCs w:val="24"/>
          <w:lang w:val="en-GB" w:eastAsia="en-GB"/>
        </w:rPr>
      </w:pPr>
      <w:hyperlink w:anchor="_Toc31122556" w:history="1">
        <w:r w:rsidR="008E6AFA" w:rsidRPr="0097777C">
          <w:rPr>
            <w:rStyle w:val="Lienhypertexte"/>
            <w:noProof/>
            <w:lang w:val="fr-FR"/>
          </w:rPr>
          <w:t>3.</w:t>
        </w:r>
        <w:r w:rsidR="008E6AFA">
          <w:rPr>
            <w:rFonts w:asciiTheme="minorHAnsi" w:hAnsiTheme="minorHAnsi"/>
            <w:b w:val="0"/>
            <w:noProof/>
            <w:color w:val="auto"/>
            <w:sz w:val="24"/>
            <w:szCs w:val="24"/>
            <w:lang w:val="en-GB" w:eastAsia="en-GB"/>
          </w:rPr>
          <w:tab/>
        </w:r>
        <w:r w:rsidR="008E6AFA" w:rsidRPr="0097777C">
          <w:rPr>
            <w:rStyle w:val="Lienhypertexte"/>
            <w:noProof/>
            <w:lang w:val="fr-FR"/>
          </w:rPr>
          <w:t>Résultats</w:t>
        </w:r>
        <w:r w:rsidR="008E6AFA">
          <w:rPr>
            <w:noProof/>
            <w:webHidden/>
          </w:rPr>
          <w:tab/>
        </w:r>
        <w:r w:rsidR="008E6AFA">
          <w:rPr>
            <w:noProof/>
            <w:webHidden/>
          </w:rPr>
          <w:fldChar w:fldCharType="begin"/>
        </w:r>
        <w:r w:rsidR="008E6AFA">
          <w:rPr>
            <w:noProof/>
            <w:webHidden/>
          </w:rPr>
          <w:instrText xml:space="preserve"> PAGEREF _Toc31122556 \h </w:instrText>
        </w:r>
        <w:r w:rsidR="008E6AFA">
          <w:rPr>
            <w:noProof/>
            <w:webHidden/>
          </w:rPr>
        </w:r>
        <w:r w:rsidR="008E6AFA">
          <w:rPr>
            <w:noProof/>
            <w:webHidden/>
          </w:rPr>
          <w:fldChar w:fldCharType="separate"/>
        </w:r>
        <w:r w:rsidR="008E6AFA">
          <w:rPr>
            <w:noProof/>
            <w:webHidden/>
          </w:rPr>
          <w:t>10</w:t>
        </w:r>
        <w:r w:rsidR="008E6AFA">
          <w:rPr>
            <w:noProof/>
            <w:webHidden/>
          </w:rPr>
          <w:fldChar w:fldCharType="end"/>
        </w:r>
      </w:hyperlink>
    </w:p>
    <w:p w14:paraId="380BD23A" w14:textId="16F6F240" w:rsidR="008E6AFA" w:rsidRDefault="002B73C6">
      <w:pPr>
        <w:pStyle w:val="TM2"/>
        <w:rPr>
          <w:rFonts w:asciiTheme="minorHAnsi" w:hAnsiTheme="minorHAnsi"/>
          <w:b w:val="0"/>
          <w:noProof/>
          <w:color w:val="auto"/>
          <w:sz w:val="24"/>
          <w:szCs w:val="24"/>
          <w:lang w:val="en-GB" w:eastAsia="en-GB"/>
        </w:rPr>
      </w:pPr>
      <w:hyperlink w:anchor="_Toc31122557" w:history="1">
        <w:r w:rsidR="008E6AFA" w:rsidRPr="0097777C">
          <w:rPr>
            <w:rStyle w:val="Lienhypertexte"/>
            <w:noProof/>
            <w:lang w:val="fr-FR"/>
          </w:rPr>
          <w:t>3.1.</w:t>
        </w:r>
        <w:r w:rsidR="008E6AFA">
          <w:rPr>
            <w:rFonts w:asciiTheme="minorHAnsi" w:hAnsiTheme="minorHAnsi"/>
            <w:b w:val="0"/>
            <w:noProof/>
            <w:color w:val="auto"/>
            <w:sz w:val="24"/>
            <w:szCs w:val="24"/>
            <w:lang w:val="en-GB" w:eastAsia="en-GB"/>
          </w:rPr>
          <w:tab/>
        </w:r>
        <w:r w:rsidR="008E6AFA" w:rsidRPr="0097777C">
          <w:rPr>
            <w:rStyle w:val="Lienhypertexte"/>
            <w:noProof/>
            <w:lang w:val="fr-FR"/>
          </w:rPr>
          <w:t>Stratégie du projet</w:t>
        </w:r>
        <w:r w:rsidR="008E6AFA">
          <w:rPr>
            <w:noProof/>
            <w:webHidden/>
          </w:rPr>
          <w:tab/>
        </w:r>
        <w:r w:rsidR="008E6AFA">
          <w:rPr>
            <w:noProof/>
            <w:webHidden/>
          </w:rPr>
          <w:fldChar w:fldCharType="begin"/>
        </w:r>
        <w:r w:rsidR="008E6AFA">
          <w:rPr>
            <w:noProof/>
            <w:webHidden/>
          </w:rPr>
          <w:instrText xml:space="preserve"> PAGEREF _Toc31122557 \h </w:instrText>
        </w:r>
        <w:r w:rsidR="008E6AFA">
          <w:rPr>
            <w:noProof/>
            <w:webHidden/>
          </w:rPr>
        </w:r>
        <w:r w:rsidR="008E6AFA">
          <w:rPr>
            <w:noProof/>
            <w:webHidden/>
          </w:rPr>
          <w:fldChar w:fldCharType="separate"/>
        </w:r>
        <w:r w:rsidR="008E6AFA">
          <w:rPr>
            <w:noProof/>
            <w:webHidden/>
          </w:rPr>
          <w:t>10</w:t>
        </w:r>
        <w:r w:rsidR="008E6AFA">
          <w:rPr>
            <w:noProof/>
            <w:webHidden/>
          </w:rPr>
          <w:fldChar w:fldCharType="end"/>
        </w:r>
      </w:hyperlink>
    </w:p>
    <w:p w14:paraId="388CDAD4" w14:textId="6A12159C" w:rsidR="008E6AFA" w:rsidRDefault="002B73C6">
      <w:pPr>
        <w:pStyle w:val="TM2"/>
        <w:rPr>
          <w:rFonts w:asciiTheme="minorHAnsi" w:hAnsiTheme="minorHAnsi"/>
          <w:b w:val="0"/>
          <w:noProof/>
          <w:color w:val="auto"/>
          <w:sz w:val="24"/>
          <w:szCs w:val="24"/>
          <w:lang w:val="en-GB" w:eastAsia="en-GB"/>
        </w:rPr>
      </w:pPr>
      <w:hyperlink w:anchor="_Toc31122558" w:history="1">
        <w:r w:rsidR="008E6AFA" w:rsidRPr="0097777C">
          <w:rPr>
            <w:rStyle w:val="Lienhypertexte"/>
            <w:noProof/>
            <w:lang w:val="fr-FR"/>
          </w:rPr>
          <w:t>3.2.</w:t>
        </w:r>
        <w:r w:rsidR="008E6AFA">
          <w:rPr>
            <w:rFonts w:asciiTheme="minorHAnsi" w:hAnsiTheme="minorHAnsi"/>
            <w:b w:val="0"/>
            <w:noProof/>
            <w:color w:val="auto"/>
            <w:sz w:val="24"/>
            <w:szCs w:val="24"/>
            <w:lang w:val="en-GB" w:eastAsia="en-GB"/>
          </w:rPr>
          <w:tab/>
        </w:r>
        <w:r w:rsidR="008E6AFA" w:rsidRPr="0097777C">
          <w:rPr>
            <w:rStyle w:val="Lienhypertexte"/>
            <w:noProof/>
            <w:lang w:val="fr-FR"/>
          </w:rPr>
          <w:t>Progrès accomplis vers la réalisation des résultats</w:t>
        </w:r>
        <w:r w:rsidR="008E6AFA">
          <w:rPr>
            <w:noProof/>
            <w:webHidden/>
          </w:rPr>
          <w:tab/>
        </w:r>
        <w:r w:rsidR="008E6AFA">
          <w:rPr>
            <w:noProof/>
            <w:webHidden/>
          </w:rPr>
          <w:fldChar w:fldCharType="begin"/>
        </w:r>
        <w:r w:rsidR="008E6AFA">
          <w:rPr>
            <w:noProof/>
            <w:webHidden/>
          </w:rPr>
          <w:instrText xml:space="preserve"> PAGEREF _Toc31122558 \h </w:instrText>
        </w:r>
        <w:r w:rsidR="008E6AFA">
          <w:rPr>
            <w:noProof/>
            <w:webHidden/>
          </w:rPr>
        </w:r>
        <w:r w:rsidR="008E6AFA">
          <w:rPr>
            <w:noProof/>
            <w:webHidden/>
          </w:rPr>
          <w:fldChar w:fldCharType="separate"/>
        </w:r>
        <w:r w:rsidR="008E6AFA">
          <w:rPr>
            <w:noProof/>
            <w:webHidden/>
          </w:rPr>
          <w:t>24</w:t>
        </w:r>
        <w:r w:rsidR="008E6AFA">
          <w:rPr>
            <w:noProof/>
            <w:webHidden/>
          </w:rPr>
          <w:fldChar w:fldCharType="end"/>
        </w:r>
      </w:hyperlink>
    </w:p>
    <w:p w14:paraId="0EB3D61A" w14:textId="406B0688" w:rsidR="008E6AFA" w:rsidRDefault="002B73C6">
      <w:pPr>
        <w:pStyle w:val="TM2"/>
        <w:rPr>
          <w:rFonts w:asciiTheme="minorHAnsi" w:hAnsiTheme="minorHAnsi"/>
          <w:b w:val="0"/>
          <w:noProof/>
          <w:color w:val="auto"/>
          <w:sz w:val="24"/>
          <w:szCs w:val="24"/>
          <w:lang w:val="en-GB" w:eastAsia="en-GB"/>
        </w:rPr>
      </w:pPr>
      <w:hyperlink w:anchor="_Toc31122559" w:history="1">
        <w:r w:rsidR="008E6AFA" w:rsidRPr="0097777C">
          <w:rPr>
            <w:rStyle w:val="Lienhypertexte"/>
            <w:noProof/>
            <w:lang w:val="fr-FR"/>
          </w:rPr>
          <w:t>3.3.</w:t>
        </w:r>
        <w:r w:rsidR="008E6AFA">
          <w:rPr>
            <w:rFonts w:asciiTheme="minorHAnsi" w:hAnsiTheme="minorHAnsi"/>
            <w:b w:val="0"/>
            <w:noProof/>
            <w:color w:val="auto"/>
            <w:sz w:val="24"/>
            <w:szCs w:val="24"/>
            <w:lang w:val="en-GB" w:eastAsia="en-GB"/>
          </w:rPr>
          <w:tab/>
        </w:r>
        <w:r w:rsidR="008E6AFA" w:rsidRPr="0097777C">
          <w:rPr>
            <w:rStyle w:val="Lienhypertexte"/>
            <w:noProof/>
            <w:lang w:val="fr-FR"/>
          </w:rPr>
          <w:t>Mise en œuvre du projet et gestion réactive</w:t>
        </w:r>
        <w:r w:rsidR="008E6AFA">
          <w:rPr>
            <w:noProof/>
            <w:webHidden/>
          </w:rPr>
          <w:tab/>
        </w:r>
        <w:r w:rsidR="008E6AFA">
          <w:rPr>
            <w:noProof/>
            <w:webHidden/>
          </w:rPr>
          <w:fldChar w:fldCharType="begin"/>
        </w:r>
        <w:r w:rsidR="008E6AFA">
          <w:rPr>
            <w:noProof/>
            <w:webHidden/>
          </w:rPr>
          <w:instrText xml:space="preserve"> PAGEREF _Toc31122559 \h </w:instrText>
        </w:r>
        <w:r w:rsidR="008E6AFA">
          <w:rPr>
            <w:noProof/>
            <w:webHidden/>
          </w:rPr>
        </w:r>
        <w:r w:rsidR="008E6AFA">
          <w:rPr>
            <w:noProof/>
            <w:webHidden/>
          </w:rPr>
          <w:fldChar w:fldCharType="separate"/>
        </w:r>
        <w:r w:rsidR="008E6AFA">
          <w:rPr>
            <w:noProof/>
            <w:webHidden/>
          </w:rPr>
          <w:t>36</w:t>
        </w:r>
        <w:r w:rsidR="008E6AFA">
          <w:rPr>
            <w:noProof/>
            <w:webHidden/>
          </w:rPr>
          <w:fldChar w:fldCharType="end"/>
        </w:r>
      </w:hyperlink>
    </w:p>
    <w:p w14:paraId="24296A2E" w14:textId="381F8AEC" w:rsidR="008E6AFA" w:rsidRDefault="002B73C6">
      <w:pPr>
        <w:pStyle w:val="TM2"/>
        <w:rPr>
          <w:rFonts w:asciiTheme="minorHAnsi" w:hAnsiTheme="minorHAnsi"/>
          <w:b w:val="0"/>
          <w:noProof/>
          <w:color w:val="auto"/>
          <w:sz w:val="24"/>
          <w:szCs w:val="24"/>
          <w:lang w:val="en-GB" w:eastAsia="en-GB"/>
        </w:rPr>
      </w:pPr>
      <w:hyperlink w:anchor="_Toc31122560" w:history="1">
        <w:r w:rsidR="008E6AFA" w:rsidRPr="0097777C">
          <w:rPr>
            <w:rStyle w:val="Lienhypertexte"/>
            <w:noProof/>
            <w:lang w:val="fr-FR"/>
          </w:rPr>
          <w:t>3.4.</w:t>
        </w:r>
        <w:r w:rsidR="008E6AFA">
          <w:rPr>
            <w:rFonts w:asciiTheme="minorHAnsi" w:hAnsiTheme="minorHAnsi"/>
            <w:b w:val="0"/>
            <w:noProof/>
            <w:color w:val="auto"/>
            <w:sz w:val="24"/>
            <w:szCs w:val="24"/>
            <w:lang w:val="en-GB" w:eastAsia="en-GB"/>
          </w:rPr>
          <w:tab/>
        </w:r>
        <w:r w:rsidR="008E6AFA" w:rsidRPr="0097777C">
          <w:rPr>
            <w:rStyle w:val="Lienhypertexte"/>
            <w:noProof/>
            <w:lang w:val="fr-FR"/>
          </w:rPr>
          <w:t>Durabilité</w:t>
        </w:r>
        <w:r w:rsidR="008E6AFA">
          <w:rPr>
            <w:noProof/>
            <w:webHidden/>
          </w:rPr>
          <w:tab/>
        </w:r>
        <w:r w:rsidR="008E6AFA">
          <w:rPr>
            <w:noProof/>
            <w:webHidden/>
          </w:rPr>
          <w:fldChar w:fldCharType="begin"/>
        </w:r>
        <w:r w:rsidR="008E6AFA">
          <w:rPr>
            <w:noProof/>
            <w:webHidden/>
          </w:rPr>
          <w:instrText xml:space="preserve"> PAGEREF _Toc31122560 \h </w:instrText>
        </w:r>
        <w:r w:rsidR="008E6AFA">
          <w:rPr>
            <w:noProof/>
            <w:webHidden/>
          </w:rPr>
        </w:r>
        <w:r w:rsidR="008E6AFA">
          <w:rPr>
            <w:noProof/>
            <w:webHidden/>
          </w:rPr>
          <w:fldChar w:fldCharType="separate"/>
        </w:r>
        <w:r w:rsidR="008E6AFA">
          <w:rPr>
            <w:noProof/>
            <w:webHidden/>
          </w:rPr>
          <w:t>49</w:t>
        </w:r>
        <w:r w:rsidR="008E6AFA">
          <w:rPr>
            <w:noProof/>
            <w:webHidden/>
          </w:rPr>
          <w:fldChar w:fldCharType="end"/>
        </w:r>
      </w:hyperlink>
    </w:p>
    <w:p w14:paraId="63DB2C2B" w14:textId="7D826F5B" w:rsidR="008E6AFA" w:rsidRDefault="002B73C6">
      <w:pPr>
        <w:pStyle w:val="TM1"/>
        <w:rPr>
          <w:rFonts w:asciiTheme="minorHAnsi" w:hAnsiTheme="minorHAnsi"/>
          <w:b w:val="0"/>
          <w:noProof/>
          <w:color w:val="auto"/>
          <w:sz w:val="24"/>
          <w:szCs w:val="24"/>
          <w:lang w:val="en-GB" w:eastAsia="en-GB"/>
        </w:rPr>
      </w:pPr>
      <w:hyperlink w:anchor="_Toc31122561" w:history="1">
        <w:r w:rsidR="008E6AFA" w:rsidRPr="0097777C">
          <w:rPr>
            <w:rStyle w:val="Lienhypertexte"/>
            <w:noProof/>
          </w:rPr>
          <w:t>4.</w:t>
        </w:r>
        <w:r w:rsidR="008E6AFA">
          <w:rPr>
            <w:rFonts w:asciiTheme="minorHAnsi" w:hAnsiTheme="minorHAnsi"/>
            <w:b w:val="0"/>
            <w:noProof/>
            <w:color w:val="auto"/>
            <w:sz w:val="24"/>
            <w:szCs w:val="24"/>
            <w:lang w:val="en-GB" w:eastAsia="en-GB"/>
          </w:rPr>
          <w:tab/>
        </w:r>
        <w:r w:rsidR="008E6AFA" w:rsidRPr="0097777C">
          <w:rPr>
            <w:rStyle w:val="Lienhypertexte"/>
            <w:noProof/>
          </w:rPr>
          <w:t>Leçons apprises</w:t>
        </w:r>
        <w:r w:rsidR="008E6AFA">
          <w:rPr>
            <w:noProof/>
            <w:webHidden/>
          </w:rPr>
          <w:tab/>
        </w:r>
        <w:r w:rsidR="008E6AFA">
          <w:rPr>
            <w:noProof/>
            <w:webHidden/>
          </w:rPr>
          <w:fldChar w:fldCharType="begin"/>
        </w:r>
        <w:r w:rsidR="008E6AFA">
          <w:rPr>
            <w:noProof/>
            <w:webHidden/>
          </w:rPr>
          <w:instrText xml:space="preserve"> PAGEREF _Toc31122561 \h </w:instrText>
        </w:r>
        <w:r w:rsidR="008E6AFA">
          <w:rPr>
            <w:noProof/>
            <w:webHidden/>
          </w:rPr>
        </w:r>
        <w:r w:rsidR="008E6AFA">
          <w:rPr>
            <w:noProof/>
            <w:webHidden/>
          </w:rPr>
          <w:fldChar w:fldCharType="separate"/>
        </w:r>
        <w:r w:rsidR="008E6AFA">
          <w:rPr>
            <w:noProof/>
            <w:webHidden/>
          </w:rPr>
          <w:t>53</w:t>
        </w:r>
        <w:r w:rsidR="008E6AFA">
          <w:rPr>
            <w:noProof/>
            <w:webHidden/>
          </w:rPr>
          <w:fldChar w:fldCharType="end"/>
        </w:r>
      </w:hyperlink>
    </w:p>
    <w:p w14:paraId="6A3A5612" w14:textId="4F63FD17" w:rsidR="008E6AFA" w:rsidRDefault="002B73C6">
      <w:pPr>
        <w:pStyle w:val="TM1"/>
        <w:rPr>
          <w:rFonts w:asciiTheme="minorHAnsi" w:hAnsiTheme="minorHAnsi"/>
          <w:b w:val="0"/>
          <w:noProof/>
          <w:color w:val="auto"/>
          <w:sz w:val="24"/>
          <w:szCs w:val="24"/>
          <w:lang w:val="en-GB" w:eastAsia="en-GB"/>
        </w:rPr>
      </w:pPr>
      <w:hyperlink w:anchor="_Toc31122562" w:history="1">
        <w:r w:rsidR="008E6AFA" w:rsidRPr="0097777C">
          <w:rPr>
            <w:rStyle w:val="Lienhypertexte"/>
            <w:noProof/>
            <w:lang w:val="fr-FR"/>
          </w:rPr>
          <w:t>5.</w:t>
        </w:r>
        <w:r w:rsidR="008E6AFA">
          <w:rPr>
            <w:rFonts w:asciiTheme="minorHAnsi" w:hAnsiTheme="minorHAnsi"/>
            <w:b w:val="0"/>
            <w:noProof/>
            <w:color w:val="auto"/>
            <w:sz w:val="24"/>
            <w:szCs w:val="24"/>
            <w:lang w:val="en-GB" w:eastAsia="en-GB"/>
          </w:rPr>
          <w:tab/>
        </w:r>
        <w:r w:rsidR="008E6AFA" w:rsidRPr="0097777C">
          <w:rPr>
            <w:rStyle w:val="Lienhypertexte"/>
            <w:noProof/>
            <w:lang w:val="fr-FR"/>
          </w:rPr>
          <w:t>Conclusions</w:t>
        </w:r>
        <w:r w:rsidR="008E6AFA">
          <w:rPr>
            <w:noProof/>
            <w:webHidden/>
          </w:rPr>
          <w:tab/>
        </w:r>
        <w:r w:rsidR="008E6AFA">
          <w:rPr>
            <w:noProof/>
            <w:webHidden/>
          </w:rPr>
          <w:fldChar w:fldCharType="begin"/>
        </w:r>
        <w:r w:rsidR="008E6AFA">
          <w:rPr>
            <w:noProof/>
            <w:webHidden/>
          </w:rPr>
          <w:instrText xml:space="preserve"> PAGEREF _Toc31122562 \h </w:instrText>
        </w:r>
        <w:r w:rsidR="008E6AFA">
          <w:rPr>
            <w:noProof/>
            <w:webHidden/>
          </w:rPr>
        </w:r>
        <w:r w:rsidR="008E6AFA">
          <w:rPr>
            <w:noProof/>
            <w:webHidden/>
          </w:rPr>
          <w:fldChar w:fldCharType="separate"/>
        </w:r>
        <w:r w:rsidR="008E6AFA">
          <w:rPr>
            <w:noProof/>
            <w:webHidden/>
          </w:rPr>
          <w:t>54</w:t>
        </w:r>
        <w:r w:rsidR="008E6AFA">
          <w:rPr>
            <w:noProof/>
            <w:webHidden/>
          </w:rPr>
          <w:fldChar w:fldCharType="end"/>
        </w:r>
      </w:hyperlink>
    </w:p>
    <w:p w14:paraId="5B04D252" w14:textId="297C2B4A" w:rsidR="008E6AFA" w:rsidRDefault="002B73C6">
      <w:pPr>
        <w:pStyle w:val="TM1"/>
        <w:rPr>
          <w:rFonts w:asciiTheme="minorHAnsi" w:hAnsiTheme="minorHAnsi"/>
          <w:b w:val="0"/>
          <w:noProof/>
          <w:color w:val="auto"/>
          <w:sz w:val="24"/>
          <w:szCs w:val="24"/>
          <w:lang w:val="en-GB" w:eastAsia="en-GB"/>
        </w:rPr>
      </w:pPr>
      <w:hyperlink w:anchor="_Toc31122563" w:history="1">
        <w:r w:rsidR="008E6AFA" w:rsidRPr="0097777C">
          <w:rPr>
            <w:rStyle w:val="Lienhypertexte"/>
            <w:noProof/>
            <w:lang w:val="fr-FR"/>
          </w:rPr>
          <w:t>6.</w:t>
        </w:r>
        <w:r w:rsidR="008E6AFA">
          <w:rPr>
            <w:rFonts w:asciiTheme="minorHAnsi" w:hAnsiTheme="minorHAnsi"/>
            <w:b w:val="0"/>
            <w:noProof/>
            <w:color w:val="auto"/>
            <w:sz w:val="24"/>
            <w:szCs w:val="24"/>
            <w:lang w:val="en-GB" w:eastAsia="en-GB"/>
          </w:rPr>
          <w:tab/>
        </w:r>
        <w:r w:rsidR="008E6AFA" w:rsidRPr="0097777C">
          <w:rPr>
            <w:rStyle w:val="Lienhypertexte"/>
            <w:noProof/>
            <w:lang w:val="fr-FR"/>
          </w:rPr>
          <w:t>Recommandations</w:t>
        </w:r>
        <w:r w:rsidR="008E6AFA">
          <w:rPr>
            <w:noProof/>
            <w:webHidden/>
          </w:rPr>
          <w:tab/>
        </w:r>
        <w:r w:rsidR="008E6AFA">
          <w:rPr>
            <w:noProof/>
            <w:webHidden/>
          </w:rPr>
          <w:fldChar w:fldCharType="begin"/>
        </w:r>
        <w:r w:rsidR="008E6AFA">
          <w:rPr>
            <w:noProof/>
            <w:webHidden/>
          </w:rPr>
          <w:instrText xml:space="preserve"> PAGEREF _Toc31122563 \h </w:instrText>
        </w:r>
        <w:r w:rsidR="008E6AFA">
          <w:rPr>
            <w:noProof/>
            <w:webHidden/>
          </w:rPr>
        </w:r>
        <w:r w:rsidR="008E6AFA">
          <w:rPr>
            <w:noProof/>
            <w:webHidden/>
          </w:rPr>
          <w:fldChar w:fldCharType="separate"/>
        </w:r>
        <w:r w:rsidR="008E6AFA">
          <w:rPr>
            <w:noProof/>
            <w:webHidden/>
          </w:rPr>
          <w:t>56</w:t>
        </w:r>
        <w:r w:rsidR="008E6AFA">
          <w:rPr>
            <w:noProof/>
            <w:webHidden/>
          </w:rPr>
          <w:fldChar w:fldCharType="end"/>
        </w:r>
      </w:hyperlink>
    </w:p>
    <w:p w14:paraId="63056F33" w14:textId="633AC14F" w:rsidR="008E6AFA" w:rsidRDefault="002B73C6">
      <w:pPr>
        <w:pStyle w:val="TM1"/>
        <w:rPr>
          <w:rFonts w:asciiTheme="minorHAnsi" w:hAnsiTheme="minorHAnsi"/>
          <w:b w:val="0"/>
          <w:noProof/>
          <w:color w:val="auto"/>
          <w:sz w:val="24"/>
          <w:szCs w:val="24"/>
          <w:lang w:val="en-GB" w:eastAsia="en-GB"/>
        </w:rPr>
      </w:pPr>
      <w:hyperlink w:anchor="_Toc31122564" w:history="1">
        <w:r w:rsidR="008E6AFA" w:rsidRPr="0097777C">
          <w:rPr>
            <w:rStyle w:val="Lienhypertexte"/>
            <w:noProof/>
            <w:lang w:val="fr-FR"/>
          </w:rPr>
          <w:t>7.</w:t>
        </w:r>
        <w:r w:rsidR="008E6AFA">
          <w:rPr>
            <w:rFonts w:asciiTheme="minorHAnsi" w:hAnsiTheme="minorHAnsi"/>
            <w:b w:val="0"/>
            <w:noProof/>
            <w:color w:val="auto"/>
            <w:sz w:val="24"/>
            <w:szCs w:val="24"/>
            <w:lang w:val="en-GB" w:eastAsia="en-GB"/>
          </w:rPr>
          <w:tab/>
        </w:r>
        <w:r w:rsidR="008E6AFA" w:rsidRPr="0097777C">
          <w:rPr>
            <w:rStyle w:val="Lienhypertexte"/>
            <w:noProof/>
            <w:lang w:val="fr-FR"/>
          </w:rPr>
          <w:t>Annexes</w:t>
        </w:r>
        <w:r w:rsidR="008E6AFA">
          <w:rPr>
            <w:noProof/>
            <w:webHidden/>
          </w:rPr>
          <w:tab/>
        </w:r>
        <w:r w:rsidR="008E6AFA">
          <w:rPr>
            <w:noProof/>
            <w:webHidden/>
          </w:rPr>
          <w:fldChar w:fldCharType="begin"/>
        </w:r>
        <w:r w:rsidR="008E6AFA">
          <w:rPr>
            <w:noProof/>
            <w:webHidden/>
          </w:rPr>
          <w:instrText xml:space="preserve"> PAGEREF _Toc31122564 \h </w:instrText>
        </w:r>
        <w:r w:rsidR="008E6AFA">
          <w:rPr>
            <w:noProof/>
            <w:webHidden/>
          </w:rPr>
        </w:r>
        <w:r w:rsidR="008E6AFA">
          <w:rPr>
            <w:noProof/>
            <w:webHidden/>
          </w:rPr>
          <w:fldChar w:fldCharType="separate"/>
        </w:r>
        <w:r w:rsidR="008E6AFA">
          <w:rPr>
            <w:noProof/>
            <w:webHidden/>
          </w:rPr>
          <w:t>58</w:t>
        </w:r>
        <w:r w:rsidR="008E6AFA">
          <w:rPr>
            <w:noProof/>
            <w:webHidden/>
          </w:rPr>
          <w:fldChar w:fldCharType="end"/>
        </w:r>
      </w:hyperlink>
    </w:p>
    <w:p w14:paraId="6287E871" w14:textId="0CD79C30" w:rsidR="008E6AFA" w:rsidRDefault="002B73C6">
      <w:pPr>
        <w:pStyle w:val="TM2"/>
        <w:rPr>
          <w:rFonts w:asciiTheme="minorHAnsi" w:hAnsiTheme="minorHAnsi"/>
          <w:b w:val="0"/>
          <w:noProof/>
          <w:color w:val="auto"/>
          <w:sz w:val="24"/>
          <w:szCs w:val="24"/>
          <w:lang w:val="en-GB" w:eastAsia="en-GB"/>
        </w:rPr>
      </w:pPr>
      <w:hyperlink w:anchor="_Toc31122565" w:history="1">
        <w:r w:rsidR="008E6AFA" w:rsidRPr="0097777C">
          <w:rPr>
            <w:rStyle w:val="Lienhypertexte"/>
            <w:noProof/>
            <w:lang w:val="fr-FR"/>
          </w:rPr>
          <w:t>7.1.</w:t>
        </w:r>
        <w:r w:rsidR="008E6AFA">
          <w:rPr>
            <w:rFonts w:asciiTheme="minorHAnsi" w:hAnsiTheme="minorHAnsi"/>
            <w:b w:val="0"/>
            <w:noProof/>
            <w:color w:val="auto"/>
            <w:sz w:val="24"/>
            <w:szCs w:val="24"/>
            <w:lang w:val="en-GB" w:eastAsia="en-GB"/>
          </w:rPr>
          <w:tab/>
        </w:r>
        <w:r w:rsidR="008E6AFA" w:rsidRPr="0097777C">
          <w:rPr>
            <w:rStyle w:val="Lienhypertexte"/>
            <w:noProof/>
            <w:lang w:val="fr-FR"/>
          </w:rPr>
          <w:t>Annexe 1 : Matrice d’évaluation</w:t>
        </w:r>
        <w:r w:rsidR="008E6AFA">
          <w:rPr>
            <w:noProof/>
            <w:webHidden/>
          </w:rPr>
          <w:tab/>
        </w:r>
        <w:r w:rsidR="008E6AFA">
          <w:rPr>
            <w:noProof/>
            <w:webHidden/>
          </w:rPr>
          <w:fldChar w:fldCharType="begin"/>
        </w:r>
        <w:r w:rsidR="008E6AFA">
          <w:rPr>
            <w:noProof/>
            <w:webHidden/>
          </w:rPr>
          <w:instrText xml:space="preserve"> PAGEREF _Toc31122565 \h </w:instrText>
        </w:r>
        <w:r w:rsidR="008E6AFA">
          <w:rPr>
            <w:noProof/>
            <w:webHidden/>
          </w:rPr>
        </w:r>
        <w:r w:rsidR="008E6AFA">
          <w:rPr>
            <w:noProof/>
            <w:webHidden/>
          </w:rPr>
          <w:fldChar w:fldCharType="separate"/>
        </w:r>
        <w:r w:rsidR="008E6AFA">
          <w:rPr>
            <w:noProof/>
            <w:webHidden/>
          </w:rPr>
          <w:t>58</w:t>
        </w:r>
        <w:r w:rsidR="008E6AFA">
          <w:rPr>
            <w:noProof/>
            <w:webHidden/>
          </w:rPr>
          <w:fldChar w:fldCharType="end"/>
        </w:r>
      </w:hyperlink>
    </w:p>
    <w:p w14:paraId="12ED2CFE" w14:textId="3A627BB0" w:rsidR="008E6AFA" w:rsidRDefault="002B73C6">
      <w:pPr>
        <w:pStyle w:val="TM2"/>
        <w:rPr>
          <w:rFonts w:asciiTheme="minorHAnsi" w:hAnsiTheme="minorHAnsi"/>
          <w:b w:val="0"/>
          <w:noProof/>
          <w:color w:val="auto"/>
          <w:sz w:val="24"/>
          <w:szCs w:val="24"/>
          <w:lang w:val="en-GB" w:eastAsia="en-GB"/>
        </w:rPr>
      </w:pPr>
      <w:hyperlink w:anchor="_Toc31122566" w:history="1">
        <w:r w:rsidR="008E6AFA" w:rsidRPr="0097777C">
          <w:rPr>
            <w:rStyle w:val="Lienhypertexte"/>
            <w:noProof/>
            <w:lang w:val="fr-FR"/>
          </w:rPr>
          <w:t>7.2.</w:t>
        </w:r>
        <w:r w:rsidR="008E6AFA">
          <w:rPr>
            <w:rFonts w:asciiTheme="minorHAnsi" w:hAnsiTheme="minorHAnsi"/>
            <w:b w:val="0"/>
            <w:noProof/>
            <w:color w:val="auto"/>
            <w:sz w:val="24"/>
            <w:szCs w:val="24"/>
            <w:lang w:val="en-GB" w:eastAsia="en-GB"/>
          </w:rPr>
          <w:tab/>
        </w:r>
        <w:r w:rsidR="008E6AFA" w:rsidRPr="0097777C">
          <w:rPr>
            <w:rStyle w:val="Lienhypertexte"/>
            <w:noProof/>
            <w:lang w:val="fr-FR"/>
          </w:rPr>
          <w:t>Annexe 2 : Liste des documents analysés</w:t>
        </w:r>
        <w:r w:rsidR="008E6AFA">
          <w:rPr>
            <w:noProof/>
            <w:webHidden/>
          </w:rPr>
          <w:tab/>
        </w:r>
        <w:r w:rsidR="008E6AFA">
          <w:rPr>
            <w:noProof/>
            <w:webHidden/>
          </w:rPr>
          <w:fldChar w:fldCharType="begin"/>
        </w:r>
        <w:r w:rsidR="008E6AFA">
          <w:rPr>
            <w:noProof/>
            <w:webHidden/>
          </w:rPr>
          <w:instrText xml:space="preserve"> PAGEREF _Toc31122566 \h </w:instrText>
        </w:r>
        <w:r w:rsidR="008E6AFA">
          <w:rPr>
            <w:noProof/>
            <w:webHidden/>
          </w:rPr>
        </w:r>
        <w:r w:rsidR="008E6AFA">
          <w:rPr>
            <w:noProof/>
            <w:webHidden/>
          </w:rPr>
          <w:fldChar w:fldCharType="separate"/>
        </w:r>
        <w:r w:rsidR="008E6AFA">
          <w:rPr>
            <w:noProof/>
            <w:webHidden/>
          </w:rPr>
          <w:t>66</w:t>
        </w:r>
        <w:r w:rsidR="008E6AFA">
          <w:rPr>
            <w:noProof/>
            <w:webHidden/>
          </w:rPr>
          <w:fldChar w:fldCharType="end"/>
        </w:r>
      </w:hyperlink>
    </w:p>
    <w:p w14:paraId="2FE3BC01" w14:textId="785CDF92" w:rsidR="008E6AFA" w:rsidRDefault="002B73C6">
      <w:pPr>
        <w:pStyle w:val="TM2"/>
        <w:rPr>
          <w:rFonts w:asciiTheme="minorHAnsi" w:hAnsiTheme="minorHAnsi"/>
          <w:b w:val="0"/>
          <w:noProof/>
          <w:color w:val="auto"/>
          <w:sz w:val="24"/>
          <w:szCs w:val="24"/>
          <w:lang w:val="en-GB" w:eastAsia="en-GB"/>
        </w:rPr>
      </w:pPr>
      <w:hyperlink w:anchor="_Toc31122567" w:history="1">
        <w:r w:rsidR="008E6AFA" w:rsidRPr="0097777C">
          <w:rPr>
            <w:rStyle w:val="Lienhypertexte"/>
            <w:noProof/>
            <w:lang w:val="fr-FR"/>
          </w:rPr>
          <w:t>7.3.</w:t>
        </w:r>
        <w:r w:rsidR="008E6AFA">
          <w:rPr>
            <w:rFonts w:asciiTheme="minorHAnsi" w:hAnsiTheme="minorHAnsi"/>
            <w:b w:val="0"/>
            <w:noProof/>
            <w:color w:val="auto"/>
            <w:sz w:val="24"/>
            <w:szCs w:val="24"/>
            <w:lang w:val="en-GB" w:eastAsia="en-GB"/>
          </w:rPr>
          <w:tab/>
        </w:r>
        <w:r w:rsidR="008E6AFA" w:rsidRPr="0097777C">
          <w:rPr>
            <w:rStyle w:val="Lienhypertexte"/>
            <w:noProof/>
            <w:lang w:val="fr-FR"/>
          </w:rPr>
          <w:t>Annexe 3 : Liste des personnes rencontrées</w:t>
        </w:r>
        <w:r w:rsidR="008E6AFA">
          <w:rPr>
            <w:noProof/>
            <w:webHidden/>
          </w:rPr>
          <w:tab/>
        </w:r>
        <w:r w:rsidR="008E6AFA">
          <w:rPr>
            <w:noProof/>
            <w:webHidden/>
          </w:rPr>
          <w:fldChar w:fldCharType="begin"/>
        </w:r>
        <w:r w:rsidR="008E6AFA">
          <w:rPr>
            <w:noProof/>
            <w:webHidden/>
          </w:rPr>
          <w:instrText xml:space="preserve"> PAGEREF _Toc31122567 \h </w:instrText>
        </w:r>
        <w:r w:rsidR="008E6AFA">
          <w:rPr>
            <w:noProof/>
            <w:webHidden/>
          </w:rPr>
        </w:r>
        <w:r w:rsidR="008E6AFA">
          <w:rPr>
            <w:noProof/>
            <w:webHidden/>
          </w:rPr>
          <w:fldChar w:fldCharType="separate"/>
        </w:r>
        <w:r w:rsidR="008E6AFA">
          <w:rPr>
            <w:noProof/>
            <w:webHidden/>
          </w:rPr>
          <w:t>68</w:t>
        </w:r>
        <w:r w:rsidR="008E6AFA">
          <w:rPr>
            <w:noProof/>
            <w:webHidden/>
          </w:rPr>
          <w:fldChar w:fldCharType="end"/>
        </w:r>
      </w:hyperlink>
    </w:p>
    <w:p w14:paraId="28FB4D78" w14:textId="1C56763D" w:rsidR="0012003B" w:rsidRPr="00823CD6" w:rsidRDefault="00171BF7" w:rsidP="0012003B">
      <w:pPr>
        <w:rPr>
          <w:lang w:val="fr-FR"/>
        </w:rPr>
      </w:pPr>
      <w:r w:rsidRPr="00C50F13">
        <w:rPr>
          <w:b/>
          <w:color w:val="133C66"/>
          <w:lang w:val="fr-FR"/>
        </w:rPr>
        <w:fldChar w:fldCharType="end"/>
      </w:r>
    </w:p>
    <w:p w14:paraId="4BD7C60A" w14:textId="77777777" w:rsidR="0012003B" w:rsidRPr="00823CD6" w:rsidRDefault="0012003B" w:rsidP="0012003B">
      <w:pPr>
        <w:rPr>
          <w:lang w:val="fr-FR"/>
        </w:rPr>
      </w:pPr>
    </w:p>
    <w:p w14:paraId="2FD5587B" w14:textId="77777777" w:rsidR="0012003B" w:rsidRPr="00823CD6" w:rsidRDefault="0012003B" w:rsidP="0012003B">
      <w:pPr>
        <w:rPr>
          <w:lang w:val="fr-FR"/>
        </w:rPr>
      </w:pPr>
    </w:p>
    <w:p w14:paraId="26B04146" w14:textId="77777777" w:rsidR="0012003B" w:rsidRPr="00823CD6" w:rsidRDefault="0012003B" w:rsidP="001E4400">
      <w:pPr>
        <w:rPr>
          <w:lang w:val="fr-FR"/>
        </w:rPr>
      </w:pPr>
    </w:p>
    <w:p w14:paraId="52C4E50F" w14:textId="77777777" w:rsidR="00711071" w:rsidRPr="00823CD6" w:rsidRDefault="00711071">
      <w:pPr>
        <w:spacing w:before="0" w:after="200"/>
        <w:jc w:val="left"/>
        <w:rPr>
          <w:lang w:val="fr-FR"/>
        </w:rPr>
      </w:pPr>
      <w:r w:rsidRPr="00823CD6">
        <w:rPr>
          <w:lang w:val="fr-FR"/>
        </w:rPr>
        <w:br w:type="page"/>
      </w:r>
    </w:p>
    <w:p w14:paraId="669446FD" w14:textId="5DCE7AB7" w:rsidR="0012003B" w:rsidRPr="00823CD6" w:rsidRDefault="00C50F13" w:rsidP="00711071">
      <w:pPr>
        <w:pStyle w:val="Titre"/>
        <w:rPr>
          <w:lang w:val="fr-FR"/>
        </w:rPr>
      </w:pPr>
      <w:r w:rsidRPr="00823CD6">
        <w:rPr>
          <w:lang w:val="fr-FR"/>
        </w:rPr>
        <w:lastRenderedPageBreak/>
        <w:t>Acronymes</w:t>
      </w:r>
      <w:r w:rsidR="00576062">
        <w:rPr>
          <w:lang w:val="fr-FR"/>
        </w:rPr>
        <w:t xml:space="preserve"> et </w:t>
      </w:r>
      <w:r w:rsidR="005C550F">
        <w:rPr>
          <w:lang w:val="fr-FR"/>
        </w:rPr>
        <w:t>abréviations</w:t>
      </w:r>
    </w:p>
    <w:tbl>
      <w:tblPr>
        <w:tblStyle w:val="TableBaastel"/>
        <w:tblW w:w="0" w:type="auto"/>
        <w:tblLook w:val="04A0" w:firstRow="1" w:lastRow="0" w:firstColumn="1" w:lastColumn="0" w:noHBand="0" w:noVBand="1"/>
      </w:tblPr>
      <w:tblGrid>
        <w:gridCol w:w="1971"/>
        <w:gridCol w:w="7389"/>
      </w:tblGrid>
      <w:tr w:rsidR="00F37143" w:rsidRPr="002655EE" w14:paraId="4E24DD68" w14:textId="77777777" w:rsidTr="008F47A6">
        <w:trPr>
          <w:cnfStyle w:val="100000000000" w:firstRow="1" w:lastRow="0" w:firstColumn="0" w:lastColumn="0" w:oddVBand="0" w:evenVBand="0" w:oddHBand="0" w:evenHBand="0" w:firstRowFirstColumn="0" w:firstRowLastColumn="0" w:lastRowFirstColumn="0" w:lastRowLastColumn="0"/>
          <w:trHeight w:val="288"/>
        </w:trPr>
        <w:tc>
          <w:tcPr>
            <w:tcW w:w="1971" w:type="dxa"/>
          </w:tcPr>
          <w:p w14:paraId="24F49D0A" w14:textId="77777777" w:rsidR="00F37143" w:rsidRPr="002655EE" w:rsidRDefault="00F37143" w:rsidP="00220396">
            <w:pPr>
              <w:spacing w:before="0" w:after="0" w:line="276" w:lineRule="auto"/>
              <w:rPr>
                <w:szCs w:val="20"/>
                <w:lang w:val="fr-FR"/>
              </w:rPr>
            </w:pPr>
            <w:r w:rsidRPr="002655EE">
              <w:rPr>
                <w:szCs w:val="20"/>
                <w:lang w:val="fr-FR"/>
              </w:rPr>
              <w:t>Acronymes</w:t>
            </w:r>
          </w:p>
        </w:tc>
        <w:tc>
          <w:tcPr>
            <w:tcW w:w="7389" w:type="dxa"/>
          </w:tcPr>
          <w:p w14:paraId="57395954" w14:textId="77777777" w:rsidR="00F37143" w:rsidRPr="002655EE" w:rsidRDefault="00F37143" w:rsidP="00220396">
            <w:pPr>
              <w:spacing w:before="0" w:after="0" w:line="276" w:lineRule="auto"/>
              <w:rPr>
                <w:szCs w:val="20"/>
                <w:lang w:val="fr-FR"/>
              </w:rPr>
            </w:pPr>
            <w:r w:rsidRPr="002655EE">
              <w:rPr>
                <w:szCs w:val="20"/>
                <w:lang w:val="fr-FR"/>
              </w:rPr>
              <w:t>Définitions</w:t>
            </w:r>
          </w:p>
        </w:tc>
      </w:tr>
      <w:tr w:rsidR="00F37143" w:rsidRPr="008F47A6" w14:paraId="27C5BF9E" w14:textId="77777777" w:rsidTr="008F47A6">
        <w:tc>
          <w:tcPr>
            <w:tcW w:w="1971" w:type="dxa"/>
          </w:tcPr>
          <w:p w14:paraId="774EBC37" w14:textId="77777777" w:rsidR="00F37143" w:rsidRDefault="00F37143" w:rsidP="00220396">
            <w:pPr>
              <w:spacing w:before="0" w:after="0"/>
              <w:rPr>
                <w:szCs w:val="20"/>
                <w:lang w:val="fr-FR"/>
              </w:rPr>
            </w:pPr>
            <w:r>
              <w:rPr>
                <w:szCs w:val="20"/>
                <w:lang w:val="fr-FR"/>
              </w:rPr>
              <w:t>AAF</w:t>
            </w:r>
          </w:p>
        </w:tc>
        <w:tc>
          <w:tcPr>
            <w:tcW w:w="7389" w:type="dxa"/>
          </w:tcPr>
          <w:p w14:paraId="2297773A" w14:textId="77777777" w:rsidR="00F37143" w:rsidRPr="00AA74D1" w:rsidRDefault="00F37143" w:rsidP="00220396">
            <w:pPr>
              <w:spacing w:before="0" w:after="0"/>
              <w:rPr>
                <w:lang w:val="fr-FR"/>
              </w:rPr>
            </w:pPr>
            <w:r>
              <w:rPr>
                <w:lang w:val="fr-FR"/>
              </w:rPr>
              <w:t>Assistant Administratif et Financier</w:t>
            </w:r>
          </w:p>
        </w:tc>
      </w:tr>
      <w:tr w:rsidR="00F37143" w:rsidRPr="008F47A6" w14:paraId="15A8D01F" w14:textId="77777777" w:rsidTr="008F47A6">
        <w:tc>
          <w:tcPr>
            <w:tcW w:w="1971" w:type="dxa"/>
          </w:tcPr>
          <w:p w14:paraId="6854D82D" w14:textId="77777777" w:rsidR="00F37143" w:rsidRDefault="00F37143" w:rsidP="00220396">
            <w:pPr>
              <w:spacing w:before="0" w:after="0"/>
              <w:rPr>
                <w:szCs w:val="20"/>
                <w:lang w:val="fr-FR"/>
              </w:rPr>
            </w:pPr>
            <w:r>
              <w:rPr>
                <w:szCs w:val="20"/>
                <w:lang w:val="fr-FR"/>
              </w:rPr>
              <w:t>ACC</w:t>
            </w:r>
          </w:p>
        </w:tc>
        <w:tc>
          <w:tcPr>
            <w:tcW w:w="7389" w:type="dxa"/>
          </w:tcPr>
          <w:p w14:paraId="19F63701" w14:textId="77777777" w:rsidR="00F37143" w:rsidRPr="00AA74D1" w:rsidRDefault="00F37143" w:rsidP="00220396">
            <w:pPr>
              <w:spacing w:before="0" w:after="0"/>
              <w:rPr>
                <w:lang w:val="fr-FR"/>
              </w:rPr>
            </w:pPr>
            <w:r>
              <w:rPr>
                <w:lang w:val="fr-FR"/>
              </w:rPr>
              <w:t>Aire Communautaire de Conservation</w:t>
            </w:r>
          </w:p>
        </w:tc>
      </w:tr>
      <w:tr w:rsidR="001572D7" w:rsidRPr="00BE1549" w14:paraId="0E052A93" w14:textId="77777777" w:rsidTr="008F47A6">
        <w:tc>
          <w:tcPr>
            <w:tcW w:w="1971" w:type="dxa"/>
          </w:tcPr>
          <w:p w14:paraId="2C5F8975" w14:textId="52B925F5" w:rsidR="001572D7" w:rsidRDefault="008D09D3" w:rsidP="00220396">
            <w:pPr>
              <w:spacing w:before="0" w:after="0"/>
              <w:rPr>
                <w:szCs w:val="20"/>
                <w:lang w:val="fr-FR"/>
              </w:rPr>
            </w:pPr>
            <w:r>
              <w:rPr>
                <w:szCs w:val="20"/>
                <w:lang w:val="fr-FR"/>
              </w:rPr>
              <w:t xml:space="preserve">ADER </w:t>
            </w:r>
          </w:p>
        </w:tc>
        <w:tc>
          <w:tcPr>
            <w:tcW w:w="7389" w:type="dxa"/>
          </w:tcPr>
          <w:p w14:paraId="6829288A" w14:textId="24FD1E06" w:rsidR="001572D7" w:rsidRDefault="008D09D3" w:rsidP="00220396">
            <w:pPr>
              <w:spacing w:before="0" w:after="0"/>
              <w:rPr>
                <w:lang w:val="fr-FR"/>
              </w:rPr>
            </w:pPr>
            <w:r>
              <w:rPr>
                <w:lang w:val="fr-FR"/>
              </w:rPr>
              <w:t>Agence de Développement de l’Electrification Rurale</w:t>
            </w:r>
          </w:p>
        </w:tc>
      </w:tr>
      <w:tr w:rsidR="00F37143" w:rsidRPr="002655EE" w14:paraId="5A2E9F06" w14:textId="77777777" w:rsidTr="008F47A6">
        <w:tc>
          <w:tcPr>
            <w:tcW w:w="1971" w:type="dxa"/>
          </w:tcPr>
          <w:p w14:paraId="0844F5EE" w14:textId="77777777" w:rsidR="00F37143" w:rsidRPr="002655EE" w:rsidRDefault="00F37143" w:rsidP="00220396">
            <w:pPr>
              <w:spacing w:before="0" w:after="0"/>
              <w:rPr>
                <w:szCs w:val="20"/>
                <w:lang w:val="fr-FR"/>
              </w:rPr>
            </w:pPr>
            <w:r w:rsidRPr="002655EE">
              <w:rPr>
                <w:szCs w:val="20"/>
                <w:lang w:val="fr-FR"/>
              </w:rPr>
              <w:t>AP</w:t>
            </w:r>
          </w:p>
        </w:tc>
        <w:tc>
          <w:tcPr>
            <w:tcW w:w="7389" w:type="dxa"/>
          </w:tcPr>
          <w:p w14:paraId="589B5592" w14:textId="77777777" w:rsidR="00F37143" w:rsidRPr="002655EE" w:rsidRDefault="00F37143" w:rsidP="00220396">
            <w:pPr>
              <w:spacing w:before="0" w:after="0"/>
              <w:rPr>
                <w:lang w:val="fr-FR"/>
              </w:rPr>
            </w:pPr>
            <w:r w:rsidRPr="002655EE">
              <w:rPr>
                <w:lang w:val="fr-FR"/>
              </w:rPr>
              <w:t>Aire Protégée</w:t>
            </w:r>
          </w:p>
        </w:tc>
      </w:tr>
      <w:tr w:rsidR="007D56C9" w:rsidRPr="002655EE" w14:paraId="0CE3F016" w14:textId="77777777" w:rsidTr="008F47A6">
        <w:tc>
          <w:tcPr>
            <w:tcW w:w="1971" w:type="dxa"/>
          </w:tcPr>
          <w:p w14:paraId="1C389532" w14:textId="1F7E334B" w:rsidR="007D56C9" w:rsidRPr="002655EE" w:rsidRDefault="007D56C9" w:rsidP="00220396">
            <w:pPr>
              <w:spacing w:before="0" w:after="0"/>
              <w:rPr>
                <w:szCs w:val="20"/>
                <w:lang w:val="fr-FR"/>
              </w:rPr>
            </w:pPr>
            <w:r>
              <w:rPr>
                <w:szCs w:val="20"/>
                <w:lang w:val="fr-FR"/>
              </w:rPr>
              <w:t>APC</w:t>
            </w:r>
          </w:p>
        </w:tc>
        <w:tc>
          <w:tcPr>
            <w:tcW w:w="7389" w:type="dxa"/>
          </w:tcPr>
          <w:p w14:paraId="41C064B3" w14:textId="219ACE29" w:rsidR="007D56C9" w:rsidRPr="002655EE" w:rsidRDefault="007D56C9" w:rsidP="00220396">
            <w:pPr>
              <w:spacing w:before="0" w:after="0"/>
              <w:rPr>
                <w:lang w:val="fr-FR"/>
              </w:rPr>
            </w:pPr>
            <w:r>
              <w:rPr>
                <w:lang w:val="fr-FR"/>
              </w:rPr>
              <w:t xml:space="preserve">Aire </w:t>
            </w:r>
            <w:r w:rsidRPr="002655EE">
              <w:rPr>
                <w:lang w:val="fr-FR"/>
              </w:rPr>
              <w:t>Protégée</w:t>
            </w:r>
            <w:r>
              <w:rPr>
                <w:lang w:val="fr-FR"/>
              </w:rPr>
              <w:t xml:space="preserve"> Communautaire</w:t>
            </w:r>
          </w:p>
        </w:tc>
      </w:tr>
      <w:tr w:rsidR="00F37143" w:rsidRPr="00BE1549" w14:paraId="13D63784" w14:textId="77777777" w:rsidTr="008F47A6">
        <w:tc>
          <w:tcPr>
            <w:tcW w:w="1971" w:type="dxa"/>
          </w:tcPr>
          <w:p w14:paraId="499792FA" w14:textId="77777777" w:rsidR="00F37143" w:rsidRPr="002655EE" w:rsidRDefault="00F37143" w:rsidP="00220396">
            <w:pPr>
              <w:spacing w:before="0" w:after="0"/>
              <w:rPr>
                <w:szCs w:val="20"/>
                <w:lang w:val="fr-FR"/>
              </w:rPr>
            </w:pPr>
            <w:r w:rsidRPr="002655EE">
              <w:rPr>
                <w:szCs w:val="20"/>
                <w:lang w:val="fr-FR"/>
              </w:rPr>
              <w:t>APAA</w:t>
            </w:r>
          </w:p>
        </w:tc>
        <w:tc>
          <w:tcPr>
            <w:tcW w:w="7389" w:type="dxa"/>
          </w:tcPr>
          <w:p w14:paraId="56EE6CF1" w14:textId="77777777" w:rsidR="00F37143" w:rsidRPr="002655EE" w:rsidRDefault="00F37143" w:rsidP="00220396">
            <w:pPr>
              <w:spacing w:before="0" w:after="0"/>
              <w:rPr>
                <w:lang w:val="fr-FR"/>
              </w:rPr>
            </w:pPr>
            <w:r w:rsidRPr="002655EE">
              <w:rPr>
                <w:lang w:val="fr-FR"/>
              </w:rPr>
              <w:t>Approche paysage pour la conservation et la gestion de la biodiversité menacée de Madagascar, axée sur le paysage forestier sec et épineux de la région Atsimo Andrefana </w:t>
            </w:r>
          </w:p>
        </w:tc>
      </w:tr>
      <w:tr w:rsidR="00F37143" w:rsidRPr="002655EE" w14:paraId="525397B4" w14:textId="77777777" w:rsidTr="008F47A6">
        <w:tc>
          <w:tcPr>
            <w:tcW w:w="1971" w:type="dxa"/>
          </w:tcPr>
          <w:p w14:paraId="1C1C6DE4" w14:textId="77777777" w:rsidR="00F37143" w:rsidRPr="002655EE" w:rsidRDefault="00F37143" w:rsidP="00220396">
            <w:pPr>
              <w:spacing w:before="0" w:after="0"/>
              <w:rPr>
                <w:szCs w:val="20"/>
                <w:lang w:val="fr-FR"/>
              </w:rPr>
            </w:pPr>
            <w:r w:rsidRPr="002655EE">
              <w:rPr>
                <w:szCs w:val="20"/>
                <w:lang w:val="fr-FR"/>
              </w:rPr>
              <w:t>CAD</w:t>
            </w:r>
          </w:p>
        </w:tc>
        <w:tc>
          <w:tcPr>
            <w:tcW w:w="7389" w:type="dxa"/>
          </w:tcPr>
          <w:p w14:paraId="09B07A61" w14:textId="77777777" w:rsidR="00F37143" w:rsidRPr="002655EE" w:rsidRDefault="00F37143" w:rsidP="00220396">
            <w:pPr>
              <w:spacing w:before="0" w:after="0"/>
              <w:rPr>
                <w:lang w:val="fr-FR"/>
              </w:rPr>
            </w:pPr>
            <w:r w:rsidRPr="002655EE">
              <w:rPr>
                <w:lang w:val="fr-FR"/>
              </w:rPr>
              <w:t>Comité d’</w:t>
            </w:r>
            <w:r>
              <w:rPr>
                <w:lang w:val="fr-FR"/>
              </w:rPr>
              <w:t>A</w:t>
            </w:r>
            <w:r w:rsidRPr="002655EE">
              <w:rPr>
                <w:lang w:val="fr-FR"/>
              </w:rPr>
              <w:t xml:space="preserve">ide au </w:t>
            </w:r>
            <w:r>
              <w:rPr>
                <w:lang w:val="fr-FR"/>
              </w:rPr>
              <w:t>D</w:t>
            </w:r>
            <w:r w:rsidRPr="002655EE">
              <w:rPr>
                <w:lang w:val="fr-FR"/>
              </w:rPr>
              <w:t>éveloppement</w:t>
            </w:r>
          </w:p>
        </w:tc>
      </w:tr>
      <w:tr w:rsidR="00F37143" w:rsidRPr="008F47A6" w14:paraId="79E89594" w14:textId="77777777" w:rsidTr="008F47A6">
        <w:tc>
          <w:tcPr>
            <w:tcW w:w="1971" w:type="dxa"/>
          </w:tcPr>
          <w:p w14:paraId="6BEFC4A1" w14:textId="77777777" w:rsidR="00F37143" w:rsidRDefault="00F37143" w:rsidP="00220396">
            <w:pPr>
              <w:spacing w:before="0" w:after="0"/>
              <w:rPr>
                <w:szCs w:val="20"/>
                <w:lang w:val="fr-FR"/>
              </w:rPr>
            </w:pPr>
            <w:r>
              <w:rPr>
                <w:szCs w:val="20"/>
                <w:lang w:val="fr-FR"/>
              </w:rPr>
              <w:t xml:space="preserve">CER </w:t>
            </w:r>
          </w:p>
        </w:tc>
        <w:tc>
          <w:tcPr>
            <w:tcW w:w="7389" w:type="dxa"/>
          </w:tcPr>
          <w:p w14:paraId="6857586F" w14:textId="77777777" w:rsidR="00F37143" w:rsidRPr="00AA74D1" w:rsidRDefault="00F37143" w:rsidP="00220396">
            <w:pPr>
              <w:spacing w:before="0" w:after="0"/>
              <w:rPr>
                <w:lang w:val="fr-FR"/>
              </w:rPr>
            </w:pPr>
            <w:r>
              <w:rPr>
                <w:lang w:val="fr-FR"/>
              </w:rPr>
              <w:t>Cellule Environnementale Régionale</w:t>
            </w:r>
          </w:p>
        </w:tc>
      </w:tr>
      <w:tr w:rsidR="00F37143" w:rsidRPr="008F47A6" w14:paraId="480A0ADB" w14:textId="77777777" w:rsidTr="008F47A6">
        <w:tc>
          <w:tcPr>
            <w:tcW w:w="1971" w:type="dxa"/>
          </w:tcPr>
          <w:p w14:paraId="6ABF473F" w14:textId="77777777" w:rsidR="00F37143" w:rsidRDefault="00F37143" w:rsidP="00220396">
            <w:pPr>
              <w:spacing w:before="0" w:after="0"/>
              <w:rPr>
                <w:szCs w:val="20"/>
                <w:lang w:val="fr-FR"/>
              </w:rPr>
            </w:pPr>
            <w:r>
              <w:rPr>
                <w:szCs w:val="20"/>
                <w:lang w:val="fr-FR"/>
              </w:rPr>
              <w:t>COAP</w:t>
            </w:r>
          </w:p>
        </w:tc>
        <w:tc>
          <w:tcPr>
            <w:tcW w:w="7389" w:type="dxa"/>
          </w:tcPr>
          <w:p w14:paraId="471D3F16" w14:textId="77777777" w:rsidR="00F37143" w:rsidRPr="00AA74D1" w:rsidRDefault="00F37143" w:rsidP="00220396">
            <w:pPr>
              <w:spacing w:before="0" w:after="0"/>
              <w:rPr>
                <w:lang w:val="fr-FR"/>
              </w:rPr>
            </w:pPr>
            <w:r w:rsidRPr="001A11ED">
              <w:rPr>
                <w:sz w:val="21"/>
                <w:szCs w:val="21"/>
                <w:lang w:val="fr-CA"/>
              </w:rPr>
              <w:t>Code des Aires Protégées</w:t>
            </w:r>
          </w:p>
        </w:tc>
      </w:tr>
      <w:tr w:rsidR="00F37143" w:rsidRPr="002655EE" w14:paraId="31E1453C" w14:textId="77777777" w:rsidTr="008F47A6">
        <w:tc>
          <w:tcPr>
            <w:tcW w:w="1971" w:type="dxa"/>
          </w:tcPr>
          <w:p w14:paraId="444F418F" w14:textId="77777777" w:rsidR="00F37143" w:rsidRPr="002655EE" w:rsidRDefault="00F37143" w:rsidP="00220396">
            <w:pPr>
              <w:spacing w:before="0" w:after="0" w:line="276" w:lineRule="auto"/>
              <w:rPr>
                <w:szCs w:val="20"/>
                <w:lang w:val="fr-FR"/>
              </w:rPr>
            </w:pPr>
            <w:proofErr w:type="spellStart"/>
            <w:r w:rsidRPr="002655EE">
              <w:rPr>
                <w:szCs w:val="20"/>
                <w:lang w:val="fr-FR"/>
              </w:rPr>
              <w:t>CoPil</w:t>
            </w:r>
            <w:proofErr w:type="spellEnd"/>
          </w:p>
        </w:tc>
        <w:tc>
          <w:tcPr>
            <w:tcW w:w="7389" w:type="dxa"/>
          </w:tcPr>
          <w:p w14:paraId="2F92E829" w14:textId="77777777" w:rsidR="00F37143" w:rsidRPr="002655EE" w:rsidRDefault="00F37143" w:rsidP="00220396">
            <w:pPr>
              <w:spacing w:before="0" w:after="0" w:line="276" w:lineRule="auto"/>
              <w:rPr>
                <w:szCs w:val="20"/>
                <w:lang w:val="fr-FR"/>
              </w:rPr>
            </w:pPr>
            <w:r w:rsidRPr="002655EE">
              <w:rPr>
                <w:szCs w:val="20"/>
                <w:lang w:val="fr-FR"/>
              </w:rPr>
              <w:t>Comité de Pilotage</w:t>
            </w:r>
          </w:p>
        </w:tc>
      </w:tr>
      <w:tr w:rsidR="00F37143" w:rsidRPr="00BE1549" w14:paraId="29D43938" w14:textId="77777777" w:rsidTr="008F47A6">
        <w:tc>
          <w:tcPr>
            <w:tcW w:w="1971" w:type="dxa"/>
          </w:tcPr>
          <w:p w14:paraId="2A29EE8F" w14:textId="77777777" w:rsidR="00F37143" w:rsidRDefault="00F37143" w:rsidP="00220396">
            <w:pPr>
              <w:spacing w:before="0" w:after="0"/>
              <w:rPr>
                <w:szCs w:val="20"/>
                <w:lang w:val="fr-FR"/>
              </w:rPr>
            </w:pPr>
            <w:r>
              <w:rPr>
                <w:szCs w:val="20"/>
                <w:lang w:val="fr-FR"/>
              </w:rPr>
              <w:t>DIDE</w:t>
            </w:r>
          </w:p>
        </w:tc>
        <w:tc>
          <w:tcPr>
            <w:tcW w:w="7389" w:type="dxa"/>
          </w:tcPr>
          <w:p w14:paraId="25B19CAC" w14:textId="77777777" w:rsidR="00F37143" w:rsidRPr="00AA74D1" w:rsidRDefault="00F37143" w:rsidP="00220396">
            <w:pPr>
              <w:spacing w:before="0" w:after="0"/>
              <w:rPr>
                <w:lang w:val="fr-FR"/>
              </w:rPr>
            </w:pPr>
            <w:r w:rsidRPr="003762E1">
              <w:rPr>
                <w:lang w:val="fr-FR"/>
              </w:rPr>
              <w:t>Direction de l’intégration de la dimension environnementale</w:t>
            </w:r>
          </w:p>
        </w:tc>
      </w:tr>
      <w:tr w:rsidR="00F37143" w:rsidRPr="002655EE" w14:paraId="0658AD85" w14:textId="77777777" w:rsidTr="008F47A6">
        <w:tc>
          <w:tcPr>
            <w:tcW w:w="1971" w:type="dxa"/>
          </w:tcPr>
          <w:p w14:paraId="4DA3DECD" w14:textId="77777777" w:rsidR="00F37143" w:rsidRPr="002655EE" w:rsidRDefault="00F37143" w:rsidP="00220396">
            <w:pPr>
              <w:spacing w:before="0" w:after="0"/>
              <w:rPr>
                <w:szCs w:val="20"/>
                <w:lang w:val="fr-FR"/>
              </w:rPr>
            </w:pPr>
            <w:r w:rsidRPr="002655EE">
              <w:rPr>
                <w:szCs w:val="20"/>
                <w:lang w:val="fr-FR"/>
              </w:rPr>
              <w:t>DNP</w:t>
            </w:r>
          </w:p>
        </w:tc>
        <w:tc>
          <w:tcPr>
            <w:tcW w:w="7389" w:type="dxa"/>
          </w:tcPr>
          <w:p w14:paraId="22A746ED" w14:textId="77777777" w:rsidR="00F37143" w:rsidRPr="002655EE" w:rsidRDefault="00F37143" w:rsidP="00220396">
            <w:pPr>
              <w:spacing w:before="0" w:after="0"/>
              <w:rPr>
                <w:lang w:val="fr-FR"/>
              </w:rPr>
            </w:pPr>
            <w:r w:rsidRPr="002655EE">
              <w:rPr>
                <w:lang w:val="fr-FR"/>
              </w:rPr>
              <w:t>Directeur National de Projet</w:t>
            </w:r>
          </w:p>
        </w:tc>
      </w:tr>
      <w:tr w:rsidR="000E0C43" w:rsidRPr="00BE1549" w14:paraId="7DB50205" w14:textId="77777777" w:rsidTr="008F47A6">
        <w:tc>
          <w:tcPr>
            <w:tcW w:w="1971" w:type="dxa"/>
          </w:tcPr>
          <w:p w14:paraId="55637180" w14:textId="717D2425" w:rsidR="000E0C43" w:rsidRPr="002655EE" w:rsidRDefault="000E0C43" w:rsidP="00220396">
            <w:pPr>
              <w:spacing w:before="0" w:after="0"/>
              <w:rPr>
                <w:szCs w:val="20"/>
                <w:lang w:val="fr-FR"/>
              </w:rPr>
            </w:pPr>
            <w:r>
              <w:rPr>
                <w:szCs w:val="20"/>
                <w:lang w:val="fr-FR"/>
              </w:rPr>
              <w:t>DOGME</w:t>
            </w:r>
          </w:p>
        </w:tc>
        <w:tc>
          <w:tcPr>
            <w:tcW w:w="7389" w:type="dxa"/>
          </w:tcPr>
          <w:p w14:paraId="6306248C" w14:textId="3649FD09" w:rsidR="000E0C43" w:rsidRPr="002655EE" w:rsidRDefault="003C067C" w:rsidP="00220396">
            <w:pPr>
              <w:spacing w:before="0" w:after="0"/>
              <w:rPr>
                <w:lang w:val="fr-FR"/>
              </w:rPr>
            </w:pPr>
            <w:r>
              <w:rPr>
                <w:lang w:val="fr-FR"/>
              </w:rPr>
              <w:t xml:space="preserve">Document </w:t>
            </w:r>
            <w:r w:rsidR="0022070F">
              <w:rPr>
                <w:lang w:val="fr-FR"/>
              </w:rPr>
              <w:t xml:space="preserve">d’Orientation relatif à la </w:t>
            </w:r>
            <w:r>
              <w:rPr>
                <w:lang w:val="fr-FR"/>
              </w:rPr>
              <w:t xml:space="preserve">Gestion </w:t>
            </w:r>
            <w:r w:rsidR="0022070F">
              <w:rPr>
                <w:lang w:val="fr-FR"/>
              </w:rPr>
              <w:t xml:space="preserve">des </w:t>
            </w:r>
            <w:r>
              <w:rPr>
                <w:lang w:val="fr-FR"/>
              </w:rPr>
              <w:t>Menaces Environnementa</w:t>
            </w:r>
            <w:r w:rsidR="0022070F">
              <w:rPr>
                <w:lang w:val="fr-FR"/>
              </w:rPr>
              <w:t>les</w:t>
            </w:r>
          </w:p>
        </w:tc>
      </w:tr>
      <w:tr w:rsidR="00F37143" w:rsidRPr="00BE1549" w14:paraId="710584F6" w14:textId="77777777" w:rsidTr="008F47A6">
        <w:tc>
          <w:tcPr>
            <w:tcW w:w="1971" w:type="dxa"/>
          </w:tcPr>
          <w:p w14:paraId="13057C5E" w14:textId="77777777" w:rsidR="00F37143" w:rsidRPr="002655EE" w:rsidRDefault="00F37143" w:rsidP="00220396">
            <w:pPr>
              <w:spacing w:before="0" w:after="0"/>
              <w:rPr>
                <w:szCs w:val="20"/>
                <w:lang w:val="fr-FR"/>
              </w:rPr>
            </w:pPr>
            <w:r w:rsidRPr="002655EE">
              <w:rPr>
                <w:szCs w:val="20"/>
                <w:lang w:val="fr-FR"/>
              </w:rPr>
              <w:t>DREDD</w:t>
            </w:r>
          </w:p>
        </w:tc>
        <w:tc>
          <w:tcPr>
            <w:tcW w:w="7389" w:type="dxa"/>
          </w:tcPr>
          <w:p w14:paraId="5480ECB3" w14:textId="77777777" w:rsidR="00F37143" w:rsidRPr="002655EE" w:rsidRDefault="00F37143" w:rsidP="00220396">
            <w:pPr>
              <w:spacing w:before="0" w:after="0"/>
              <w:rPr>
                <w:lang w:val="fr-FR"/>
              </w:rPr>
            </w:pPr>
            <w:r w:rsidRPr="002655EE">
              <w:rPr>
                <w:lang w:val="fr-FR" w:eastAsia="en-GB"/>
              </w:rPr>
              <w:t xml:space="preserve">Direction Régionale de l’Environnement </w:t>
            </w:r>
            <w:r>
              <w:rPr>
                <w:lang w:val="fr-FR" w:eastAsia="en-GB"/>
              </w:rPr>
              <w:t xml:space="preserve">et du </w:t>
            </w:r>
            <w:r w:rsidRPr="002655EE">
              <w:rPr>
                <w:lang w:val="fr-FR" w:eastAsia="en-GB"/>
              </w:rPr>
              <w:t xml:space="preserve">Développement Durable </w:t>
            </w:r>
          </w:p>
        </w:tc>
      </w:tr>
      <w:tr w:rsidR="00F37143" w:rsidRPr="008F47A6" w14:paraId="70FC13EB" w14:textId="77777777" w:rsidTr="008F47A6">
        <w:tc>
          <w:tcPr>
            <w:tcW w:w="1971" w:type="dxa"/>
          </w:tcPr>
          <w:p w14:paraId="7BCACDD2" w14:textId="77777777" w:rsidR="00F37143" w:rsidRDefault="00F37143" w:rsidP="00220396">
            <w:pPr>
              <w:spacing w:before="0" w:after="0"/>
              <w:rPr>
                <w:szCs w:val="20"/>
                <w:lang w:val="fr-FR"/>
              </w:rPr>
            </w:pPr>
            <w:r>
              <w:rPr>
                <w:szCs w:val="20"/>
                <w:lang w:val="fr-FR"/>
              </w:rPr>
              <w:t>DSA</w:t>
            </w:r>
          </w:p>
        </w:tc>
        <w:tc>
          <w:tcPr>
            <w:tcW w:w="7389" w:type="dxa"/>
          </w:tcPr>
          <w:p w14:paraId="2E46E641" w14:textId="6E6E63FC" w:rsidR="00F37143" w:rsidRPr="00CA44AE" w:rsidRDefault="00F37143" w:rsidP="00220396">
            <w:pPr>
              <w:spacing w:before="0" w:after="0" w:line="276" w:lineRule="auto"/>
              <w:rPr>
                <w:lang w:val="en-US"/>
              </w:rPr>
            </w:pPr>
            <w:r w:rsidRPr="00CA44AE">
              <w:rPr>
                <w:lang w:val="en-US"/>
              </w:rPr>
              <w:t>Daily Subsistence Allowance</w:t>
            </w:r>
            <w:r w:rsidR="00A45973" w:rsidRPr="00CA44AE">
              <w:rPr>
                <w:lang w:val="en-US"/>
              </w:rPr>
              <w:t xml:space="preserve"> </w:t>
            </w:r>
            <w:r w:rsidR="00A45973" w:rsidRPr="003C067C">
              <w:rPr>
                <w:lang w:val="fr-FR"/>
              </w:rPr>
              <w:t>(</w:t>
            </w:r>
            <w:r w:rsidR="003C067C">
              <w:rPr>
                <w:lang w:val="fr-FR"/>
              </w:rPr>
              <w:t>par l’</w:t>
            </w:r>
            <w:r w:rsidR="00A45973" w:rsidRPr="003C067C">
              <w:rPr>
                <w:lang w:val="fr-FR"/>
              </w:rPr>
              <w:t xml:space="preserve">acronyme </w:t>
            </w:r>
            <w:r w:rsidR="00A45973" w:rsidRPr="00CA44AE">
              <w:rPr>
                <w:lang w:val="fr-FR"/>
              </w:rPr>
              <w:t>anglais)</w:t>
            </w:r>
          </w:p>
        </w:tc>
      </w:tr>
      <w:tr w:rsidR="00F37143" w:rsidRPr="008F47A6" w14:paraId="5337476B" w14:textId="77777777" w:rsidTr="008F47A6">
        <w:tc>
          <w:tcPr>
            <w:tcW w:w="1971" w:type="dxa"/>
          </w:tcPr>
          <w:p w14:paraId="11950314" w14:textId="77777777" w:rsidR="00F37143" w:rsidRDefault="00F37143" w:rsidP="00220396">
            <w:pPr>
              <w:spacing w:before="0" w:after="0"/>
              <w:rPr>
                <w:szCs w:val="20"/>
                <w:lang w:val="fr-FR"/>
              </w:rPr>
            </w:pPr>
            <w:r>
              <w:rPr>
                <w:szCs w:val="20"/>
                <w:lang w:val="fr-FR"/>
              </w:rPr>
              <w:t>EIE</w:t>
            </w:r>
          </w:p>
        </w:tc>
        <w:tc>
          <w:tcPr>
            <w:tcW w:w="7389" w:type="dxa"/>
          </w:tcPr>
          <w:p w14:paraId="1CA3CE8A" w14:textId="4DEDD2CE" w:rsidR="00F37143" w:rsidRPr="00AA74D1" w:rsidRDefault="00F37143" w:rsidP="00220396">
            <w:pPr>
              <w:spacing w:before="0" w:after="0"/>
              <w:rPr>
                <w:lang w:val="fr-FR"/>
              </w:rPr>
            </w:pPr>
            <w:r w:rsidRPr="003762E1">
              <w:rPr>
                <w:lang w:val="fr-FR"/>
              </w:rPr>
              <w:t>Étude d’</w:t>
            </w:r>
            <w:r w:rsidR="007D56C9">
              <w:rPr>
                <w:lang w:val="fr-FR"/>
              </w:rPr>
              <w:t>I</w:t>
            </w:r>
            <w:r w:rsidRPr="003762E1">
              <w:rPr>
                <w:lang w:val="fr-FR"/>
              </w:rPr>
              <w:t xml:space="preserve">mpact </w:t>
            </w:r>
            <w:r w:rsidR="007D56C9">
              <w:rPr>
                <w:lang w:val="fr-FR"/>
              </w:rPr>
              <w:t>E</w:t>
            </w:r>
            <w:r w:rsidRPr="003762E1">
              <w:rPr>
                <w:lang w:val="fr-FR"/>
              </w:rPr>
              <w:t>nvironnementale</w:t>
            </w:r>
          </w:p>
        </w:tc>
      </w:tr>
      <w:tr w:rsidR="00F37143" w:rsidRPr="008F47A6" w14:paraId="772D4C6D" w14:textId="77777777" w:rsidTr="008F47A6">
        <w:tc>
          <w:tcPr>
            <w:tcW w:w="1971" w:type="dxa"/>
          </w:tcPr>
          <w:p w14:paraId="0ABBB20F" w14:textId="77777777" w:rsidR="00F37143" w:rsidRDefault="00F37143" w:rsidP="00FF63EF">
            <w:pPr>
              <w:spacing w:before="0" w:after="0"/>
              <w:rPr>
                <w:szCs w:val="20"/>
                <w:lang w:val="fr-FR"/>
              </w:rPr>
            </w:pPr>
            <w:r>
              <w:rPr>
                <w:szCs w:val="20"/>
                <w:lang w:val="fr-FR"/>
              </w:rPr>
              <w:t>ETR</w:t>
            </w:r>
          </w:p>
        </w:tc>
        <w:tc>
          <w:tcPr>
            <w:tcW w:w="7389" w:type="dxa"/>
          </w:tcPr>
          <w:p w14:paraId="5DAAA949" w14:textId="37BD176E" w:rsidR="00F37143" w:rsidRPr="00AA74D1" w:rsidRDefault="00826461" w:rsidP="00804BCB">
            <w:pPr>
              <w:spacing w:before="0" w:after="0"/>
              <w:rPr>
                <w:lang w:val="fr-FR"/>
              </w:rPr>
            </w:pPr>
            <w:r w:rsidRPr="008F47A6">
              <w:rPr>
                <w:lang w:val="fr-FR"/>
              </w:rPr>
              <w:t>Équipe</w:t>
            </w:r>
            <w:r w:rsidR="00F37143" w:rsidRPr="003762E1">
              <w:rPr>
                <w:color w:val="auto"/>
                <w:lang w:val="fr-FR"/>
              </w:rPr>
              <w:t xml:space="preserve"> </w:t>
            </w:r>
            <w:r w:rsidR="00F37143" w:rsidRPr="008F47A6">
              <w:rPr>
                <w:lang w:val="fr-FR"/>
              </w:rPr>
              <w:t>Technique Restreinte</w:t>
            </w:r>
            <w:r w:rsidR="00F37143" w:rsidRPr="003762E1">
              <w:rPr>
                <w:color w:val="auto"/>
                <w:lang w:val="fr-FR"/>
              </w:rPr>
              <w:t xml:space="preserve"> </w:t>
            </w:r>
          </w:p>
        </w:tc>
      </w:tr>
      <w:tr w:rsidR="00826461" w:rsidRPr="00BE1549" w14:paraId="6103DA64" w14:textId="77777777" w:rsidTr="008F47A6">
        <w:tc>
          <w:tcPr>
            <w:tcW w:w="1971" w:type="dxa"/>
          </w:tcPr>
          <w:p w14:paraId="50387868" w14:textId="60902B92" w:rsidR="00826461" w:rsidRDefault="00826461" w:rsidP="00FF63EF">
            <w:pPr>
              <w:spacing w:before="0" w:after="0"/>
              <w:rPr>
                <w:szCs w:val="20"/>
                <w:lang w:val="fr-FR"/>
              </w:rPr>
            </w:pPr>
            <w:r>
              <w:rPr>
                <w:szCs w:val="20"/>
                <w:lang w:val="fr-FR"/>
              </w:rPr>
              <w:t>FAPBM</w:t>
            </w:r>
          </w:p>
        </w:tc>
        <w:tc>
          <w:tcPr>
            <w:tcW w:w="7389" w:type="dxa"/>
          </w:tcPr>
          <w:p w14:paraId="217001DA" w14:textId="6BDE1221" w:rsidR="00826461" w:rsidRPr="008F47A6" w:rsidDel="00826461" w:rsidRDefault="00826461" w:rsidP="00804BCB">
            <w:pPr>
              <w:spacing w:before="0" w:after="0"/>
              <w:rPr>
                <w:lang w:val="fr-FR"/>
              </w:rPr>
            </w:pPr>
            <w:r>
              <w:rPr>
                <w:lang w:val="fr-FR"/>
              </w:rPr>
              <w:t>Fondation pour les Aires Protégées et la Biodiversité de Madagascar</w:t>
            </w:r>
          </w:p>
        </w:tc>
      </w:tr>
      <w:tr w:rsidR="00F37143" w:rsidRPr="002655EE" w14:paraId="4F9256D0" w14:textId="77777777" w:rsidTr="008F47A6">
        <w:tc>
          <w:tcPr>
            <w:tcW w:w="1971" w:type="dxa"/>
          </w:tcPr>
          <w:p w14:paraId="1FD9FBEB" w14:textId="77777777" w:rsidR="00F37143" w:rsidRPr="002655EE" w:rsidRDefault="00F37143" w:rsidP="00FF63EF">
            <w:pPr>
              <w:spacing w:before="0" w:after="0"/>
              <w:rPr>
                <w:szCs w:val="20"/>
                <w:lang w:val="fr-FR"/>
              </w:rPr>
            </w:pPr>
            <w:r w:rsidRPr="002655EE">
              <w:rPr>
                <w:szCs w:val="20"/>
                <w:lang w:val="fr-FR"/>
              </w:rPr>
              <w:t>FEM</w:t>
            </w:r>
          </w:p>
        </w:tc>
        <w:tc>
          <w:tcPr>
            <w:tcW w:w="7389" w:type="dxa"/>
          </w:tcPr>
          <w:p w14:paraId="08A225D7" w14:textId="4F7D0362" w:rsidR="00F37143" w:rsidRPr="002655EE" w:rsidRDefault="00F37143" w:rsidP="00804BCB">
            <w:pPr>
              <w:spacing w:before="0" w:after="0"/>
              <w:rPr>
                <w:lang w:val="fr-FR"/>
              </w:rPr>
            </w:pPr>
            <w:r w:rsidRPr="002655EE">
              <w:rPr>
                <w:lang w:val="fr-FR"/>
              </w:rPr>
              <w:t>Fond pour l’Environnement Mondial</w:t>
            </w:r>
          </w:p>
        </w:tc>
      </w:tr>
      <w:tr w:rsidR="00F37143" w:rsidRPr="002655EE" w14:paraId="093852E7" w14:textId="77777777" w:rsidTr="008F47A6">
        <w:tc>
          <w:tcPr>
            <w:tcW w:w="1971" w:type="dxa"/>
          </w:tcPr>
          <w:p w14:paraId="3C193BC2" w14:textId="77777777" w:rsidR="00F37143" w:rsidRPr="002655EE" w:rsidRDefault="00F37143" w:rsidP="00FF63EF">
            <w:pPr>
              <w:spacing w:before="0" w:after="0"/>
              <w:rPr>
                <w:szCs w:val="20"/>
                <w:lang w:val="fr-FR"/>
              </w:rPr>
            </w:pPr>
            <w:r w:rsidRPr="002655EE">
              <w:rPr>
                <w:szCs w:val="20"/>
                <w:lang w:val="fr-FR"/>
              </w:rPr>
              <w:t>FIP</w:t>
            </w:r>
          </w:p>
        </w:tc>
        <w:tc>
          <w:tcPr>
            <w:tcW w:w="7389" w:type="dxa"/>
          </w:tcPr>
          <w:p w14:paraId="2F166548" w14:textId="77777777" w:rsidR="00F37143" w:rsidRPr="002655EE" w:rsidRDefault="00F37143" w:rsidP="00804BCB">
            <w:pPr>
              <w:spacing w:before="0" w:after="0"/>
              <w:rPr>
                <w:lang w:val="fr-FR"/>
              </w:rPr>
            </w:pPr>
            <w:r w:rsidRPr="002655EE">
              <w:rPr>
                <w:lang w:val="fr-FR"/>
              </w:rPr>
              <w:t>Fiche d’</w:t>
            </w:r>
            <w:r>
              <w:rPr>
                <w:lang w:val="fr-FR"/>
              </w:rPr>
              <w:t>I</w:t>
            </w:r>
            <w:r w:rsidRPr="002655EE">
              <w:rPr>
                <w:lang w:val="fr-FR"/>
              </w:rPr>
              <w:t xml:space="preserve">dentification du </w:t>
            </w:r>
            <w:r>
              <w:rPr>
                <w:lang w:val="fr-FR"/>
              </w:rPr>
              <w:t>P</w:t>
            </w:r>
            <w:r w:rsidRPr="002655EE">
              <w:rPr>
                <w:lang w:val="fr-FR"/>
              </w:rPr>
              <w:t>rojet</w:t>
            </w:r>
          </w:p>
        </w:tc>
      </w:tr>
      <w:tr w:rsidR="000D3EC3" w:rsidRPr="00BE1549" w14:paraId="101A3010" w14:textId="77777777" w:rsidTr="008F47A6">
        <w:tc>
          <w:tcPr>
            <w:tcW w:w="1971" w:type="dxa"/>
          </w:tcPr>
          <w:p w14:paraId="3DD72658" w14:textId="12B0D7EC" w:rsidR="000D3EC3" w:rsidRPr="002655EE" w:rsidRDefault="000D3EC3" w:rsidP="00FF63EF">
            <w:pPr>
              <w:spacing w:before="0" w:after="0"/>
              <w:rPr>
                <w:szCs w:val="20"/>
                <w:lang w:val="fr-FR"/>
              </w:rPr>
            </w:pPr>
            <w:r>
              <w:rPr>
                <w:szCs w:val="20"/>
                <w:lang w:val="fr-FR"/>
              </w:rPr>
              <w:t>GCF</w:t>
            </w:r>
          </w:p>
        </w:tc>
        <w:tc>
          <w:tcPr>
            <w:tcW w:w="7389" w:type="dxa"/>
          </w:tcPr>
          <w:p w14:paraId="01E6D8DC" w14:textId="0DAF21D0" w:rsidR="000D3EC3" w:rsidRPr="002655EE" w:rsidRDefault="000D3EC3" w:rsidP="00804BCB">
            <w:pPr>
              <w:spacing w:before="0" w:after="0"/>
              <w:rPr>
                <w:lang w:val="fr-FR"/>
              </w:rPr>
            </w:pPr>
            <w:r w:rsidRPr="008F47A6">
              <w:rPr>
                <w:lang w:val="fr-FR"/>
              </w:rPr>
              <w:t>Gestion Contractualisée des Forêts de l’État</w:t>
            </w:r>
          </w:p>
        </w:tc>
      </w:tr>
      <w:tr w:rsidR="000D3EC3" w:rsidRPr="002655EE" w14:paraId="08503887" w14:textId="77777777" w:rsidTr="008F47A6">
        <w:tc>
          <w:tcPr>
            <w:tcW w:w="1971" w:type="dxa"/>
          </w:tcPr>
          <w:p w14:paraId="1CA8D58C" w14:textId="561B697D" w:rsidR="000D3EC3" w:rsidRPr="002655EE" w:rsidRDefault="000D3EC3" w:rsidP="00FF63EF">
            <w:pPr>
              <w:spacing w:before="0" w:after="0"/>
              <w:rPr>
                <w:szCs w:val="20"/>
                <w:lang w:val="fr-FR"/>
              </w:rPr>
            </w:pPr>
            <w:proofErr w:type="spellStart"/>
            <w:r>
              <w:rPr>
                <w:szCs w:val="20"/>
                <w:lang w:val="fr-FR"/>
              </w:rPr>
              <w:t>GeLoSe</w:t>
            </w:r>
            <w:proofErr w:type="spellEnd"/>
          </w:p>
        </w:tc>
        <w:tc>
          <w:tcPr>
            <w:tcW w:w="7389" w:type="dxa"/>
          </w:tcPr>
          <w:p w14:paraId="14151841" w14:textId="50E8DAAF" w:rsidR="000D3EC3" w:rsidRPr="002655EE" w:rsidRDefault="000D3EC3" w:rsidP="00804BCB">
            <w:pPr>
              <w:spacing w:before="0" w:after="0"/>
              <w:rPr>
                <w:lang w:val="fr-FR"/>
              </w:rPr>
            </w:pPr>
            <w:r w:rsidRPr="000D3EC3">
              <w:rPr>
                <w:lang w:val="fr-FR"/>
              </w:rPr>
              <w:t>Gestion Locale Sécurisée</w:t>
            </w:r>
            <w:r w:rsidRPr="008F47A6">
              <w:rPr>
                <w:lang w:val="fr-FR"/>
              </w:rPr>
              <w:t xml:space="preserve"> </w:t>
            </w:r>
          </w:p>
        </w:tc>
      </w:tr>
      <w:tr w:rsidR="00FF63EF" w:rsidRPr="00BE1549" w14:paraId="173D2376" w14:textId="77777777" w:rsidTr="008F47A6">
        <w:tc>
          <w:tcPr>
            <w:tcW w:w="1971" w:type="dxa"/>
          </w:tcPr>
          <w:p w14:paraId="267E1923" w14:textId="781C6467" w:rsidR="00FF63EF" w:rsidRPr="002655EE" w:rsidRDefault="00FF63EF" w:rsidP="00FF63EF">
            <w:pPr>
              <w:spacing w:before="0" w:after="0"/>
              <w:rPr>
                <w:szCs w:val="20"/>
                <w:lang w:val="fr-FR"/>
              </w:rPr>
            </w:pPr>
            <w:r>
              <w:rPr>
                <w:szCs w:val="20"/>
                <w:lang w:val="fr-FR"/>
              </w:rPr>
              <w:t>GIZ</w:t>
            </w:r>
          </w:p>
        </w:tc>
        <w:tc>
          <w:tcPr>
            <w:tcW w:w="7389" w:type="dxa"/>
          </w:tcPr>
          <w:p w14:paraId="4E972396" w14:textId="5678F36B" w:rsidR="00FF63EF" w:rsidRPr="002655EE" w:rsidRDefault="00FF63EF" w:rsidP="00FF63EF">
            <w:pPr>
              <w:spacing w:before="0" w:after="0"/>
              <w:rPr>
                <w:lang w:val="fr-FR"/>
              </w:rPr>
            </w:pPr>
            <w:r w:rsidRPr="00FF63EF">
              <w:rPr>
                <w:lang w:val="fr-FR"/>
              </w:rPr>
              <w:t xml:space="preserve">Agence </w:t>
            </w:r>
            <w:r w:rsidR="00A45973">
              <w:rPr>
                <w:lang w:val="fr-FR"/>
              </w:rPr>
              <w:t>A</w:t>
            </w:r>
            <w:r w:rsidRPr="00FF63EF">
              <w:rPr>
                <w:lang w:val="fr-FR"/>
              </w:rPr>
              <w:t>llemande pour le Développement (par l’</w:t>
            </w:r>
            <w:r w:rsidRPr="00804BCB">
              <w:rPr>
                <w:lang w:val="fr-FR"/>
              </w:rPr>
              <w:t>acronyme en allemand)</w:t>
            </w:r>
          </w:p>
        </w:tc>
      </w:tr>
      <w:tr w:rsidR="000F424C" w:rsidRPr="00BE1549" w14:paraId="57185BC6" w14:textId="77777777" w:rsidTr="008F47A6">
        <w:tc>
          <w:tcPr>
            <w:tcW w:w="1971" w:type="dxa"/>
          </w:tcPr>
          <w:p w14:paraId="1A412309" w14:textId="6D4B44F0" w:rsidR="000F424C" w:rsidRDefault="000F424C" w:rsidP="00FF63EF">
            <w:pPr>
              <w:spacing w:before="0" w:after="0"/>
              <w:rPr>
                <w:szCs w:val="20"/>
                <w:lang w:val="fr-FR"/>
              </w:rPr>
            </w:pPr>
            <w:r>
              <w:rPr>
                <w:szCs w:val="20"/>
                <w:lang w:val="fr-FR"/>
              </w:rPr>
              <w:t>HACT</w:t>
            </w:r>
          </w:p>
        </w:tc>
        <w:tc>
          <w:tcPr>
            <w:tcW w:w="7389" w:type="dxa"/>
          </w:tcPr>
          <w:p w14:paraId="4FE9CADD" w14:textId="37A2037F" w:rsidR="000F424C" w:rsidRPr="00FF63EF" w:rsidRDefault="000F424C" w:rsidP="00FF63EF">
            <w:pPr>
              <w:spacing w:before="0" w:after="0"/>
              <w:rPr>
                <w:lang w:val="fr-FR"/>
              </w:rPr>
            </w:pPr>
            <w:proofErr w:type="spellStart"/>
            <w:r w:rsidRPr="00346FE6">
              <w:rPr>
                <w:i/>
                <w:iCs/>
                <w:lang w:val="fr-FR"/>
              </w:rPr>
              <w:t>Harmonized</w:t>
            </w:r>
            <w:proofErr w:type="spellEnd"/>
            <w:r w:rsidRPr="00346FE6">
              <w:rPr>
                <w:i/>
                <w:iCs/>
                <w:lang w:val="fr-FR"/>
              </w:rPr>
              <w:t xml:space="preserve"> </w:t>
            </w:r>
            <w:proofErr w:type="spellStart"/>
            <w:r w:rsidRPr="00346FE6">
              <w:rPr>
                <w:i/>
                <w:iCs/>
                <w:lang w:val="fr-FR"/>
              </w:rPr>
              <w:t>Approach</w:t>
            </w:r>
            <w:proofErr w:type="spellEnd"/>
            <w:r w:rsidRPr="00346FE6">
              <w:rPr>
                <w:i/>
                <w:iCs/>
                <w:lang w:val="fr-FR"/>
              </w:rPr>
              <w:t xml:space="preserve"> of Currency Transfer </w:t>
            </w:r>
            <w:r w:rsidRPr="00346FE6">
              <w:rPr>
                <w:lang w:val="fr-FR"/>
              </w:rPr>
              <w:t>;</w:t>
            </w:r>
            <w:r w:rsidRPr="000F424C">
              <w:rPr>
                <w:lang w:val="fr-FR"/>
              </w:rPr>
              <w:t xml:space="preserve"> Approche harmonisée des procédures de remises d’espèces aux partenaires d’exécution</w:t>
            </w:r>
          </w:p>
        </w:tc>
      </w:tr>
      <w:tr w:rsidR="003C067C" w:rsidRPr="00BE1549" w14:paraId="62A28AFF" w14:textId="77777777" w:rsidTr="008F47A6">
        <w:tc>
          <w:tcPr>
            <w:tcW w:w="1971" w:type="dxa"/>
          </w:tcPr>
          <w:p w14:paraId="402A2C62" w14:textId="7ADC6959" w:rsidR="003C067C" w:rsidRDefault="003C067C" w:rsidP="00FF63EF">
            <w:pPr>
              <w:spacing w:before="0" w:after="0"/>
              <w:rPr>
                <w:szCs w:val="20"/>
                <w:lang w:val="fr-FR"/>
              </w:rPr>
            </w:pPr>
            <w:r>
              <w:rPr>
                <w:szCs w:val="20"/>
                <w:lang w:val="fr-FR"/>
              </w:rPr>
              <w:t>IUCN</w:t>
            </w:r>
          </w:p>
        </w:tc>
        <w:tc>
          <w:tcPr>
            <w:tcW w:w="7389" w:type="dxa"/>
          </w:tcPr>
          <w:p w14:paraId="2CF58957" w14:textId="7F1B4B8F" w:rsidR="003C067C" w:rsidRPr="00346FE6" w:rsidRDefault="003C067C" w:rsidP="00FF63EF">
            <w:pPr>
              <w:spacing w:before="0" w:after="0"/>
              <w:rPr>
                <w:i/>
                <w:iCs/>
                <w:lang w:val="fr-FR"/>
              </w:rPr>
            </w:pPr>
            <w:r>
              <w:rPr>
                <w:lang w:val="fr-FR"/>
              </w:rPr>
              <w:t>Union Internationale pour la Conservation de la Nature</w:t>
            </w:r>
          </w:p>
        </w:tc>
      </w:tr>
      <w:tr w:rsidR="000D3EC3" w:rsidRPr="00BE1549" w14:paraId="676C4506" w14:textId="77777777" w:rsidTr="008F47A6">
        <w:tc>
          <w:tcPr>
            <w:tcW w:w="1971" w:type="dxa"/>
          </w:tcPr>
          <w:p w14:paraId="7C46B1BC" w14:textId="1914CC42" w:rsidR="000D3EC3" w:rsidRDefault="000D3EC3" w:rsidP="00FF63EF">
            <w:pPr>
              <w:spacing w:before="0" w:after="0"/>
              <w:rPr>
                <w:szCs w:val="20"/>
                <w:lang w:val="fr-FR"/>
              </w:rPr>
            </w:pPr>
            <w:r>
              <w:rPr>
                <w:szCs w:val="20"/>
                <w:lang w:val="fr-FR"/>
              </w:rPr>
              <w:t>MECIE</w:t>
            </w:r>
          </w:p>
        </w:tc>
        <w:tc>
          <w:tcPr>
            <w:tcW w:w="7389" w:type="dxa"/>
          </w:tcPr>
          <w:p w14:paraId="3F1D705C" w14:textId="53720210" w:rsidR="000D3EC3" w:rsidRPr="00FF63EF" w:rsidRDefault="000D3EC3" w:rsidP="00FF63EF">
            <w:pPr>
              <w:spacing w:before="0" w:after="0"/>
              <w:rPr>
                <w:lang w:val="fr-FR"/>
              </w:rPr>
            </w:pPr>
            <w:r w:rsidRPr="000D3EC3">
              <w:rPr>
                <w:lang w:val="fr-FR"/>
              </w:rPr>
              <w:t>Mise en Compatibilité des Investissements avec l’Environnement</w:t>
            </w:r>
          </w:p>
        </w:tc>
      </w:tr>
      <w:tr w:rsidR="00F37143" w:rsidRPr="00BE1549" w14:paraId="2C8256E8" w14:textId="77777777" w:rsidTr="008F47A6">
        <w:tc>
          <w:tcPr>
            <w:tcW w:w="1971" w:type="dxa"/>
          </w:tcPr>
          <w:p w14:paraId="50D10FEE" w14:textId="77777777" w:rsidR="00F37143" w:rsidRPr="002655EE" w:rsidRDefault="00F37143" w:rsidP="00FF63EF">
            <w:pPr>
              <w:spacing w:before="0" w:after="0" w:line="276" w:lineRule="auto"/>
              <w:rPr>
                <w:szCs w:val="20"/>
                <w:lang w:val="fr-FR"/>
              </w:rPr>
            </w:pPr>
            <w:r>
              <w:rPr>
                <w:szCs w:val="20"/>
                <w:lang w:val="fr-FR"/>
              </w:rPr>
              <w:t>MEDD</w:t>
            </w:r>
          </w:p>
        </w:tc>
        <w:tc>
          <w:tcPr>
            <w:tcW w:w="7389" w:type="dxa"/>
          </w:tcPr>
          <w:p w14:paraId="7F5CF726" w14:textId="77777777" w:rsidR="00F37143" w:rsidRPr="002655EE" w:rsidRDefault="00F37143" w:rsidP="00804BCB">
            <w:pPr>
              <w:spacing w:before="0" w:after="0" w:line="276" w:lineRule="auto"/>
              <w:rPr>
                <w:szCs w:val="20"/>
                <w:lang w:val="fr-FR"/>
              </w:rPr>
            </w:pPr>
            <w:r w:rsidRPr="002655EE">
              <w:rPr>
                <w:lang w:val="fr-FR"/>
              </w:rPr>
              <w:t xml:space="preserve">Ministère de l’Environnement et </w:t>
            </w:r>
            <w:r>
              <w:rPr>
                <w:lang w:val="fr-FR"/>
              </w:rPr>
              <w:t>du Développement Durable</w:t>
            </w:r>
            <w:r w:rsidRPr="002655EE">
              <w:rPr>
                <w:lang w:val="fr-FR"/>
              </w:rPr>
              <w:t xml:space="preserve"> </w:t>
            </w:r>
          </w:p>
        </w:tc>
      </w:tr>
      <w:tr w:rsidR="00F37143" w:rsidRPr="00BE1549" w14:paraId="3D9880D3" w14:textId="77777777" w:rsidTr="008F47A6">
        <w:tc>
          <w:tcPr>
            <w:tcW w:w="1971" w:type="dxa"/>
          </w:tcPr>
          <w:p w14:paraId="1F4CBD8D" w14:textId="77777777" w:rsidR="00F37143" w:rsidRDefault="00F37143" w:rsidP="00FF63EF">
            <w:pPr>
              <w:spacing w:before="0" w:after="0"/>
              <w:rPr>
                <w:szCs w:val="20"/>
                <w:lang w:val="fr-FR"/>
              </w:rPr>
            </w:pPr>
            <w:r>
              <w:rPr>
                <w:szCs w:val="20"/>
                <w:lang w:val="fr-FR"/>
              </w:rPr>
              <w:t>MEEF</w:t>
            </w:r>
          </w:p>
        </w:tc>
        <w:tc>
          <w:tcPr>
            <w:tcW w:w="7389" w:type="dxa"/>
          </w:tcPr>
          <w:p w14:paraId="5E1097B2" w14:textId="77777777" w:rsidR="00F37143" w:rsidRPr="00AA74D1" w:rsidRDefault="00F37143" w:rsidP="00804BCB">
            <w:pPr>
              <w:spacing w:before="0" w:after="0"/>
              <w:rPr>
                <w:lang w:val="fr-FR"/>
              </w:rPr>
            </w:pPr>
            <w:r w:rsidRPr="00305CE4">
              <w:rPr>
                <w:lang w:val="fr-FR"/>
              </w:rPr>
              <w:t>Ministère de l’Environnement, de l’</w:t>
            </w:r>
            <w:r>
              <w:rPr>
                <w:lang w:val="fr-FR"/>
              </w:rPr>
              <w:t>E</w:t>
            </w:r>
            <w:r w:rsidRPr="00305CE4">
              <w:rPr>
                <w:lang w:val="fr-FR"/>
              </w:rPr>
              <w:t>cologie et des Forêts</w:t>
            </w:r>
          </w:p>
        </w:tc>
      </w:tr>
      <w:tr w:rsidR="00F37143" w:rsidRPr="008F47A6" w14:paraId="6241DFE0" w14:textId="77777777" w:rsidTr="008F47A6">
        <w:tc>
          <w:tcPr>
            <w:tcW w:w="1971" w:type="dxa"/>
          </w:tcPr>
          <w:p w14:paraId="1E92ED7B" w14:textId="77777777" w:rsidR="00F37143" w:rsidRDefault="00F37143" w:rsidP="00FF63EF">
            <w:pPr>
              <w:spacing w:before="0" w:after="0"/>
              <w:rPr>
                <w:szCs w:val="20"/>
                <w:lang w:val="fr-FR"/>
              </w:rPr>
            </w:pPr>
            <w:r>
              <w:rPr>
                <w:szCs w:val="20"/>
                <w:lang w:val="fr-FR"/>
              </w:rPr>
              <w:t>MEN</w:t>
            </w:r>
          </w:p>
        </w:tc>
        <w:tc>
          <w:tcPr>
            <w:tcW w:w="7389" w:type="dxa"/>
          </w:tcPr>
          <w:p w14:paraId="05AD3E76" w14:textId="77777777" w:rsidR="00F37143" w:rsidRPr="00AA74D1" w:rsidRDefault="00F37143" w:rsidP="00804BCB">
            <w:pPr>
              <w:spacing w:before="0" w:after="0"/>
              <w:rPr>
                <w:lang w:val="fr-FR"/>
              </w:rPr>
            </w:pPr>
            <w:r>
              <w:rPr>
                <w:lang w:val="fr-FR"/>
              </w:rPr>
              <w:t>Modalité d’Exécution Nationale</w:t>
            </w:r>
          </w:p>
        </w:tc>
      </w:tr>
      <w:tr w:rsidR="000F424C" w:rsidRPr="00BE1549" w14:paraId="653B8647" w14:textId="77777777" w:rsidTr="008F47A6">
        <w:tc>
          <w:tcPr>
            <w:tcW w:w="1971" w:type="dxa"/>
          </w:tcPr>
          <w:p w14:paraId="01D442BB" w14:textId="4C880F17" w:rsidR="000F424C" w:rsidRDefault="000F424C" w:rsidP="00FF63EF">
            <w:pPr>
              <w:spacing w:before="0" w:after="0"/>
              <w:rPr>
                <w:szCs w:val="20"/>
                <w:lang w:val="fr-FR"/>
              </w:rPr>
            </w:pPr>
            <w:r>
              <w:rPr>
                <w:szCs w:val="20"/>
                <w:lang w:val="fr-FR"/>
              </w:rPr>
              <w:t>METT</w:t>
            </w:r>
          </w:p>
        </w:tc>
        <w:tc>
          <w:tcPr>
            <w:tcW w:w="7389" w:type="dxa"/>
          </w:tcPr>
          <w:p w14:paraId="4710A94B" w14:textId="63B0CE4D" w:rsidR="000F424C" w:rsidRDefault="000F424C" w:rsidP="00804BCB">
            <w:pPr>
              <w:spacing w:before="0" w:after="0"/>
              <w:rPr>
                <w:lang w:val="fr-FR"/>
              </w:rPr>
            </w:pPr>
            <w:r w:rsidRPr="00346FE6">
              <w:rPr>
                <w:i/>
                <w:iCs/>
                <w:lang w:val="fr-FR"/>
              </w:rPr>
              <w:t xml:space="preserve">Management </w:t>
            </w:r>
            <w:proofErr w:type="spellStart"/>
            <w:r w:rsidRPr="00346FE6">
              <w:rPr>
                <w:i/>
                <w:iCs/>
                <w:lang w:val="fr-FR"/>
              </w:rPr>
              <w:t>Effectiveness</w:t>
            </w:r>
            <w:proofErr w:type="spellEnd"/>
            <w:r w:rsidRPr="00346FE6">
              <w:rPr>
                <w:i/>
                <w:iCs/>
                <w:lang w:val="fr-FR"/>
              </w:rPr>
              <w:t xml:space="preserve"> </w:t>
            </w:r>
            <w:proofErr w:type="spellStart"/>
            <w:r w:rsidRPr="00346FE6">
              <w:rPr>
                <w:i/>
                <w:iCs/>
                <w:lang w:val="fr-FR"/>
              </w:rPr>
              <w:t>Tracking</w:t>
            </w:r>
            <w:proofErr w:type="spellEnd"/>
            <w:r w:rsidRPr="00346FE6">
              <w:rPr>
                <w:i/>
                <w:iCs/>
                <w:lang w:val="fr-FR"/>
              </w:rPr>
              <w:t xml:space="preserve"> Tool</w:t>
            </w:r>
            <w:r w:rsidRPr="00346FE6">
              <w:rPr>
                <w:lang w:val="fr-FR"/>
              </w:rPr>
              <w:t> ;</w:t>
            </w:r>
            <w:r>
              <w:rPr>
                <w:lang w:val="fr-FR"/>
              </w:rPr>
              <w:t xml:space="preserve"> </w:t>
            </w:r>
            <w:r w:rsidRPr="000F424C">
              <w:rPr>
                <w:lang w:val="fr-FR"/>
              </w:rPr>
              <w:t>Outil de suivi de l'efficacité de la gestion</w:t>
            </w:r>
            <w:r w:rsidR="0022070F">
              <w:rPr>
                <w:lang w:val="fr-FR"/>
              </w:rPr>
              <w:t xml:space="preserve"> des Aires Protégées </w:t>
            </w:r>
          </w:p>
        </w:tc>
      </w:tr>
      <w:tr w:rsidR="00F37143" w:rsidRPr="00BE1549" w14:paraId="6AD41E67" w14:textId="77777777" w:rsidTr="008F47A6">
        <w:tc>
          <w:tcPr>
            <w:tcW w:w="1971" w:type="dxa"/>
          </w:tcPr>
          <w:p w14:paraId="14367842" w14:textId="77777777" w:rsidR="00F37143" w:rsidRPr="002655EE" w:rsidRDefault="00F37143" w:rsidP="00220396">
            <w:pPr>
              <w:spacing w:before="0" w:after="0" w:line="276" w:lineRule="auto"/>
              <w:rPr>
                <w:szCs w:val="20"/>
                <w:lang w:val="fr-FR"/>
              </w:rPr>
            </w:pPr>
            <w:r w:rsidRPr="002655EE">
              <w:rPr>
                <w:szCs w:val="20"/>
                <w:lang w:val="fr-FR"/>
              </w:rPr>
              <w:t>OBER</w:t>
            </w:r>
          </w:p>
        </w:tc>
        <w:tc>
          <w:tcPr>
            <w:tcW w:w="7389" w:type="dxa"/>
          </w:tcPr>
          <w:p w14:paraId="08B03454" w14:textId="77777777" w:rsidR="00F37143" w:rsidRPr="002655EE" w:rsidRDefault="00F37143" w:rsidP="00FF63EF">
            <w:pPr>
              <w:spacing w:before="0" w:after="0" w:line="276" w:lineRule="auto"/>
              <w:rPr>
                <w:szCs w:val="20"/>
                <w:lang w:val="fr-FR"/>
              </w:rPr>
            </w:pPr>
            <w:r w:rsidRPr="002655EE">
              <w:rPr>
                <w:lang w:val="fr-FR"/>
              </w:rPr>
              <w:t>Observatoire de la Biodiversité et des Ecosystèmes Régionaux</w:t>
            </w:r>
          </w:p>
        </w:tc>
      </w:tr>
      <w:tr w:rsidR="00F37143" w:rsidRPr="00BE1549" w14:paraId="529F2720" w14:textId="77777777" w:rsidTr="008F47A6">
        <w:tc>
          <w:tcPr>
            <w:tcW w:w="1971" w:type="dxa"/>
          </w:tcPr>
          <w:p w14:paraId="669F55D8" w14:textId="77777777" w:rsidR="00F37143" w:rsidRPr="002655EE" w:rsidRDefault="00F37143" w:rsidP="00220396">
            <w:pPr>
              <w:spacing w:before="0" w:after="0"/>
              <w:rPr>
                <w:szCs w:val="20"/>
                <w:lang w:val="fr-FR"/>
              </w:rPr>
            </w:pPr>
            <w:r w:rsidRPr="002655EE">
              <w:rPr>
                <w:szCs w:val="20"/>
                <w:lang w:val="fr-FR"/>
              </w:rPr>
              <w:t>OCDE</w:t>
            </w:r>
          </w:p>
        </w:tc>
        <w:tc>
          <w:tcPr>
            <w:tcW w:w="7389" w:type="dxa"/>
          </w:tcPr>
          <w:p w14:paraId="09AD2633" w14:textId="77777777" w:rsidR="00F37143" w:rsidRPr="002655EE" w:rsidRDefault="00F37143" w:rsidP="00FF63EF">
            <w:pPr>
              <w:spacing w:before="0" w:after="0"/>
              <w:rPr>
                <w:lang w:val="fr-FR"/>
              </w:rPr>
            </w:pPr>
            <w:r w:rsidRPr="002655EE">
              <w:rPr>
                <w:lang w:val="fr-FR"/>
              </w:rPr>
              <w:t xml:space="preserve">Organisation de </w:t>
            </w:r>
            <w:r>
              <w:rPr>
                <w:lang w:val="fr-FR"/>
              </w:rPr>
              <w:t>C</w:t>
            </w:r>
            <w:r w:rsidRPr="002655EE">
              <w:rPr>
                <w:lang w:val="fr-FR"/>
              </w:rPr>
              <w:t xml:space="preserve">oopération et de </w:t>
            </w:r>
            <w:r>
              <w:rPr>
                <w:lang w:val="fr-FR"/>
              </w:rPr>
              <w:t>D</w:t>
            </w:r>
            <w:r w:rsidRPr="002655EE">
              <w:rPr>
                <w:lang w:val="fr-FR"/>
              </w:rPr>
              <w:t xml:space="preserve">éveloppement </w:t>
            </w:r>
            <w:r>
              <w:rPr>
                <w:lang w:val="fr-FR"/>
              </w:rPr>
              <w:t>E</w:t>
            </w:r>
            <w:r w:rsidRPr="002655EE">
              <w:rPr>
                <w:lang w:val="fr-FR"/>
              </w:rPr>
              <w:t>conomiques</w:t>
            </w:r>
          </w:p>
        </w:tc>
      </w:tr>
      <w:tr w:rsidR="00F37143" w:rsidRPr="008F47A6" w14:paraId="594574A9" w14:textId="77777777" w:rsidTr="008F47A6">
        <w:tc>
          <w:tcPr>
            <w:tcW w:w="1971" w:type="dxa"/>
          </w:tcPr>
          <w:p w14:paraId="3EACE418" w14:textId="77777777" w:rsidR="00F37143" w:rsidRDefault="00F37143" w:rsidP="00220396">
            <w:pPr>
              <w:spacing w:before="0" w:after="0"/>
              <w:rPr>
                <w:szCs w:val="20"/>
                <w:lang w:val="fr-FR"/>
              </w:rPr>
            </w:pPr>
            <w:r>
              <w:rPr>
                <w:szCs w:val="20"/>
                <w:lang w:val="fr-FR"/>
              </w:rPr>
              <w:t>ONE</w:t>
            </w:r>
          </w:p>
        </w:tc>
        <w:tc>
          <w:tcPr>
            <w:tcW w:w="7389" w:type="dxa"/>
          </w:tcPr>
          <w:p w14:paraId="09B75506" w14:textId="77777777" w:rsidR="00F37143" w:rsidRPr="00AA74D1" w:rsidRDefault="00F37143" w:rsidP="00FF63EF">
            <w:pPr>
              <w:spacing w:before="0" w:after="0"/>
              <w:rPr>
                <w:lang w:val="fr-FR"/>
              </w:rPr>
            </w:pPr>
            <w:r>
              <w:rPr>
                <w:lang w:val="fr-FR"/>
              </w:rPr>
              <w:t xml:space="preserve">Office National pour l’Environnement </w:t>
            </w:r>
          </w:p>
        </w:tc>
      </w:tr>
      <w:tr w:rsidR="00F37143" w:rsidRPr="00BE1549" w14:paraId="4CFAD0A9" w14:textId="77777777" w:rsidTr="008F47A6">
        <w:tc>
          <w:tcPr>
            <w:tcW w:w="1971" w:type="dxa"/>
          </w:tcPr>
          <w:p w14:paraId="58995B0C" w14:textId="77777777" w:rsidR="00F37143" w:rsidRPr="002655EE" w:rsidRDefault="00F37143" w:rsidP="00220396">
            <w:pPr>
              <w:spacing w:before="0" w:after="0"/>
              <w:rPr>
                <w:szCs w:val="20"/>
                <w:lang w:val="fr-FR"/>
              </w:rPr>
            </w:pPr>
            <w:r w:rsidRPr="002655EE">
              <w:rPr>
                <w:szCs w:val="20"/>
                <w:lang w:val="fr-FR"/>
              </w:rPr>
              <w:t>OPT BD</w:t>
            </w:r>
          </w:p>
        </w:tc>
        <w:tc>
          <w:tcPr>
            <w:tcW w:w="7389" w:type="dxa"/>
          </w:tcPr>
          <w:p w14:paraId="0E46CB88" w14:textId="77777777" w:rsidR="00F37143" w:rsidRPr="002655EE" w:rsidRDefault="00F37143" w:rsidP="00FF63EF">
            <w:pPr>
              <w:spacing w:before="0" w:after="0"/>
              <w:rPr>
                <w:lang w:val="fr-FR"/>
              </w:rPr>
            </w:pPr>
            <w:r w:rsidRPr="002655EE">
              <w:rPr>
                <w:lang w:val="fr-FR"/>
              </w:rPr>
              <w:t>Outil de Planification Territoriale pour la Biodiversité</w:t>
            </w:r>
          </w:p>
        </w:tc>
      </w:tr>
      <w:tr w:rsidR="00F37143" w:rsidRPr="00BE1549" w14:paraId="7A10764B" w14:textId="77777777" w:rsidTr="008F47A6">
        <w:tc>
          <w:tcPr>
            <w:tcW w:w="1971" w:type="dxa"/>
          </w:tcPr>
          <w:p w14:paraId="4D23BC55" w14:textId="77777777" w:rsidR="00F37143" w:rsidRPr="002655EE" w:rsidRDefault="00F37143" w:rsidP="00220396">
            <w:pPr>
              <w:spacing w:before="0" w:after="0"/>
              <w:rPr>
                <w:szCs w:val="20"/>
                <w:lang w:val="fr-FR"/>
              </w:rPr>
            </w:pPr>
            <w:r w:rsidRPr="002655EE">
              <w:rPr>
                <w:szCs w:val="20"/>
                <w:lang w:val="fr-FR"/>
              </w:rPr>
              <w:t>OSC</w:t>
            </w:r>
          </w:p>
        </w:tc>
        <w:tc>
          <w:tcPr>
            <w:tcW w:w="7389" w:type="dxa"/>
          </w:tcPr>
          <w:p w14:paraId="6EFCFA05" w14:textId="791F394B" w:rsidR="00F37143" w:rsidRPr="002655EE" w:rsidRDefault="00F37143" w:rsidP="00FF63EF">
            <w:pPr>
              <w:spacing w:before="0" w:after="0"/>
              <w:rPr>
                <w:lang w:val="fr-FR"/>
              </w:rPr>
            </w:pPr>
            <w:r w:rsidRPr="002655EE">
              <w:rPr>
                <w:bCs/>
                <w:lang w:val="fr-FR"/>
              </w:rPr>
              <w:t xml:space="preserve">Organisation de la </w:t>
            </w:r>
            <w:r>
              <w:rPr>
                <w:bCs/>
                <w:lang w:val="fr-FR"/>
              </w:rPr>
              <w:t>S</w:t>
            </w:r>
            <w:r w:rsidRPr="002655EE">
              <w:rPr>
                <w:bCs/>
                <w:lang w:val="fr-FR"/>
              </w:rPr>
              <w:t xml:space="preserve">ociété </w:t>
            </w:r>
            <w:r>
              <w:rPr>
                <w:bCs/>
                <w:lang w:val="fr-FR"/>
              </w:rPr>
              <w:t>C</w:t>
            </w:r>
            <w:r w:rsidRPr="002655EE">
              <w:rPr>
                <w:bCs/>
                <w:lang w:val="fr-FR"/>
              </w:rPr>
              <w:t>ivile</w:t>
            </w:r>
          </w:p>
        </w:tc>
      </w:tr>
      <w:tr w:rsidR="00E63401" w:rsidRPr="00BE1549" w14:paraId="0D4EF39B" w14:textId="77777777" w:rsidTr="008F47A6">
        <w:tc>
          <w:tcPr>
            <w:tcW w:w="1971" w:type="dxa"/>
          </w:tcPr>
          <w:p w14:paraId="3637E60C" w14:textId="1D42DAF0" w:rsidR="00E63401" w:rsidRPr="002655EE" w:rsidRDefault="00E63401" w:rsidP="00220396">
            <w:pPr>
              <w:spacing w:before="0" w:after="0"/>
              <w:rPr>
                <w:szCs w:val="20"/>
                <w:lang w:val="fr-FR"/>
              </w:rPr>
            </w:pPr>
            <w:r>
              <w:rPr>
                <w:szCs w:val="20"/>
                <w:lang w:val="fr-FR"/>
              </w:rPr>
              <w:t>PADRC</w:t>
            </w:r>
          </w:p>
        </w:tc>
        <w:tc>
          <w:tcPr>
            <w:tcW w:w="7389" w:type="dxa"/>
          </w:tcPr>
          <w:p w14:paraId="19813806" w14:textId="28E44858" w:rsidR="00E63401" w:rsidRPr="002655EE" w:rsidRDefault="00E63401" w:rsidP="00FF63EF">
            <w:pPr>
              <w:spacing w:before="0" w:after="0"/>
              <w:rPr>
                <w:bCs/>
                <w:lang w:val="fr-FR"/>
              </w:rPr>
            </w:pPr>
            <w:r>
              <w:rPr>
                <w:lang w:val="fr-FR"/>
              </w:rPr>
              <w:t>Programme d’</w:t>
            </w:r>
            <w:r w:rsidRPr="00E25099">
              <w:rPr>
                <w:lang w:val="fr-FR"/>
              </w:rPr>
              <w:t>Appui à la Décentralisation et à la Résilience Communautaire</w:t>
            </w:r>
          </w:p>
        </w:tc>
      </w:tr>
      <w:tr w:rsidR="00F37143" w:rsidRPr="00BE1549" w14:paraId="6AB05C6F" w14:textId="77777777" w:rsidTr="008F47A6">
        <w:tc>
          <w:tcPr>
            <w:tcW w:w="1971" w:type="dxa"/>
          </w:tcPr>
          <w:p w14:paraId="64970B69" w14:textId="77777777" w:rsidR="00F37143" w:rsidRDefault="00F37143" w:rsidP="00220396">
            <w:pPr>
              <w:spacing w:before="0" w:after="0"/>
              <w:rPr>
                <w:szCs w:val="20"/>
                <w:lang w:val="fr-FR"/>
              </w:rPr>
            </w:pPr>
            <w:r>
              <w:rPr>
                <w:szCs w:val="20"/>
                <w:lang w:val="fr-FR"/>
              </w:rPr>
              <w:t>PAG</w:t>
            </w:r>
          </w:p>
        </w:tc>
        <w:tc>
          <w:tcPr>
            <w:tcW w:w="7389" w:type="dxa"/>
          </w:tcPr>
          <w:p w14:paraId="119DB834" w14:textId="262F0E5B" w:rsidR="00F37143" w:rsidRPr="00AA74D1" w:rsidRDefault="00F37143" w:rsidP="00220396">
            <w:pPr>
              <w:spacing w:before="0" w:after="0"/>
              <w:rPr>
                <w:lang w:val="fr-FR"/>
              </w:rPr>
            </w:pPr>
            <w:r w:rsidRPr="003762E1">
              <w:rPr>
                <w:lang w:val="fr-FR"/>
              </w:rPr>
              <w:t xml:space="preserve">Plan d’Aménagement </w:t>
            </w:r>
            <w:r w:rsidR="007D56C9">
              <w:rPr>
                <w:lang w:val="fr-FR"/>
              </w:rPr>
              <w:t xml:space="preserve">et </w:t>
            </w:r>
            <w:r w:rsidRPr="003762E1">
              <w:rPr>
                <w:lang w:val="fr-FR"/>
              </w:rPr>
              <w:t>de Gestion</w:t>
            </w:r>
          </w:p>
        </w:tc>
      </w:tr>
      <w:tr w:rsidR="00E63401" w:rsidRPr="00BE1549" w14:paraId="335BFFB2" w14:textId="77777777" w:rsidTr="008F47A6">
        <w:tc>
          <w:tcPr>
            <w:tcW w:w="1971" w:type="dxa"/>
          </w:tcPr>
          <w:p w14:paraId="0D5D3387" w14:textId="02CDD67A" w:rsidR="00E63401" w:rsidRDefault="00E63401" w:rsidP="00220396">
            <w:pPr>
              <w:spacing w:before="0" w:after="0"/>
              <w:rPr>
                <w:szCs w:val="20"/>
                <w:lang w:val="fr-FR"/>
              </w:rPr>
            </w:pPr>
            <w:r>
              <w:rPr>
                <w:szCs w:val="20"/>
                <w:lang w:val="fr-FR"/>
              </w:rPr>
              <w:lastRenderedPageBreak/>
              <w:t>PDSPE</w:t>
            </w:r>
          </w:p>
        </w:tc>
        <w:tc>
          <w:tcPr>
            <w:tcW w:w="7389" w:type="dxa"/>
          </w:tcPr>
          <w:p w14:paraId="4B8E7645" w14:textId="6B6D2634" w:rsidR="00E63401" w:rsidRPr="003762E1" w:rsidRDefault="00E63401" w:rsidP="00220396">
            <w:pPr>
              <w:spacing w:before="0" w:after="0"/>
              <w:rPr>
                <w:lang w:val="fr-FR"/>
              </w:rPr>
            </w:pPr>
            <w:proofErr w:type="gramStart"/>
            <w:r>
              <w:rPr>
                <w:lang w:val="fr-FR"/>
              </w:rPr>
              <w:t>projet</w:t>
            </w:r>
            <w:proofErr w:type="gramEnd"/>
            <w:r>
              <w:rPr>
                <w:lang w:val="fr-FR"/>
              </w:rPr>
              <w:t xml:space="preserve"> </w:t>
            </w:r>
            <w:r w:rsidRPr="00E25099">
              <w:rPr>
                <w:lang w:val="fr-FR"/>
              </w:rPr>
              <w:t xml:space="preserve">Planification Du Développement, Secteur Privé </w:t>
            </w:r>
            <w:r>
              <w:rPr>
                <w:lang w:val="fr-FR"/>
              </w:rPr>
              <w:t>e</w:t>
            </w:r>
            <w:r w:rsidRPr="00E25099">
              <w:rPr>
                <w:lang w:val="fr-FR"/>
              </w:rPr>
              <w:t>t Emplo</w:t>
            </w:r>
            <w:r>
              <w:rPr>
                <w:lang w:val="fr-FR"/>
              </w:rPr>
              <w:t>i</w:t>
            </w:r>
          </w:p>
        </w:tc>
      </w:tr>
      <w:tr w:rsidR="00F37143" w:rsidRPr="00BE1549" w14:paraId="51B7BBDC" w14:textId="77777777" w:rsidTr="008F47A6">
        <w:tc>
          <w:tcPr>
            <w:tcW w:w="1971" w:type="dxa"/>
          </w:tcPr>
          <w:p w14:paraId="0AD6FB59" w14:textId="77777777" w:rsidR="00F37143" w:rsidRPr="002655EE" w:rsidRDefault="00F37143" w:rsidP="00220396">
            <w:pPr>
              <w:spacing w:before="0" w:after="0"/>
              <w:rPr>
                <w:szCs w:val="20"/>
                <w:lang w:val="fr-FR"/>
              </w:rPr>
            </w:pPr>
            <w:r w:rsidRPr="002655EE">
              <w:rPr>
                <w:szCs w:val="20"/>
                <w:lang w:val="fr-FR"/>
              </w:rPr>
              <w:t>PIR</w:t>
            </w:r>
          </w:p>
        </w:tc>
        <w:tc>
          <w:tcPr>
            <w:tcW w:w="7389" w:type="dxa"/>
          </w:tcPr>
          <w:p w14:paraId="747543D2" w14:textId="77777777" w:rsidR="00F37143" w:rsidRPr="002655EE" w:rsidRDefault="00F37143" w:rsidP="002655EE">
            <w:pPr>
              <w:spacing w:before="0" w:after="0"/>
              <w:rPr>
                <w:lang w:val="fr-FR"/>
              </w:rPr>
            </w:pPr>
            <w:r w:rsidRPr="00346FE6">
              <w:rPr>
                <w:lang w:val="fr-FR"/>
              </w:rPr>
              <w:t xml:space="preserve">Project </w:t>
            </w:r>
            <w:proofErr w:type="spellStart"/>
            <w:r w:rsidRPr="00346FE6">
              <w:rPr>
                <w:lang w:val="fr-FR"/>
              </w:rPr>
              <w:t>Implementation</w:t>
            </w:r>
            <w:proofErr w:type="spellEnd"/>
            <w:r w:rsidRPr="00346FE6">
              <w:rPr>
                <w:lang w:val="fr-FR"/>
              </w:rPr>
              <w:t xml:space="preserve"> </w:t>
            </w:r>
            <w:proofErr w:type="spellStart"/>
            <w:r w:rsidRPr="00346FE6">
              <w:rPr>
                <w:lang w:val="fr-FR"/>
              </w:rPr>
              <w:t>Review</w:t>
            </w:r>
            <w:proofErr w:type="spellEnd"/>
            <w:r>
              <w:rPr>
                <w:lang w:val="fr-FR"/>
              </w:rPr>
              <w:t xml:space="preserve"> - Rapport de mise en œuvre </w:t>
            </w:r>
          </w:p>
        </w:tc>
      </w:tr>
      <w:tr w:rsidR="00F37143" w:rsidRPr="00BE1549" w14:paraId="03E50DD5" w14:textId="77777777" w:rsidTr="008F47A6">
        <w:tc>
          <w:tcPr>
            <w:tcW w:w="1971" w:type="dxa"/>
          </w:tcPr>
          <w:p w14:paraId="10AEC868" w14:textId="77777777" w:rsidR="00F37143" w:rsidRDefault="00F37143" w:rsidP="00220396">
            <w:pPr>
              <w:spacing w:before="0" w:after="0"/>
              <w:rPr>
                <w:szCs w:val="20"/>
                <w:lang w:val="fr-FR"/>
              </w:rPr>
            </w:pPr>
            <w:r>
              <w:rPr>
                <w:szCs w:val="20"/>
                <w:lang w:val="fr-FR"/>
              </w:rPr>
              <w:t>PNUAD</w:t>
            </w:r>
          </w:p>
        </w:tc>
        <w:tc>
          <w:tcPr>
            <w:tcW w:w="7389" w:type="dxa"/>
          </w:tcPr>
          <w:p w14:paraId="1C4AFD53" w14:textId="6D8966D0" w:rsidR="00F37143" w:rsidRPr="003A0F0B" w:rsidRDefault="00F37143" w:rsidP="007D56C9">
            <w:pPr>
              <w:spacing w:before="0" w:after="0"/>
              <w:rPr>
                <w:lang w:val="fr-FR"/>
              </w:rPr>
            </w:pPr>
            <w:r>
              <w:rPr>
                <w:lang w:val="fr-FR"/>
              </w:rPr>
              <w:t>P</w:t>
            </w:r>
            <w:r w:rsidRPr="003A0F0B">
              <w:rPr>
                <w:lang w:val="fr-FR"/>
              </w:rPr>
              <w:t xml:space="preserve">lan cadre des Nations </w:t>
            </w:r>
            <w:r>
              <w:rPr>
                <w:lang w:val="fr-FR"/>
              </w:rPr>
              <w:t>U</w:t>
            </w:r>
            <w:r w:rsidRPr="003A0F0B">
              <w:rPr>
                <w:lang w:val="fr-FR"/>
              </w:rPr>
              <w:t xml:space="preserve">nies pour </w:t>
            </w:r>
            <w:r w:rsidR="007D56C9" w:rsidRPr="003A0F0B">
              <w:rPr>
                <w:lang w:val="fr-FR"/>
              </w:rPr>
              <w:t>l'</w:t>
            </w:r>
            <w:r w:rsidR="007D56C9">
              <w:rPr>
                <w:lang w:val="fr-FR"/>
              </w:rPr>
              <w:t>Aide</w:t>
            </w:r>
            <w:r w:rsidR="007D56C9" w:rsidRPr="003A0F0B">
              <w:rPr>
                <w:lang w:val="fr-FR"/>
              </w:rPr>
              <w:t xml:space="preserve"> </w:t>
            </w:r>
            <w:r w:rsidR="007D56C9">
              <w:rPr>
                <w:lang w:val="fr-FR"/>
              </w:rPr>
              <w:t>au</w:t>
            </w:r>
            <w:r w:rsidRPr="003A0F0B">
              <w:rPr>
                <w:lang w:val="fr-FR"/>
              </w:rPr>
              <w:t xml:space="preserve"> </w:t>
            </w:r>
            <w:r>
              <w:rPr>
                <w:lang w:val="fr-FR"/>
              </w:rPr>
              <w:t>D</w:t>
            </w:r>
            <w:r w:rsidRPr="003A0F0B">
              <w:rPr>
                <w:lang w:val="fr-FR"/>
              </w:rPr>
              <w:t>éveloppement</w:t>
            </w:r>
          </w:p>
        </w:tc>
      </w:tr>
      <w:tr w:rsidR="00F37143" w:rsidRPr="00BE1549" w14:paraId="04FC45FE" w14:textId="77777777" w:rsidTr="008F47A6">
        <w:tc>
          <w:tcPr>
            <w:tcW w:w="1971" w:type="dxa"/>
          </w:tcPr>
          <w:p w14:paraId="05504C18" w14:textId="77777777" w:rsidR="00F37143" w:rsidRPr="002655EE" w:rsidRDefault="00F37143" w:rsidP="00220396">
            <w:pPr>
              <w:spacing w:before="0" w:after="0"/>
              <w:rPr>
                <w:szCs w:val="20"/>
                <w:lang w:val="fr-FR"/>
              </w:rPr>
            </w:pPr>
            <w:r w:rsidRPr="002655EE">
              <w:rPr>
                <w:szCs w:val="20"/>
                <w:lang w:val="fr-FR"/>
              </w:rPr>
              <w:t>PNUD</w:t>
            </w:r>
          </w:p>
        </w:tc>
        <w:tc>
          <w:tcPr>
            <w:tcW w:w="7389" w:type="dxa"/>
          </w:tcPr>
          <w:p w14:paraId="7483F288" w14:textId="77777777" w:rsidR="00F37143" w:rsidRPr="002655EE" w:rsidRDefault="00F37143" w:rsidP="00220396">
            <w:pPr>
              <w:spacing w:before="0" w:after="0"/>
              <w:rPr>
                <w:lang w:val="fr-FR"/>
              </w:rPr>
            </w:pPr>
            <w:r w:rsidRPr="002655EE">
              <w:rPr>
                <w:lang w:val="fr-FR"/>
              </w:rPr>
              <w:t xml:space="preserve">Programme des Nations Unies pour le </w:t>
            </w:r>
            <w:r>
              <w:rPr>
                <w:lang w:val="fr-FR"/>
              </w:rPr>
              <w:t>D</w:t>
            </w:r>
            <w:r w:rsidRPr="002655EE">
              <w:rPr>
                <w:lang w:val="fr-FR"/>
              </w:rPr>
              <w:t>éveloppement</w:t>
            </w:r>
          </w:p>
        </w:tc>
      </w:tr>
      <w:tr w:rsidR="00F37143" w:rsidRPr="008F47A6" w14:paraId="34651671" w14:textId="77777777" w:rsidTr="008F47A6">
        <w:tc>
          <w:tcPr>
            <w:tcW w:w="1971" w:type="dxa"/>
          </w:tcPr>
          <w:p w14:paraId="5D15DB0B" w14:textId="77777777" w:rsidR="00F37143" w:rsidRDefault="00F37143" w:rsidP="00220396">
            <w:pPr>
              <w:spacing w:before="0" w:after="0"/>
              <w:rPr>
                <w:szCs w:val="20"/>
                <w:lang w:val="fr-FR"/>
              </w:rPr>
            </w:pPr>
            <w:r>
              <w:rPr>
                <w:szCs w:val="20"/>
                <w:lang w:val="fr-FR"/>
              </w:rPr>
              <w:t>PRD</w:t>
            </w:r>
          </w:p>
        </w:tc>
        <w:tc>
          <w:tcPr>
            <w:tcW w:w="7389" w:type="dxa"/>
          </w:tcPr>
          <w:p w14:paraId="2A81108F" w14:textId="77777777" w:rsidR="00F37143" w:rsidRPr="00AA74D1" w:rsidRDefault="00F37143" w:rsidP="00220396">
            <w:pPr>
              <w:spacing w:before="0" w:after="0"/>
              <w:rPr>
                <w:lang w:val="fr-FR"/>
              </w:rPr>
            </w:pPr>
            <w:r>
              <w:rPr>
                <w:lang w:val="fr-FR"/>
              </w:rPr>
              <w:t xml:space="preserve">Plan Régional de Développement </w:t>
            </w:r>
          </w:p>
        </w:tc>
      </w:tr>
      <w:tr w:rsidR="00F37143" w:rsidRPr="00BE1549" w14:paraId="2EDCDEE6" w14:textId="77777777" w:rsidTr="008F47A6">
        <w:tc>
          <w:tcPr>
            <w:tcW w:w="1971" w:type="dxa"/>
          </w:tcPr>
          <w:p w14:paraId="251AB462" w14:textId="77777777" w:rsidR="00F37143" w:rsidRPr="002655EE" w:rsidRDefault="00F37143" w:rsidP="00220396">
            <w:pPr>
              <w:spacing w:before="0" w:after="0"/>
              <w:rPr>
                <w:szCs w:val="20"/>
                <w:lang w:val="fr-FR"/>
              </w:rPr>
            </w:pPr>
            <w:r w:rsidRPr="002655EE">
              <w:rPr>
                <w:szCs w:val="20"/>
                <w:lang w:val="fr-FR"/>
              </w:rPr>
              <w:t>PROSCB</w:t>
            </w:r>
          </w:p>
        </w:tc>
        <w:tc>
          <w:tcPr>
            <w:tcW w:w="7389" w:type="dxa"/>
          </w:tcPr>
          <w:p w14:paraId="0C86EA72" w14:textId="77777777" w:rsidR="00F37143" w:rsidRPr="002655EE" w:rsidRDefault="00F37143" w:rsidP="00220396">
            <w:pPr>
              <w:spacing w:before="0" w:after="0"/>
              <w:rPr>
                <w:lang w:val="fr-FR"/>
              </w:rPr>
            </w:pPr>
            <w:r w:rsidRPr="002655EE">
              <w:rPr>
                <w:lang w:val="fr-FR"/>
              </w:rPr>
              <w:t>Plan de Recommandations sur l’Occupation des Sols fondé sur la Composante Biodiversité</w:t>
            </w:r>
          </w:p>
        </w:tc>
      </w:tr>
      <w:tr w:rsidR="00F37143" w:rsidRPr="002655EE" w14:paraId="1982F832" w14:textId="77777777" w:rsidTr="008F47A6">
        <w:tc>
          <w:tcPr>
            <w:tcW w:w="1971" w:type="dxa"/>
          </w:tcPr>
          <w:p w14:paraId="6A5FDBF8" w14:textId="77777777" w:rsidR="00F37143" w:rsidRPr="002655EE" w:rsidRDefault="00F37143" w:rsidP="00220396">
            <w:pPr>
              <w:spacing w:before="0" w:after="0"/>
              <w:rPr>
                <w:szCs w:val="20"/>
                <w:lang w:val="fr-FR"/>
              </w:rPr>
            </w:pPr>
            <w:r>
              <w:rPr>
                <w:szCs w:val="20"/>
                <w:lang w:val="fr-FR"/>
              </w:rPr>
              <w:t>PTA</w:t>
            </w:r>
          </w:p>
        </w:tc>
        <w:tc>
          <w:tcPr>
            <w:tcW w:w="7389" w:type="dxa"/>
          </w:tcPr>
          <w:p w14:paraId="7A869EB1" w14:textId="77777777" w:rsidR="00F37143" w:rsidRPr="002655EE" w:rsidRDefault="00F37143" w:rsidP="00220396">
            <w:pPr>
              <w:spacing w:before="0" w:after="0"/>
              <w:rPr>
                <w:lang w:val="fr-FR"/>
              </w:rPr>
            </w:pPr>
            <w:r>
              <w:rPr>
                <w:lang w:val="fr-FR"/>
              </w:rPr>
              <w:t>Plan de Travail Annuel</w:t>
            </w:r>
          </w:p>
        </w:tc>
      </w:tr>
      <w:tr w:rsidR="00F37143" w:rsidRPr="002655EE" w14:paraId="099AEBA5" w14:textId="77777777" w:rsidTr="008F47A6">
        <w:tc>
          <w:tcPr>
            <w:tcW w:w="1971" w:type="dxa"/>
          </w:tcPr>
          <w:p w14:paraId="50784E6F" w14:textId="77777777" w:rsidR="00F37143" w:rsidRPr="002655EE" w:rsidRDefault="00F37143" w:rsidP="00220396">
            <w:pPr>
              <w:spacing w:before="0" w:after="0"/>
              <w:rPr>
                <w:szCs w:val="20"/>
                <w:lang w:val="fr-FR"/>
              </w:rPr>
            </w:pPr>
            <w:r w:rsidRPr="002655EE">
              <w:rPr>
                <w:szCs w:val="20"/>
                <w:lang w:val="fr-FR"/>
              </w:rPr>
              <w:t>PV</w:t>
            </w:r>
          </w:p>
        </w:tc>
        <w:tc>
          <w:tcPr>
            <w:tcW w:w="7389" w:type="dxa"/>
          </w:tcPr>
          <w:p w14:paraId="3265E1F9" w14:textId="6F679CDD" w:rsidR="00F37143" w:rsidRPr="002655EE" w:rsidRDefault="00F37143" w:rsidP="00220396">
            <w:pPr>
              <w:spacing w:before="0" w:after="0"/>
              <w:rPr>
                <w:lang w:val="fr-FR"/>
              </w:rPr>
            </w:pPr>
            <w:r w:rsidRPr="002655EE">
              <w:rPr>
                <w:lang w:val="fr-FR"/>
              </w:rPr>
              <w:t>Procès-</w:t>
            </w:r>
            <w:r w:rsidR="008F47A6">
              <w:rPr>
                <w:lang w:val="fr-FR"/>
              </w:rPr>
              <w:t>V</w:t>
            </w:r>
            <w:r w:rsidRPr="002655EE">
              <w:rPr>
                <w:lang w:val="fr-FR"/>
              </w:rPr>
              <w:t>erbal</w:t>
            </w:r>
          </w:p>
        </w:tc>
      </w:tr>
      <w:tr w:rsidR="00F37143" w:rsidRPr="002655EE" w14:paraId="7DD54BD7" w14:textId="77777777" w:rsidTr="008F47A6">
        <w:tc>
          <w:tcPr>
            <w:tcW w:w="1971" w:type="dxa"/>
          </w:tcPr>
          <w:p w14:paraId="174ED8C8" w14:textId="77777777" w:rsidR="00F37143" w:rsidRPr="002655EE" w:rsidRDefault="00F37143" w:rsidP="00220396">
            <w:pPr>
              <w:spacing w:before="0" w:after="0"/>
              <w:rPr>
                <w:szCs w:val="20"/>
                <w:lang w:val="fr-FR"/>
              </w:rPr>
            </w:pPr>
            <w:r w:rsidRPr="002655EE">
              <w:rPr>
                <w:szCs w:val="20"/>
                <w:lang w:val="fr-FR"/>
              </w:rPr>
              <w:t>S&amp;E</w:t>
            </w:r>
          </w:p>
        </w:tc>
        <w:tc>
          <w:tcPr>
            <w:tcW w:w="7389" w:type="dxa"/>
          </w:tcPr>
          <w:p w14:paraId="46DF4134" w14:textId="77777777" w:rsidR="00F37143" w:rsidRPr="002655EE" w:rsidRDefault="00F37143" w:rsidP="00220396">
            <w:pPr>
              <w:spacing w:before="0" w:after="0"/>
              <w:rPr>
                <w:lang w:val="fr-FR"/>
              </w:rPr>
            </w:pPr>
            <w:r w:rsidRPr="002655EE">
              <w:rPr>
                <w:lang w:val="fr-FR"/>
              </w:rPr>
              <w:t>Suivi et évaluation</w:t>
            </w:r>
          </w:p>
        </w:tc>
      </w:tr>
      <w:tr w:rsidR="00F37143" w:rsidRPr="008F47A6" w14:paraId="1513C793" w14:textId="77777777" w:rsidTr="008F47A6">
        <w:tc>
          <w:tcPr>
            <w:tcW w:w="1971" w:type="dxa"/>
          </w:tcPr>
          <w:p w14:paraId="7ACB8325" w14:textId="77777777" w:rsidR="00F37143" w:rsidRDefault="00F37143" w:rsidP="00220396">
            <w:pPr>
              <w:spacing w:before="0" w:after="0"/>
              <w:rPr>
                <w:szCs w:val="20"/>
                <w:lang w:val="fr-FR"/>
              </w:rPr>
            </w:pPr>
            <w:r>
              <w:rPr>
                <w:szCs w:val="20"/>
                <w:lang w:val="fr-FR"/>
              </w:rPr>
              <w:t>SAC</w:t>
            </w:r>
          </w:p>
        </w:tc>
        <w:tc>
          <w:tcPr>
            <w:tcW w:w="7389" w:type="dxa"/>
          </w:tcPr>
          <w:p w14:paraId="6C730F03" w14:textId="75E6C927" w:rsidR="00F37143" w:rsidRPr="00AA74D1" w:rsidRDefault="00F37143" w:rsidP="00220396">
            <w:pPr>
              <w:spacing w:before="0" w:after="0"/>
              <w:rPr>
                <w:lang w:val="fr-FR"/>
              </w:rPr>
            </w:pPr>
            <w:r w:rsidRPr="00BF1B21">
              <w:rPr>
                <w:rFonts w:cstheme="minorHAnsi"/>
                <w:lang w:val="fr-FR"/>
              </w:rPr>
              <w:t>S</w:t>
            </w:r>
            <w:r w:rsidRPr="003762E1">
              <w:rPr>
                <w:rFonts w:cstheme="minorHAnsi"/>
                <w:lang w:val="fr-FR"/>
              </w:rPr>
              <w:t xml:space="preserve">chéma d’Aménagement </w:t>
            </w:r>
            <w:r w:rsidR="007D56C9" w:rsidRPr="003762E1">
              <w:rPr>
                <w:rFonts w:cstheme="minorHAnsi"/>
                <w:lang w:val="fr-FR"/>
              </w:rPr>
              <w:t>Communal</w:t>
            </w:r>
          </w:p>
        </w:tc>
      </w:tr>
      <w:tr w:rsidR="00F37143" w:rsidRPr="00BE1549" w14:paraId="455A49D2" w14:textId="77777777" w:rsidTr="008F47A6">
        <w:tc>
          <w:tcPr>
            <w:tcW w:w="1971" w:type="dxa"/>
          </w:tcPr>
          <w:p w14:paraId="32DC1205" w14:textId="77777777" w:rsidR="00F37143" w:rsidRPr="002655EE" w:rsidRDefault="00F37143" w:rsidP="00220396">
            <w:pPr>
              <w:spacing w:before="0" w:after="0"/>
              <w:rPr>
                <w:szCs w:val="20"/>
                <w:lang w:val="fr-FR"/>
              </w:rPr>
            </w:pPr>
            <w:r>
              <w:rPr>
                <w:szCs w:val="20"/>
                <w:lang w:val="fr-FR"/>
              </w:rPr>
              <w:t>SAGE</w:t>
            </w:r>
          </w:p>
        </w:tc>
        <w:tc>
          <w:tcPr>
            <w:tcW w:w="7389" w:type="dxa"/>
          </w:tcPr>
          <w:p w14:paraId="3FAC0576" w14:textId="77777777" w:rsidR="00F37143" w:rsidRPr="002655EE" w:rsidRDefault="00F37143" w:rsidP="00220396">
            <w:pPr>
              <w:spacing w:before="0" w:after="0"/>
              <w:rPr>
                <w:lang w:val="fr-FR"/>
              </w:rPr>
            </w:pPr>
            <w:r w:rsidRPr="00AA74D1">
              <w:rPr>
                <w:lang w:val="fr-FR"/>
              </w:rPr>
              <w:t>Service d’Appui à la Gestion de l’Environnement</w:t>
            </w:r>
          </w:p>
        </w:tc>
      </w:tr>
      <w:tr w:rsidR="00F37143" w:rsidRPr="00BE1549" w14:paraId="7802F925" w14:textId="77777777" w:rsidTr="008F47A6">
        <w:tc>
          <w:tcPr>
            <w:tcW w:w="1971" w:type="dxa"/>
          </w:tcPr>
          <w:p w14:paraId="33CEE1D8" w14:textId="77777777" w:rsidR="00F37143" w:rsidRDefault="00F37143" w:rsidP="00220396">
            <w:pPr>
              <w:spacing w:before="0" w:after="0"/>
              <w:rPr>
                <w:szCs w:val="20"/>
                <w:lang w:val="fr-FR"/>
              </w:rPr>
            </w:pPr>
            <w:r>
              <w:rPr>
                <w:szCs w:val="20"/>
                <w:lang w:val="fr-FR"/>
              </w:rPr>
              <w:t>SAPM</w:t>
            </w:r>
          </w:p>
        </w:tc>
        <w:tc>
          <w:tcPr>
            <w:tcW w:w="7389" w:type="dxa"/>
          </w:tcPr>
          <w:p w14:paraId="22BAEC2B" w14:textId="77777777" w:rsidR="00F37143" w:rsidRPr="00AA74D1" w:rsidRDefault="00F37143" w:rsidP="00220396">
            <w:pPr>
              <w:spacing w:before="0" w:after="0"/>
              <w:rPr>
                <w:lang w:val="fr-FR"/>
              </w:rPr>
            </w:pPr>
            <w:r w:rsidRPr="003762E1">
              <w:rPr>
                <w:lang w:val="fr-FR"/>
              </w:rPr>
              <w:t>Système d’Aires Protégées de Madagascar</w:t>
            </w:r>
          </w:p>
        </w:tc>
      </w:tr>
      <w:tr w:rsidR="00F37143" w:rsidRPr="008F47A6" w14:paraId="44659A0C" w14:textId="77777777" w:rsidTr="008F47A6">
        <w:tc>
          <w:tcPr>
            <w:tcW w:w="1971" w:type="dxa"/>
          </w:tcPr>
          <w:p w14:paraId="251D043E" w14:textId="77777777" w:rsidR="00F37143" w:rsidRDefault="00F37143" w:rsidP="00220396">
            <w:pPr>
              <w:spacing w:before="0" w:after="0"/>
              <w:rPr>
                <w:szCs w:val="20"/>
                <w:lang w:val="fr-FR"/>
              </w:rPr>
            </w:pPr>
            <w:r>
              <w:rPr>
                <w:szCs w:val="20"/>
                <w:lang w:val="fr-FR"/>
              </w:rPr>
              <w:t>SIG</w:t>
            </w:r>
          </w:p>
        </w:tc>
        <w:tc>
          <w:tcPr>
            <w:tcW w:w="7389" w:type="dxa"/>
          </w:tcPr>
          <w:p w14:paraId="6538857B" w14:textId="25213F5A" w:rsidR="00F37143" w:rsidRPr="00AA74D1" w:rsidRDefault="00F37143" w:rsidP="00220396">
            <w:pPr>
              <w:spacing w:before="0" w:after="0"/>
              <w:rPr>
                <w:lang w:val="fr-FR"/>
              </w:rPr>
            </w:pPr>
            <w:r>
              <w:rPr>
                <w:lang w:val="fr-FR"/>
              </w:rPr>
              <w:t>S</w:t>
            </w:r>
            <w:r w:rsidRPr="00D725D8">
              <w:rPr>
                <w:lang w:val="fr-FR"/>
              </w:rPr>
              <w:t>ystème d'</w:t>
            </w:r>
            <w:r w:rsidR="007D56C9">
              <w:rPr>
                <w:lang w:val="fr-FR"/>
              </w:rPr>
              <w:t>I</w:t>
            </w:r>
            <w:r w:rsidRPr="00D725D8">
              <w:rPr>
                <w:lang w:val="fr-FR"/>
              </w:rPr>
              <w:t xml:space="preserve">nformation </w:t>
            </w:r>
            <w:r w:rsidR="007D56C9">
              <w:rPr>
                <w:lang w:val="fr-FR"/>
              </w:rPr>
              <w:t>G</w:t>
            </w:r>
            <w:r w:rsidRPr="00D725D8">
              <w:rPr>
                <w:lang w:val="fr-FR"/>
              </w:rPr>
              <w:t>éographique</w:t>
            </w:r>
          </w:p>
        </w:tc>
      </w:tr>
      <w:tr w:rsidR="00F37143" w:rsidRPr="00BE1549" w14:paraId="74A21CA2" w14:textId="77777777" w:rsidTr="008F47A6">
        <w:tc>
          <w:tcPr>
            <w:tcW w:w="1971" w:type="dxa"/>
          </w:tcPr>
          <w:p w14:paraId="08D39A73" w14:textId="77777777" w:rsidR="00F37143" w:rsidRDefault="00F37143" w:rsidP="00220396">
            <w:pPr>
              <w:spacing w:before="0" w:after="0"/>
              <w:rPr>
                <w:szCs w:val="20"/>
                <w:lang w:val="fr-FR"/>
              </w:rPr>
            </w:pPr>
            <w:r>
              <w:rPr>
                <w:szCs w:val="20"/>
                <w:lang w:val="fr-FR"/>
              </w:rPr>
              <w:t>SMART</w:t>
            </w:r>
          </w:p>
        </w:tc>
        <w:tc>
          <w:tcPr>
            <w:tcW w:w="7389" w:type="dxa"/>
          </w:tcPr>
          <w:p w14:paraId="38D8EA52" w14:textId="77777777" w:rsidR="00F37143" w:rsidRPr="00AA74D1" w:rsidRDefault="00F37143" w:rsidP="00220396">
            <w:pPr>
              <w:spacing w:before="0" w:after="0"/>
              <w:rPr>
                <w:lang w:val="fr-FR"/>
              </w:rPr>
            </w:pPr>
            <w:r>
              <w:rPr>
                <w:lang w:val="fr-FR"/>
              </w:rPr>
              <w:t>S</w:t>
            </w:r>
            <w:r w:rsidRPr="00587A8A">
              <w:rPr>
                <w:lang w:val="fr-FR"/>
              </w:rPr>
              <w:t>pécifique, Mesurable, Acceptable (et Ambitieux), Réaliste, Temporellement défini</w:t>
            </w:r>
          </w:p>
        </w:tc>
      </w:tr>
      <w:tr w:rsidR="00F37143" w:rsidRPr="00BE1549" w14:paraId="4EB0E727" w14:textId="77777777" w:rsidTr="008F47A6">
        <w:tc>
          <w:tcPr>
            <w:tcW w:w="1971" w:type="dxa"/>
          </w:tcPr>
          <w:p w14:paraId="0A3172AF" w14:textId="77777777" w:rsidR="00F37143" w:rsidRDefault="00F37143" w:rsidP="00220396">
            <w:pPr>
              <w:spacing w:before="0" w:after="0"/>
              <w:rPr>
                <w:szCs w:val="20"/>
                <w:lang w:val="fr-FR"/>
              </w:rPr>
            </w:pPr>
            <w:r>
              <w:rPr>
                <w:szCs w:val="20"/>
                <w:lang w:val="fr-FR"/>
              </w:rPr>
              <w:t>SRAT</w:t>
            </w:r>
          </w:p>
        </w:tc>
        <w:tc>
          <w:tcPr>
            <w:tcW w:w="7389" w:type="dxa"/>
          </w:tcPr>
          <w:p w14:paraId="2609528E" w14:textId="77777777" w:rsidR="00F37143" w:rsidRPr="00AA74D1" w:rsidRDefault="00F37143" w:rsidP="00220396">
            <w:pPr>
              <w:spacing w:before="0" w:after="0"/>
              <w:rPr>
                <w:lang w:val="fr-FR"/>
              </w:rPr>
            </w:pPr>
            <w:r w:rsidRPr="00D725D8">
              <w:rPr>
                <w:lang w:val="fr-FR"/>
              </w:rPr>
              <w:t>Schéma Régional d’Aménagement du Territoire</w:t>
            </w:r>
          </w:p>
        </w:tc>
      </w:tr>
      <w:tr w:rsidR="00F37143" w:rsidRPr="002655EE" w14:paraId="0268212D" w14:textId="77777777" w:rsidTr="008F47A6">
        <w:tc>
          <w:tcPr>
            <w:tcW w:w="1971" w:type="dxa"/>
          </w:tcPr>
          <w:p w14:paraId="73A0ADA3" w14:textId="77777777" w:rsidR="00F37143" w:rsidRPr="002655EE" w:rsidRDefault="00F37143" w:rsidP="00220396">
            <w:pPr>
              <w:spacing w:before="0" w:after="0"/>
              <w:rPr>
                <w:szCs w:val="20"/>
                <w:lang w:val="fr-FR"/>
              </w:rPr>
            </w:pPr>
            <w:proofErr w:type="spellStart"/>
            <w:r w:rsidRPr="002655EE">
              <w:rPr>
                <w:szCs w:val="20"/>
                <w:lang w:val="fr-FR"/>
              </w:rPr>
              <w:t>TdR</w:t>
            </w:r>
            <w:proofErr w:type="spellEnd"/>
          </w:p>
        </w:tc>
        <w:tc>
          <w:tcPr>
            <w:tcW w:w="7389" w:type="dxa"/>
          </w:tcPr>
          <w:p w14:paraId="76324AAF" w14:textId="77777777" w:rsidR="00F37143" w:rsidRPr="002655EE" w:rsidRDefault="00F37143" w:rsidP="00220396">
            <w:pPr>
              <w:spacing w:before="0" w:after="0"/>
              <w:rPr>
                <w:lang w:val="fr-FR"/>
              </w:rPr>
            </w:pPr>
            <w:r w:rsidRPr="002655EE">
              <w:rPr>
                <w:lang w:val="fr-FR"/>
              </w:rPr>
              <w:t>Termes de Référence</w:t>
            </w:r>
          </w:p>
        </w:tc>
      </w:tr>
      <w:tr w:rsidR="00F37143" w:rsidRPr="008F47A6" w14:paraId="4CAB4E0E" w14:textId="77777777" w:rsidTr="008F47A6">
        <w:tc>
          <w:tcPr>
            <w:tcW w:w="1971" w:type="dxa"/>
          </w:tcPr>
          <w:p w14:paraId="6FCD69BA" w14:textId="77777777" w:rsidR="00F37143" w:rsidRDefault="00F37143" w:rsidP="00220396">
            <w:pPr>
              <w:spacing w:before="0" w:after="0"/>
              <w:rPr>
                <w:szCs w:val="20"/>
                <w:lang w:val="fr-FR"/>
              </w:rPr>
            </w:pPr>
            <w:r>
              <w:rPr>
                <w:szCs w:val="20"/>
                <w:lang w:val="fr-FR"/>
              </w:rPr>
              <w:t>TG</w:t>
            </w:r>
          </w:p>
        </w:tc>
        <w:tc>
          <w:tcPr>
            <w:tcW w:w="7389" w:type="dxa"/>
          </w:tcPr>
          <w:p w14:paraId="365DEF1F" w14:textId="77777777" w:rsidR="00F37143" w:rsidRPr="00AA74D1" w:rsidRDefault="00F37143" w:rsidP="00220396">
            <w:pPr>
              <w:spacing w:before="0" w:after="0"/>
              <w:rPr>
                <w:lang w:val="fr-FR"/>
              </w:rPr>
            </w:pPr>
            <w:r>
              <w:rPr>
                <w:lang w:val="fr-FR"/>
              </w:rPr>
              <w:t>Transfert de Gestion</w:t>
            </w:r>
          </w:p>
        </w:tc>
      </w:tr>
      <w:tr w:rsidR="00F37143" w:rsidRPr="00BE1549" w14:paraId="5EFF3B28" w14:textId="77777777" w:rsidTr="008F47A6">
        <w:tc>
          <w:tcPr>
            <w:tcW w:w="1971" w:type="dxa"/>
          </w:tcPr>
          <w:p w14:paraId="62DE4819" w14:textId="77777777" w:rsidR="00F37143" w:rsidRDefault="00F37143" w:rsidP="00220396">
            <w:pPr>
              <w:spacing w:before="0" w:after="0"/>
              <w:rPr>
                <w:szCs w:val="20"/>
                <w:lang w:val="fr-FR"/>
              </w:rPr>
            </w:pPr>
            <w:r>
              <w:rPr>
                <w:szCs w:val="20"/>
                <w:lang w:val="fr-FR"/>
              </w:rPr>
              <w:t>TGRN</w:t>
            </w:r>
          </w:p>
        </w:tc>
        <w:tc>
          <w:tcPr>
            <w:tcW w:w="7389" w:type="dxa"/>
          </w:tcPr>
          <w:p w14:paraId="0480DF32" w14:textId="77777777" w:rsidR="00F37143" w:rsidRPr="00AA74D1" w:rsidRDefault="00F37143" w:rsidP="00220396">
            <w:pPr>
              <w:spacing w:before="0" w:after="0"/>
              <w:rPr>
                <w:lang w:val="fr-FR"/>
              </w:rPr>
            </w:pPr>
            <w:r>
              <w:rPr>
                <w:lang w:val="fr-FR"/>
              </w:rPr>
              <w:t>Transfert de Gestion des Ressources Naturelles</w:t>
            </w:r>
          </w:p>
        </w:tc>
      </w:tr>
      <w:tr w:rsidR="00F37143" w:rsidRPr="00BE1549" w14:paraId="4464A472" w14:textId="77777777" w:rsidTr="008F47A6">
        <w:tc>
          <w:tcPr>
            <w:tcW w:w="1971" w:type="dxa"/>
          </w:tcPr>
          <w:p w14:paraId="008D5E01" w14:textId="77777777" w:rsidR="00F37143" w:rsidRPr="002655EE" w:rsidRDefault="00F37143" w:rsidP="00220396">
            <w:pPr>
              <w:spacing w:before="0" w:after="0" w:line="276" w:lineRule="auto"/>
              <w:rPr>
                <w:szCs w:val="20"/>
                <w:lang w:val="fr-FR"/>
              </w:rPr>
            </w:pPr>
            <w:r w:rsidRPr="002655EE">
              <w:rPr>
                <w:szCs w:val="20"/>
                <w:lang w:val="fr-FR"/>
              </w:rPr>
              <w:t>UCP</w:t>
            </w:r>
          </w:p>
        </w:tc>
        <w:tc>
          <w:tcPr>
            <w:tcW w:w="7389" w:type="dxa"/>
          </w:tcPr>
          <w:p w14:paraId="4A5BF220" w14:textId="77777777" w:rsidR="00F37143" w:rsidRPr="002655EE" w:rsidRDefault="00F37143" w:rsidP="00220396">
            <w:pPr>
              <w:spacing w:before="0" w:after="0" w:line="276" w:lineRule="auto"/>
              <w:rPr>
                <w:szCs w:val="20"/>
                <w:lang w:val="fr-FR"/>
              </w:rPr>
            </w:pPr>
            <w:r w:rsidRPr="002655EE">
              <w:rPr>
                <w:lang w:val="fr-FR"/>
              </w:rPr>
              <w:t xml:space="preserve">Unité de Coordination du Projet </w:t>
            </w:r>
          </w:p>
        </w:tc>
      </w:tr>
      <w:tr w:rsidR="00F37143" w:rsidRPr="00BE1549" w14:paraId="12DB02F9" w14:textId="77777777" w:rsidTr="008F47A6">
        <w:tc>
          <w:tcPr>
            <w:tcW w:w="1971" w:type="dxa"/>
          </w:tcPr>
          <w:p w14:paraId="64058127" w14:textId="77777777" w:rsidR="00F37143" w:rsidRPr="002655EE" w:rsidRDefault="00F37143" w:rsidP="00220396">
            <w:pPr>
              <w:spacing w:before="0" w:after="0"/>
              <w:rPr>
                <w:szCs w:val="20"/>
                <w:lang w:val="fr-FR"/>
              </w:rPr>
            </w:pPr>
            <w:r w:rsidRPr="002655EE">
              <w:rPr>
                <w:szCs w:val="20"/>
                <w:lang w:val="fr-FR"/>
              </w:rPr>
              <w:t>UNEG</w:t>
            </w:r>
          </w:p>
        </w:tc>
        <w:tc>
          <w:tcPr>
            <w:tcW w:w="7389" w:type="dxa"/>
          </w:tcPr>
          <w:p w14:paraId="4238A9E8" w14:textId="4E8263A1" w:rsidR="00F37143" w:rsidRPr="002655EE" w:rsidRDefault="00F37143" w:rsidP="00220396">
            <w:pPr>
              <w:spacing w:before="0" w:after="0"/>
              <w:rPr>
                <w:lang w:val="fr-FR"/>
              </w:rPr>
            </w:pPr>
            <w:r w:rsidRPr="002655EE">
              <w:rPr>
                <w:lang w:val="fr-FR"/>
              </w:rPr>
              <w:t>Groupe de l’</w:t>
            </w:r>
            <w:r>
              <w:rPr>
                <w:lang w:val="fr-FR"/>
              </w:rPr>
              <w:t>E</w:t>
            </w:r>
            <w:r w:rsidRPr="002655EE">
              <w:rPr>
                <w:lang w:val="fr-FR"/>
              </w:rPr>
              <w:t xml:space="preserve">valuation des Nations Unies </w:t>
            </w:r>
            <w:r w:rsidR="004E4AA9">
              <w:rPr>
                <w:lang w:val="fr-FR"/>
              </w:rPr>
              <w:t>(par l’acronyme anglais)</w:t>
            </w:r>
          </w:p>
        </w:tc>
      </w:tr>
      <w:tr w:rsidR="008D09D3" w:rsidRPr="008E5AA4" w14:paraId="1EC7DFAD" w14:textId="77777777" w:rsidTr="008F47A6">
        <w:tc>
          <w:tcPr>
            <w:tcW w:w="1971" w:type="dxa"/>
          </w:tcPr>
          <w:p w14:paraId="76F2ACC3" w14:textId="499A97CB" w:rsidR="008D09D3" w:rsidRPr="002655EE" w:rsidRDefault="008D09D3" w:rsidP="00220396">
            <w:pPr>
              <w:spacing w:before="0" w:after="0"/>
              <w:rPr>
                <w:szCs w:val="20"/>
                <w:lang w:val="fr-FR"/>
              </w:rPr>
            </w:pPr>
            <w:r>
              <w:rPr>
                <w:szCs w:val="20"/>
                <w:lang w:val="fr-FR"/>
              </w:rPr>
              <w:t>WHH</w:t>
            </w:r>
          </w:p>
        </w:tc>
        <w:tc>
          <w:tcPr>
            <w:tcW w:w="7389" w:type="dxa"/>
          </w:tcPr>
          <w:p w14:paraId="56DAB112" w14:textId="30CE4FAD" w:rsidR="008D09D3" w:rsidRPr="002655EE" w:rsidRDefault="008D09D3" w:rsidP="00220396">
            <w:pPr>
              <w:spacing w:before="0" w:after="0"/>
              <w:rPr>
                <w:lang w:val="fr-FR"/>
              </w:rPr>
            </w:pPr>
            <w:r>
              <w:t xml:space="preserve">Welt Hunger </w:t>
            </w:r>
            <w:proofErr w:type="spellStart"/>
            <w:r>
              <w:t>Hilfe</w:t>
            </w:r>
            <w:proofErr w:type="spellEnd"/>
            <w:r>
              <w:t xml:space="preserve"> Foundation</w:t>
            </w:r>
          </w:p>
        </w:tc>
      </w:tr>
    </w:tbl>
    <w:p w14:paraId="466CDA99" w14:textId="77777777" w:rsidR="00711071" w:rsidRPr="00C50F13" w:rsidRDefault="00711071" w:rsidP="00711071">
      <w:pPr>
        <w:spacing w:before="0" w:after="0"/>
        <w:rPr>
          <w:lang w:val="fr-FR"/>
        </w:rPr>
      </w:pPr>
    </w:p>
    <w:p w14:paraId="6386D896" w14:textId="77777777" w:rsidR="009C47BD" w:rsidRPr="00C50F13" w:rsidRDefault="009C47BD" w:rsidP="009C47BD">
      <w:pPr>
        <w:rPr>
          <w:lang w:val="fr-FR"/>
        </w:rPr>
      </w:pPr>
    </w:p>
    <w:p w14:paraId="472FD685" w14:textId="77777777" w:rsidR="009C47BD" w:rsidRPr="00C50F13" w:rsidRDefault="009C47BD" w:rsidP="009C47BD">
      <w:pPr>
        <w:rPr>
          <w:lang w:val="fr-FR"/>
        </w:rPr>
      </w:pPr>
    </w:p>
    <w:p w14:paraId="114598F7" w14:textId="77777777" w:rsidR="009C47BD" w:rsidRPr="00C50F13" w:rsidRDefault="009C47BD" w:rsidP="009C47BD">
      <w:pPr>
        <w:rPr>
          <w:lang w:val="fr-FR"/>
        </w:rPr>
      </w:pPr>
    </w:p>
    <w:p w14:paraId="3609FDBE" w14:textId="77777777" w:rsidR="009C47BD" w:rsidRPr="00C50F13" w:rsidRDefault="009C47BD" w:rsidP="009C47BD">
      <w:pPr>
        <w:rPr>
          <w:lang w:val="fr-FR"/>
        </w:rPr>
      </w:pPr>
    </w:p>
    <w:p w14:paraId="38583CD6" w14:textId="77777777" w:rsidR="009C47BD" w:rsidRPr="00C50F13" w:rsidRDefault="009C47BD" w:rsidP="009C47BD">
      <w:pPr>
        <w:rPr>
          <w:lang w:val="fr-FR"/>
        </w:rPr>
      </w:pPr>
    </w:p>
    <w:p w14:paraId="2C22BD47" w14:textId="77777777" w:rsidR="0012003B" w:rsidRPr="00C50F13" w:rsidRDefault="009C47BD" w:rsidP="009C47BD">
      <w:pPr>
        <w:tabs>
          <w:tab w:val="center" w:pos="4680"/>
        </w:tabs>
        <w:rPr>
          <w:lang w:val="fr-FR"/>
        </w:rPr>
        <w:sectPr w:rsidR="0012003B" w:rsidRPr="00C50F13" w:rsidSect="0012003B">
          <w:headerReference w:type="default" r:id="rId11"/>
          <w:footerReference w:type="default" r:id="rId12"/>
          <w:pgSz w:w="12240" w:h="15840"/>
          <w:pgMar w:top="1440" w:right="1440" w:bottom="1440" w:left="1440" w:header="576" w:footer="432" w:gutter="0"/>
          <w:pgNumType w:fmt="lowerRoman" w:start="1"/>
          <w:cols w:space="720"/>
          <w:docGrid w:linePitch="360"/>
        </w:sectPr>
      </w:pPr>
      <w:r w:rsidRPr="00C50F13">
        <w:rPr>
          <w:lang w:val="fr-FR"/>
        </w:rPr>
        <w:tab/>
      </w:r>
    </w:p>
    <w:p w14:paraId="3A00D697" w14:textId="5C49453C" w:rsidR="005C550F" w:rsidRDefault="00937AA0" w:rsidP="00346FE6">
      <w:pPr>
        <w:pStyle w:val="Titre1"/>
        <w:numPr>
          <w:ilvl w:val="0"/>
          <w:numId w:val="0"/>
        </w:numPr>
        <w:ind w:left="1134" w:hanging="1134"/>
      </w:pPr>
      <w:bookmarkStart w:id="0" w:name="_Toc501646700"/>
      <w:bookmarkStart w:id="1" w:name="_Toc31122550"/>
      <w:r w:rsidRPr="00AD491C">
        <w:rPr>
          <w:lang w:val="fr-FR"/>
        </w:rPr>
        <w:lastRenderedPageBreak/>
        <w:t>Résumé exécutif</w:t>
      </w:r>
      <w:bookmarkEnd w:id="0"/>
      <w:bookmarkEnd w:id="1"/>
    </w:p>
    <w:p w14:paraId="5DAC9C7E" w14:textId="54E1C375" w:rsidR="00F60DBD" w:rsidRPr="00346FE6" w:rsidRDefault="0034778E" w:rsidP="00346FE6">
      <w:pPr>
        <w:spacing w:before="0" w:after="0"/>
        <w:rPr>
          <w:b/>
          <w:lang w:val="fr-FR"/>
        </w:rPr>
      </w:pPr>
      <w:r w:rsidRPr="0034778E">
        <w:rPr>
          <w:b/>
          <w:lang w:val="fr-FR"/>
        </w:rPr>
        <w:t>Aperçu</w:t>
      </w:r>
      <w:r w:rsidRPr="00346FE6">
        <w:rPr>
          <w:b/>
          <w:lang w:val="fr-FR"/>
        </w:rPr>
        <w:t xml:space="preserve"> du projet d’examen </w:t>
      </w:r>
    </w:p>
    <w:p w14:paraId="5AF72397" w14:textId="77777777" w:rsidR="00CC3C35" w:rsidRDefault="00CC3C35" w:rsidP="00CC3C35">
      <w:pPr>
        <w:spacing w:before="0" w:after="0"/>
        <w:rPr>
          <w:lang w:val="fr-FR"/>
        </w:rPr>
      </w:pPr>
    </w:p>
    <w:p w14:paraId="1C13C462" w14:textId="36ACD368" w:rsidR="00247B53" w:rsidRDefault="00247B53" w:rsidP="00CC3C35">
      <w:pPr>
        <w:spacing w:before="0" w:after="0"/>
        <w:rPr>
          <w:lang w:val="fr-FR"/>
        </w:rPr>
      </w:pPr>
      <w:r>
        <w:rPr>
          <w:lang w:val="fr-FR"/>
        </w:rPr>
        <w:t>L</w:t>
      </w:r>
      <w:r w:rsidRPr="007E745A">
        <w:rPr>
          <w:lang w:val="fr-FR"/>
        </w:rPr>
        <w:t>e projet « Approche paysage pour la conservation et la gestion de la biodiversité menacée de Madagascar, axée sur le paysage forestier sec et épineux de la région Atsimo Andrefana » (APAA)</w:t>
      </w:r>
      <w:r>
        <w:rPr>
          <w:lang w:val="fr-FR"/>
        </w:rPr>
        <w:t xml:space="preserve"> </w:t>
      </w:r>
      <w:r w:rsidRPr="007E745A">
        <w:rPr>
          <w:lang w:val="fr-FR"/>
        </w:rPr>
        <w:t>est</w:t>
      </w:r>
      <w:r>
        <w:rPr>
          <w:lang w:val="fr-FR"/>
        </w:rPr>
        <w:t xml:space="preserve"> </w:t>
      </w:r>
      <w:r w:rsidRPr="007E745A">
        <w:rPr>
          <w:lang w:val="fr-FR"/>
        </w:rPr>
        <w:t xml:space="preserve">financé par le </w:t>
      </w:r>
      <w:r w:rsidRPr="002655EE">
        <w:rPr>
          <w:lang w:val="fr-FR"/>
        </w:rPr>
        <w:t>Fond pour l’Environnement Mondial</w:t>
      </w:r>
      <w:r>
        <w:rPr>
          <w:lang w:val="fr-FR"/>
        </w:rPr>
        <w:t xml:space="preserve"> (</w:t>
      </w:r>
      <w:r w:rsidRPr="007E745A">
        <w:rPr>
          <w:lang w:val="fr-FR"/>
        </w:rPr>
        <w:t>FEM</w:t>
      </w:r>
      <w:r>
        <w:rPr>
          <w:lang w:val="fr-FR"/>
        </w:rPr>
        <w:t>)</w:t>
      </w:r>
      <w:r w:rsidRPr="007E745A">
        <w:rPr>
          <w:lang w:val="fr-FR"/>
        </w:rPr>
        <w:t xml:space="preserve"> pour un montant total de 5 372 452 USD. </w:t>
      </w:r>
      <w:r>
        <w:rPr>
          <w:lang w:val="fr-FR"/>
        </w:rPr>
        <w:t xml:space="preserve">Il est implémenté par le </w:t>
      </w:r>
      <w:r w:rsidRPr="002655EE">
        <w:rPr>
          <w:lang w:val="fr-FR"/>
        </w:rPr>
        <w:t xml:space="preserve">Programme des Nations Unies pour le </w:t>
      </w:r>
      <w:r>
        <w:rPr>
          <w:lang w:val="fr-FR"/>
        </w:rPr>
        <w:t>D</w:t>
      </w:r>
      <w:r w:rsidRPr="002655EE">
        <w:rPr>
          <w:lang w:val="fr-FR"/>
        </w:rPr>
        <w:t>éveloppement</w:t>
      </w:r>
      <w:r>
        <w:rPr>
          <w:lang w:val="fr-FR"/>
        </w:rPr>
        <w:t xml:space="preserve"> </w:t>
      </w:r>
      <w:r w:rsidR="003B47EC">
        <w:rPr>
          <w:lang w:val="fr-FR"/>
        </w:rPr>
        <w:t xml:space="preserve">(PNUD) </w:t>
      </w:r>
      <w:r>
        <w:rPr>
          <w:lang w:val="fr-FR"/>
        </w:rPr>
        <w:t>et exécuté</w:t>
      </w:r>
      <w:r w:rsidRPr="007E745A">
        <w:rPr>
          <w:lang w:val="fr-FR"/>
        </w:rPr>
        <w:t xml:space="preserve"> par le gouvernement de Madagascar à travers le Ministère de l’Environnement et du Développement Durable (MEDD) avec l’U</w:t>
      </w:r>
      <w:r>
        <w:rPr>
          <w:lang w:val="fr-FR"/>
        </w:rPr>
        <w:t xml:space="preserve">nité du </w:t>
      </w:r>
      <w:r w:rsidRPr="007E745A">
        <w:rPr>
          <w:lang w:val="fr-FR"/>
        </w:rPr>
        <w:t>C</w:t>
      </w:r>
      <w:r>
        <w:rPr>
          <w:lang w:val="fr-FR"/>
        </w:rPr>
        <w:t xml:space="preserve">oordination du </w:t>
      </w:r>
      <w:r w:rsidRPr="007E745A">
        <w:rPr>
          <w:lang w:val="fr-FR"/>
        </w:rPr>
        <w:t>P</w:t>
      </w:r>
      <w:r>
        <w:rPr>
          <w:lang w:val="fr-FR"/>
        </w:rPr>
        <w:t>rojet (UCP)</w:t>
      </w:r>
      <w:r w:rsidRPr="007E745A">
        <w:rPr>
          <w:lang w:val="fr-FR"/>
        </w:rPr>
        <w:t xml:space="preserve">, la fondation </w:t>
      </w:r>
      <w:proofErr w:type="spellStart"/>
      <w:r w:rsidRPr="007E745A">
        <w:rPr>
          <w:lang w:val="fr-FR"/>
        </w:rPr>
        <w:t>Tany</w:t>
      </w:r>
      <w:proofErr w:type="spellEnd"/>
      <w:r w:rsidRPr="007E745A">
        <w:rPr>
          <w:lang w:val="fr-FR"/>
        </w:rPr>
        <w:t xml:space="preserve"> </w:t>
      </w:r>
      <w:proofErr w:type="spellStart"/>
      <w:r w:rsidRPr="007E745A">
        <w:rPr>
          <w:lang w:val="fr-FR"/>
        </w:rPr>
        <w:t>Meva</w:t>
      </w:r>
      <w:proofErr w:type="spellEnd"/>
      <w:r w:rsidRPr="007E745A">
        <w:rPr>
          <w:lang w:val="fr-FR"/>
        </w:rPr>
        <w:t xml:space="preserve"> et</w:t>
      </w:r>
      <w:r>
        <w:rPr>
          <w:lang w:val="fr-FR"/>
        </w:rPr>
        <w:t xml:space="preserve"> le</w:t>
      </w:r>
      <w:r w:rsidRPr="007E745A">
        <w:rPr>
          <w:lang w:val="fr-FR"/>
        </w:rPr>
        <w:t xml:space="preserve"> Service d’Appui à la Gestion de l’Environnement (SAGE)</w:t>
      </w:r>
      <w:r>
        <w:rPr>
          <w:lang w:val="fr-FR"/>
        </w:rPr>
        <w:t>. L</w:t>
      </w:r>
      <w:r w:rsidRPr="007E745A">
        <w:rPr>
          <w:lang w:val="fr-FR"/>
        </w:rPr>
        <w:t>e projet a pour objectif de protéger la biodiversité dans le paysage de la région de l’Atsimo-Andrefana des menaces actuelles et émergentes et de l’exploiter de manière viable en élaborant un cadre de gouvernance collaboratif pour l’intégration sectorielle et la gestion des ressources naturelles décentralisée/déconcentrée. Pour y parvenir, le projet s’articule autour de deux composantes</w:t>
      </w:r>
      <w:r>
        <w:rPr>
          <w:lang w:val="fr-FR"/>
        </w:rPr>
        <w:t xml:space="preserve">. La composante 1 se concentre sur l’intégration </w:t>
      </w:r>
      <w:r w:rsidRPr="007E745A">
        <w:rPr>
          <w:lang w:val="fr-FR"/>
        </w:rPr>
        <w:t>efficace de la conservation de l’environnement à l’échelle du paysage</w:t>
      </w:r>
      <w:r>
        <w:rPr>
          <w:lang w:val="fr-FR"/>
        </w:rPr>
        <w:t xml:space="preserve"> tandis que la composante 2 se focalise sur la m</w:t>
      </w:r>
      <w:r w:rsidRPr="007E745A">
        <w:rPr>
          <w:lang w:val="fr-FR"/>
        </w:rPr>
        <w:t>ise en œuvre de la conservation communautaire et de l’exploitation durable</w:t>
      </w:r>
      <w:r>
        <w:rPr>
          <w:lang w:val="fr-FR"/>
        </w:rPr>
        <w:t xml:space="preserve">. </w:t>
      </w:r>
      <w:r w:rsidR="003B47EC">
        <w:rPr>
          <w:lang w:val="fr-FR"/>
        </w:rPr>
        <w:t>L</w:t>
      </w:r>
      <w:r w:rsidR="003B47EC" w:rsidRPr="00F33309">
        <w:rPr>
          <w:lang w:val="fr-FR"/>
        </w:rPr>
        <w:t xml:space="preserve">e périmètre d’action </w:t>
      </w:r>
      <w:r w:rsidR="003B47EC">
        <w:rPr>
          <w:lang w:val="fr-FR"/>
        </w:rPr>
        <w:t xml:space="preserve">de la composante 1 </w:t>
      </w:r>
      <w:r w:rsidR="003B47EC" w:rsidRPr="00F33309">
        <w:rPr>
          <w:lang w:val="fr-FR"/>
        </w:rPr>
        <w:t>représente 2.4 millions d’hectares</w:t>
      </w:r>
      <w:r w:rsidR="003B47EC">
        <w:rPr>
          <w:lang w:val="fr-FR"/>
        </w:rPr>
        <w:t xml:space="preserve">. Dans la composante 2, le projet travail </w:t>
      </w:r>
      <w:r w:rsidR="003B47EC" w:rsidRPr="00F33309">
        <w:rPr>
          <w:lang w:val="fr-FR"/>
        </w:rPr>
        <w:t>dans 13 communes dans 3 districts</w:t>
      </w:r>
      <w:r w:rsidR="003B47EC" w:rsidRPr="003B47EC">
        <w:rPr>
          <w:lang w:val="fr-FR"/>
        </w:rPr>
        <w:t xml:space="preserve"> </w:t>
      </w:r>
      <w:r w:rsidR="003B47EC">
        <w:rPr>
          <w:lang w:val="fr-FR"/>
        </w:rPr>
        <w:t>(</w:t>
      </w:r>
      <w:r w:rsidR="003B47EC" w:rsidRPr="007E745A">
        <w:rPr>
          <w:lang w:val="fr-FR"/>
        </w:rPr>
        <w:t>Toliara II, Betioky et Moromb</w:t>
      </w:r>
      <w:r w:rsidR="003B47EC">
        <w:rPr>
          <w:lang w:val="fr-FR"/>
        </w:rPr>
        <w:t>e)</w:t>
      </w:r>
      <w:r w:rsidR="003B47EC" w:rsidRPr="00F33309">
        <w:rPr>
          <w:lang w:val="fr-FR"/>
        </w:rPr>
        <w:t xml:space="preserve">, englobant 25 </w:t>
      </w:r>
      <w:r w:rsidR="003B47EC" w:rsidRPr="00F33309">
        <w:rPr>
          <w:i/>
          <w:iCs/>
          <w:lang w:val="fr-FR"/>
        </w:rPr>
        <w:t>fokontanys</w:t>
      </w:r>
      <w:r w:rsidR="003B47EC">
        <w:rPr>
          <w:i/>
          <w:iCs/>
          <w:lang w:val="fr-FR"/>
        </w:rPr>
        <w:t xml:space="preserve">. </w:t>
      </w:r>
      <w:r>
        <w:rPr>
          <w:lang w:val="fr-FR"/>
        </w:rPr>
        <w:t>L</w:t>
      </w:r>
      <w:r w:rsidR="003B47EC">
        <w:rPr>
          <w:lang w:val="fr-FR"/>
        </w:rPr>
        <w:t>e</w:t>
      </w:r>
      <w:r>
        <w:rPr>
          <w:lang w:val="fr-FR"/>
        </w:rPr>
        <w:t xml:space="preserve"> projet </w:t>
      </w:r>
      <w:r w:rsidR="003B47EC">
        <w:rPr>
          <w:lang w:val="fr-FR"/>
        </w:rPr>
        <w:t xml:space="preserve">a commencé en juin 2015 et a 5 </w:t>
      </w:r>
      <w:r w:rsidRPr="007E745A">
        <w:rPr>
          <w:lang w:val="fr-FR"/>
        </w:rPr>
        <w:t xml:space="preserve">années d’exécution </w:t>
      </w:r>
      <w:r w:rsidR="003B47EC">
        <w:rPr>
          <w:lang w:val="fr-FR"/>
        </w:rPr>
        <w:t xml:space="preserve">– la finalisation est prévue en mai 2022. </w:t>
      </w:r>
    </w:p>
    <w:p w14:paraId="3C556551" w14:textId="77777777" w:rsidR="00CC3C35" w:rsidRPr="00346FE6" w:rsidRDefault="00CC3C35" w:rsidP="00346FE6">
      <w:pPr>
        <w:spacing w:before="0" w:after="0"/>
        <w:rPr>
          <w:lang w:val="fr-FR"/>
        </w:rPr>
      </w:pPr>
    </w:p>
    <w:p w14:paraId="0EFC9739" w14:textId="331C977D" w:rsidR="00F60DBD" w:rsidRDefault="0034778E" w:rsidP="00CC3C35">
      <w:pPr>
        <w:spacing w:before="0" w:after="0"/>
        <w:rPr>
          <w:b/>
          <w:lang w:val="fr-FR"/>
        </w:rPr>
      </w:pPr>
      <w:r w:rsidRPr="00346FE6">
        <w:rPr>
          <w:b/>
          <w:lang w:val="fr-FR"/>
        </w:rPr>
        <w:t>Objectif et portée de l’examen</w:t>
      </w:r>
    </w:p>
    <w:p w14:paraId="6AEC5FB0" w14:textId="77777777" w:rsidR="00CC3C35" w:rsidRPr="00346FE6" w:rsidRDefault="00CC3C35" w:rsidP="00346FE6">
      <w:pPr>
        <w:spacing w:before="0" w:after="0"/>
        <w:rPr>
          <w:b/>
          <w:lang w:val="fr-FR"/>
        </w:rPr>
      </w:pPr>
    </w:p>
    <w:p w14:paraId="5D6148E6" w14:textId="1C4E91F6" w:rsidR="0034778E" w:rsidRPr="00346FE6" w:rsidRDefault="001165F1" w:rsidP="00CC3C35">
      <w:pPr>
        <w:spacing w:before="0" w:after="0"/>
        <w:rPr>
          <w:lang w:val="fr-FR"/>
        </w:rPr>
      </w:pPr>
      <w:r w:rsidRPr="00346FE6">
        <w:rPr>
          <w:lang w:val="fr-FR"/>
        </w:rPr>
        <w:t xml:space="preserve">Le but de </w:t>
      </w:r>
      <w:r w:rsidR="0034778E" w:rsidRPr="0034778E">
        <w:rPr>
          <w:lang w:val="fr-FR"/>
        </w:rPr>
        <w:t xml:space="preserve">ce </w:t>
      </w:r>
      <w:r w:rsidR="0034778E">
        <w:rPr>
          <w:lang w:val="fr-FR"/>
        </w:rPr>
        <w:t>contrat</w:t>
      </w:r>
      <w:r w:rsidRPr="00346FE6">
        <w:rPr>
          <w:lang w:val="fr-FR"/>
        </w:rPr>
        <w:t xml:space="preserve"> est de procéder à l'examen à mi-parcours du projet susmentionné. Cet examen à mi-parcours analyse si le programme est sur la bonne voie, quels sont les problèmes ou les défis auxquels il est confronté et quelles sont les mesures correctives à prendre. </w:t>
      </w:r>
      <w:r w:rsidR="003E3202">
        <w:rPr>
          <w:lang w:val="fr-FR"/>
        </w:rPr>
        <w:t>Plus spécifiquement, le rapport analyse la stratégie du projet, le progresse accomplis vers les résultats, la mise en œuvre du projet et gestion adaptative, et la durabilité ; documente les</w:t>
      </w:r>
      <w:r w:rsidR="00021258">
        <w:rPr>
          <w:lang w:val="fr-FR"/>
        </w:rPr>
        <w:t xml:space="preserve"> </w:t>
      </w:r>
      <w:r w:rsidR="00021258" w:rsidRPr="00CA44AE">
        <w:rPr>
          <w:lang w:val="fr-FR"/>
        </w:rPr>
        <w:t>leçons</w:t>
      </w:r>
      <w:r w:rsidR="003E3202">
        <w:rPr>
          <w:lang w:val="fr-FR"/>
        </w:rPr>
        <w:t xml:space="preserve"> apprises ; et fourni des recommandations. </w:t>
      </w:r>
      <w:r w:rsidRPr="00346FE6">
        <w:rPr>
          <w:lang w:val="fr-FR"/>
        </w:rPr>
        <w:t xml:space="preserve">Cet examen à mi-parcours évalue la performance du programme depuis son </w:t>
      </w:r>
      <w:r w:rsidR="0034778E">
        <w:rPr>
          <w:lang w:val="fr-FR"/>
        </w:rPr>
        <w:t>démarrage en juin 2017</w:t>
      </w:r>
      <w:r w:rsidRPr="00346FE6">
        <w:rPr>
          <w:lang w:val="fr-FR"/>
        </w:rPr>
        <w:t xml:space="preserve"> jusqu'en </w:t>
      </w:r>
      <w:r w:rsidR="0034778E">
        <w:rPr>
          <w:lang w:val="fr-FR"/>
        </w:rPr>
        <w:t>novembre</w:t>
      </w:r>
      <w:r w:rsidRPr="00346FE6">
        <w:rPr>
          <w:lang w:val="fr-FR"/>
        </w:rPr>
        <w:t xml:space="preserve"> 2019, en se référant également dans certains cas à sa conception. </w:t>
      </w:r>
      <w:r w:rsidR="0034778E" w:rsidRPr="00E45809">
        <w:rPr>
          <w:lang w:val="fr-FR"/>
        </w:rPr>
        <w:t xml:space="preserve">Cette évaluation a été conduite entre les mois d’Octobre </w:t>
      </w:r>
      <w:r w:rsidR="0034778E">
        <w:rPr>
          <w:lang w:val="fr-FR"/>
        </w:rPr>
        <w:t xml:space="preserve">2019 </w:t>
      </w:r>
      <w:r w:rsidR="0034778E" w:rsidRPr="00E45809">
        <w:rPr>
          <w:lang w:val="fr-FR"/>
        </w:rPr>
        <w:t xml:space="preserve">et </w:t>
      </w:r>
      <w:r w:rsidR="0034778E">
        <w:rPr>
          <w:lang w:val="fr-FR"/>
        </w:rPr>
        <w:t>Janvier 2020, et pris en compte l’information disponible jusqu'à Novembre 2019</w:t>
      </w:r>
      <w:r w:rsidR="0034778E" w:rsidRPr="00E45809">
        <w:rPr>
          <w:lang w:val="fr-FR"/>
        </w:rPr>
        <w:t>.</w:t>
      </w:r>
      <w:r w:rsidR="003E3202">
        <w:rPr>
          <w:lang w:val="fr-FR"/>
        </w:rPr>
        <w:t xml:space="preserve"> </w:t>
      </w:r>
      <w:r w:rsidRPr="00346FE6">
        <w:rPr>
          <w:lang w:val="fr-FR"/>
        </w:rPr>
        <w:t>Les conclusions de cet examen à mi-parcours sont fondées sur une étude documentaire des documents pertinents</w:t>
      </w:r>
      <w:r w:rsidR="003E3202">
        <w:rPr>
          <w:lang w:val="fr-FR"/>
        </w:rPr>
        <w:t>,</w:t>
      </w:r>
      <w:r w:rsidRPr="00346FE6">
        <w:rPr>
          <w:lang w:val="fr-FR"/>
        </w:rPr>
        <w:t xml:space="preserve"> sur des entretiens avec une sélection de parties prenantes</w:t>
      </w:r>
      <w:r w:rsidR="003E3202">
        <w:rPr>
          <w:lang w:val="fr-FR"/>
        </w:rPr>
        <w:t xml:space="preserve"> et sur des visites sur le terrain</w:t>
      </w:r>
      <w:r w:rsidRPr="00346FE6">
        <w:rPr>
          <w:lang w:val="fr-FR"/>
        </w:rPr>
        <w:t xml:space="preserve">. Sur la base des informations recueillies, </w:t>
      </w:r>
      <w:r w:rsidR="0034778E">
        <w:rPr>
          <w:lang w:val="fr-FR"/>
        </w:rPr>
        <w:t xml:space="preserve">les </w:t>
      </w:r>
      <w:r w:rsidRPr="00346FE6">
        <w:rPr>
          <w:lang w:val="fr-FR"/>
        </w:rPr>
        <w:t>évaluateur</w:t>
      </w:r>
      <w:r w:rsidR="0034778E">
        <w:rPr>
          <w:lang w:val="fr-FR"/>
        </w:rPr>
        <w:t>s</w:t>
      </w:r>
      <w:r w:rsidRPr="00346FE6">
        <w:rPr>
          <w:lang w:val="fr-FR"/>
        </w:rPr>
        <w:t xml:space="preserve"> </w:t>
      </w:r>
      <w:r w:rsidR="0034778E">
        <w:rPr>
          <w:lang w:val="fr-FR"/>
        </w:rPr>
        <w:t>ont</w:t>
      </w:r>
      <w:r w:rsidRPr="00346FE6">
        <w:rPr>
          <w:lang w:val="fr-FR"/>
        </w:rPr>
        <w:t xml:space="preserve"> procédé à une analyse croisée et à une triangulation des données afin d'éclairer les indicateurs sélectionnés et de répondre aux questions d'évaluation. </w:t>
      </w:r>
      <w:r w:rsidR="00176C3F">
        <w:rPr>
          <w:lang w:val="fr-FR"/>
        </w:rPr>
        <w:t xml:space="preserve">Des commentaires au rapport provisoire ont été considérés dans la préparation de ce rapport final. </w:t>
      </w:r>
    </w:p>
    <w:p w14:paraId="254E855D" w14:textId="77777777" w:rsidR="00CC3C35" w:rsidRPr="002B677E" w:rsidRDefault="00CC3C35" w:rsidP="00CC3C35">
      <w:pPr>
        <w:spacing w:before="0" w:after="0"/>
        <w:rPr>
          <w:b/>
          <w:bCs/>
          <w:lang w:val="fr-FR"/>
        </w:rPr>
      </w:pPr>
    </w:p>
    <w:p w14:paraId="5D7162A3" w14:textId="091FD582" w:rsidR="0034778E" w:rsidRPr="00346FE6" w:rsidRDefault="003E43B9" w:rsidP="00CC3C35">
      <w:pPr>
        <w:spacing w:before="0" w:after="0"/>
        <w:rPr>
          <w:b/>
          <w:bCs/>
          <w:lang w:val="fr-FR"/>
        </w:rPr>
      </w:pPr>
      <w:r w:rsidRPr="00346FE6">
        <w:rPr>
          <w:b/>
          <w:bCs/>
          <w:lang w:val="fr-FR"/>
        </w:rPr>
        <w:t>Évaluation globale du projet et principales caractéristiques de la performance</w:t>
      </w:r>
    </w:p>
    <w:p w14:paraId="23967F6B" w14:textId="77777777" w:rsidR="00CC3C35" w:rsidRDefault="00CC3C35" w:rsidP="00346FE6">
      <w:pPr>
        <w:pStyle w:val="EONumberedparagraph"/>
        <w:numPr>
          <w:ilvl w:val="0"/>
          <w:numId w:val="0"/>
        </w:numPr>
        <w:spacing w:after="0" w:line="276" w:lineRule="auto"/>
        <w:rPr>
          <w:rFonts w:ascii="Corbel" w:eastAsiaTheme="minorEastAsia" w:hAnsi="Corbel" w:cstheme="minorBidi"/>
          <w:lang w:val="fr-FR"/>
        </w:rPr>
      </w:pPr>
    </w:p>
    <w:p w14:paraId="7D6E8A9A" w14:textId="734B1CA3" w:rsidR="003E43B9" w:rsidRPr="00346FE6" w:rsidRDefault="003E43B9" w:rsidP="00346FE6">
      <w:pPr>
        <w:pStyle w:val="EONumberedparagraph"/>
        <w:numPr>
          <w:ilvl w:val="0"/>
          <w:numId w:val="0"/>
        </w:numPr>
        <w:spacing w:after="0" w:line="276" w:lineRule="auto"/>
        <w:rPr>
          <w:rFonts w:ascii="Corbel" w:eastAsiaTheme="minorEastAsia" w:hAnsi="Corbel" w:cstheme="minorBidi"/>
          <w:lang w:val="fr-FR"/>
        </w:rPr>
      </w:pPr>
      <w:r w:rsidRPr="00346FE6">
        <w:rPr>
          <w:rFonts w:ascii="Corbel" w:eastAsiaTheme="minorEastAsia" w:hAnsi="Corbel" w:cstheme="minorBidi"/>
          <w:lang w:val="fr-FR"/>
        </w:rPr>
        <w:t xml:space="preserve">Le projet </w:t>
      </w:r>
      <w:r w:rsidRPr="00CC3C35">
        <w:rPr>
          <w:rFonts w:ascii="Corbel" w:eastAsiaTheme="minorEastAsia" w:hAnsi="Corbel" w:cstheme="minorBidi"/>
          <w:lang w:val="fr-FR"/>
        </w:rPr>
        <w:t xml:space="preserve">est pertinent et moyennement efficace, efficient et durable.  </w:t>
      </w:r>
      <w:r w:rsidR="00CC3C35" w:rsidRPr="00CC3C35">
        <w:rPr>
          <w:rFonts w:ascii="Corbel" w:eastAsiaTheme="minorEastAsia" w:hAnsi="Corbel" w:cstheme="minorBidi"/>
          <w:lang w:val="fr-FR"/>
        </w:rPr>
        <w:t>La considération des aspects transversaux est moyen</w:t>
      </w:r>
      <w:r w:rsidR="00CC3C35" w:rsidRPr="00454656">
        <w:rPr>
          <w:rFonts w:ascii="Corbel" w:eastAsiaTheme="minorEastAsia" w:hAnsi="Corbel" w:cstheme="minorBidi"/>
          <w:lang w:val="fr-FR"/>
        </w:rPr>
        <w:t>ne</w:t>
      </w:r>
      <w:r w:rsidR="00CC3C35" w:rsidRPr="00021258">
        <w:rPr>
          <w:rFonts w:ascii="Corbel" w:eastAsiaTheme="minorEastAsia" w:hAnsi="Corbel" w:cstheme="minorBidi"/>
          <w:lang w:val="fr-FR"/>
        </w:rPr>
        <w:t>ment satisfaisant. La no</w:t>
      </w:r>
      <w:r w:rsidR="00CC3C35" w:rsidRPr="00BB6C0B">
        <w:rPr>
          <w:rFonts w:ascii="Corbel" w:eastAsiaTheme="minorEastAsia" w:hAnsi="Corbel" w:cstheme="minorBidi"/>
          <w:lang w:val="fr-FR"/>
        </w:rPr>
        <w:t xml:space="preserve">te </w:t>
      </w:r>
      <w:r w:rsidR="00CC3C35" w:rsidRPr="00AD491C">
        <w:rPr>
          <w:rFonts w:ascii="Corbel" w:eastAsiaTheme="minorEastAsia" w:hAnsi="Corbel" w:cstheme="minorBidi"/>
          <w:lang w:val="fr-FR"/>
        </w:rPr>
        <w:t xml:space="preserve">générale est Moyennement Satisfaisant. </w:t>
      </w:r>
    </w:p>
    <w:p w14:paraId="5A44FFB9" w14:textId="77777777" w:rsidR="00F60DBD" w:rsidRPr="00486C46" w:rsidRDefault="00F60DBD" w:rsidP="00F60DBD">
      <w:pPr>
        <w:pStyle w:val="Lgende"/>
        <w:keepNext/>
        <w:rPr>
          <w:lang w:val="fr-FR"/>
        </w:rPr>
      </w:pPr>
      <w:r w:rsidRPr="00486C46">
        <w:rPr>
          <w:lang w:val="fr-FR"/>
        </w:rPr>
        <w:lastRenderedPageBreak/>
        <w:t xml:space="preserve">Tableau </w:t>
      </w:r>
      <w:r w:rsidRPr="00486C46">
        <w:rPr>
          <w:lang w:val="fr-FR"/>
        </w:rPr>
        <w:fldChar w:fldCharType="begin"/>
      </w:r>
      <w:r w:rsidRPr="00486C46">
        <w:rPr>
          <w:lang w:val="fr-FR"/>
        </w:rPr>
        <w:instrText xml:space="preserve"> SEQ Tableau \* ARABIC </w:instrText>
      </w:r>
      <w:r w:rsidRPr="00486C46">
        <w:rPr>
          <w:lang w:val="fr-FR"/>
        </w:rPr>
        <w:fldChar w:fldCharType="separate"/>
      </w:r>
      <w:r>
        <w:rPr>
          <w:noProof/>
          <w:lang w:val="fr-FR"/>
        </w:rPr>
        <w:t>1</w:t>
      </w:r>
      <w:r w:rsidRPr="00486C46">
        <w:rPr>
          <w:lang w:val="fr-FR"/>
        </w:rPr>
        <w:fldChar w:fldCharType="end"/>
      </w:r>
      <w:r>
        <w:rPr>
          <w:lang w:val="fr-FR"/>
        </w:rPr>
        <w:t xml:space="preserve"> -</w:t>
      </w:r>
      <w:r w:rsidRPr="00486C46">
        <w:rPr>
          <w:lang w:val="fr-FR"/>
        </w:rPr>
        <w:t xml:space="preserve"> Synthèse des critères de notation du PNUD</w:t>
      </w:r>
    </w:p>
    <w:tbl>
      <w:tblPr>
        <w:tblStyle w:val="TableBaastel"/>
        <w:tblpPr w:leftFromText="180" w:rightFromText="180" w:vertAnchor="text" w:horzAnchor="margin" w:tblpY="99"/>
        <w:tblW w:w="10206" w:type="dxa"/>
        <w:tblLook w:val="04A0" w:firstRow="1" w:lastRow="0" w:firstColumn="1" w:lastColumn="0" w:noHBand="0" w:noVBand="1"/>
      </w:tblPr>
      <w:tblGrid>
        <w:gridCol w:w="1722"/>
        <w:gridCol w:w="1968"/>
        <w:gridCol w:w="6516"/>
      </w:tblGrid>
      <w:tr w:rsidR="00F60DBD" w:rsidRPr="005C550F" w14:paraId="20D1999E" w14:textId="77777777" w:rsidTr="00346FE6">
        <w:trPr>
          <w:cnfStyle w:val="100000000000" w:firstRow="1" w:lastRow="0" w:firstColumn="0" w:lastColumn="0" w:oddVBand="0" w:evenVBand="0" w:oddHBand="0" w:evenHBand="0" w:firstRowFirstColumn="0" w:firstRowLastColumn="0" w:lastRowFirstColumn="0" w:lastRowLastColumn="0"/>
          <w:trHeight w:val="104"/>
        </w:trPr>
        <w:tc>
          <w:tcPr>
            <w:tcW w:w="1722" w:type="dxa"/>
            <w:hideMark/>
          </w:tcPr>
          <w:p w14:paraId="2413300E" w14:textId="77777777" w:rsidR="00F60DBD" w:rsidRPr="005C550F" w:rsidRDefault="00F60DBD" w:rsidP="004F0CE2">
            <w:pPr>
              <w:spacing w:after="0"/>
              <w:rPr>
                <w:rFonts w:asciiTheme="minorHAnsi" w:hAnsiTheme="minorHAnsi" w:cstheme="minorHAnsi"/>
                <w:bCs/>
                <w:sz w:val="18"/>
                <w:szCs w:val="18"/>
                <w:lang w:val="fr-FR"/>
              </w:rPr>
            </w:pPr>
            <w:r w:rsidRPr="005C550F">
              <w:rPr>
                <w:rFonts w:asciiTheme="minorHAnsi" w:hAnsiTheme="minorHAnsi" w:cstheme="minorHAnsi"/>
                <w:bCs/>
                <w:sz w:val="18"/>
                <w:szCs w:val="18"/>
                <w:lang w:val="fr-FR"/>
              </w:rPr>
              <w:t>Évaluation</w:t>
            </w:r>
          </w:p>
        </w:tc>
        <w:tc>
          <w:tcPr>
            <w:tcW w:w="1968" w:type="dxa"/>
            <w:hideMark/>
          </w:tcPr>
          <w:p w14:paraId="0F274661" w14:textId="77777777" w:rsidR="00F60DBD" w:rsidRPr="005C550F" w:rsidRDefault="00F60DBD" w:rsidP="004F0CE2">
            <w:pPr>
              <w:spacing w:after="0"/>
              <w:rPr>
                <w:rFonts w:asciiTheme="minorHAnsi" w:hAnsiTheme="minorHAnsi" w:cstheme="minorHAnsi"/>
                <w:bCs/>
                <w:sz w:val="18"/>
                <w:szCs w:val="18"/>
                <w:lang w:val="fr-FR"/>
              </w:rPr>
            </w:pPr>
            <w:r w:rsidRPr="005C550F">
              <w:rPr>
                <w:rFonts w:asciiTheme="minorHAnsi" w:hAnsiTheme="minorHAnsi" w:cstheme="minorHAnsi"/>
                <w:bCs/>
                <w:sz w:val="18"/>
                <w:szCs w:val="18"/>
                <w:lang w:val="fr-FR"/>
              </w:rPr>
              <w:t>Évaluation examen à mi-parcours</w:t>
            </w:r>
          </w:p>
        </w:tc>
        <w:tc>
          <w:tcPr>
            <w:tcW w:w="6516" w:type="dxa"/>
            <w:hideMark/>
          </w:tcPr>
          <w:p w14:paraId="70C3C10A" w14:textId="77777777" w:rsidR="00F60DBD" w:rsidRPr="005C550F" w:rsidRDefault="00F60DBD" w:rsidP="004F0CE2">
            <w:pPr>
              <w:spacing w:after="0"/>
              <w:rPr>
                <w:rFonts w:asciiTheme="minorHAnsi" w:hAnsiTheme="minorHAnsi" w:cstheme="minorHAnsi"/>
                <w:bCs/>
                <w:sz w:val="18"/>
                <w:szCs w:val="18"/>
                <w:lang w:val="fr-FR"/>
              </w:rPr>
            </w:pPr>
            <w:r w:rsidRPr="005C550F">
              <w:rPr>
                <w:rFonts w:asciiTheme="minorHAnsi" w:hAnsiTheme="minorHAnsi" w:cstheme="minorHAnsi"/>
                <w:bCs/>
                <w:sz w:val="18"/>
                <w:szCs w:val="18"/>
                <w:lang w:val="fr-FR"/>
              </w:rPr>
              <w:t>Description de la réalisation</w:t>
            </w:r>
          </w:p>
        </w:tc>
      </w:tr>
      <w:tr w:rsidR="00F60DBD" w:rsidRPr="00BE1549" w14:paraId="3A4B468B" w14:textId="77777777" w:rsidTr="00346FE6">
        <w:trPr>
          <w:trHeight w:val="104"/>
        </w:trPr>
        <w:tc>
          <w:tcPr>
            <w:tcW w:w="1722" w:type="dxa"/>
            <w:hideMark/>
          </w:tcPr>
          <w:p w14:paraId="23FEF4FA" w14:textId="77777777" w:rsidR="00F60DBD" w:rsidRPr="005C550F" w:rsidRDefault="00F60DBD" w:rsidP="004F0CE2">
            <w:pPr>
              <w:spacing w:after="0"/>
              <w:rPr>
                <w:rFonts w:asciiTheme="minorHAnsi" w:hAnsiTheme="minorHAnsi" w:cstheme="minorHAnsi"/>
                <w:b/>
                <w:color w:val="auto"/>
                <w:sz w:val="18"/>
                <w:szCs w:val="18"/>
                <w:lang w:val="fr-FR"/>
              </w:rPr>
            </w:pPr>
            <w:r w:rsidRPr="005C550F">
              <w:rPr>
                <w:rFonts w:asciiTheme="minorHAnsi" w:hAnsiTheme="minorHAnsi" w:cstheme="minorHAnsi"/>
                <w:b/>
                <w:sz w:val="18"/>
                <w:szCs w:val="18"/>
                <w:lang w:val="fr-FR"/>
              </w:rPr>
              <w:t>Stratégie du projet / Pertinence</w:t>
            </w:r>
          </w:p>
        </w:tc>
        <w:tc>
          <w:tcPr>
            <w:tcW w:w="1968" w:type="dxa"/>
            <w:hideMark/>
          </w:tcPr>
          <w:p w14:paraId="0708E59A" w14:textId="77777777" w:rsidR="00F60DBD" w:rsidRPr="008F47A6" w:rsidRDefault="00F60DBD" w:rsidP="004F0CE2">
            <w:pPr>
              <w:spacing w:after="0"/>
              <w:rPr>
                <w:rFonts w:asciiTheme="minorHAnsi" w:hAnsiTheme="minorHAnsi" w:cstheme="minorHAnsi"/>
                <w:b/>
                <w:bCs/>
                <w:sz w:val="18"/>
                <w:szCs w:val="18"/>
                <w:lang w:val="fr-FR"/>
              </w:rPr>
            </w:pPr>
            <w:r w:rsidRPr="008F47A6">
              <w:rPr>
                <w:rFonts w:asciiTheme="minorHAnsi" w:hAnsiTheme="minorHAnsi" w:cstheme="minorHAnsi"/>
                <w:b/>
                <w:bCs/>
                <w:sz w:val="18"/>
                <w:szCs w:val="18"/>
                <w:lang w:val="fr-FR"/>
              </w:rPr>
              <w:t>Pertinent</w:t>
            </w:r>
          </w:p>
        </w:tc>
        <w:tc>
          <w:tcPr>
            <w:tcW w:w="6516" w:type="dxa"/>
          </w:tcPr>
          <w:p w14:paraId="7B5D030F" w14:textId="7EDC3BCD" w:rsidR="00F60DBD" w:rsidRPr="005C550F" w:rsidRDefault="00F60DBD" w:rsidP="00596C84">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 xml:space="preserve">Le projet est pertinent et aligné sur les priorités nationales et la volonté des acteurs locaux. Toutefois l’absence de théorie du changement et arbres à problèmes </w:t>
            </w:r>
            <w:r>
              <w:rPr>
                <w:rFonts w:asciiTheme="minorHAnsi" w:hAnsiTheme="minorHAnsi" w:cstheme="minorHAnsi"/>
                <w:sz w:val="18"/>
                <w:szCs w:val="18"/>
                <w:lang w:val="fr-FR"/>
              </w:rPr>
              <w:t xml:space="preserve">et solutions </w:t>
            </w:r>
            <w:r w:rsidRPr="00796494">
              <w:rPr>
                <w:rFonts w:asciiTheme="minorHAnsi" w:hAnsiTheme="minorHAnsi" w:cstheme="minorHAnsi"/>
                <w:sz w:val="18"/>
                <w:szCs w:val="18"/>
                <w:lang w:val="fr-FR"/>
              </w:rPr>
              <w:t xml:space="preserve">rendent sa compréhension compliquée pour les acteurs clés de sa mise en œuvre. Le cadre logique révisé </w:t>
            </w:r>
            <w:proofErr w:type="gramStart"/>
            <w:r w:rsidRPr="00796494">
              <w:rPr>
                <w:rFonts w:asciiTheme="minorHAnsi" w:hAnsiTheme="minorHAnsi" w:cstheme="minorHAnsi"/>
                <w:sz w:val="18"/>
                <w:szCs w:val="18"/>
                <w:lang w:val="fr-FR"/>
              </w:rPr>
              <w:t xml:space="preserve">est </w:t>
            </w:r>
            <w:r w:rsidR="00596C84" w:rsidRPr="00596C84">
              <w:rPr>
                <w:rFonts w:asciiTheme="minorHAnsi" w:hAnsiTheme="minorHAnsi" w:cstheme="minorHAnsi"/>
                <w:sz w:val="18"/>
                <w:szCs w:val="18"/>
                <w:lang w:val="fr-FR"/>
              </w:rPr>
              <w:t xml:space="preserve"> plus</w:t>
            </w:r>
            <w:proofErr w:type="gramEnd"/>
            <w:r w:rsidR="00596C84" w:rsidRPr="00596C84">
              <w:rPr>
                <w:rFonts w:asciiTheme="minorHAnsi" w:hAnsiTheme="minorHAnsi" w:cstheme="minorHAnsi"/>
                <w:sz w:val="18"/>
                <w:szCs w:val="18"/>
                <w:lang w:val="fr-FR"/>
              </w:rPr>
              <w:t xml:space="preserve"> approprié</w:t>
            </w:r>
            <w:r w:rsidR="00596C84" w:rsidRPr="00796494" w:rsidDel="00596C84">
              <w:rPr>
                <w:rFonts w:asciiTheme="minorHAnsi" w:hAnsiTheme="minorHAnsi" w:cstheme="minorHAnsi"/>
                <w:sz w:val="18"/>
                <w:szCs w:val="18"/>
                <w:lang w:val="fr-FR"/>
              </w:rPr>
              <w:t xml:space="preserve"> </w:t>
            </w:r>
            <w:r w:rsidRPr="00307CC4">
              <w:rPr>
                <w:rFonts w:asciiTheme="minorHAnsi" w:hAnsiTheme="minorHAnsi" w:cstheme="minorHAnsi"/>
                <w:sz w:val="18"/>
                <w:szCs w:val="18"/>
                <w:lang w:val="fr-FR"/>
              </w:rPr>
              <w:t xml:space="preserve">même s’il </w:t>
            </w:r>
            <w:r>
              <w:rPr>
                <w:rFonts w:asciiTheme="minorHAnsi" w:hAnsiTheme="minorHAnsi" w:cstheme="minorHAnsi"/>
                <w:sz w:val="18"/>
                <w:szCs w:val="18"/>
                <w:lang w:val="fr-FR"/>
              </w:rPr>
              <w:t>reste</w:t>
            </w:r>
            <w:r w:rsidRPr="00307CC4">
              <w:rPr>
                <w:rFonts w:asciiTheme="minorHAnsi" w:hAnsiTheme="minorHAnsi" w:cstheme="minorHAnsi"/>
                <w:sz w:val="18"/>
                <w:szCs w:val="18"/>
                <w:lang w:val="fr-FR"/>
              </w:rPr>
              <w:t xml:space="preserve"> urgent de définir précisément les valeurs initiales de </w:t>
            </w:r>
            <w:r w:rsidR="00596C84">
              <w:rPr>
                <w:rFonts w:asciiTheme="minorHAnsi" w:hAnsiTheme="minorHAnsi" w:cstheme="minorHAnsi"/>
                <w:sz w:val="18"/>
                <w:szCs w:val="18"/>
                <w:lang w:val="fr-FR"/>
              </w:rPr>
              <w:t xml:space="preserve">certains </w:t>
            </w:r>
            <w:r w:rsidRPr="00307CC4">
              <w:rPr>
                <w:rFonts w:asciiTheme="minorHAnsi" w:hAnsiTheme="minorHAnsi" w:cstheme="minorHAnsi"/>
                <w:sz w:val="18"/>
                <w:szCs w:val="18"/>
                <w:lang w:val="fr-FR"/>
              </w:rPr>
              <w:t xml:space="preserve">indicateurs et </w:t>
            </w:r>
            <w:r w:rsidR="00596C84" w:rsidRPr="00596C84">
              <w:rPr>
                <w:rFonts w:asciiTheme="minorHAnsi" w:hAnsiTheme="minorHAnsi" w:cstheme="minorHAnsi"/>
                <w:sz w:val="18"/>
                <w:szCs w:val="18"/>
                <w:lang w:val="fr-FR"/>
              </w:rPr>
              <w:t>d'en ajuster d'autres</w:t>
            </w:r>
            <w:r w:rsidR="00596C84">
              <w:rPr>
                <w:rFonts w:asciiTheme="minorHAnsi" w:hAnsiTheme="minorHAnsi" w:cstheme="minorHAnsi"/>
                <w:sz w:val="18"/>
                <w:szCs w:val="18"/>
                <w:lang w:val="fr-FR"/>
              </w:rPr>
              <w:t>.</w:t>
            </w:r>
            <w:r w:rsidR="00596C84" w:rsidRPr="00307CC4">
              <w:rPr>
                <w:rFonts w:asciiTheme="minorHAnsi" w:hAnsiTheme="minorHAnsi" w:cstheme="minorHAnsi"/>
                <w:sz w:val="18"/>
                <w:szCs w:val="18"/>
                <w:lang w:val="fr-FR"/>
              </w:rPr>
              <w:t xml:space="preserve"> </w:t>
            </w:r>
            <w:r w:rsidR="00596C84" w:rsidRPr="00596C84">
              <w:rPr>
                <w:rFonts w:asciiTheme="minorHAnsi" w:hAnsiTheme="minorHAnsi" w:cstheme="minorHAnsi"/>
                <w:sz w:val="18"/>
                <w:szCs w:val="18"/>
                <w:lang w:val="fr-FR"/>
              </w:rPr>
              <w:t>Il est également urgen</w:t>
            </w:r>
            <w:r w:rsidR="00596C84">
              <w:rPr>
                <w:rFonts w:asciiTheme="minorHAnsi" w:hAnsiTheme="minorHAnsi" w:cstheme="minorHAnsi"/>
                <w:sz w:val="18"/>
                <w:szCs w:val="18"/>
                <w:lang w:val="fr-FR"/>
              </w:rPr>
              <w:t xml:space="preserve">t </w:t>
            </w:r>
            <w:r w:rsidRPr="00307CC4">
              <w:rPr>
                <w:rFonts w:asciiTheme="minorHAnsi" w:hAnsiTheme="minorHAnsi" w:cstheme="minorHAnsi"/>
                <w:sz w:val="18"/>
                <w:szCs w:val="18"/>
                <w:lang w:val="fr-FR"/>
              </w:rPr>
              <w:t>de systématiser son utilisation dans le suivi de projet.</w:t>
            </w:r>
            <w:r w:rsidRPr="00796494">
              <w:rPr>
                <w:rFonts w:asciiTheme="minorHAnsi" w:hAnsiTheme="minorHAnsi" w:cstheme="minorHAnsi"/>
                <w:sz w:val="18"/>
                <w:szCs w:val="18"/>
                <w:lang w:val="fr-FR"/>
              </w:rPr>
              <w:t>..</w:t>
            </w:r>
          </w:p>
        </w:tc>
      </w:tr>
      <w:tr w:rsidR="00F60DBD" w:rsidRPr="00BE1549" w14:paraId="1C5FB2BC" w14:textId="77777777" w:rsidTr="00346FE6">
        <w:trPr>
          <w:trHeight w:val="104"/>
        </w:trPr>
        <w:tc>
          <w:tcPr>
            <w:tcW w:w="1722" w:type="dxa"/>
            <w:vMerge w:val="restart"/>
            <w:hideMark/>
          </w:tcPr>
          <w:p w14:paraId="74DE1224" w14:textId="77777777" w:rsidR="00F60DBD" w:rsidRPr="005C550F" w:rsidRDefault="00F60DBD" w:rsidP="004F0CE2">
            <w:pPr>
              <w:spacing w:after="0"/>
              <w:rPr>
                <w:rFonts w:asciiTheme="minorHAnsi" w:hAnsiTheme="minorHAnsi" w:cstheme="minorHAnsi"/>
                <w:b/>
                <w:sz w:val="18"/>
                <w:szCs w:val="18"/>
                <w:lang w:val="fr-FR"/>
              </w:rPr>
            </w:pPr>
            <w:r w:rsidRPr="005C550F">
              <w:rPr>
                <w:rFonts w:asciiTheme="minorHAnsi" w:hAnsiTheme="minorHAnsi" w:cstheme="minorHAnsi"/>
                <w:b/>
                <w:sz w:val="18"/>
                <w:szCs w:val="18"/>
                <w:lang w:val="fr-FR"/>
              </w:rPr>
              <w:t>Progrès accomplis vers la réalisation des résultats / Efficacité</w:t>
            </w:r>
          </w:p>
        </w:tc>
        <w:tc>
          <w:tcPr>
            <w:tcW w:w="1968" w:type="dxa"/>
            <w:hideMark/>
          </w:tcPr>
          <w:p w14:paraId="066AF282" w14:textId="77777777" w:rsidR="00F60DBD" w:rsidRDefault="00F60DBD" w:rsidP="004F0CE2">
            <w:pPr>
              <w:spacing w:after="0"/>
              <w:rPr>
                <w:rFonts w:asciiTheme="minorHAnsi" w:hAnsiTheme="minorHAnsi" w:cstheme="minorHAnsi"/>
                <w:sz w:val="18"/>
                <w:szCs w:val="18"/>
                <w:lang w:val="fr-FR"/>
              </w:rPr>
            </w:pPr>
            <w:r w:rsidRPr="005C550F">
              <w:rPr>
                <w:rFonts w:asciiTheme="minorHAnsi" w:hAnsiTheme="minorHAnsi" w:cstheme="minorHAnsi"/>
                <w:sz w:val="18"/>
                <w:szCs w:val="18"/>
                <w:lang w:val="fr-FR"/>
              </w:rPr>
              <w:t>Évaluation de la réalisation de l’objectif : (sur une échelle à 6 niveaux)</w:t>
            </w:r>
          </w:p>
          <w:p w14:paraId="4FE6096B" w14:textId="77777777" w:rsidR="00F60DBD" w:rsidRPr="003762E1" w:rsidRDefault="00F60DBD" w:rsidP="004F0CE2">
            <w:pPr>
              <w:spacing w:after="0"/>
              <w:rPr>
                <w:rFonts w:asciiTheme="minorHAnsi" w:hAnsiTheme="minorHAnsi" w:cstheme="minorHAnsi"/>
                <w:b/>
                <w:bCs/>
                <w:sz w:val="18"/>
                <w:szCs w:val="18"/>
                <w:lang w:val="fr-FR"/>
              </w:rPr>
            </w:pPr>
            <w:r w:rsidRPr="003762E1">
              <w:rPr>
                <w:rFonts w:asciiTheme="minorHAnsi" w:hAnsiTheme="minorHAnsi" w:cstheme="minorHAnsi"/>
                <w:b/>
                <w:bCs/>
                <w:sz w:val="18"/>
                <w:szCs w:val="18"/>
                <w:lang w:val="fr-FR"/>
              </w:rPr>
              <w:t>Moyennement satisfaisant</w:t>
            </w:r>
          </w:p>
          <w:p w14:paraId="47041D72" w14:textId="77777777" w:rsidR="00F60DBD" w:rsidRPr="005C550F" w:rsidRDefault="00F60DBD" w:rsidP="004F0CE2">
            <w:pPr>
              <w:spacing w:after="0"/>
              <w:rPr>
                <w:rFonts w:asciiTheme="minorHAnsi" w:hAnsiTheme="minorHAnsi" w:cstheme="minorHAnsi"/>
                <w:sz w:val="18"/>
                <w:szCs w:val="18"/>
                <w:lang w:val="fr-FR"/>
              </w:rPr>
            </w:pPr>
          </w:p>
        </w:tc>
        <w:tc>
          <w:tcPr>
            <w:tcW w:w="6516" w:type="dxa"/>
          </w:tcPr>
          <w:p w14:paraId="03EA7483" w14:textId="77777777" w:rsidR="00F60DBD" w:rsidRDefault="00F60DBD" w:rsidP="004F0CE2">
            <w:pPr>
              <w:spacing w:after="0"/>
              <w:rPr>
                <w:rFonts w:asciiTheme="minorHAnsi" w:hAnsiTheme="minorHAnsi" w:cstheme="minorHAnsi"/>
                <w:sz w:val="18"/>
                <w:szCs w:val="18"/>
                <w:lang w:val="fr-FR"/>
              </w:rPr>
            </w:pPr>
            <w:r w:rsidRPr="00071636">
              <w:rPr>
                <w:rFonts w:asciiTheme="minorHAnsi" w:hAnsiTheme="minorHAnsi" w:cstheme="minorHAnsi"/>
                <w:sz w:val="18"/>
                <w:szCs w:val="18"/>
                <w:lang w:val="fr-FR"/>
              </w:rPr>
              <w:t>Les progrès accomplis dans la réalisation de</w:t>
            </w:r>
            <w:r>
              <w:rPr>
                <w:rFonts w:asciiTheme="minorHAnsi" w:hAnsiTheme="minorHAnsi" w:cstheme="minorHAnsi"/>
                <w:sz w:val="18"/>
                <w:szCs w:val="18"/>
                <w:lang w:val="fr-FR"/>
              </w:rPr>
              <w:t>s</w:t>
            </w:r>
            <w:r w:rsidRPr="00071636">
              <w:rPr>
                <w:rFonts w:asciiTheme="minorHAnsi" w:hAnsiTheme="minorHAnsi" w:cstheme="minorHAnsi"/>
                <w:sz w:val="18"/>
                <w:szCs w:val="18"/>
                <w:lang w:val="fr-FR"/>
              </w:rPr>
              <w:t xml:space="preserve"> </w:t>
            </w:r>
            <w:r>
              <w:rPr>
                <w:rFonts w:asciiTheme="minorHAnsi" w:hAnsiTheme="minorHAnsi" w:cstheme="minorHAnsi"/>
                <w:sz w:val="18"/>
                <w:szCs w:val="18"/>
                <w:lang w:val="fr-FR"/>
              </w:rPr>
              <w:t xml:space="preserve">5 </w:t>
            </w:r>
            <w:r w:rsidRPr="00071636">
              <w:rPr>
                <w:rFonts w:asciiTheme="minorHAnsi" w:hAnsiTheme="minorHAnsi" w:cstheme="minorHAnsi"/>
                <w:sz w:val="18"/>
                <w:szCs w:val="18"/>
                <w:lang w:val="fr-FR"/>
              </w:rPr>
              <w:t>indicateurs</w:t>
            </w:r>
            <w:r>
              <w:rPr>
                <w:rFonts w:asciiTheme="minorHAnsi" w:hAnsiTheme="minorHAnsi" w:cstheme="minorHAnsi"/>
                <w:sz w:val="18"/>
                <w:szCs w:val="18"/>
                <w:lang w:val="fr-FR"/>
              </w:rPr>
              <w:t xml:space="preserve"> </w:t>
            </w:r>
            <w:r w:rsidRPr="00071636">
              <w:rPr>
                <w:rFonts w:asciiTheme="minorHAnsi" w:hAnsiTheme="minorHAnsi" w:cstheme="minorHAnsi"/>
                <w:sz w:val="18"/>
                <w:szCs w:val="18"/>
                <w:lang w:val="fr-FR"/>
              </w:rPr>
              <w:t xml:space="preserve">de niveau objectif sont satisfaisants. </w:t>
            </w:r>
          </w:p>
          <w:p w14:paraId="54846DC0" w14:textId="77777777" w:rsidR="00F60DBD" w:rsidRPr="00796494"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 xml:space="preserve">Le projet est sur la bonne voie pour élaborer un cadre de gouvernance régionale axé sur la collaboration, les outils ayant déjà été développés. Toutefois, l’implication de certains partenaires clés au niveau national serait bénéfique. </w:t>
            </w:r>
          </w:p>
          <w:p w14:paraId="7773465F" w14:textId="77777777" w:rsidR="00F60DBD" w:rsidRPr="005C550F" w:rsidRDefault="00F60DBD" w:rsidP="004F0CE2">
            <w:pPr>
              <w:spacing w:after="0"/>
              <w:rPr>
                <w:rFonts w:asciiTheme="minorHAnsi" w:hAnsiTheme="minorHAnsi" w:cstheme="minorHAnsi"/>
                <w:sz w:val="18"/>
                <w:szCs w:val="18"/>
                <w:lang w:val="fr-FR"/>
              </w:rPr>
            </w:pPr>
          </w:p>
        </w:tc>
      </w:tr>
      <w:tr w:rsidR="00F60DBD" w:rsidRPr="00BE1549" w14:paraId="2532EAB3" w14:textId="77777777" w:rsidTr="00346FE6">
        <w:trPr>
          <w:trHeight w:val="104"/>
        </w:trPr>
        <w:tc>
          <w:tcPr>
            <w:tcW w:w="0" w:type="auto"/>
            <w:vMerge/>
            <w:hideMark/>
          </w:tcPr>
          <w:p w14:paraId="1E589277" w14:textId="77777777" w:rsidR="00F60DBD" w:rsidRPr="005C550F" w:rsidRDefault="00F60DBD" w:rsidP="004F0CE2">
            <w:pPr>
              <w:spacing w:after="0"/>
              <w:rPr>
                <w:rFonts w:asciiTheme="minorHAnsi" w:hAnsiTheme="minorHAnsi" w:cstheme="minorHAnsi"/>
                <w:b/>
                <w:sz w:val="18"/>
                <w:szCs w:val="18"/>
                <w:lang w:val="fr-FR"/>
              </w:rPr>
            </w:pPr>
          </w:p>
        </w:tc>
        <w:tc>
          <w:tcPr>
            <w:tcW w:w="1968" w:type="dxa"/>
            <w:hideMark/>
          </w:tcPr>
          <w:p w14:paraId="46F7B39A" w14:textId="77777777" w:rsidR="00F60DBD" w:rsidRPr="005C550F" w:rsidRDefault="00F60DBD" w:rsidP="004F0CE2">
            <w:pPr>
              <w:spacing w:after="0"/>
              <w:rPr>
                <w:rFonts w:asciiTheme="minorHAnsi" w:hAnsiTheme="minorHAnsi" w:cstheme="minorHAnsi"/>
                <w:sz w:val="18"/>
                <w:szCs w:val="18"/>
                <w:lang w:val="fr-FR"/>
              </w:rPr>
            </w:pPr>
            <w:r w:rsidRPr="005C550F">
              <w:rPr>
                <w:rFonts w:asciiTheme="minorHAnsi" w:hAnsiTheme="minorHAnsi" w:cstheme="minorHAnsi"/>
                <w:sz w:val="18"/>
                <w:szCs w:val="18"/>
                <w:lang w:val="fr-FR"/>
              </w:rPr>
              <w:t xml:space="preserve">Réalisation 1 </w:t>
            </w:r>
          </w:p>
          <w:p w14:paraId="27B1E2A7" w14:textId="77777777" w:rsidR="00F60DBD" w:rsidRDefault="00F60DBD" w:rsidP="004F0CE2">
            <w:pPr>
              <w:spacing w:after="0"/>
              <w:rPr>
                <w:rFonts w:asciiTheme="minorHAnsi" w:hAnsiTheme="minorHAnsi" w:cstheme="minorHAnsi"/>
                <w:sz w:val="18"/>
                <w:szCs w:val="18"/>
                <w:lang w:val="fr-FR"/>
              </w:rPr>
            </w:pPr>
            <w:r w:rsidRPr="005C550F">
              <w:rPr>
                <w:rFonts w:asciiTheme="minorHAnsi" w:hAnsiTheme="minorHAnsi" w:cstheme="minorHAnsi"/>
                <w:sz w:val="18"/>
                <w:szCs w:val="18"/>
                <w:lang w:val="fr-FR"/>
              </w:rPr>
              <w:t>Évaluation de la réalisation :</w:t>
            </w:r>
          </w:p>
          <w:p w14:paraId="6E50F3FC" w14:textId="77777777" w:rsidR="00F60DBD" w:rsidRPr="003762E1" w:rsidRDefault="00F60DBD" w:rsidP="004F0CE2">
            <w:pPr>
              <w:spacing w:after="0"/>
              <w:rPr>
                <w:rFonts w:asciiTheme="minorHAnsi" w:hAnsiTheme="minorHAnsi" w:cstheme="minorHAnsi"/>
                <w:b/>
                <w:bCs/>
                <w:sz w:val="18"/>
                <w:szCs w:val="18"/>
                <w:lang w:val="fr-FR"/>
              </w:rPr>
            </w:pPr>
            <w:r w:rsidRPr="003762E1">
              <w:rPr>
                <w:rFonts w:asciiTheme="minorHAnsi" w:hAnsiTheme="minorHAnsi" w:cstheme="minorHAnsi"/>
                <w:b/>
                <w:bCs/>
                <w:sz w:val="18"/>
                <w:szCs w:val="18"/>
                <w:lang w:val="fr-FR"/>
              </w:rPr>
              <w:t xml:space="preserve">Satisfaisant </w:t>
            </w:r>
          </w:p>
          <w:p w14:paraId="32AD0A27" w14:textId="77777777" w:rsidR="00F60DBD" w:rsidRPr="005C550F" w:rsidRDefault="00F60DBD" w:rsidP="004F0CE2">
            <w:pPr>
              <w:spacing w:after="0"/>
              <w:rPr>
                <w:rFonts w:asciiTheme="minorHAnsi" w:hAnsiTheme="minorHAnsi" w:cstheme="minorHAnsi"/>
                <w:sz w:val="18"/>
                <w:szCs w:val="18"/>
                <w:lang w:val="fr-FR"/>
              </w:rPr>
            </w:pPr>
          </w:p>
        </w:tc>
        <w:tc>
          <w:tcPr>
            <w:tcW w:w="6516" w:type="dxa"/>
          </w:tcPr>
          <w:p w14:paraId="336B3A88" w14:textId="77777777" w:rsidR="00F60DBD" w:rsidRDefault="00F60DBD" w:rsidP="004F0CE2">
            <w:pPr>
              <w:spacing w:after="0"/>
              <w:rPr>
                <w:rFonts w:asciiTheme="minorHAnsi" w:hAnsiTheme="minorHAnsi" w:cstheme="minorHAnsi"/>
                <w:sz w:val="18"/>
                <w:szCs w:val="18"/>
                <w:lang w:val="fr-FR"/>
              </w:rPr>
            </w:pPr>
            <w:r>
              <w:rPr>
                <w:rFonts w:asciiTheme="minorHAnsi" w:hAnsiTheme="minorHAnsi" w:cstheme="minorHAnsi"/>
                <w:sz w:val="18"/>
                <w:szCs w:val="18"/>
                <w:lang w:val="fr-FR"/>
              </w:rPr>
              <w:t xml:space="preserve">Pour la composante 1, trois des indicateurs de résultats sont notés plutôt satisfaisant à très satisfaisant. En l’absence de méthodologie, l’indicateur de planification à l’échelle des paysages ne peut être évalué. L’indicateur 8 est lui, noté moyennement insatisfaisant car des progrès restent à faire en termes d’élaboration de l’EIE, mise en œuvre du DOGME et pilote public-privé. </w:t>
            </w:r>
          </w:p>
          <w:p w14:paraId="33B14E5F" w14:textId="77777777" w:rsidR="00F60DBD" w:rsidRPr="00796494"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 xml:space="preserve">En termes de planification territoriale, le projet APAA a permis l’élaboration d’outils primordiaux tels que l’OPT BD et le PROSCB ainsi que l’élaboration du nouveau PRD, alignés sur le SRAT. L’objectif premier de cette composante pour l’année à venir sera de clarifier l’hébergement de l’OBER et son assise institutionnelle. </w:t>
            </w:r>
          </w:p>
          <w:p w14:paraId="3418599F" w14:textId="77777777" w:rsidR="00F60DBD" w:rsidRPr="005C550F" w:rsidRDefault="00F60DBD" w:rsidP="004F0CE2">
            <w:pPr>
              <w:spacing w:after="0"/>
              <w:rPr>
                <w:rFonts w:asciiTheme="minorHAnsi" w:hAnsiTheme="minorHAnsi" w:cstheme="minorHAnsi"/>
                <w:sz w:val="18"/>
                <w:szCs w:val="18"/>
                <w:lang w:val="fr-FR"/>
              </w:rPr>
            </w:pPr>
          </w:p>
        </w:tc>
      </w:tr>
      <w:tr w:rsidR="00F60DBD" w:rsidRPr="00BE1549" w14:paraId="0F18FDD9" w14:textId="77777777" w:rsidTr="00346FE6">
        <w:trPr>
          <w:trHeight w:val="2338"/>
        </w:trPr>
        <w:tc>
          <w:tcPr>
            <w:tcW w:w="0" w:type="auto"/>
            <w:vMerge/>
            <w:hideMark/>
          </w:tcPr>
          <w:p w14:paraId="2D62A8E0" w14:textId="77777777" w:rsidR="00F60DBD" w:rsidRPr="005C550F" w:rsidRDefault="00F60DBD" w:rsidP="004F0CE2">
            <w:pPr>
              <w:spacing w:after="0"/>
              <w:rPr>
                <w:rFonts w:asciiTheme="minorHAnsi" w:hAnsiTheme="minorHAnsi" w:cstheme="minorHAnsi"/>
                <w:b/>
                <w:sz w:val="18"/>
                <w:szCs w:val="18"/>
                <w:lang w:val="fr-FR"/>
              </w:rPr>
            </w:pPr>
          </w:p>
        </w:tc>
        <w:tc>
          <w:tcPr>
            <w:tcW w:w="1968" w:type="dxa"/>
            <w:hideMark/>
          </w:tcPr>
          <w:p w14:paraId="3CF556AB" w14:textId="77777777" w:rsidR="00F60DBD" w:rsidRPr="005C550F" w:rsidRDefault="00F60DBD" w:rsidP="004F0CE2">
            <w:pPr>
              <w:spacing w:after="0"/>
              <w:rPr>
                <w:rFonts w:asciiTheme="minorHAnsi" w:hAnsiTheme="minorHAnsi" w:cstheme="minorHAnsi"/>
                <w:sz w:val="18"/>
                <w:szCs w:val="18"/>
                <w:lang w:val="fr-FR"/>
              </w:rPr>
            </w:pPr>
            <w:proofErr w:type="gramStart"/>
            <w:r w:rsidRPr="005C550F">
              <w:rPr>
                <w:rFonts w:asciiTheme="minorHAnsi" w:hAnsiTheme="minorHAnsi" w:cstheme="minorHAnsi"/>
                <w:sz w:val="18"/>
                <w:szCs w:val="18"/>
                <w:lang w:val="fr-FR"/>
              </w:rPr>
              <w:t>Réalisation  2</w:t>
            </w:r>
            <w:proofErr w:type="gramEnd"/>
            <w:r w:rsidRPr="005C550F">
              <w:rPr>
                <w:rFonts w:asciiTheme="minorHAnsi" w:hAnsiTheme="minorHAnsi" w:cstheme="minorHAnsi"/>
                <w:sz w:val="18"/>
                <w:szCs w:val="18"/>
                <w:lang w:val="fr-FR"/>
              </w:rPr>
              <w:t xml:space="preserve">  Évaluation de la  réalisation :</w:t>
            </w:r>
          </w:p>
          <w:p w14:paraId="2B0AA7ED" w14:textId="77777777" w:rsidR="00F60DBD" w:rsidRPr="003762E1" w:rsidRDefault="00F60DBD" w:rsidP="004F0CE2">
            <w:pPr>
              <w:spacing w:after="0"/>
              <w:rPr>
                <w:rFonts w:asciiTheme="minorHAnsi" w:hAnsiTheme="minorHAnsi" w:cstheme="minorHAnsi"/>
                <w:b/>
                <w:bCs/>
                <w:sz w:val="18"/>
                <w:szCs w:val="18"/>
                <w:lang w:val="fr-FR"/>
              </w:rPr>
            </w:pPr>
            <w:r w:rsidRPr="003762E1">
              <w:rPr>
                <w:rFonts w:asciiTheme="minorHAnsi" w:hAnsiTheme="minorHAnsi" w:cstheme="minorHAnsi"/>
                <w:b/>
                <w:bCs/>
                <w:sz w:val="18"/>
                <w:szCs w:val="18"/>
                <w:lang w:val="fr-FR"/>
              </w:rPr>
              <w:t>Moyennement insatisfaisant</w:t>
            </w:r>
          </w:p>
          <w:p w14:paraId="52D905B7" w14:textId="77777777" w:rsidR="00F60DBD" w:rsidRPr="005C550F" w:rsidRDefault="00F60DBD" w:rsidP="004F0CE2">
            <w:pPr>
              <w:spacing w:after="0"/>
              <w:rPr>
                <w:rFonts w:asciiTheme="minorHAnsi" w:hAnsiTheme="minorHAnsi" w:cstheme="minorHAnsi"/>
                <w:sz w:val="18"/>
                <w:szCs w:val="18"/>
                <w:lang w:val="fr-FR"/>
              </w:rPr>
            </w:pPr>
          </w:p>
        </w:tc>
        <w:tc>
          <w:tcPr>
            <w:tcW w:w="6516" w:type="dxa"/>
          </w:tcPr>
          <w:p w14:paraId="6ABD166B" w14:textId="77777777" w:rsidR="00F60DBD" w:rsidRDefault="00F60DBD" w:rsidP="004F0CE2">
            <w:pPr>
              <w:spacing w:after="0"/>
              <w:rPr>
                <w:rFonts w:asciiTheme="minorHAnsi" w:hAnsiTheme="minorHAnsi" w:cstheme="minorHAnsi"/>
                <w:sz w:val="18"/>
                <w:szCs w:val="18"/>
                <w:lang w:val="fr-FR"/>
              </w:rPr>
            </w:pPr>
            <w:r>
              <w:rPr>
                <w:rFonts w:asciiTheme="minorHAnsi" w:hAnsiTheme="minorHAnsi" w:cstheme="minorHAnsi"/>
                <w:sz w:val="18"/>
                <w:szCs w:val="18"/>
                <w:lang w:val="fr-FR"/>
              </w:rPr>
              <w:t xml:space="preserve">Pour la composante 2, un indicateur a été noté satisfaisant (13), et un indicateur a été noté moyennement satisfaisant (11). L’indicateur 12 a été noté moyennement insatisfaisant et le 14 n’a pu être évalué en raison de l’absence de </w:t>
            </w:r>
            <w:proofErr w:type="spellStart"/>
            <w:r>
              <w:rPr>
                <w:rFonts w:asciiTheme="minorHAnsi" w:hAnsiTheme="minorHAnsi" w:cstheme="minorHAnsi"/>
                <w:sz w:val="18"/>
                <w:szCs w:val="18"/>
                <w:lang w:val="fr-FR"/>
              </w:rPr>
              <w:t>baseline</w:t>
            </w:r>
            <w:proofErr w:type="spellEnd"/>
            <w:r>
              <w:rPr>
                <w:rFonts w:asciiTheme="minorHAnsi" w:hAnsiTheme="minorHAnsi" w:cstheme="minorHAnsi"/>
                <w:sz w:val="18"/>
                <w:szCs w:val="18"/>
                <w:lang w:val="fr-FR"/>
              </w:rPr>
              <w:t xml:space="preserve"> et de la trop grande imprécision de l’indicateur.</w:t>
            </w:r>
          </w:p>
          <w:p w14:paraId="7311F803" w14:textId="77777777" w:rsidR="00F60DBD" w:rsidRPr="00122487"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 xml:space="preserve">En termes de conservation communautaire, le projet a connu plus de difficultés, liées en partie au contexte de sites sélectionnés et leur statut de base, à des problèmes de disponibilités des fonds, de moyens humains et matériels limités et à l’inexpérience en matière de mise en œuvre de la fondation </w:t>
            </w:r>
            <w:proofErr w:type="spellStart"/>
            <w:r w:rsidRPr="00796494">
              <w:rPr>
                <w:rFonts w:asciiTheme="minorHAnsi" w:hAnsiTheme="minorHAnsi" w:cstheme="minorHAnsi"/>
                <w:sz w:val="18"/>
                <w:szCs w:val="18"/>
                <w:lang w:val="fr-FR"/>
              </w:rPr>
              <w:t>Tany</w:t>
            </w:r>
            <w:proofErr w:type="spellEnd"/>
            <w:r w:rsidRPr="00796494">
              <w:rPr>
                <w:rFonts w:asciiTheme="minorHAnsi" w:hAnsiTheme="minorHAnsi" w:cstheme="minorHAnsi"/>
                <w:sz w:val="18"/>
                <w:szCs w:val="18"/>
                <w:lang w:val="fr-FR"/>
              </w:rPr>
              <w:t xml:space="preserve"> </w:t>
            </w:r>
            <w:proofErr w:type="spellStart"/>
            <w:r w:rsidRPr="00796494">
              <w:rPr>
                <w:rFonts w:asciiTheme="minorHAnsi" w:hAnsiTheme="minorHAnsi" w:cstheme="minorHAnsi"/>
                <w:sz w:val="18"/>
                <w:szCs w:val="18"/>
                <w:lang w:val="fr-FR"/>
              </w:rPr>
              <w:t>Meva</w:t>
            </w:r>
            <w:proofErr w:type="spellEnd"/>
            <w:r w:rsidRPr="00796494">
              <w:rPr>
                <w:rFonts w:asciiTheme="minorHAnsi" w:hAnsiTheme="minorHAnsi" w:cstheme="minorHAnsi"/>
                <w:sz w:val="18"/>
                <w:szCs w:val="18"/>
                <w:lang w:val="fr-FR"/>
              </w:rPr>
              <w:t>. Toutefois, 7 futures APC / aires de T</w:t>
            </w:r>
            <w:r>
              <w:rPr>
                <w:rFonts w:asciiTheme="minorHAnsi" w:hAnsiTheme="minorHAnsi" w:cstheme="minorHAnsi"/>
                <w:sz w:val="18"/>
                <w:szCs w:val="18"/>
                <w:lang w:val="fr-FR"/>
              </w:rPr>
              <w:t>D</w:t>
            </w:r>
            <w:r w:rsidRPr="00796494">
              <w:rPr>
                <w:rFonts w:asciiTheme="minorHAnsi" w:hAnsiTheme="minorHAnsi" w:cstheme="minorHAnsi"/>
                <w:sz w:val="18"/>
                <w:szCs w:val="18"/>
                <w:lang w:val="fr-FR"/>
              </w:rPr>
              <w:t xml:space="preserve">G ont été identifiées, ce qui </w:t>
            </w:r>
            <w:r>
              <w:rPr>
                <w:rFonts w:asciiTheme="minorHAnsi" w:hAnsiTheme="minorHAnsi" w:cstheme="minorHAnsi"/>
                <w:sz w:val="18"/>
                <w:szCs w:val="18"/>
                <w:lang w:val="fr-FR"/>
              </w:rPr>
              <w:t xml:space="preserve">devrait représenter </w:t>
            </w:r>
            <w:r w:rsidRPr="00796494">
              <w:rPr>
                <w:rFonts w:asciiTheme="minorHAnsi" w:hAnsiTheme="minorHAnsi" w:cstheme="minorHAnsi"/>
                <w:sz w:val="18"/>
                <w:szCs w:val="18"/>
                <w:lang w:val="fr-FR"/>
              </w:rPr>
              <w:t xml:space="preserve">plus que la cible de 100 000 hectares fixée par le cadre logique. Elles bénéficient des lettres d’engagement des autorités régionales qui constituent leur dossier de demande de statut d’APC temporaire. Alors que des ateliers de renforcement de capacités ont déjà été donnés sur les aspects institutionnels et juridiques et que des consultations communautaires ont déjà été menées, </w:t>
            </w:r>
            <w:proofErr w:type="spellStart"/>
            <w:r w:rsidRPr="00796494">
              <w:rPr>
                <w:rFonts w:asciiTheme="minorHAnsi" w:hAnsiTheme="minorHAnsi" w:cstheme="minorHAnsi"/>
                <w:sz w:val="18"/>
                <w:szCs w:val="18"/>
                <w:lang w:val="fr-FR"/>
              </w:rPr>
              <w:t>Tany</w:t>
            </w:r>
            <w:proofErr w:type="spellEnd"/>
            <w:r w:rsidRPr="00796494">
              <w:rPr>
                <w:rFonts w:asciiTheme="minorHAnsi" w:hAnsiTheme="minorHAnsi" w:cstheme="minorHAnsi"/>
                <w:sz w:val="18"/>
                <w:szCs w:val="18"/>
                <w:lang w:val="fr-FR"/>
              </w:rPr>
              <w:t xml:space="preserve"> </w:t>
            </w:r>
            <w:proofErr w:type="spellStart"/>
            <w:r w:rsidRPr="00796494">
              <w:rPr>
                <w:rFonts w:asciiTheme="minorHAnsi" w:hAnsiTheme="minorHAnsi" w:cstheme="minorHAnsi"/>
                <w:sz w:val="18"/>
                <w:szCs w:val="18"/>
                <w:lang w:val="fr-FR"/>
              </w:rPr>
              <w:t>Meva</w:t>
            </w:r>
            <w:proofErr w:type="spellEnd"/>
            <w:r w:rsidRPr="00796494">
              <w:rPr>
                <w:rFonts w:asciiTheme="minorHAnsi" w:hAnsiTheme="minorHAnsi" w:cstheme="minorHAnsi"/>
                <w:sz w:val="18"/>
                <w:szCs w:val="18"/>
                <w:lang w:val="fr-FR"/>
              </w:rPr>
              <w:t xml:space="preserve"> reste en retard sur la réalisation des inventaires. Des études complémentaires sur les villages écologiques doivent également être réalisées.</w:t>
            </w:r>
            <w:r>
              <w:rPr>
                <w:rFonts w:asciiTheme="minorHAnsi" w:hAnsiTheme="minorHAnsi" w:cstheme="minorHAnsi"/>
                <w:sz w:val="18"/>
                <w:szCs w:val="18"/>
                <w:lang w:val="fr-FR"/>
              </w:rPr>
              <w:t xml:space="preserve"> </w:t>
            </w:r>
            <w:r w:rsidRPr="00CA44AE">
              <w:rPr>
                <w:lang w:val="fr-FR"/>
              </w:rPr>
              <w:t xml:space="preserve"> </w:t>
            </w:r>
            <w:r w:rsidRPr="00CA44AE">
              <w:rPr>
                <w:rFonts w:asciiTheme="minorHAnsi" w:hAnsiTheme="minorHAnsi" w:cstheme="minorHAnsi"/>
                <w:sz w:val="18"/>
                <w:szCs w:val="18"/>
                <w:lang w:val="fr-FR"/>
              </w:rPr>
              <w:t>Les travaux sur les activités génératrices de revenus doivent également être accélérés</w:t>
            </w:r>
            <w:r>
              <w:rPr>
                <w:rFonts w:asciiTheme="minorHAnsi" w:hAnsiTheme="minorHAnsi" w:cstheme="minorHAnsi"/>
                <w:sz w:val="18"/>
                <w:szCs w:val="18"/>
                <w:lang w:val="fr-FR"/>
              </w:rPr>
              <w:t>.</w:t>
            </w:r>
            <w:r w:rsidRPr="00CA44AE">
              <w:rPr>
                <w:rFonts w:asciiTheme="minorHAnsi" w:hAnsiTheme="minorHAnsi" w:cstheme="minorHAnsi"/>
                <w:sz w:val="18"/>
                <w:szCs w:val="18"/>
                <w:lang w:val="fr-FR"/>
              </w:rPr>
              <w:t xml:space="preserve"> </w:t>
            </w:r>
          </w:p>
          <w:p w14:paraId="13646F92" w14:textId="77777777" w:rsidR="00F60DBD" w:rsidRPr="004E2205" w:rsidRDefault="00F60DBD" w:rsidP="004F0CE2">
            <w:pPr>
              <w:spacing w:after="0"/>
              <w:rPr>
                <w:rFonts w:asciiTheme="minorHAnsi" w:hAnsiTheme="minorHAnsi" w:cstheme="minorHAnsi"/>
                <w:sz w:val="18"/>
                <w:szCs w:val="18"/>
                <w:lang w:val="fr-FR"/>
              </w:rPr>
            </w:pPr>
          </w:p>
        </w:tc>
      </w:tr>
      <w:tr w:rsidR="00F60DBD" w:rsidRPr="00BE1549" w14:paraId="428A216D" w14:textId="77777777" w:rsidTr="00346FE6">
        <w:tc>
          <w:tcPr>
            <w:tcW w:w="1722" w:type="dxa"/>
            <w:hideMark/>
          </w:tcPr>
          <w:p w14:paraId="4CCF1E16" w14:textId="77777777" w:rsidR="00F60DBD" w:rsidRPr="005C550F" w:rsidRDefault="00F60DBD" w:rsidP="004F0CE2">
            <w:pPr>
              <w:spacing w:after="0"/>
              <w:rPr>
                <w:rFonts w:asciiTheme="minorHAnsi" w:hAnsiTheme="minorHAnsi" w:cstheme="minorHAnsi"/>
                <w:b/>
                <w:sz w:val="18"/>
                <w:szCs w:val="18"/>
                <w:lang w:val="fr-FR"/>
              </w:rPr>
            </w:pPr>
            <w:r w:rsidRPr="005C550F">
              <w:rPr>
                <w:rFonts w:asciiTheme="minorHAnsi" w:hAnsiTheme="minorHAnsi" w:cstheme="minorHAnsi"/>
                <w:b/>
                <w:sz w:val="18"/>
                <w:szCs w:val="18"/>
                <w:lang w:val="fr-FR"/>
              </w:rPr>
              <w:t>Mise en œuvre du projet et gestion réactive / Efficience</w:t>
            </w:r>
          </w:p>
        </w:tc>
        <w:tc>
          <w:tcPr>
            <w:tcW w:w="1968" w:type="dxa"/>
            <w:hideMark/>
          </w:tcPr>
          <w:p w14:paraId="40C20AEF" w14:textId="77777777" w:rsidR="00F60DBD" w:rsidRPr="005C550F" w:rsidRDefault="00F60DBD" w:rsidP="004F0CE2">
            <w:pPr>
              <w:spacing w:after="0"/>
              <w:rPr>
                <w:rFonts w:asciiTheme="minorHAnsi" w:hAnsiTheme="minorHAnsi" w:cstheme="minorHAnsi"/>
                <w:sz w:val="18"/>
                <w:szCs w:val="18"/>
                <w:lang w:val="fr-FR"/>
              </w:rPr>
            </w:pPr>
            <w:r>
              <w:rPr>
                <w:rFonts w:asciiTheme="minorHAnsi" w:hAnsiTheme="minorHAnsi" w:cstheme="minorHAnsi"/>
                <w:sz w:val="18"/>
                <w:szCs w:val="18"/>
                <w:lang w:val="fr-FR"/>
              </w:rPr>
              <w:t>Moyennement satisfaisant</w:t>
            </w:r>
          </w:p>
        </w:tc>
        <w:tc>
          <w:tcPr>
            <w:tcW w:w="6516" w:type="dxa"/>
          </w:tcPr>
          <w:p w14:paraId="42660B16" w14:textId="77777777" w:rsidR="008D09D3" w:rsidRDefault="00F60DBD" w:rsidP="004F0CE2">
            <w:pPr>
              <w:spacing w:after="0"/>
              <w:rPr>
                <w:rFonts w:asciiTheme="minorHAnsi" w:hAnsiTheme="minorHAnsi" w:cstheme="minorHAnsi"/>
                <w:sz w:val="18"/>
                <w:szCs w:val="18"/>
                <w:lang w:val="fr-FR"/>
              </w:rPr>
            </w:pPr>
            <w:r>
              <w:rPr>
                <w:rFonts w:asciiTheme="minorHAnsi" w:hAnsiTheme="minorHAnsi" w:cstheme="minorHAnsi"/>
                <w:sz w:val="18"/>
                <w:szCs w:val="18"/>
                <w:lang w:val="fr-FR"/>
              </w:rPr>
              <w:t>La mise en œuvre</w:t>
            </w:r>
            <w:r w:rsidRPr="00796494">
              <w:rPr>
                <w:rFonts w:asciiTheme="minorHAnsi" w:hAnsiTheme="minorHAnsi" w:cstheme="minorHAnsi"/>
                <w:sz w:val="18"/>
                <w:szCs w:val="18"/>
                <w:lang w:val="fr-FR"/>
              </w:rPr>
              <w:t xml:space="preserve"> du projet a été mise à mal au lancement par des mécanismes de gestion peu clairs, la distance du bureau PNUD et la complexité des procédures requises ainsi que les problèmes de recrutement de personnel clé du projet. Toutefois la gestion réactive du projet a permis de traiter la plupart des problèmes qui se présentaient. </w:t>
            </w:r>
          </w:p>
          <w:p w14:paraId="52DB721E" w14:textId="27965081" w:rsidR="008D09D3" w:rsidRPr="008D09D3" w:rsidRDefault="008D09D3" w:rsidP="008D09D3">
            <w:pPr>
              <w:spacing w:after="0"/>
              <w:rPr>
                <w:rFonts w:asciiTheme="minorHAnsi" w:hAnsiTheme="minorHAnsi" w:cstheme="minorHAnsi"/>
                <w:sz w:val="18"/>
                <w:szCs w:val="18"/>
                <w:lang w:val="fr-FR"/>
              </w:rPr>
            </w:pPr>
            <w:r w:rsidRPr="008D09D3">
              <w:rPr>
                <w:rFonts w:asciiTheme="minorHAnsi" w:hAnsiTheme="minorHAnsi" w:cstheme="minorHAnsi"/>
                <w:sz w:val="18"/>
                <w:szCs w:val="18"/>
                <w:lang w:val="fr-FR"/>
              </w:rPr>
              <w:t>Au 31 octobre 2019, le projet avait dépensé 74 % du budget prévu pour 2017, 2018 et les 9 premiers mois de 2019. Le total des dépenses réelles représentait 52 % du financement total du FEM, alors que 47 % du temps de mise en œuvre avait été consacré à ce projet. En octobre 2019, le PMC réel représentait 3 % du total des coûts réels de mise en œuvre, ce qui est conforme aux directives du FEM. En octobre 2019, le projet avait mobilisé 0,4 % du cofinancement prévu.</w:t>
            </w:r>
          </w:p>
          <w:p w14:paraId="000590BD" w14:textId="48984EE8" w:rsidR="008D09D3" w:rsidRDefault="008D09D3" w:rsidP="008D09D3">
            <w:pPr>
              <w:spacing w:after="0"/>
              <w:rPr>
                <w:rFonts w:asciiTheme="minorHAnsi" w:hAnsiTheme="minorHAnsi" w:cstheme="minorHAnsi"/>
                <w:sz w:val="18"/>
                <w:szCs w:val="18"/>
                <w:lang w:val="fr-FR"/>
              </w:rPr>
            </w:pPr>
          </w:p>
          <w:p w14:paraId="6F2A3D9A" w14:textId="3F285D3E" w:rsidR="00F60DBD" w:rsidRPr="005C550F"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lastRenderedPageBreak/>
              <w:t xml:space="preserve">Le suivi et évaluation du projet reste à améliorer pour permettre le suivi plus efficace des activités, notamment le suivi rapproché des deux partenaires de mise en œuvre, et pour permettre la capitalisation des leçons apprises. </w:t>
            </w:r>
            <w:r w:rsidR="008D09D3" w:rsidRPr="00F14363">
              <w:rPr>
                <w:lang w:val="fr-FR"/>
              </w:rPr>
              <w:t xml:space="preserve"> </w:t>
            </w:r>
            <w:r w:rsidR="008D09D3" w:rsidRPr="008D09D3">
              <w:rPr>
                <w:rFonts w:asciiTheme="minorHAnsi" w:hAnsiTheme="minorHAnsi" w:cstheme="minorHAnsi"/>
                <w:sz w:val="18"/>
                <w:szCs w:val="18"/>
                <w:lang w:val="fr-FR"/>
              </w:rPr>
              <w:t>Le suivi du financement et du cofinancement est faible</w:t>
            </w:r>
            <w:r w:rsidR="008D09D3">
              <w:rPr>
                <w:rFonts w:asciiTheme="minorHAnsi" w:hAnsiTheme="minorHAnsi" w:cstheme="minorHAnsi"/>
                <w:sz w:val="18"/>
                <w:szCs w:val="18"/>
                <w:lang w:val="fr-FR"/>
              </w:rPr>
              <w:t>.</w:t>
            </w:r>
            <w:r w:rsidR="008D09D3" w:rsidRPr="008D09D3">
              <w:rPr>
                <w:rFonts w:asciiTheme="minorHAnsi" w:hAnsiTheme="minorHAnsi" w:cstheme="minorHAnsi"/>
                <w:sz w:val="18"/>
                <w:szCs w:val="18"/>
                <w:lang w:val="fr-FR"/>
              </w:rPr>
              <w:t xml:space="preserve"> </w:t>
            </w:r>
            <w:r w:rsidRPr="00796494">
              <w:rPr>
                <w:rFonts w:asciiTheme="minorHAnsi" w:hAnsiTheme="minorHAnsi" w:cstheme="minorHAnsi"/>
                <w:sz w:val="18"/>
                <w:szCs w:val="18"/>
                <w:lang w:val="fr-FR"/>
              </w:rPr>
              <w:t xml:space="preserve">Les faiblesses en termes de partage des connaissances et de communication interne pourraient également jouer un rôle important dans les retards de mise en œuvre, aussi il convient de les renforcer.  </w:t>
            </w:r>
          </w:p>
        </w:tc>
      </w:tr>
      <w:tr w:rsidR="00F60DBD" w:rsidRPr="00BE1549" w14:paraId="14E69D53" w14:textId="77777777" w:rsidTr="00346FE6">
        <w:tc>
          <w:tcPr>
            <w:tcW w:w="1722" w:type="dxa"/>
            <w:hideMark/>
          </w:tcPr>
          <w:p w14:paraId="48311C67" w14:textId="77777777" w:rsidR="00F60DBD" w:rsidRPr="005C550F" w:rsidRDefault="00F60DBD" w:rsidP="004F0CE2">
            <w:pPr>
              <w:spacing w:after="0"/>
              <w:rPr>
                <w:rFonts w:asciiTheme="minorHAnsi" w:hAnsiTheme="minorHAnsi" w:cstheme="minorHAnsi"/>
                <w:b/>
                <w:sz w:val="18"/>
                <w:szCs w:val="18"/>
                <w:lang w:val="fr-FR"/>
              </w:rPr>
            </w:pPr>
            <w:r w:rsidRPr="005C550F">
              <w:rPr>
                <w:rFonts w:asciiTheme="minorHAnsi" w:hAnsiTheme="minorHAnsi" w:cstheme="minorHAnsi"/>
                <w:b/>
                <w:sz w:val="18"/>
                <w:szCs w:val="18"/>
                <w:lang w:val="fr-FR"/>
              </w:rPr>
              <w:lastRenderedPageBreak/>
              <w:t>Durabilité</w:t>
            </w:r>
          </w:p>
        </w:tc>
        <w:tc>
          <w:tcPr>
            <w:tcW w:w="1968" w:type="dxa"/>
            <w:hideMark/>
          </w:tcPr>
          <w:p w14:paraId="1F1B720A" w14:textId="77777777" w:rsidR="00F60DBD" w:rsidRPr="008F47A6" w:rsidRDefault="00F60DBD" w:rsidP="004F0CE2">
            <w:pPr>
              <w:spacing w:after="0"/>
              <w:rPr>
                <w:rFonts w:asciiTheme="minorHAnsi" w:hAnsiTheme="minorHAnsi" w:cstheme="minorHAnsi"/>
                <w:b/>
                <w:bCs/>
                <w:sz w:val="18"/>
                <w:szCs w:val="18"/>
                <w:lang w:val="fr-FR"/>
              </w:rPr>
            </w:pPr>
            <w:r w:rsidRPr="008F47A6">
              <w:rPr>
                <w:rFonts w:asciiTheme="minorHAnsi" w:hAnsiTheme="minorHAnsi" w:cstheme="minorHAnsi"/>
                <w:b/>
                <w:bCs/>
                <w:sz w:val="18"/>
                <w:szCs w:val="18"/>
                <w:lang w:val="fr-FR"/>
              </w:rPr>
              <w:t>Moyennement probable</w:t>
            </w:r>
          </w:p>
          <w:p w14:paraId="7AF29C35" w14:textId="77777777" w:rsidR="00F60DBD" w:rsidRPr="005C550F" w:rsidRDefault="00F60DBD" w:rsidP="004F0CE2">
            <w:pPr>
              <w:spacing w:after="0"/>
              <w:rPr>
                <w:rFonts w:asciiTheme="minorHAnsi" w:hAnsiTheme="minorHAnsi" w:cstheme="minorHAnsi"/>
                <w:sz w:val="18"/>
                <w:szCs w:val="18"/>
                <w:lang w:val="fr-FR"/>
              </w:rPr>
            </w:pPr>
          </w:p>
        </w:tc>
        <w:tc>
          <w:tcPr>
            <w:tcW w:w="6516" w:type="dxa"/>
          </w:tcPr>
          <w:p w14:paraId="485F8E65" w14:textId="77777777" w:rsidR="00F60DBD" w:rsidRPr="005C550F"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Le succès de l’approche APC repose en grande partie sur la génération d’activités génératrices de revenus qui sont prévues par le document de projet mais sur lesquelles le projet n’a encore que peu avancé.</w:t>
            </w:r>
            <w:r>
              <w:rPr>
                <w:rFonts w:asciiTheme="minorHAnsi" w:hAnsiTheme="minorHAnsi" w:cstheme="minorHAnsi"/>
                <w:sz w:val="18"/>
                <w:szCs w:val="18"/>
                <w:lang w:val="fr-FR"/>
              </w:rPr>
              <w:t xml:space="preserve"> De plus, l</w:t>
            </w:r>
            <w:r w:rsidRPr="00796494">
              <w:rPr>
                <w:rFonts w:asciiTheme="minorHAnsi" w:hAnsiTheme="minorHAnsi" w:cstheme="minorHAnsi"/>
                <w:sz w:val="18"/>
                <w:szCs w:val="18"/>
                <w:lang w:val="fr-FR"/>
              </w:rPr>
              <w:t xml:space="preserve">’apport de financement de la fondation </w:t>
            </w:r>
            <w:proofErr w:type="spellStart"/>
            <w:r w:rsidRPr="00796494">
              <w:rPr>
                <w:rFonts w:asciiTheme="minorHAnsi" w:hAnsiTheme="minorHAnsi" w:cstheme="minorHAnsi"/>
                <w:sz w:val="18"/>
                <w:szCs w:val="18"/>
                <w:lang w:val="fr-FR"/>
              </w:rPr>
              <w:t>Tany</w:t>
            </w:r>
            <w:proofErr w:type="spellEnd"/>
            <w:r w:rsidRPr="00796494">
              <w:rPr>
                <w:rFonts w:asciiTheme="minorHAnsi" w:hAnsiTheme="minorHAnsi" w:cstheme="minorHAnsi"/>
                <w:sz w:val="18"/>
                <w:szCs w:val="18"/>
                <w:lang w:val="fr-FR"/>
              </w:rPr>
              <w:t xml:space="preserve"> </w:t>
            </w:r>
            <w:proofErr w:type="spellStart"/>
            <w:r w:rsidRPr="00796494">
              <w:rPr>
                <w:rFonts w:asciiTheme="minorHAnsi" w:hAnsiTheme="minorHAnsi" w:cstheme="minorHAnsi"/>
                <w:sz w:val="18"/>
                <w:szCs w:val="18"/>
                <w:lang w:val="fr-FR"/>
              </w:rPr>
              <w:t>Meva</w:t>
            </w:r>
            <w:proofErr w:type="spellEnd"/>
            <w:r w:rsidRPr="00796494">
              <w:rPr>
                <w:rFonts w:asciiTheme="minorHAnsi" w:hAnsiTheme="minorHAnsi" w:cstheme="minorHAnsi"/>
                <w:sz w:val="18"/>
                <w:szCs w:val="18"/>
                <w:lang w:val="fr-FR"/>
              </w:rPr>
              <w:t xml:space="preserve"> pour la totalité des APC ainsi que pour la création du Centre de Compétences Communautaires </w:t>
            </w:r>
            <w:r>
              <w:rPr>
                <w:rFonts w:asciiTheme="minorHAnsi" w:hAnsiTheme="minorHAnsi" w:cstheme="minorHAnsi"/>
                <w:sz w:val="18"/>
                <w:szCs w:val="18"/>
                <w:lang w:val="fr-FR"/>
              </w:rPr>
              <w:t xml:space="preserve">pourra se révéler être </w:t>
            </w:r>
            <w:r w:rsidRPr="00796494">
              <w:rPr>
                <w:rFonts w:asciiTheme="minorHAnsi" w:hAnsiTheme="minorHAnsi" w:cstheme="minorHAnsi"/>
                <w:sz w:val="18"/>
                <w:szCs w:val="18"/>
                <w:lang w:val="fr-FR"/>
              </w:rPr>
              <w:t>un gage de durabilité financière et socioéconomique</w:t>
            </w:r>
            <w:r>
              <w:rPr>
                <w:rFonts w:asciiTheme="minorHAnsi" w:hAnsiTheme="minorHAnsi" w:cstheme="minorHAnsi"/>
                <w:sz w:val="18"/>
                <w:szCs w:val="18"/>
                <w:lang w:val="fr-FR"/>
              </w:rPr>
              <w:t>, si la fondation trouve les moyens de mobiliser ses propres ressources</w:t>
            </w:r>
            <w:r w:rsidRPr="00796494">
              <w:rPr>
                <w:rFonts w:asciiTheme="minorHAnsi" w:hAnsiTheme="minorHAnsi" w:cstheme="minorHAnsi"/>
                <w:sz w:val="18"/>
                <w:szCs w:val="18"/>
                <w:lang w:val="fr-FR"/>
              </w:rPr>
              <w:t>. De même,</w:t>
            </w:r>
            <w:r w:rsidRPr="00894AB7">
              <w:rPr>
                <w:rFonts w:asciiTheme="minorHAnsi" w:hAnsiTheme="minorHAnsi" w:cstheme="minorHAnsi"/>
                <w:sz w:val="18"/>
                <w:szCs w:val="18"/>
                <w:lang w:val="fr-FR"/>
              </w:rPr>
              <w:t xml:space="preserve"> la durabilité environnementale ne sera garantie que si le projet s’inscrit dans un effort constant de lutte pour la conservation de la biodiversité et contre le changement climatiqu</w:t>
            </w:r>
            <w:r>
              <w:rPr>
                <w:rFonts w:asciiTheme="minorHAnsi" w:hAnsiTheme="minorHAnsi" w:cstheme="minorHAnsi"/>
                <w:sz w:val="18"/>
                <w:szCs w:val="18"/>
                <w:lang w:val="fr-FR"/>
              </w:rPr>
              <w:t>e</w:t>
            </w:r>
            <w:r w:rsidRPr="00796494">
              <w:rPr>
                <w:rFonts w:asciiTheme="minorHAnsi" w:hAnsiTheme="minorHAnsi" w:cstheme="minorHAnsi"/>
                <w:sz w:val="18"/>
                <w:szCs w:val="18"/>
                <w:lang w:val="fr-FR"/>
              </w:rPr>
              <w:t>.</w:t>
            </w:r>
          </w:p>
        </w:tc>
      </w:tr>
      <w:tr w:rsidR="00F60DBD" w:rsidRPr="00BE1549" w14:paraId="06D09711" w14:textId="77777777" w:rsidTr="00346FE6">
        <w:tc>
          <w:tcPr>
            <w:tcW w:w="1722" w:type="dxa"/>
            <w:hideMark/>
          </w:tcPr>
          <w:p w14:paraId="6E2E2A74" w14:textId="77777777" w:rsidR="00F60DBD" w:rsidRPr="005C550F" w:rsidRDefault="00F60DBD" w:rsidP="004F0CE2">
            <w:pPr>
              <w:spacing w:after="0"/>
              <w:rPr>
                <w:rFonts w:asciiTheme="minorHAnsi" w:hAnsiTheme="minorHAnsi" w:cstheme="minorHAnsi"/>
                <w:b/>
                <w:sz w:val="18"/>
                <w:szCs w:val="18"/>
                <w:lang w:val="fr-FR"/>
              </w:rPr>
            </w:pPr>
            <w:r w:rsidRPr="005C550F">
              <w:rPr>
                <w:rFonts w:asciiTheme="minorHAnsi" w:hAnsiTheme="minorHAnsi" w:cstheme="minorHAnsi"/>
                <w:b/>
                <w:sz w:val="18"/>
                <w:szCs w:val="18"/>
                <w:lang w:val="fr-FR"/>
              </w:rPr>
              <w:t>Aspects transversaux dont notamment le genre, le renforcement des capacités, la communication et la stratégie de partenariat</w:t>
            </w:r>
          </w:p>
        </w:tc>
        <w:tc>
          <w:tcPr>
            <w:tcW w:w="1968" w:type="dxa"/>
          </w:tcPr>
          <w:p w14:paraId="7C1F91E8" w14:textId="77777777" w:rsidR="00F60DBD" w:rsidRPr="003762E1" w:rsidRDefault="00F60DBD" w:rsidP="004F0CE2">
            <w:pPr>
              <w:spacing w:after="0"/>
              <w:rPr>
                <w:rFonts w:asciiTheme="minorHAnsi" w:hAnsiTheme="minorHAnsi" w:cstheme="minorHAnsi"/>
                <w:b/>
                <w:bCs/>
                <w:sz w:val="18"/>
                <w:szCs w:val="18"/>
                <w:lang w:val="fr-FR"/>
              </w:rPr>
            </w:pPr>
            <w:r w:rsidRPr="003762E1">
              <w:rPr>
                <w:rFonts w:asciiTheme="minorHAnsi" w:hAnsiTheme="minorHAnsi" w:cstheme="minorHAnsi"/>
                <w:b/>
                <w:bCs/>
                <w:sz w:val="18"/>
                <w:szCs w:val="18"/>
                <w:lang w:val="fr-FR"/>
              </w:rPr>
              <w:t>Moyennement satisfaisant</w:t>
            </w:r>
          </w:p>
          <w:p w14:paraId="622D7587" w14:textId="77777777" w:rsidR="00F60DBD" w:rsidRPr="005C550F" w:rsidRDefault="00F60DBD" w:rsidP="004F0CE2">
            <w:pPr>
              <w:spacing w:after="0"/>
              <w:rPr>
                <w:rFonts w:asciiTheme="minorHAnsi" w:hAnsiTheme="minorHAnsi" w:cstheme="minorHAnsi"/>
                <w:b/>
                <w:sz w:val="18"/>
                <w:szCs w:val="18"/>
                <w:lang w:val="fr-FR"/>
              </w:rPr>
            </w:pPr>
          </w:p>
        </w:tc>
        <w:tc>
          <w:tcPr>
            <w:tcW w:w="6516" w:type="dxa"/>
          </w:tcPr>
          <w:p w14:paraId="0502ACD0" w14:textId="77777777" w:rsidR="00F60DBD" w:rsidRPr="00796494"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Le projet a renforcé les capacités des membres de la CER-APAA sur la législation environnementale. Il a aussi appuyé le personnel du MEDD et</w:t>
            </w:r>
            <w:r w:rsidRPr="00894AB7">
              <w:rPr>
                <w:rFonts w:asciiTheme="minorHAnsi" w:hAnsiTheme="minorHAnsi" w:cstheme="minorHAnsi"/>
                <w:sz w:val="18"/>
                <w:szCs w:val="18"/>
                <w:lang w:val="fr-FR"/>
              </w:rPr>
              <w:t xml:space="preserve"> sa ramification régionale </w:t>
            </w:r>
            <w:r w:rsidRPr="00796494">
              <w:rPr>
                <w:rFonts w:asciiTheme="minorHAnsi" w:hAnsiTheme="minorHAnsi" w:cstheme="minorHAnsi"/>
                <w:sz w:val="18"/>
                <w:szCs w:val="18"/>
                <w:lang w:val="fr-FR"/>
              </w:rPr>
              <w:t xml:space="preserve">DREDD en notion de base du </w:t>
            </w:r>
            <w:r>
              <w:rPr>
                <w:rFonts w:asciiTheme="minorHAnsi" w:hAnsiTheme="minorHAnsi" w:cstheme="minorHAnsi"/>
                <w:sz w:val="18"/>
                <w:szCs w:val="18"/>
                <w:lang w:val="fr-FR"/>
              </w:rPr>
              <w:t>système d’information géographique (</w:t>
            </w:r>
            <w:r w:rsidRPr="00796494">
              <w:rPr>
                <w:rFonts w:asciiTheme="minorHAnsi" w:hAnsiTheme="minorHAnsi" w:cstheme="minorHAnsi"/>
                <w:sz w:val="18"/>
                <w:szCs w:val="18"/>
                <w:lang w:val="fr-FR"/>
              </w:rPr>
              <w:t>SIG</w:t>
            </w:r>
            <w:r>
              <w:rPr>
                <w:rFonts w:asciiTheme="minorHAnsi" w:hAnsiTheme="minorHAnsi" w:cstheme="minorHAnsi"/>
                <w:sz w:val="18"/>
                <w:szCs w:val="18"/>
                <w:lang w:val="fr-FR"/>
              </w:rPr>
              <w:t>)</w:t>
            </w:r>
            <w:r w:rsidRPr="00796494">
              <w:rPr>
                <w:rFonts w:asciiTheme="minorHAnsi" w:hAnsiTheme="minorHAnsi" w:cstheme="minorHAnsi"/>
                <w:sz w:val="18"/>
                <w:szCs w:val="18"/>
                <w:lang w:val="fr-FR"/>
              </w:rPr>
              <w:t xml:space="preserve"> et en collecte de données, et des gestionnaires d’AP en techniques de zonage, utilisation du METT et en planification territoriale de la gouvernance des paysages locaux et des cadres de gestion des menaces.</w:t>
            </w:r>
          </w:p>
          <w:p w14:paraId="52AC6933" w14:textId="77777777" w:rsidR="00F60DBD" w:rsidRPr="00796494"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Si le projet promeut la participation des femmes dans la gestion des AP</w:t>
            </w:r>
            <w:r>
              <w:rPr>
                <w:rFonts w:asciiTheme="minorHAnsi" w:hAnsiTheme="minorHAnsi" w:cstheme="minorHAnsi"/>
                <w:sz w:val="18"/>
                <w:szCs w:val="18"/>
                <w:lang w:val="fr-FR"/>
              </w:rPr>
              <w:t>C</w:t>
            </w:r>
            <w:r w:rsidRPr="00796494">
              <w:rPr>
                <w:rFonts w:asciiTheme="minorHAnsi" w:hAnsiTheme="minorHAnsi" w:cstheme="minorHAnsi"/>
                <w:sz w:val="18"/>
                <w:szCs w:val="18"/>
                <w:lang w:val="fr-FR"/>
              </w:rPr>
              <w:t xml:space="preserve"> et veille à consulter les femmes dans les sites sélectionnés, il ne compte malheureusement pas avec un stratégie genre précise et ambitieuse et le cadre logique n’intègre pas la thématique genre. </w:t>
            </w:r>
          </w:p>
          <w:p w14:paraId="3B4CA7DD" w14:textId="77777777" w:rsidR="00F60DBD" w:rsidRPr="005C550F" w:rsidRDefault="00F60DBD" w:rsidP="004F0CE2">
            <w:pPr>
              <w:spacing w:after="0"/>
              <w:rPr>
                <w:rFonts w:asciiTheme="minorHAnsi" w:hAnsiTheme="minorHAnsi" w:cstheme="minorHAnsi"/>
                <w:sz w:val="18"/>
                <w:szCs w:val="18"/>
                <w:lang w:val="fr-FR"/>
              </w:rPr>
            </w:pPr>
            <w:r w:rsidRPr="00796494">
              <w:rPr>
                <w:rFonts w:asciiTheme="minorHAnsi" w:hAnsiTheme="minorHAnsi" w:cstheme="minorHAnsi"/>
                <w:sz w:val="18"/>
                <w:szCs w:val="18"/>
                <w:lang w:val="fr-FR"/>
              </w:rPr>
              <w:t>La communication interne du projet entre les acteurs au niveau régional, ainsi qu’entre les acteurs régionaux et nationaux a fait défaut. Alors que les équipes sont dispersées et que le projet dispose de deux partenaires de mise en œuvre qui travaillent en parallèle, il convient de renforcer la communication à tous les niveaux.</w:t>
            </w:r>
          </w:p>
        </w:tc>
      </w:tr>
    </w:tbl>
    <w:p w14:paraId="0B40091F" w14:textId="77777777" w:rsidR="00F60DBD" w:rsidRPr="00486C46" w:rsidRDefault="00F60DBD" w:rsidP="00F60DBD">
      <w:pPr>
        <w:rPr>
          <w:lang w:val="fr-FR"/>
        </w:rPr>
      </w:pPr>
    </w:p>
    <w:p w14:paraId="32AAA89A" w14:textId="77777777" w:rsidR="00F60DBD" w:rsidRPr="00486C46" w:rsidRDefault="00F60DBD" w:rsidP="00F60DBD">
      <w:pPr>
        <w:pStyle w:val="Lgende"/>
        <w:keepNext/>
        <w:rPr>
          <w:lang w:val="fr-FR"/>
        </w:rPr>
      </w:pPr>
      <w:r w:rsidRPr="00486C46">
        <w:rPr>
          <w:lang w:val="fr-FR"/>
        </w:rPr>
        <w:lastRenderedPageBreak/>
        <w:t xml:space="preserve">Tableau </w:t>
      </w:r>
      <w:r w:rsidRPr="00486C46">
        <w:rPr>
          <w:lang w:val="fr-FR"/>
        </w:rPr>
        <w:fldChar w:fldCharType="begin"/>
      </w:r>
      <w:r w:rsidRPr="00486C46">
        <w:rPr>
          <w:lang w:val="fr-FR"/>
        </w:rPr>
        <w:instrText xml:space="preserve"> SEQ Tableau \* ARABIC </w:instrText>
      </w:r>
      <w:r w:rsidRPr="00486C46">
        <w:rPr>
          <w:lang w:val="fr-FR"/>
        </w:rPr>
        <w:fldChar w:fldCharType="separate"/>
      </w:r>
      <w:r>
        <w:rPr>
          <w:noProof/>
          <w:lang w:val="fr-FR"/>
        </w:rPr>
        <w:t>2</w:t>
      </w:r>
      <w:r w:rsidRPr="00486C46">
        <w:rPr>
          <w:lang w:val="fr-FR"/>
        </w:rPr>
        <w:fldChar w:fldCharType="end"/>
      </w:r>
      <w:r>
        <w:rPr>
          <w:lang w:val="fr-FR"/>
        </w:rPr>
        <w:t xml:space="preserve"> -</w:t>
      </w:r>
      <w:r w:rsidRPr="00486C46">
        <w:rPr>
          <w:lang w:val="fr-FR"/>
        </w:rPr>
        <w:t xml:space="preserve"> Echelle de notation du PNUD</w:t>
      </w:r>
      <w:r w:rsidRPr="00486C46">
        <w:rPr>
          <w:rStyle w:val="Appelnotedebasdep"/>
          <w:lang w:val="fr-FR"/>
        </w:rPr>
        <w:footnoteReference w:id="1"/>
      </w:r>
    </w:p>
    <w:p w14:paraId="5812FA94" w14:textId="77777777" w:rsidR="00F60DBD" w:rsidRPr="00486C46" w:rsidRDefault="00F60DBD" w:rsidP="00F60DBD">
      <w:pPr>
        <w:jc w:val="center"/>
        <w:rPr>
          <w:lang w:val="fr-FR"/>
        </w:rPr>
      </w:pPr>
      <w:r w:rsidRPr="00486C46">
        <w:rPr>
          <w:noProof/>
          <w:lang w:val="en-US"/>
        </w:rPr>
        <w:drawing>
          <wp:inline distT="0" distB="0" distL="0" distR="0" wp14:anchorId="5BBE65B1" wp14:editId="51B08C87">
            <wp:extent cx="4760306" cy="3561907"/>
            <wp:effectExtent l="0" t="0" r="254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80241" cy="3576824"/>
                    </a:xfrm>
                    <a:prstGeom prst="rect">
                      <a:avLst/>
                    </a:prstGeom>
                  </pic:spPr>
                </pic:pic>
              </a:graphicData>
            </a:graphic>
          </wp:inline>
        </w:drawing>
      </w:r>
    </w:p>
    <w:p w14:paraId="6747622E" w14:textId="2A554321" w:rsidR="00F60DBD" w:rsidRPr="00346FE6" w:rsidRDefault="00F60DBD" w:rsidP="00F60DBD">
      <w:pPr>
        <w:rPr>
          <w:b/>
          <w:lang w:val="fr-FR"/>
        </w:rPr>
      </w:pPr>
      <w:r w:rsidRPr="00346FE6">
        <w:rPr>
          <w:b/>
          <w:lang w:val="fr-FR"/>
        </w:rPr>
        <w:t>Recomm</w:t>
      </w:r>
      <w:r w:rsidR="00CC3C35" w:rsidRPr="00346FE6">
        <w:rPr>
          <w:b/>
          <w:lang w:val="fr-FR"/>
        </w:rPr>
        <w:t>a</w:t>
      </w:r>
      <w:r w:rsidRPr="00346FE6">
        <w:rPr>
          <w:b/>
          <w:lang w:val="fr-FR"/>
        </w:rPr>
        <w:t>ndations</w:t>
      </w:r>
    </w:p>
    <w:p w14:paraId="23FD242E" w14:textId="76D02E6A" w:rsidR="00CC3C35" w:rsidRPr="00346FE6" w:rsidRDefault="00CC3C35" w:rsidP="00F60DBD">
      <w:pPr>
        <w:rPr>
          <w:bCs/>
          <w:lang w:val="fr-FR"/>
        </w:rPr>
      </w:pPr>
      <w:r w:rsidRPr="00346FE6">
        <w:rPr>
          <w:bCs/>
          <w:lang w:val="fr-FR"/>
        </w:rPr>
        <w:t>Sur la base des discussions dans les différentes sections, l'examen à mi-parcours contient les recommandations suivantes :</w:t>
      </w:r>
    </w:p>
    <w:p w14:paraId="4BE17D1D" w14:textId="7A0C63AC" w:rsidR="00F60DBD" w:rsidRPr="00346FE6" w:rsidRDefault="00F60DBD" w:rsidP="00F60DBD">
      <w:pPr>
        <w:rPr>
          <w:lang w:val="fr-FR"/>
        </w:rPr>
      </w:pPr>
      <w:r w:rsidRPr="00346FE6">
        <w:rPr>
          <w:lang w:val="fr-FR"/>
        </w:rPr>
        <w:t xml:space="preserve">Table </w:t>
      </w:r>
      <w:r w:rsidR="00CC3C35" w:rsidRPr="00346FE6">
        <w:rPr>
          <w:lang w:val="fr-FR"/>
        </w:rPr>
        <w:t>2</w:t>
      </w:r>
      <w:r w:rsidRPr="00346FE6">
        <w:rPr>
          <w:lang w:val="fr-FR"/>
        </w:rPr>
        <w:t xml:space="preserve">. </w:t>
      </w:r>
      <w:r w:rsidR="00CC3C35" w:rsidRPr="00346FE6">
        <w:rPr>
          <w:lang w:val="fr-FR"/>
        </w:rPr>
        <w:t>Résumé des recommandations avec les parties responsables</w:t>
      </w:r>
    </w:p>
    <w:tbl>
      <w:tblPr>
        <w:tblStyle w:val="Grilledutableau"/>
        <w:tblW w:w="0" w:type="auto"/>
        <w:tblLook w:val="04A0" w:firstRow="1" w:lastRow="0" w:firstColumn="1" w:lastColumn="0" w:noHBand="0" w:noVBand="1"/>
      </w:tblPr>
      <w:tblGrid>
        <w:gridCol w:w="1465"/>
        <w:gridCol w:w="3653"/>
        <w:gridCol w:w="1844"/>
        <w:gridCol w:w="2054"/>
      </w:tblGrid>
      <w:tr w:rsidR="00CC3C35" w14:paraId="498E0A85" w14:textId="77777777" w:rsidTr="00346FE6">
        <w:tc>
          <w:tcPr>
            <w:tcW w:w="1465" w:type="dxa"/>
            <w:shd w:val="clear" w:color="auto" w:fill="D9D9D9" w:themeFill="background1" w:themeFillShade="D9"/>
          </w:tcPr>
          <w:p w14:paraId="65F9509F" w14:textId="0B183483" w:rsidR="00CC3C35" w:rsidRDefault="00CC3C35" w:rsidP="00937AA0">
            <w:pPr>
              <w:rPr>
                <w:lang w:val="fr-FR"/>
              </w:rPr>
            </w:pPr>
            <w:r>
              <w:rPr>
                <w:lang w:val="fr-FR"/>
              </w:rPr>
              <w:t xml:space="preserve">No. </w:t>
            </w:r>
          </w:p>
        </w:tc>
        <w:tc>
          <w:tcPr>
            <w:tcW w:w="3653" w:type="dxa"/>
            <w:shd w:val="clear" w:color="auto" w:fill="D9D9D9" w:themeFill="background1" w:themeFillShade="D9"/>
          </w:tcPr>
          <w:p w14:paraId="2896D967" w14:textId="5362E689" w:rsidR="00CC3C35" w:rsidRDefault="00CC3C35" w:rsidP="00937AA0">
            <w:pPr>
              <w:rPr>
                <w:lang w:val="fr-FR"/>
              </w:rPr>
            </w:pPr>
            <w:r>
              <w:rPr>
                <w:lang w:val="fr-FR"/>
              </w:rPr>
              <w:t>Recommandation</w:t>
            </w:r>
          </w:p>
        </w:tc>
        <w:tc>
          <w:tcPr>
            <w:tcW w:w="1844" w:type="dxa"/>
            <w:shd w:val="clear" w:color="auto" w:fill="D9D9D9" w:themeFill="background1" w:themeFillShade="D9"/>
          </w:tcPr>
          <w:p w14:paraId="21300C42" w14:textId="1D3184CB" w:rsidR="00CC3C35" w:rsidRDefault="00CC3C35" w:rsidP="00937AA0">
            <w:pPr>
              <w:rPr>
                <w:lang w:val="fr-FR"/>
              </w:rPr>
            </w:pPr>
            <w:r>
              <w:rPr>
                <w:lang w:val="fr-FR"/>
              </w:rPr>
              <w:t>Priorité</w:t>
            </w:r>
          </w:p>
        </w:tc>
        <w:tc>
          <w:tcPr>
            <w:tcW w:w="2054" w:type="dxa"/>
            <w:shd w:val="clear" w:color="auto" w:fill="D9D9D9" w:themeFill="background1" w:themeFillShade="D9"/>
          </w:tcPr>
          <w:p w14:paraId="3E1F15A4" w14:textId="33CB8167" w:rsidR="00CC3C35" w:rsidRDefault="00CC3C35" w:rsidP="00937AA0">
            <w:pPr>
              <w:rPr>
                <w:lang w:val="fr-FR"/>
              </w:rPr>
            </w:pPr>
            <w:r>
              <w:rPr>
                <w:lang w:val="fr-FR"/>
              </w:rPr>
              <w:t>Acteurs</w:t>
            </w:r>
          </w:p>
        </w:tc>
      </w:tr>
      <w:tr w:rsidR="00454656" w:rsidRPr="00BE1549" w14:paraId="074F61DF" w14:textId="77777777" w:rsidTr="00923739">
        <w:tc>
          <w:tcPr>
            <w:tcW w:w="9016" w:type="dxa"/>
            <w:gridSpan w:val="4"/>
          </w:tcPr>
          <w:p w14:paraId="7BE7D125" w14:textId="2903918D" w:rsidR="00454656" w:rsidRDefault="00021258" w:rsidP="00937AA0">
            <w:pPr>
              <w:rPr>
                <w:lang w:val="fr-FR"/>
              </w:rPr>
            </w:pPr>
            <w:r>
              <w:rPr>
                <w:i/>
                <w:color w:val="E36C0A"/>
                <w:sz w:val="20"/>
                <w:szCs w:val="20"/>
                <w:lang w:val="fr-FR"/>
              </w:rPr>
              <w:t>C</w:t>
            </w:r>
            <w:r w:rsidR="00454656">
              <w:rPr>
                <w:i/>
                <w:color w:val="E36C0A"/>
                <w:sz w:val="20"/>
                <w:szCs w:val="20"/>
                <w:lang w:val="fr-FR"/>
              </w:rPr>
              <w:t xml:space="preserve">oordination et gestion </w:t>
            </w:r>
            <w:r>
              <w:rPr>
                <w:i/>
                <w:color w:val="E36C0A"/>
                <w:sz w:val="20"/>
                <w:szCs w:val="20"/>
                <w:lang w:val="fr-FR"/>
              </w:rPr>
              <w:t xml:space="preserve">administrative et financière </w:t>
            </w:r>
            <w:r w:rsidR="00454656">
              <w:rPr>
                <w:i/>
                <w:color w:val="E36C0A"/>
                <w:sz w:val="20"/>
                <w:szCs w:val="20"/>
                <w:lang w:val="fr-FR"/>
              </w:rPr>
              <w:t>de projet</w:t>
            </w:r>
          </w:p>
        </w:tc>
      </w:tr>
      <w:tr w:rsidR="00CC3C35" w14:paraId="152CC070" w14:textId="77777777" w:rsidTr="00346FE6">
        <w:tc>
          <w:tcPr>
            <w:tcW w:w="1465" w:type="dxa"/>
          </w:tcPr>
          <w:p w14:paraId="0B6A4B02" w14:textId="231A5003" w:rsidR="00CC3C35" w:rsidRDefault="00454656" w:rsidP="00937AA0">
            <w:pPr>
              <w:rPr>
                <w:lang w:val="fr-FR"/>
              </w:rPr>
            </w:pPr>
            <w:r>
              <w:rPr>
                <w:lang w:val="fr-FR"/>
              </w:rPr>
              <w:t>R1</w:t>
            </w:r>
          </w:p>
        </w:tc>
        <w:tc>
          <w:tcPr>
            <w:tcW w:w="3653" w:type="dxa"/>
          </w:tcPr>
          <w:p w14:paraId="07CC388A" w14:textId="08F399AE" w:rsidR="00CC3C35" w:rsidRDefault="00454656" w:rsidP="00937AA0">
            <w:pPr>
              <w:rPr>
                <w:lang w:val="fr-FR"/>
              </w:rPr>
            </w:pPr>
            <w:r w:rsidRPr="00454656">
              <w:rPr>
                <w:lang w:val="fr-FR"/>
              </w:rPr>
              <w:t>Alléger les procédures administratives et financières</w:t>
            </w:r>
          </w:p>
        </w:tc>
        <w:tc>
          <w:tcPr>
            <w:tcW w:w="1844" w:type="dxa"/>
          </w:tcPr>
          <w:p w14:paraId="35442B8A" w14:textId="3E2726CF" w:rsidR="00CC3C35" w:rsidRDefault="00021258" w:rsidP="00937AA0">
            <w:pPr>
              <w:rPr>
                <w:lang w:val="fr-FR"/>
              </w:rPr>
            </w:pPr>
            <w:r>
              <w:rPr>
                <w:lang w:val="fr-FR"/>
              </w:rPr>
              <w:t>1</w:t>
            </w:r>
          </w:p>
        </w:tc>
        <w:tc>
          <w:tcPr>
            <w:tcW w:w="2054" w:type="dxa"/>
          </w:tcPr>
          <w:p w14:paraId="40A1AB13" w14:textId="14E6B1D8" w:rsidR="00CC3C35" w:rsidRDefault="00021258" w:rsidP="00937AA0">
            <w:pPr>
              <w:rPr>
                <w:lang w:val="fr-FR"/>
              </w:rPr>
            </w:pPr>
            <w:r>
              <w:rPr>
                <w:lang w:val="fr-FR"/>
              </w:rPr>
              <w:t>PNUD</w:t>
            </w:r>
          </w:p>
        </w:tc>
      </w:tr>
      <w:tr w:rsidR="00CC3C35" w14:paraId="5DF26651" w14:textId="77777777" w:rsidTr="00346FE6">
        <w:tc>
          <w:tcPr>
            <w:tcW w:w="1465" w:type="dxa"/>
          </w:tcPr>
          <w:p w14:paraId="70DF3591" w14:textId="78EA3C73" w:rsidR="00CC3C35" w:rsidRDefault="00021258" w:rsidP="00937AA0">
            <w:pPr>
              <w:rPr>
                <w:lang w:val="fr-FR"/>
              </w:rPr>
            </w:pPr>
            <w:r>
              <w:rPr>
                <w:lang w:val="fr-FR"/>
              </w:rPr>
              <w:t>R2</w:t>
            </w:r>
          </w:p>
        </w:tc>
        <w:tc>
          <w:tcPr>
            <w:tcW w:w="3653" w:type="dxa"/>
          </w:tcPr>
          <w:p w14:paraId="3E16F450" w14:textId="3BEEE7CC" w:rsidR="00CC3C35" w:rsidRDefault="00021258" w:rsidP="00596C84">
            <w:pPr>
              <w:rPr>
                <w:lang w:val="fr-FR"/>
              </w:rPr>
            </w:pPr>
            <w:r w:rsidRPr="00CA44AE">
              <w:rPr>
                <w:lang w:val="fr-FR"/>
              </w:rPr>
              <w:t>Améliorer le suivi et la qualité du rapportage</w:t>
            </w:r>
            <w:r w:rsidR="00A7610B">
              <w:rPr>
                <w:lang w:val="fr-FR"/>
              </w:rPr>
              <w:t xml:space="preserve">. </w:t>
            </w:r>
            <w:r w:rsidR="00A7610B" w:rsidRPr="00346FE6">
              <w:rPr>
                <w:lang w:val="fr-FR"/>
              </w:rPr>
              <w:t>Utilisation systématique des mêmes indicateurs et d’un cadre logique unique</w:t>
            </w:r>
            <w:r w:rsidR="00A7610B">
              <w:rPr>
                <w:lang w:val="fr-FR"/>
              </w:rPr>
              <w:t>.</w:t>
            </w:r>
            <w:r w:rsidR="00596C84" w:rsidRPr="002B677E">
              <w:rPr>
                <w:lang w:val="fr-FR"/>
              </w:rPr>
              <w:t xml:space="preserve"> </w:t>
            </w:r>
            <w:r w:rsidR="00596C84">
              <w:rPr>
                <w:lang w:val="fr-FR"/>
              </w:rPr>
              <w:t>Renforcer d'urgence le rapportage</w:t>
            </w:r>
            <w:r w:rsidR="00596C84" w:rsidRPr="00596C84">
              <w:rPr>
                <w:lang w:val="fr-FR"/>
              </w:rPr>
              <w:t xml:space="preserve"> d'informations sur le financement et le cofinancement.</w:t>
            </w:r>
          </w:p>
        </w:tc>
        <w:tc>
          <w:tcPr>
            <w:tcW w:w="1844" w:type="dxa"/>
          </w:tcPr>
          <w:p w14:paraId="2BC5EF19" w14:textId="7F08ABFC" w:rsidR="00CC3C35" w:rsidRDefault="00021258" w:rsidP="00937AA0">
            <w:pPr>
              <w:rPr>
                <w:lang w:val="fr-FR"/>
              </w:rPr>
            </w:pPr>
            <w:r>
              <w:rPr>
                <w:lang w:val="fr-FR"/>
              </w:rPr>
              <w:t>1</w:t>
            </w:r>
          </w:p>
        </w:tc>
        <w:tc>
          <w:tcPr>
            <w:tcW w:w="2054" w:type="dxa"/>
          </w:tcPr>
          <w:p w14:paraId="11A765A0" w14:textId="44EB5427" w:rsidR="00CC3C35" w:rsidRDefault="00021258" w:rsidP="00937AA0">
            <w:pPr>
              <w:rPr>
                <w:lang w:val="fr-FR"/>
              </w:rPr>
            </w:pPr>
            <w:r w:rsidRPr="00CA44AE">
              <w:rPr>
                <w:lang w:val="fr-FR"/>
              </w:rPr>
              <w:t xml:space="preserve">PNUD, UCP, </w:t>
            </w:r>
            <w:proofErr w:type="spellStart"/>
            <w:r w:rsidRPr="00CA44AE">
              <w:rPr>
                <w:lang w:val="fr-FR"/>
              </w:rPr>
              <w:t>Tany</w:t>
            </w:r>
            <w:proofErr w:type="spellEnd"/>
            <w:r w:rsidRPr="00CA44AE">
              <w:rPr>
                <w:lang w:val="fr-FR"/>
              </w:rPr>
              <w:t xml:space="preserve"> </w:t>
            </w:r>
            <w:proofErr w:type="spellStart"/>
            <w:r w:rsidRPr="00CA44AE">
              <w:rPr>
                <w:lang w:val="fr-FR"/>
              </w:rPr>
              <w:t>Meva</w:t>
            </w:r>
            <w:proofErr w:type="spellEnd"/>
            <w:r w:rsidRPr="00CA44AE">
              <w:rPr>
                <w:lang w:val="fr-FR"/>
              </w:rPr>
              <w:t xml:space="preserve"> et SAGE</w:t>
            </w:r>
          </w:p>
        </w:tc>
      </w:tr>
      <w:tr w:rsidR="00A7610B" w:rsidRPr="00BE1549" w14:paraId="7E4794F3" w14:textId="77777777" w:rsidTr="00454656">
        <w:tc>
          <w:tcPr>
            <w:tcW w:w="1465" w:type="dxa"/>
          </w:tcPr>
          <w:p w14:paraId="2A18C9E4" w14:textId="5F0B429D" w:rsidR="00A7610B" w:rsidRDefault="00A7610B" w:rsidP="00A7610B">
            <w:pPr>
              <w:rPr>
                <w:lang w:val="fr-FR"/>
              </w:rPr>
            </w:pPr>
            <w:r>
              <w:rPr>
                <w:lang w:val="fr-FR"/>
              </w:rPr>
              <w:t>R3</w:t>
            </w:r>
          </w:p>
        </w:tc>
        <w:tc>
          <w:tcPr>
            <w:tcW w:w="3653" w:type="dxa"/>
          </w:tcPr>
          <w:p w14:paraId="14060A0B" w14:textId="4B2A3B7D" w:rsidR="00A7610B" w:rsidRPr="00CA44AE" w:rsidRDefault="00A7610B" w:rsidP="00A7610B">
            <w:pPr>
              <w:rPr>
                <w:lang w:val="fr-FR"/>
              </w:rPr>
            </w:pPr>
            <w:r w:rsidRPr="00CA44AE">
              <w:rPr>
                <w:lang w:val="fr-FR"/>
              </w:rPr>
              <w:t xml:space="preserve">Travailler sur les aspects institutionnels, légaux et le renforcement de capacités au niveau </w:t>
            </w:r>
            <w:r w:rsidRPr="00CA44AE">
              <w:rPr>
                <w:lang w:val="fr-FR"/>
              </w:rPr>
              <w:lastRenderedPageBreak/>
              <w:t>national liés à la planification territoriale à l’échelle des paysages</w:t>
            </w:r>
          </w:p>
        </w:tc>
        <w:tc>
          <w:tcPr>
            <w:tcW w:w="1844" w:type="dxa"/>
          </w:tcPr>
          <w:p w14:paraId="46BC1625" w14:textId="2E38F963" w:rsidR="00A7610B" w:rsidRDefault="00A7610B" w:rsidP="00A7610B">
            <w:pPr>
              <w:rPr>
                <w:lang w:val="fr-FR"/>
              </w:rPr>
            </w:pPr>
            <w:r>
              <w:rPr>
                <w:lang w:val="fr-FR"/>
              </w:rPr>
              <w:lastRenderedPageBreak/>
              <w:t>1</w:t>
            </w:r>
          </w:p>
        </w:tc>
        <w:tc>
          <w:tcPr>
            <w:tcW w:w="2054" w:type="dxa"/>
          </w:tcPr>
          <w:p w14:paraId="38AA7497" w14:textId="5AC40FAC" w:rsidR="00A7610B" w:rsidRPr="00CA44AE" w:rsidRDefault="00A7610B" w:rsidP="00A7610B">
            <w:pPr>
              <w:rPr>
                <w:lang w:val="fr-FR"/>
              </w:rPr>
            </w:pPr>
            <w:r>
              <w:rPr>
                <w:lang w:val="fr-FR"/>
              </w:rPr>
              <w:t>PNUD, MEDD, autres entités nationales</w:t>
            </w:r>
          </w:p>
        </w:tc>
      </w:tr>
      <w:tr w:rsidR="00A7610B" w:rsidRPr="00BE1549" w14:paraId="6A515512" w14:textId="77777777" w:rsidTr="00454656">
        <w:tc>
          <w:tcPr>
            <w:tcW w:w="1465" w:type="dxa"/>
          </w:tcPr>
          <w:p w14:paraId="00C47941" w14:textId="225D2961" w:rsidR="00A7610B" w:rsidRDefault="00A7610B" w:rsidP="00A7610B">
            <w:pPr>
              <w:rPr>
                <w:lang w:val="fr-FR"/>
              </w:rPr>
            </w:pPr>
            <w:r>
              <w:rPr>
                <w:lang w:val="fr-FR"/>
              </w:rPr>
              <w:t>R4</w:t>
            </w:r>
          </w:p>
        </w:tc>
        <w:tc>
          <w:tcPr>
            <w:tcW w:w="3653" w:type="dxa"/>
          </w:tcPr>
          <w:p w14:paraId="0C6C62B9" w14:textId="41002713" w:rsidR="00A7610B" w:rsidRPr="00CA44AE" w:rsidRDefault="00A7610B" w:rsidP="00A7610B">
            <w:pPr>
              <w:rPr>
                <w:lang w:val="fr-FR"/>
              </w:rPr>
            </w:pPr>
            <w:r w:rsidRPr="00CA44AE">
              <w:rPr>
                <w:lang w:val="fr-FR"/>
              </w:rPr>
              <w:t>Élaborer la théorie du changement et l’arbre à problèmes du projet, en les connectant au niveau national</w:t>
            </w:r>
            <w:r w:rsidR="009313B0">
              <w:rPr>
                <w:lang w:val="fr-FR"/>
              </w:rPr>
              <w:t xml:space="preserve">. </w:t>
            </w:r>
            <w:r w:rsidR="009313B0" w:rsidRPr="009313B0">
              <w:rPr>
                <w:lang w:val="fr-FR"/>
              </w:rPr>
              <w:t>Lié à R2, ajuster le cadre de résultats en conséquence</w:t>
            </w:r>
            <w:r w:rsidR="009313B0">
              <w:rPr>
                <w:lang w:val="fr-FR"/>
              </w:rPr>
              <w:t>.</w:t>
            </w:r>
          </w:p>
        </w:tc>
        <w:tc>
          <w:tcPr>
            <w:tcW w:w="1844" w:type="dxa"/>
          </w:tcPr>
          <w:p w14:paraId="3513F7D9" w14:textId="51E137FB" w:rsidR="00A7610B" w:rsidRDefault="00A7610B" w:rsidP="00A7610B">
            <w:pPr>
              <w:rPr>
                <w:lang w:val="fr-FR"/>
              </w:rPr>
            </w:pPr>
            <w:r>
              <w:rPr>
                <w:lang w:val="fr-FR"/>
              </w:rPr>
              <w:t>1</w:t>
            </w:r>
          </w:p>
        </w:tc>
        <w:tc>
          <w:tcPr>
            <w:tcW w:w="2054" w:type="dxa"/>
          </w:tcPr>
          <w:p w14:paraId="5A181E5A" w14:textId="4CDBE69B" w:rsidR="00A7610B" w:rsidRPr="00CA44AE" w:rsidRDefault="00A7610B" w:rsidP="00A7610B">
            <w:pPr>
              <w:rPr>
                <w:lang w:val="fr-FR"/>
              </w:rPr>
            </w:pPr>
            <w:r w:rsidRPr="00CA44AE">
              <w:rPr>
                <w:lang w:val="fr-FR"/>
              </w:rPr>
              <w:t>UCP, équipe du PNUD, MEDD</w:t>
            </w:r>
            <w:r>
              <w:rPr>
                <w:lang w:val="fr-FR"/>
              </w:rPr>
              <w:t>-</w:t>
            </w:r>
            <w:r w:rsidRPr="00CA44AE">
              <w:rPr>
                <w:lang w:val="fr-FR"/>
              </w:rPr>
              <w:t xml:space="preserve"> </w:t>
            </w:r>
            <w:r w:rsidRPr="00DC5044">
              <w:rPr>
                <w:lang w:val="fr-FR"/>
              </w:rPr>
              <w:t>DREDD</w:t>
            </w:r>
            <w:r w:rsidR="004E5C43">
              <w:rPr>
                <w:lang w:val="fr-FR"/>
              </w:rPr>
              <w:t xml:space="preserve">, autres acteurs </w:t>
            </w:r>
            <w:r w:rsidR="00A22809">
              <w:rPr>
                <w:lang w:val="fr-FR"/>
              </w:rPr>
              <w:t>pertinentes</w:t>
            </w:r>
          </w:p>
        </w:tc>
      </w:tr>
      <w:tr w:rsidR="00A7610B" w14:paraId="5CBB0BD0" w14:textId="77777777" w:rsidTr="00454656">
        <w:tc>
          <w:tcPr>
            <w:tcW w:w="1465" w:type="dxa"/>
          </w:tcPr>
          <w:p w14:paraId="1FEECF77" w14:textId="1CA2C07E" w:rsidR="00A7610B" w:rsidRDefault="00A7610B" w:rsidP="00A7610B">
            <w:pPr>
              <w:rPr>
                <w:lang w:val="fr-FR"/>
              </w:rPr>
            </w:pPr>
            <w:r>
              <w:rPr>
                <w:lang w:val="fr-FR"/>
              </w:rPr>
              <w:t>R5</w:t>
            </w:r>
          </w:p>
        </w:tc>
        <w:tc>
          <w:tcPr>
            <w:tcW w:w="3653" w:type="dxa"/>
          </w:tcPr>
          <w:p w14:paraId="2799DE53" w14:textId="52D53448" w:rsidR="00A7610B" w:rsidRPr="00CA44AE" w:rsidRDefault="00A7610B" w:rsidP="00A7610B">
            <w:pPr>
              <w:rPr>
                <w:lang w:val="fr-FR"/>
              </w:rPr>
            </w:pPr>
            <w:r>
              <w:rPr>
                <w:lang w:val="fr-FR"/>
              </w:rPr>
              <w:t>A</w:t>
            </w:r>
            <w:r w:rsidRPr="00CA44AE">
              <w:rPr>
                <w:lang w:val="fr-FR"/>
              </w:rPr>
              <w:t xml:space="preserve">ccompagner </w:t>
            </w:r>
            <w:proofErr w:type="spellStart"/>
            <w:r w:rsidRPr="00CA44AE">
              <w:rPr>
                <w:lang w:val="fr-FR"/>
              </w:rPr>
              <w:t>Tany</w:t>
            </w:r>
            <w:proofErr w:type="spellEnd"/>
            <w:r w:rsidRPr="00CA44AE">
              <w:rPr>
                <w:lang w:val="fr-FR"/>
              </w:rPr>
              <w:t xml:space="preserve"> </w:t>
            </w:r>
            <w:proofErr w:type="spellStart"/>
            <w:r w:rsidRPr="00CA44AE">
              <w:rPr>
                <w:lang w:val="fr-FR"/>
              </w:rPr>
              <w:t>Meva</w:t>
            </w:r>
            <w:proofErr w:type="spellEnd"/>
            <w:r w:rsidRPr="00CA44AE">
              <w:rPr>
                <w:lang w:val="fr-FR"/>
              </w:rPr>
              <w:t xml:space="preserve"> et SAGE dans l’identification des bonnes pratiques, et le partage d’expériences pertinentes</w:t>
            </w:r>
          </w:p>
        </w:tc>
        <w:tc>
          <w:tcPr>
            <w:tcW w:w="1844" w:type="dxa"/>
          </w:tcPr>
          <w:p w14:paraId="54F2E4AD" w14:textId="0ABAEC1E" w:rsidR="00A7610B" w:rsidRDefault="00A7610B" w:rsidP="00A7610B">
            <w:pPr>
              <w:rPr>
                <w:lang w:val="fr-FR"/>
              </w:rPr>
            </w:pPr>
            <w:r>
              <w:rPr>
                <w:lang w:val="fr-FR"/>
              </w:rPr>
              <w:t>2</w:t>
            </w:r>
          </w:p>
        </w:tc>
        <w:tc>
          <w:tcPr>
            <w:tcW w:w="2054" w:type="dxa"/>
          </w:tcPr>
          <w:p w14:paraId="053BA87A" w14:textId="16A9F6AE" w:rsidR="00A7610B" w:rsidRPr="00CA44AE" w:rsidRDefault="00A7610B" w:rsidP="00A7610B">
            <w:pPr>
              <w:rPr>
                <w:lang w:val="fr-FR"/>
              </w:rPr>
            </w:pPr>
            <w:r>
              <w:rPr>
                <w:lang w:val="fr-FR"/>
              </w:rPr>
              <w:t xml:space="preserve">UCP, </w:t>
            </w:r>
            <w:proofErr w:type="spellStart"/>
            <w:r>
              <w:rPr>
                <w:lang w:val="fr-FR"/>
              </w:rPr>
              <w:t>Tany</w:t>
            </w:r>
            <w:proofErr w:type="spellEnd"/>
            <w:r>
              <w:rPr>
                <w:lang w:val="fr-FR"/>
              </w:rPr>
              <w:t xml:space="preserve"> </w:t>
            </w:r>
            <w:proofErr w:type="spellStart"/>
            <w:r>
              <w:rPr>
                <w:lang w:val="fr-FR"/>
              </w:rPr>
              <w:t>Meva</w:t>
            </w:r>
            <w:proofErr w:type="spellEnd"/>
            <w:r>
              <w:rPr>
                <w:lang w:val="fr-FR"/>
              </w:rPr>
              <w:t>, SAGE</w:t>
            </w:r>
          </w:p>
        </w:tc>
      </w:tr>
      <w:tr w:rsidR="00A7610B" w14:paraId="2823FF2E" w14:textId="77777777" w:rsidTr="00454656">
        <w:tc>
          <w:tcPr>
            <w:tcW w:w="1465" w:type="dxa"/>
          </w:tcPr>
          <w:p w14:paraId="6B0B5390" w14:textId="4EA07CC6" w:rsidR="00A7610B" w:rsidRDefault="00A7610B" w:rsidP="00A7610B">
            <w:pPr>
              <w:rPr>
                <w:lang w:val="fr-FR"/>
              </w:rPr>
            </w:pPr>
            <w:r>
              <w:rPr>
                <w:lang w:val="fr-FR"/>
              </w:rPr>
              <w:t>R6</w:t>
            </w:r>
          </w:p>
        </w:tc>
        <w:tc>
          <w:tcPr>
            <w:tcW w:w="3653" w:type="dxa"/>
          </w:tcPr>
          <w:p w14:paraId="2C919DFF" w14:textId="3F56D4F7" w:rsidR="00A7610B" w:rsidRDefault="00A7610B" w:rsidP="00A7610B">
            <w:pPr>
              <w:rPr>
                <w:lang w:val="fr-FR"/>
              </w:rPr>
            </w:pPr>
            <w:r>
              <w:rPr>
                <w:lang w:val="fr-FR"/>
              </w:rPr>
              <w:t>D</w:t>
            </w:r>
            <w:r w:rsidRPr="00CA44AE">
              <w:rPr>
                <w:lang w:val="fr-FR"/>
              </w:rPr>
              <w:t>évelopper une feuille de route commune aux deux partenaires de mise en œuvre</w:t>
            </w:r>
          </w:p>
        </w:tc>
        <w:tc>
          <w:tcPr>
            <w:tcW w:w="1844" w:type="dxa"/>
          </w:tcPr>
          <w:p w14:paraId="6966FBA7" w14:textId="40010142" w:rsidR="00A7610B" w:rsidRDefault="00A7610B" w:rsidP="00A7610B">
            <w:pPr>
              <w:rPr>
                <w:lang w:val="fr-FR"/>
              </w:rPr>
            </w:pPr>
            <w:r>
              <w:rPr>
                <w:lang w:val="fr-FR"/>
              </w:rPr>
              <w:t>2</w:t>
            </w:r>
          </w:p>
        </w:tc>
        <w:tc>
          <w:tcPr>
            <w:tcW w:w="2054" w:type="dxa"/>
          </w:tcPr>
          <w:p w14:paraId="2ED12277" w14:textId="5D946814" w:rsidR="00A7610B" w:rsidRDefault="00A7610B" w:rsidP="00A7610B">
            <w:pPr>
              <w:rPr>
                <w:lang w:val="fr-FR"/>
              </w:rPr>
            </w:pPr>
            <w:r>
              <w:rPr>
                <w:lang w:val="fr-FR"/>
              </w:rPr>
              <w:t xml:space="preserve">UCP, </w:t>
            </w:r>
            <w:proofErr w:type="spellStart"/>
            <w:r>
              <w:rPr>
                <w:lang w:val="fr-FR"/>
              </w:rPr>
              <w:t>Tany</w:t>
            </w:r>
            <w:proofErr w:type="spellEnd"/>
            <w:r>
              <w:rPr>
                <w:lang w:val="fr-FR"/>
              </w:rPr>
              <w:t xml:space="preserve"> </w:t>
            </w:r>
            <w:proofErr w:type="spellStart"/>
            <w:r>
              <w:rPr>
                <w:lang w:val="fr-FR"/>
              </w:rPr>
              <w:t>Meva</w:t>
            </w:r>
            <w:proofErr w:type="spellEnd"/>
            <w:r>
              <w:rPr>
                <w:lang w:val="fr-FR"/>
              </w:rPr>
              <w:t>, SAGE</w:t>
            </w:r>
          </w:p>
        </w:tc>
      </w:tr>
      <w:tr w:rsidR="00A7610B" w14:paraId="1A688935" w14:textId="77777777" w:rsidTr="00454656">
        <w:tc>
          <w:tcPr>
            <w:tcW w:w="1465" w:type="dxa"/>
          </w:tcPr>
          <w:p w14:paraId="3778E7FF" w14:textId="46309D00" w:rsidR="00A7610B" w:rsidRDefault="00A7610B" w:rsidP="00A7610B">
            <w:pPr>
              <w:rPr>
                <w:lang w:val="fr-FR"/>
              </w:rPr>
            </w:pPr>
            <w:r>
              <w:rPr>
                <w:lang w:val="fr-FR"/>
              </w:rPr>
              <w:t>R7</w:t>
            </w:r>
          </w:p>
        </w:tc>
        <w:tc>
          <w:tcPr>
            <w:tcW w:w="3653" w:type="dxa"/>
          </w:tcPr>
          <w:p w14:paraId="3468F136" w14:textId="67262A06" w:rsidR="00A7610B" w:rsidRPr="00CA44AE" w:rsidRDefault="00A7610B" w:rsidP="00A7610B">
            <w:pPr>
              <w:rPr>
                <w:lang w:val="fr-FR"/>
              </w:rPr>
            </w:pPr>
            <w:r>
              <w:rPr>
                <w:lang w:val="fr-FR"/>
              </w:rPr>
              <w:t>R</w:t>
            </w:r>
            <w:r w:rsidRPr="00CA44AE">
              <w:rPr>
                <w:lang w:val="fr-FR"/>
              </w:rPr>
              <w:t>ecruter un conseiller technique principal, tel que prévu dans le document de projet, pour superviser les aspects techniques de la composante 1</w:t>
            </w:r>
          </w:p>
        </w:tc>
        <w:tc>
          <w:tcPr>
            <w:tcW w:w="1844" w:type="dxa"/>
          </w:tcPr>
          <w:p w14:paraId="38FA7AB6" w14:textId="0D7CD2B3" w:rsidR="00A7610B" w:rsidRDefault="00A7610B" w:rsidP="00A7610B">
            <w:pPr>
              <w:rPr>
                <w:lang w:val="fr-FR"/>
              </w:rPr>
            </w:pPr>
            <w:r>
              <w:rPr>
                <w:lang w:val="fr-FR"/>
              </w:rPr>
              <w:t>2</w:t>
            </w:r>
          </w:p>
        </w:tc>
        <w:tc>
          <w:tcPr>
            <w:tcW w:w="2054" w:type="dxa"/>
          </w:tcPr>
          <w:p w14:paraId="7C4266A4" w14:textId="77854752" w:rsidR="00A7610B" w:rsidRDefault="00A7610B" w:rsidP="00A7610B">
            <w:pPr>
              <w:rPr>
                <w:lang w:val="fr-FR"/>
              </w:rPr>
            </w:pPr>
            <w:r>
              <w:rPr>
                <w:lang w:val="fr-FR"/>
              </w:rPr>
              <w:t>PNUD</w:t>
            </w:r>
          </w:p>
        </w:tc>
      </w:tr>
      <w:tr w:rsidR="00A7610B" w14:paraId="06D7005F" w14:textId="77777777" w:rsidTr="00923739">
        <w:tc>
          <w:tcPr>
            <w:tcW w:w="9016" w:type="dxa"/>
            <w:gridSpan w:val="4"/>
          </w:tcPr>
          <w:p w14:paraId="4D02FDFF" w14:textId="3C638E94" w:rsidR="00A7610B" w:rsidRPr="00CA44AE" w:rsidRDefault="00A7610B" w:rsidP="00A7610B">
            <w:pPr>
              <w:rPr>
                <w:lang w:val="fr-FR"/>
              </w:rPr>
            </w:pPr>
            <w:r w:rsidRPr="008F47A6">
              <w:rPr>
                <w:i/>
                <w:color w:val="E36C0A"/>
                <w:sz w:val="20"/>
                <w:szCs w:val="20"/>
                <w:lang w:val="fr-FR"/>
              </w:rPr>
              <w:t>Aspects socio</w:t>
            </w:r>
            <w:r>
              <w:rPr>
                <w:i/>
                <w:color w:val="E36C0A"/>
                <w:sz w:val="20"/>
                <w:szCs w:val="20"/>
                <w:lang w:val="fr-FR"/>
              </w:rPr>
              <w:t>-</w:t>
            </w:r>
            <w:r w:rsidRPr="008F47A6">
              <w:rPr>
                <w:i/>
                <w:color w:val="E36C0A"/>
                <w:sz w:val="20"/>
                <w:szCs w:val="20"/>
                <w:lang w:val="fr-FR"/>
              </w:rPr>
              <w:t>économiques / durabilité</w:t>
            </w:r>
          </w:p>
        </w:tc>
      </w:tr>
      <w:tr w:rsidR="00A7610B" w14:paraId="0080C262" w14:textId="77777777" w:rsidTr="00454656">
        <w:tc>
          <w:tcPr>
            <w:tcW w:w="1465" w:type="dxa"/>
          </w:tcPr>
          <w:p w14:paraId="22FBCA9B" w14:textId="7F168A7F" w:rsidR="00A7610B" w:rsidRDefault="00A7610B" w:rsidP="00A7610B">
            <w:pPr>
              <w:rPr>
                <w:lang w:val="fr-FR"/>
              </w:rPr>
            </w:pPr>
            <w:r>
              <w:rPr>
                <w:lang w:val="fr-FR"/>
              </w:rPr>
              <w:t>R8</w:t>
            </w:r>
          </w:p>
        </w:tc>
        <w:tc>
          <w:tcPr>
            <w:tcW w:w="3653" w:type="dxa"/>
          </w:tcPr>
          <w:p w14:paraId="30986178" w14:textId="387C1B04" w:rsidR="00A7610B" w:rsidRPr="00CA44AE" w:rsidRDefault="00A7610B" w:rsidP="00A7610B">
            <w:pPr>
              <w:rPr>
                <w:lang w:val="fr-FR"/>
              </w:rPr>
            </w:pPr>
            <w:r>
              <w:rPr>
                <w:lang w:val="fr-FR"/>
              </w:rPr>
              <w:t>C</w:t>
            </w:r>
            <w:r w:rsidRPr="00CA44AE">
              <w:rPr>
                <w:lang w:val="fr-FR"/>
              </w:rPr>
              <w:t>ommencer les activités liées aux activités économiques et</w:t>
            </w:r>
            <w:r>
              <w:rPr>
                <w:lang w:val="fr-FR"/>
              </w:rPr>
              <w:t xml:space="preserve"> </w:t>
            </w:r>
            <w:r w:rsidRPr="00CA44AE">
              <w:rPr>
                <w:lang w:val="fr-FR"/>
              </w:rPr>
              <w:t>villages écologiques au plus vite et de manière substantielle. Choisir des activités économiques réalistes, durables et stratégiques</w:t>
            </w:r>
          </w:p>
        </w:tc>
        <w:tc>
          <w:tcPr>
            <w:tcW w:w="1844" w:type="dxa"/>
          </w:tcPr>
          <w:p w14:paraId="60E0052B" w14:textId="599EDD93" w:rsidR="00A7610B" w:rsidRDefault="00A7610B" w:rsidP="00A7610B">
            <w:pPr>
              <w:rPr>
                <w:lang w:val="fr-FR"/>
              </w:rPr>
            </w:pPr>
            <w:r>
              <w:rPr>
                <w:lang w:val="fr-FR"/>
              </w:rPr>
              <w:t>1</w:t>
            </w:r>
          </w:p>
        </w:tc>
        <w:tc>
          <w:tcPr>
            <w:tcW w:w="2054" w:type="dxa"/>
          </w:tcPr>
          <w:p w14:paraId="0D3334E4" w14:textId="00FA271E" w:rsidR="00A7610B" w:rsidRPr="002B677E" w:rsidRDefault="00A7610B" w:rsidP="00A7610B">
            <w:pPr>
              <w:rPr>
                <w:lang w:val="en-US"/>
              </w:rPr>
            </w:pPr>
            <w:r w:rsidRPr="002B677E">
              <w:rPr>
                <w:lang w:val="en-US"/>
              </w:rPr>
              <w:t xml:space="preserve">PNUD, </w:t>
            </w:r>
            <w:proofErr w:type="spellStart"/>
            <w:r w:rsidRPr="002B677E">
              <w:rPr>
                <w:lang w:val="en-US"/>
              </w:rPr>
              <w:t>Tany</w:t>
            </w:r>
            <w:proofErr w:type="spellEnd"/>
            <w:r w:rsidRPr="002B677E">
              <w:rPr>
                <w:lang w:val="en-US"/>
              </w:rPr>
              <w:t xml:space="preserve"> </w:t>
            </w:r>
            <w:proofErr w:type="spellStart"/>
            <w:r w:rsidRPr="002B677E">
              <w:rPr>
                <w:lang w:val="en-US"/>
              </w:rPr>
              <w:t>Meva</w:t>
            </w:r>
            <w:proofErr w:type="spellEnd"/>
            <w:r w:rsidRPr="002B677E">
              <w:rPr>
                <w:lang w:val="en-US"/>
              </w:rPr>
              <w:t>, SAGE, MEDD</w:t>
            </w:r>
          </w:p>
        </w:tc>
      </w:tr>
      <w:tr w:rsidR="00A7610B" w14:paraId="287FFF53" w14:textId="77777777" w:rsidTr="00454656">
        <w:tc>
          <w:tcPr>
            <w:tcW w:w="1465" w:type="dxa"/>
          </w:tcPr>
          <w:p w14:paraId="581A5E0A" w14:textId="17257883" w:rsidR="00A7610B" w:rsidRDefault="00A7610B" w:rsidP="00A7610B">
            <w:pPr>
              <w:rPr>
                <w:lang w:val="fr-FR"/>
              </w:rPr>
            </w:pPr>
            <w:r>
              <w:rPr>
                <w:lang w:val="fr-FR"/>
              </w:rPr>
              <w:t>R9</w:t>
            </w:r>
          </w:p>
        </w:tc>
        <w:tc>
          <w:tcPr>
            <w:tcW w:w="3653" w:type="dxa"/>
          </w:tcPr>
          <w:p w14:paraId="069678F5" w14:textId="69E77D9F" w:rsidR="00A7610B" w:rsidRDefault="00A7610B" w:rsidP="00A7610B">
            <w:pPr>
              <w:rPr>
                <w:lang w:val="fr-FR"/>
              </w:rPr>
            </w:pPr>
            <w:r>
              <w:rPr>
                <w:lang w:val="fr-FR"/>
              </w:rPr>
              <w:t>Améliorer l’échange de l’information produit par les communautés</w:t>
            </w:r>
          </w:p>
        </w:tc>
        <w:tc>
          <w:tcPr>
            <w:tcW w:w="1844" w:type="dxa"/>
          </w:tcPr>
          <w:p w14:paraId="55AB01E1" w14:textId="5DB37E97" w:rsidR="00A7610B" w:rsidRDefault="00A7610B" w:rsidP="00A7610B">
            <w:pPr>
              <w:rPr>
                <w:lang w:val="fr-FR"/>
              </w:rPr>
            </w:pPr>
            <w:r>
              <w:rPr>
                <w:lang w:val="fr-FR"/>
              </w:rPr>
              <w:t>1</w:t>
            </w:r>
          </w:p>
        </w:tc>
        <w:tc>
          <w:tcPr>
            <w:tcW w:w="2054" w:type="dxa"/>
          </w:tcPr>
          <w:p w14:paraId="1C73FB64" w14:textId="77FA0F5E" w:rsidR="00A7610B" w:rsidRPr="002B677E" w:rsidRDefault="00A7610B" w:rsidP="00A7610B">
            <w:pPr>
              <w:rPr>
                <w:lang w:val="en-US"/>
              </w:rPr>
            </w:pPr>
            <w:r w:rsidRPr="002B677E">
              <w:rPr>
                <w:lang w:val="en-US"/>
              </w:rPr>
              <w:t xml:space="preserve">UCP, </w:t>
            </w:r>
            <w:proofErr w:type="spellStart"/>
            <w:r w:rsidRPr="002B677E">
              <w:rPr>
                <w:lang w:val="en-US"/>
              </w:rPr>
              <w:t>Tany</w:t>
            </w:r>
            <w:proofErr w:type="spellEnd"/>
            <w:r w:rsidRPr="002B677E">
              <w:rPr>
                <w:lang w:val="en-US"/>
              </w:rPr>
              <w:t xml:space="preserve"> </w:t>
            </w:r>
            <w:proofErr w:type="spellStart"/>
            <w:r w:rsidRPr="002B677E">
              <w:rPr>
                <w:lang w:val="en-US"/>
              </w:rPr>
              <w:t>Meva</w:t>
            </w:r>
            <w:proofErr w:type="spellEnd"/>
            <w:r w:rsidRPr="002B677E">
              <w:rPr>
                <w:lang w:val="en-US"/>
              </w:rPr>
              <w:t>, SAGE, MEDD</w:t>
            </w:r>
          </w:p>
        </w:tc>
      </w:tr>
      <w:tr w:rsidR="00A7610B" w14:paraId="73BE92C2" w14:textId="77777777" w:rsidTr="00454656">
        <w:tc>
          <w:tcPr>
            <w:tcW w:w="1465" w:type="dxa"/>
          </w:tcPr>
          <w:p w14:paraId="72C0AB64" w14:textId="1BC78571" w:rsidR="00A7610B" w:rsidRDefault="00A7610B" w:rsidP="00A7610B">
            <w:pPr>
              <w:rPr>
                <w:lang w:val="fr-FR"/>
              </w:rPr>
            </w:pPr>
            <w:r>
              <w:rPr>
                <w:lang w:val="fr-FR"/>
              </w:rPr>
              <w:t>R10</w:t>
            </w:r>
          </w:p>
        </w:tc>
        <w:tc>
          <w:tcPr>
            <w:tcW w:w="3653" w:type="dxa"/>
          </w:tcPr>
          <w:p w14:paraId="647C110A" w14:textId="52FD1F5A" w:rsidR="00A7610B" w:rsidRPr="00CA44AE" w:rsidRDefault="00A7610B" w:rsidP="00A7610B">
            <w:pPr>
              <w:rPr>
                <w:lang w:val="fr-FR"/>
              </w:rPr>
            </w:pPr>
            <w:r>
              <w:rPr>
                <w:lang w:val="fr-FR"/>
              </w:rPr>
              <w:t>E</w:t>
            </w:r>
            <w:r w:rsidRPr="00CA44AE">
              <w:rPr>
                <w:lang w:val="fr-FR"/>
              </w:rPr>
              <w:t>xplorer les possibilités de partenariats avec une organisation qui travaille sur l’alphabétisation</w:t>
            </w:r>
            <w:r>
              <w:rPr>
                <w:lang w:val="fr-FR"/>
              </w:rPr>
              <w:t xml:space="preserve">. </w:t>
            </w:r>
          </w:p>
        </w:tc>
        <w:tc>
          <w:tcPr>
            <w:tcW w:w="1844" w:type="dxa"/>
          </w:tcPr>
          <w:p w14:paraId="06A69443" w14:textId="4A0C46C3" w:rsidR="00A7610B" w:rsidRDefault="00A7610B" w:rsidP="00A7610B">
            <w:pPr>
              <w:rPr>
                <w:lang w:val="fr-FR"/>
              </w:rPr>
            </w:pPr>
            <w:r>
              <w:rPr>
                <w:lang w:val="fr-FR"/>
              </w:rPr>
              <w:t>2</w:t>
            </w:r>
          </w:p>
        </w:tc>
        <w:tc>
          <w:tcPr>
            <w:tcW w:w="2054" w:type="dxa"/>
          </w:tcPr>
          <w:p w14:paraId="3F9289D5" w14:textId="3ADCFC39" w:rsidR="00A7610B" w:rsidRPr="00CA44AE" w:rsidRDefault="00A7610B" w:rsidP="00A7610B">
            <w:pPr>
              <w:rPr>
                <w:lang w:val="fr-FR"/>
              </w:rPr>
            </w:pPr>
            <w:r>
              <w:rPr>
                <w:lang w:val="fr-FR"/>
              </w:rPr>
              <w:t>UCP</w:t>
            </w:r>
          </w:p>
        </w:tc>
      </w:tr>
    </w:tbl>
    <w:p w14:paraId="0D80E773" w14:textId="77777777" w:rsidR="00937AA0" w:rsidRPr="002B7316" w:rsidRDefault="00937AA0" w:rsidP="00937AA0">
      <w:pPr>
        <w:rPr>
          <w:lang w:val="fr-FR"/>
        </w:rPr>
      </w:pPr>
    </w:p>
    <w:p w14:paraId="044D7FFF" w14:textId="77777777" w:rsidR="00937AA0" w:rsidRPr="00486C46" w:rsidRDefault="00937AA0" w:rsidP="00937AA0">
      <w:pPr>
        <w:rPr>
          <w:lang w:val="fr-FR"/>
        </w:rPr>
        <w:sectPr w:rsidR="00937AA0" w:rsidRPr="00486C46" w:rsidSect="00937AA0">
          <w:footerReference w:type="default" r:id="rId14"/>
          <w:pgSz w:w="11906" w:h="16838" w:code="9"/>
          <w:pgMar w:top="1440" w:right="1440" w:bottom="1440" w:left="1440" w:header="576" w:footer="432" w:gutter="0"/>
          <w:pgNumType w:start="1"/>
          <w:cols w:space="720"/>
          <w:docGrid w:linePitch="360"/>
        </w:sectPr>
      </w:pPr>
    </w:p>
    <w:p w14:paraId="2C3409D1" w14:textId="58D0FC99" w:rsidR="00937AA0" w:rsidRPr="00486C46" w:rsidRDefault="00937AA0" w:rsidP="00937AA0">
      <w:pPr>
        <w:pStyle w:val="Titre1"/>
        <w:ind w:left="1134" w:hanging="1134"/>
        <w:rPr>
          <w:lang w:val="fr-FR"/>
        </w:rPr>
      </w:pPr>
      <w:bookmarkStart w:id="2" w:name="_Toc501646701"/>
      <w:bookmarkStart w:id="3" w:name="_Toc31122551"/>
      <w:r w:rsidRPr="00486C46">
        <w:rPr>
          <w:lang w:val="fr-FR"/>
        </w:rPr>
        <w:lastRenderedPageBreak/>
        <w:t>Introduction</w:t>
      </w:r>
      <w:bookmarkEnd w:id="2"/>
      <w:bookmarkEnd w:id="3"/>
      <w:r w:rsidR="00576062">
        <w:rPr>
          <w:lang w:val="fr-FR"/>
        </w:rPr>
        <w:t xml:space="preserve"> </w:t>
      </w:r>
    </w:p>
    <w:p w14:paraId="636968E5" w14:textId="28CE3839" w:rsidR="00937AA0" w:rsidRPr="00486C46" w:rsidRDefault="00576062" w:rsidP="00937AA0">
      <w:pPr>
        <w:pStyle w:val="Titre2"/>
        <w:rPr>
          <w:lang w:val="fr-FR"/>
        </w:rPr>
      </w:pPr>
      <w:bookmarkStart w:id="4" w:name="_Toc501646702"/>
      <w:bookmarkStart w:id="5" w:name="_Toc31122552"/>
      <w:r>
        <w:rPr>
          <w:lang w:val="fr-FR"/>
        </w:rPr>
        <w:t>Finalités et o</w:t>
      </w:r>
      <w:r w:rsidR="00937AA0" w:rsidRPr="00486C46">
        <w:rPr>
          <w:lang w:val="fr-FR"/>
        </w:rPr>
        <w:t>bjectif</w:t>
      </w:r>
      <w:r>
        <w:rPr>
          <w:lang w:val="fr-FR"/>
        </w:rPr>
        <w:t>s</w:t>
      </w:r>
      <w:r w:rsidR="00937AA0" w:rsidRPr="00486C46">
        <w:rPr>
          <w:lang w:val="fr-FR"/>
        </w:rPr>
        <w:t xml:space="preserve"> de l’évaluation </w:t>
      </w:r>
      <w:bookmarkEnd w:id="4"/>
      <w:r>
        <w:rPr>
          <w:lang w:val="fr-FR"/>
        </w:rPr>
        <w:t>à mi-parcours</w:t>
      </w:r>
      <w:bookmarkEnd w:id="5"/>
    </w:p>
    <w:p w14:paraId="5DEA0E74" w14:textId="147977FE" w:rsidR="00937AA0" w:rsidRPr="00486C46" w:rsidRDefault="00937AA0" w:rsidP="00937AA0">
      <w:pPr>
        <w:spacing w:after="120"/>
        <w:rPr>
          <w:lang w:val="fr-FR"/>
        </w:rPr>
      </w:pPr>
      <w:r w:rsidRPr="00486C46">
        <w:rPr>
          <w:lang w:val="fr-FR"/>
        </w:rPr>
        <w:t xml:space="preserve">Conformément aux politiques et procédures du Fond pour l’Environnement Mondial (FEM) et du Programme des Nations Unies pour le Développement (PNUD), le projet </w:t>
      </w:r>
      <w:r w:rsidRPr="00E45809">
        <w:rPr>
          <w:lang w:val="fr-FR"/>
        </w:rPr>
        <w:t>« </w:t>
      </w:r>
      <w:r w:rsidR="00E45809" w:rsidRPr="00E45809">
        <w:rPr>
          <w:i/>
          <w:lang w:val="fr-FR"/>
        </w:rPr>
        <w:t>Approche paysage pour la conservation et la gestion de la biodiversité menacée de Madagascar, axée sur le paysage forestier sec et épineux de la région Atsimo Andrefana</w:t>
      </w:r>
      <w:r w:rsidRPr="00E45809">
        <w:rPr>
          <w:lang w:val="fr-FR"/>
        </w:rPr>
        <w:t xml:space="preserve">», connu et référé ici sous le nom de </w:t>
      </w:r>
      <w:r w:rsidR="00E45809" w:rsidRPr="00E45809">
        <w:rPr>
          <w:lang w:val="fr-FR"/>
        </w:rPr>
        <w:t>APAA</w:t>
      </w:r>
      <w:r w:rsidRPr="00E45809">
        <w:rPr>
          <w:lang w:val="fr-FR"/>
        </w:rPr>
        <w:t>, doit faire l’objet d’une évaluation</w:t>
      </w:r>
      <w:r w:rsidR="00E45809" w:rsidRPr="00E45809">
        <w:rPr>
          <w:lang w:val="fr-FR"/>
        </w:rPr>
        <w:t xml:space="preserve"> à mi-parcours puisque le projet </w:t>
      </w:r>
      <w:r w:rsidR="004E4AA9">
        <w:rPr>
          <w:lang w:val="fr-FR"/>
        </w:rPr>
        <w:t xml:space="preserve">de </w:t>
      </w:r>
      <w:r w:rsidR="001A348E" w:rsidRPr="007E745A">
        <w:rPr>
          <w:lang w:val="fr-FR"/>
        </w:rPr>
        <w:t xml:space="preserve">5 années </w:t>
      </w:r>
      <w:r w:rsidR="00E45809" w:rsidRPr="00E45809">
        <w:rPr>
          <w:lang w:val="fr-FR"/>
        </w:rPr>
        <w:t xml:space="preserve">lancé en </w:t>
      </w:r>
      <w:r w:rsidR="003B47EC">
        <w:rPr>
          <w:lang w:val="fr-FR"/>
        </w:rPr>
        <w:t>juin</w:t>
      </w:r>
      <w:r w:rsidR="00E45809" w:rsidRPr="00E45809">
        <w:rPr>
          <w:lang w:val="fr-FR"/>
        </w:rPr>
        <w:t xml:space="preserve"> 2017 se trouve aujourd’hui dans sa troisième année de mise en œuvre</w:t>
      </w:r>
      <w:r w:rsidRPr="00E45809">
        <w:rPr>
          <w:lang w:val="fr-FR"/>
        </w:rPr>
        <w:t xml:space="preserve">. </w:t>
      </w:r>
      <w:r w:rsidR="003E3202" w:rsidRPr="00894AB7">
        <w:rPr>
          <w:lang w:val="fr-FR"/>
        </w:rPr>
        <w:t xml:space="preserve">Cet examen à mi-parcours évalue la performance du programme depuis son </w:t>
      </w:r>
      <w:r w:rsidR="003E3202">
        <w:rPr>
          <w:lang w:val="fr-FR"/>
        </w:rPr>
        <w:t>démarrage en juin 2017</w:t>
      </w:r>
      <w:r w:rsidR="003E3202" w:rsidRPr="00894AB7">
        <w:rPr>
          <w:lang w:val="fr-FR"/>
        </w:rPr>
        <w:t xml:space="preserve"> jusqu'en </w:t>
      </w:r>
      <w:r w:rsidR="003E3202">
        <w:rPr>
          <w:lang w:val="fr-FR"/>
        </w:rPr>
        <w:t>novembre</w:t>
      </w:r>
      <w:r w:rsidR="003E3202" w:rsidRPr="00894AB7">
        <w:rPr>
          <w:lang w:val="fr-FR"/>
        </w:rPr>
        <w:t xml:space="preserve"> 2019, en se référant également dans certains cas à sa conception. </w:t>
      </w:r>
      <w:r w:rsidRPr="00E45809">
        <w:rPr>
          <w:lang w:val="fr-FR"/>
        </w:rPr>
        <w:t>Cette évaluation a été conduite entre les mois d</w:t>
      </w:r>
      <w:r w:rsidR="00E45809" w:rsidRPr="00E45809">
        <w:rPr>
          <w:lang w:val="fr-FR"/>
        </w:rPr>
        <w:t xml:space="preserve">’Octobre </w:t>
      </w:r>
      <w:r w:rsidR="003B47EC">
        <w:rPr>
          <w:lang w:val="fr-FR"/>
        </w:rPr>
        <w:t xml:space="preserve">2019 </w:t>
      </w:r>
      <w:r w:rsidRPr="00E45809">
        <w:rPr>
          <w:lang w:val="fr-FR"/>
        </w:rPr>
        <w:t xml:space="preserve">et </w:t>
      </w:r>
      <w:r w:rsidR="003B47EC">
        <w:rPr>
          <w:lang w:val="fr-FR"/>
        </w:rPr>
        <w:t>Janvier 2020</w:t>
      </w:r>
      <w:r w:rsidR="004E4AA9">
        <w:rPr>
          <w:lang w:val="fr-FR"/>
        </w:rPr>
        <w:t>, et pris en compte l’information disponible jusqu'à Novembre 2019</w:t>
      </w:r>
      <w:r w:rsidRPr="00E45809">
        <w:rPr>
          <w:lang w:val="fr-FR"/>
        </w:rPr>
        <w:t>.</w:t>
      </w:r>
    </w:p>
    <w:p w14:paraId="77395C3E" w14:textId="4E2F65F0" w:rsidR="00937AA0" w:rsidRPr="00486C46" w:rsidRDefault="00937AA0" w:rsidP="00937AA0">
      <w:pPr>
        <w:spacing w:after="120"/>
        <w:rPr>
          <w:lang w:val="fr-FR"/>
        </w:rPr>
      </w:pPr>
      <w:bookmarkStart w:id="6" w:name="_Hlk501536136"/>
      <w:r w:rsidRPr="00486C46">
        <w:rPr>
          <w:lang w:val="fr-FR"/>
        </w:rPr>
        <w:t xml:space="preserve">Cette évaluation </w:t>
      </w:r>
      <w:r>
        <w:rPr>
          <w:lang w:val="fr-FR"/>
        </w:rPr>
        <w:t>à mi-parcours</w:t>
      </w:r>
      <w:r w:rsidRPr="00486C46">
        <w:rPr>
          <w:lang w:val="fr-FR"/>
        </w:rPr>
        <w:t xml:space="preserve"> a pour objectifs de : </w:t>
      </w:r>
    </w:p>
    <w:p w14:paraId="6F257445" w14:textId="77777777" w:rsidR="00E45809" w:rsidRPr="00C50F13" w:rsidRDefault="00E45809" w:rsidP="00E45809">
      <w:pPr>
        <w:pStyle w:val="Paragraphedeliste"/>
        <w:rPr>
          <w:lang w:val="fr-FR"/>
        </w:rPr>
      </w:pPr>
      <w:bookmarkStart w:id="7" w:name="_Toc501646703"/>
      <w:bookmarkEnd w:id="6"/>
      <w:r>
        <w:rPr>
          <w:lang w:val="fr-FR"/>
        </w:rPr>
        <w:t>D’é</w:t>
      </w:r>
      <w:r w:rsidRPr="00C50F13">
        <w:rPr>
          <w:lang w:val="fr-FR"/>
        </w:rPr>
        <w:t>valuer les progrès accomplis dans la réalisation des objectifs et des résultats du projet, tels que spécifiés dans le document de projet</w:t>
      </w:r>
      <w:r>
        <w:rPr>
          <w:lang w:val="fr-FR"/>
        </w:rPr>
        <w:t xml:space="preserve"> </w:t>
      </w:r>
      <w:r w:rsidRPr="00C50F13">
        <w:rPr>
          <w:lang w:val="fr-FR"/>
        </w:rPr>
        <w:t>;</w:t>
      </w:r>
    </w:p>
    <w:p w14:paraId="0AEA6372" w14:textId="77777777" w:rsidR="00E45809" w:rsidRPr="00C50F13" w:rsidRDefault="00E45809" w:rsidP="00E45809">
      <w:pPr>
        <w:pStyle w:val="Paragraphedeliste"/>
        <w:rPr>
          <w:lang w:val="fr-FR"/>
        </w:rPr>
      </w:pPr>
      <w:r>
        <w:rPr>
          <w:lang w:val="fr-FR"/>
        </w:rPr>
        <w:t>D’é</w:t>
      </w:r>
      <w:r w:rsidRPr="00C50F13">
        <w:rPr>
          <w:lang w:val="fr-FR"/>
        </w:rPr>
        <w:t xml:space="preserve">valuer les signes avant-coureurs de succès ou d'échec du projet dans le but d'identifier les changements nécessaires à apporter afin de mettre le projet sur la bonne voie pour atteindre les résultats </w:t>
      </w:r>
      <w:r w:rsidRPr="00017802">
        <w:rPr>
          <w:lang w:val="fr-FR"/>
        </w:rPr>
        <w:t>escomptés ;</w:t>
      </w:r>
      <w:r w:rsidRPr="00C50F13">
        <w:rPr>
          <w:lang w:val="fr-FR"/>
        </w:rPr>
        <w:t xml:space="preserve"> </w:t>
      </w:r>
    </w:p>
    <w:p w14:paraId="5CF5C0F0" w14:textId="77777777" w:rsidR="00E45809" w:rsidRDefault="00E45809" w:rsidP="00E45809">
      <w:pPr>
        <w:pStyle w:val="Paragraphedeliste"/>
        <w:rPr>
          <w:lang w:val="fr-FR"/>
        </w:rPr>
      </w:pPr>
      <w:r>
        <w:rPr>
          <w:lang w:val="fr-FR"/>
        </w:rPr>
        <w:t>D’e</w:t>
      </w:r>
      <w:r w:rsidRPr="00C50F13">
        <w:rPr>
          <w:lang w:val="fr-FR"/>
        </w:rPr>
        <w:t>xaminer la stratégie du projet et ses risques pour la durabilité</w:t>
      </w:r>
      <w:r>
        <w:rPr>
          <w:lang w:val="fr-FR"/>
        </w:rPr>
        <w:t> ; et</w:t>
      </w:r>
    </w:p>
    <w:p w14:paraId="5AF79DB0" w14:textId="77777777" w:rsidR="00E45809" w:rsidRDefault="00E45809" w:rsidP="00E45809">
      <w:pPr>
        <w:pStyle w:val="Paragraphedeliste"/>
        <w:rPr>
          <w:lang w:val="fr-FR"/>
        </w:rPr>
      </w:pPr>
      <w:r>
        <w:rPr>
          <w:lang w:val="fr-FR"/>
        </w:rPr>
        <w:t>D’évaluer les aspects transversaux d’intégration du genre, l’engagement de tous les acteurs dans une démarche partenariale bénéficiant au projet, le renforcement de capacité mais aussi l’intégration des risques et impacts attendus liés au changement climatique.</w:t>
      </w:r>
    </w:p>
    <w:p w14:paraId="7CDB00BC" w14:textId="00444DE5" w:rsidR="00937AA0" w:rsidRDefault="00576062" w:rsidP="00937AA0">
      <w:pPr>
        <w:pStyle w:val="Titre2"/>
        <w:rPr>
          <w:lang w:val="fr-FR"/>
        </w:rPr>
      </w:pPr>
      <w:bookmarkStart w:id="8" w:name="_Toc31122553"/>
      <w:r>
        <w:rPr>
          <w:lang w:val="fr-FR"/>
        </w:rPr>
        <w:t xml:space="preserve">Portée et </w:t>
      </w:r>
      <w:r w:rsidR="00937AA0" w:rsidRPr="00486C46">
        <w:rPr>
          <w:lang w:val="fr-FR"/>
        </w:rPr>
        <w:t>Méthodologie</w:t>
      </w:r>
      <w:bookmarkEnd w:id="8"/>
      <w:r w:rsidR="00937AA0" w:rsidRPr="00486C46">
        <w:rPr>
          <w:lang w:val="fr-FR"/>
        </w:rPr>
        <w:t xml:space="preserve"> </w:t>
      </w:r>
      <w:bookmarkEnd w:id="7"/>
    </w:p>
    <w:p w14:paraId="68D62468" w14:textId="20970132" w:rsidR="00E45809" w:rsidRPr="00C50F13" w:rsidRDefault="00E45809" w:rsidP="00E45809">
      <w:pPr>
        <w:rPr>
          <w:lang w:val="fr-FR"/>
        </w:rPr>
      </w:pPr>
      <w:r w:rsidRPr="00C50F13">
        <w:rPr>
          <w:lang w:val="fr-FR"/>
        </w:rPr>
        <w:t>L’examen à mi-parcours</w:t>
      </w:r>
      <w:r>
        <w:rPr>
          <w:lang w:val="fr-FR"/>
        </w:rPr>
        <w:t xml:space="preserve"> évalue les éléments suivants :</w:t>
      </w:r>
    </w:p>
    <w:p w14:paraId="7A3F9779" w14:textId="77777777" w:rsidR="00E45809" w:rsidRPr="00C50F13" w:rsidRDefault="00E45809" w:rsidP="00E45809">
      <w:pPr>
        <w:pStyle w:val="Paragraphedeliste"/>
        <w:rPr>
          <w:lang w:val="fr-FR"/>
        </w:rPr>
      </w:pPr>
      <w:r w:rsidRPr="00C50F13">
        <w:rPr>
          <w:lang w:val="fr-FR"/>
        </w:rPr>
        <w:t>Stratégie du projet</w:t>
      </w:r>
      <w:r>
        <w:rPr>
          <w:lang w:val="fr-FR"/>
        </w:rPr>
        <w:t xml:space="preserve"> </w:t>
      </w:r>
      <w:r w:rsidRPr="00C50F13">
        <w:rPr>
          <w:lang w:val="fr-FR"/>
        </w:rPr>
        <w:t>: conception du projet, cadre de résultats / cadre logique</w:t>
      </w:r>
      <w:r>
        <w:rPr>
          <w:lang w:val="fr-FR"/>
        </w:rPr>
        <w:t xml:space="preserve"> </w:t>
      </w:r>
      <w:r w:rsidRPr="00C50F13">
        <w:rPr>
          <w:lang w:val="fr-FR"/>
        </w:rPr>
        <w:t>;</w:t>
      </w:r>
    </w:p>
    <w:p w14:paraId="74A2FA29" w14:textId="74F9CFBB" w:rsidR="00E45809" w:rsidRPr="00C50F13" w:rsidRDefault="00E45809" w:rsidP="00E45809">
      <w:pPr>
        <w:pStyle w:val="Paragraphedeliste"/>
        <w:rPr>
          <w:lang w:val="fr-FR"/>
        </w:rPr>
      </w:pPr>
      <w:r>
        <w:rPr>
          <w:lang w:val="fr-FR"/>
        </w:rPr>
        <w:t>P</w:t>
      </w:r>
      <w:r w:rsidRPr="00C50F13">
        <w:rPr>
          <w:lang w:val="fr-FR"/>
        </w:rPr>
        <w:t>rogrès accomplis vers les résultats (résultats)</w:t>
      </w:r>
      <w:r>
        <w:rPr>
          <w:lang w:val="fr-FR"/>
        </w:rPr>
        <w:t>, incluant l’identification des</w:t>
      </w:r>
      <w:r w:rsidRPr="00BF75AF">
        <w:rPr>
          <w:lang w:val="fr-FR"/>
        </w:rPr>
        <w:t xml:space="preserve"> causes sous-jacentes et les problèmes de non-réalisation de certaines cibles</w:t>
      </w:r>
      <w:r w:rsidR="008F47A6">
        <w:rPr>
          <w:lang w:val="fr-FR"/>
        </w:rPr>
        <w:t xml:space="preserve"> </w:t>
      </w:r>
      <w:r w:rsidRPr="00C50F13">
        <w:rPr>
          <w:lang w:val="fr-FR"/>
        </w:rPr>
        <w:t>;</w:t>
      </w:r>
    </w:p>
    <w:p w14:paraId="2B63E4D1" w14:textId="77777777" w:rsidR="00E45809" w:rsidRPr="00C50F13" w:rsidRDefault="00E45809" w:rsidP="00E45809">
      <w:pPr>
        <w:pStyle w:val="Paragraphedeliste"/>
        <w:rPr>
          <w:lang w:val="fr-FR"/>
        </w:rPr>
      </w:pPr>
      <w:r w:rsidRPr="00C50F13">
        <w:rPr>
          <w:lang w:val="fr-FR"/>
        </w:rPr>
        <w:t>Mise en œuvre du projet et gestion adaptative</w:t>
      </w:r>
      <w:r>
        <w:rPr>
          <w:lang w:val="fr-FR"/>
        </w:rPr>
        <w:t xml:space="preserve"> </w:t>
      </w:r>
      <w:r w:rsidRPr="00C50F13">
        <w:rPr>
          <w:lang w:val="fr-FR"/>
        </w:rPr>
        <w:t>: dispositifs de gestion, planification du travail, financement et cofinancement, systèmes de suivi et d'évaluation (S &amp; E) au niveau du projet, engagement des parties prenantes, rapports, communication</w:t>
      </w:r>
      <w:r>
        <w:rPr>
          <w:lang w:val="fr-FR"/>
        </w:rPr>
        <w:t> ; et</w:t>
      </w:r>
    </w:p>
    <w:p w14:paraId="324DEB63" w14:textId="77777777" w:rsidR="00E45809" w:rsidRDefault="00E45809" w:rsidP="00E45809">
      <w:pPr>
        <w:pStyle w:val="Paragraphedeliste"/>
        <w:rPr>
          <w:lang w:val="fr-FR"/>
        </w:rPr>
      </w:pPr>
      <w:r w:rsidRPr="0068631B">
        <w:rPr>
          <w:lang w:val="fr-FR"/>
        </w:rPr>
        <w:t xml:space="preserve">Durabilité : cadre financier, socio-économique, environnemental, institutionnel et risques de gouvernance pour la durabilité. </w:t>
      </w:r>
    </w:p>
    <w:p w14:paraId="2C59B3C6" w14:textId="68C14FBB" w:rsidR="00E45809" w:rsidRDefault="00E45809" w:rsidP="00E45809">
      <w:pPr>
        <w:rPr>
          <w:lang w:val="fr-FR"/>
        </w:rPr>
      </w:pPr>
      <w:r w:rsidRPr="0068631B">
        <w:rPr>
          <w:lang w:val="fr-FR"/>
        </w:rPr>
        <w:t xml:space="preserve">Il </w:t>
      </w:r>
      <w:r w:rsidRPr="00BF75AF">
        <w:rPr>
          <w:lang w:val="fr-FR"/>
        </w:rPr>
        <w:t>documente les leçons apprises</w:t>
      </w:r>
      <w:r>
        <w:rPr>
          <w:lang w:val="fr-FR"/>
        </w:rPr>
        <w:t xml:space="preserve"> et</w:t>
      </w:r>
      <w:r w:rsidRPr="0068631B">
        <w:rPr>
          <w:lang w:val="fr-FR"/>
        </w:rPr>
        <w:t xml:space="preserve"> fourni des conclusions et des recommandations découlant des conclusions et évalue les résultats du projet à l’aide des différents modèles de matrice évaluative et </w:t>
      </w:r>
      <w:proofErr w:type="gramStart"/>
      <w:r w:rsidRPr="0068631B">
        <w:rPr>
          <w:lang w:val="fr-FR"/>
        </w:rPr>
        <w:t>grille</w:t>
      </w:r>
      <w:proofErr w:type="gramEnd"/>
      <w:r w:rsidRPr="0068631B">
        <w:rPr>
          <w:lang w:val="fr-FR"/>
        </w:rPr>
        <w:t xml:space="preserve"> d’évaluation, fournis en annexe des </w:t>
      </w:r>
      <w:r w:rsidR="004E4AA9" w:rsidRPr="002655EE">
        <w:rPr>
          <w:lang w:val="fr-FR"/>
        </w:rPr>
        <w:t>Termes de Référence</w:t>
      </w:r>
      <w:r w:rsidR="004E4AA9" w:rsidRPr="0068631B">
        <w:rPr>
          <w:lang w:val="fr-FR"/>
        </w:rPr>
        <w:t xml:space="preserve"> </w:t>
      </w:r>
      <w:r w:rsidR="004E4AA9">
        <w:rPr>
          <w:lang w:val="fr-FR"/>
        </w:rPr>
        <w:t>(</w:t>
      </w:r>
      <w:proofErr w:type="spellStart"/>
      <w:r w:rsidRPr="0068631B">
        <w:rPr>
          <w:lang w:val="fr-FR"/>
        </w:rPr>
        <w:t>TdR</w:t>
      </w:r>
      <w:proofErr w:type="spellEnd"/>
      <w:r w:rsidR="004E4AA9">
        <w:rPr>
          <w:lang w:val="fr-FR"/>
        </w:rPr>
        <w:t>)</w:t>
      </w:r>
      <w:r>
        <w:rPr>
          <w:lang w:val="fr-FR"/>
        </w:rPr>
        <w:t xml:space="preserve">. </w:t>
      </w:r>
    </w:p>
    <w:p w14:paraId="183CC0C6" w14:textId="66549CF0" w:rsidR="00E45809" w:rsidRDefault="00E45809" w:rsidP="00E45809">
      <w:pPr>
        <w:rPr>
          <w:lang w:val="fr-FR"/>
        </w:rPr>
      </w:pPr>
      <w:r>
        <w:rPr>
          <w:lang w:val="fr-FR"/>
        </w:rPr>
        <w:lastRenderedPageBreak/>
        <w:t xml:space="preserve">Les principales étapes de cette évaluation ont été les suivantes : </w:t>
      </w:r>
    </w:p>
    <w:p w14:paraId="3D043AE8" w14:textId="1B8823A9" w:rsidR="00E45809" w:rsidRPr="008F47A6" w:rsidRDefault="00E45809" w:rsidP="00E45809">
      <w:pPr>
        <w:rPr>
          <w:lang w:val="fr-FR"/>
        </w:rPr>
      </w:pPr>
      <w:r>
        <w:rPr>
          <w:lang w:val="fr-FR"/>
        </w:rPr>
        <w:t xml:space="preserve">1) </w:t>
      </w:r>
      <w:r w:rsidRPr="00A41CEB">
        <w:rPr>
          <w:b/>
          <w:bCs/>
          <w:lang w:val="fr-FR"/>
        </w:rPr>
        <w:t>Phase de démarrage </w:t>
      </w:r>
      <w:r>
        <w:rPr>
          <w:lang w:val="fr-FR"/>
        </w:rPr>
        <w:t xml:space="preserve">: </w:t>
      </w:r>
      <w:r w:rsidRPr="00486C46">
        <w:rPr>
          <w:lang w:val="fr-FR"/>
        </w:rPr>
        <w:t>Suite à un</w:t>
      </w:r>
      <w:r>
        <w:rPr>
          <w:lang w:val="fr-FR"/>
        </w:rPr>
        <w:t xml:space="preserve"> examen </w:t>
      </w:r>
      <w:r w:rsidRPr="00486C46">
        <w:rPr>
          <w:lang w:val="fr-FR"/>
        </w:rPr>
        <w:t xml:space="preserve">documentaire préliminaire, l’équipe d’évaluation a soumis une note de cadrage présentant une première analyse du contexte du projet, le référentiel de l’évaluation à travers une matrice d’évaluation présentant les différentes questions évaluatives et indicateurs </w:t>
      </w:r>
      <w:proofErr w:type="gramStart"/>
      <w:r w:rsidRPr="00486C46">
        <w:rPr>
          <w:lang w:val="fr-FR"/>
        </w:rPr>
        <w:t>associés;</w:t>
      </w:r>
      <w:proofErr w:type="gramEnd"/>
      <w:r w:rsidRPr="00486C46">
        <w:rPr>
          <w:lang w:val="fr-FR"/>
        </w:rPr>
        <w:t xml:space="preserve"> la méthodologie à suivre pour mener à bien l’évaluation, un </w:t>
      </w:r>
      <w:r w:rsidRPr="008F47A6">
        <w:rPr>
          <w:lang w:val="fr-FR"/>
        </w:rPr>
        <w:t>calendrier détaillé et différents outils de collecte de données.</w:t>
      </w:r>
      <w:r w:rsidR="00FA5C4D" w:rsidRPr="008F47A6">
        <w:rPr>
          <w:lang w:val="fr-FR"/>
        </w:rPr>
        <w:t xml:space="preserve"> La matrice d’évaluation peut être consultée en Annexe </w:t>
      </w:r>
      <w:r w:rsidR="001C135A" w:rsidRPr="008F47A6">
        <w:rPr>
          <w:lang w:val="fr-FR"/>
        </w:rPr>
        <w:t>1</w:t>
      </w:r>
      <w:r w:rsidR="00FA5C4D" w:rsidRPr="008F47A6">
        <w:rPr>
          <w:lang w:val="fr-FR"/>
        </w:rPr>
        <w:t xml:space="preserve">. </w:t>
      </w:r>
    </w:p>
    <w:p w14:paraId="574FC01C" w14:textId="12FD10E3" w:rsidR="00FA5C4D" w:rsidRPr="00486C46" w:rsidRDefault="00FA5C4D" w:rsidP="00FA5C4D">
      <w:pPr>
        <w:spacing w:after="120"/>
        <w:rPr>
          <w:lang w:val="fr-FR"/>
        </w:rPr>
      </w:pPr>
      <w:r w:rsidRPr="008F47A6">
        <w:rPr>
          <w:lang w:val="fr-FR"/>
        </w:rPr>
        <w:t xml:space="preserve">2) </w:t>
      </w:r>
      <w:r w:rsidRPr="008F47A6">
        <w:rPr>
          <w:b/>
          <w:bCs/>
          <w:lang w:val="fr-FR"/>
        </w:rPr>
        <w:t>Collecte des données</w:t>
      </w:r>
      <w:r w:rsidRPr="008F47A6">
        <w:rPr>
          <w:lang w:val="fr-FR"/>
        </w:rPr>
        <w:t xml:space="preserve"> : </w:t>
      </w:r>
      <w:proofErr w:type="gramStart"/>
      <w:r w:rsidRPr="008F47A6">
        <w:rPr>
          <w:lang w:val="fr-FR"/>
        </w:rPr>
        <w:t>Suite à</w:t>
      </w:r>
      <w:proofErr w:type="gramEnd"/>
      <w:r w:rsidRPr="008F47A6">
        <w:rPr>
          <w:lang w:val="fr-FR"/>
        </w:rPr>
        <w:t xml:space="preserve"> l’approbation de la note de démarrage, l’équipe a pris connaissance et a analysé toute la documentation relative au projet afin d’en extraire toutes les informations pertinentes des documents existants et d’informer au mieux les indicateurs de la matrice d’évaluation. </w:t>
      </w:r>
      <w:r w:rsidR="00965024">
        <w:rPr>
          <w:lang w:val="fr-FR"/>
        </w:rPr>
        <w:t xml:space="preserve">La liste des documents analysés est présentée en Annexe 2. </w:t>
      </w:r>
      <w:r w:rsidRPr="008F47A6">
        <w:rPr>
          <w:lang w:val="fr-FR"/>
        </w:rPr>
        <w:t xml:space="preserve">L’équipe a ensuite rencontré et s’est entretenue avec les différentes parties prenantes du projet, notamment à travers des entretiens individuels, des entretiens groupés et/ou des réunions, et des groupes de discussions avec les communautés locales. L’équipe s’est rendue à Antananarivo, </w:t>
      </w:r>
      <w:r w:rsidR="0034778E">
        <w:rPr>
          <w:lang w:val="fr-FR"/>
        </w:rPr>
        <w:t>Tuléar</w:t>
      </w:r>
      <w:r w:rsidR="00965024">
        <w:rPr>
          <w:lang w:val="fr-FR"/>
        </w:rPr>
        <w:t xml:space="preserve"> </w:t>
      </w:r>
      <w:r w:rsidRPr="008F47A6">
        <w:rPr>
          <w:lang w:val="fr-FR"/>
        </w:rPr>
        <w:t xml:space="preserve">et dans certains sites du projet </w:t>
      </w:r>
      <w:r w:rsidR="00965024">
        <w:rPr>
          <w:lang w:val="fr-FR"/>
        </w:rPr>
        <w:t xml:space="preserve">aux districts de Toliara II et </w:t>
      </w:r>
      <w:r w:rsidR="00965024" w:rsidRPr="007E745A">
        <w:rPr>
          <w:lang w:val="fr-FR"/>
        </w:rPr>
        <w:t>Betioky</w:t>
      </w:r>
      <w:r w:rsidRPr="008F47A6">
        <w:rPr>
          <w:lang w:val="fr-FR"/>
        </w:rPr>
        <w:t>.</w:t>
      </w:r>
      <w:r w:rsidR="00965024">
        <w:rPr>
          <w:lang w:val="fr-FR"/>
        </w:rPr>
        <w:t xml:space="preserve"> </w:t>
      </w:r>
      <w:r w:rsidRPr="008F47A6">
        <w:rPr>
          <w:lang w:val="fr-FR"/>
        </w:rPr>
        <w:t xml:space="preserve">La liste des différentes personnes rencontrées lors de l’évaluation est présentée en </w:t>
      </w:r>
      <w:r w:rsidRPr="008F47A6">
        <w:rPr>
          <w:lang w:val="fr-FR"/>
        </w:rPr>
        <w:fldChar w:fldCharType="begin"/>
      </w:r>
      <w:r w:rsidRPr="008F47A6">
        <w:rPr>
          <w:lang w:val="fr-FR"/>
        </w:rPr>
        <w:instrText xml:space="preserve"> REF _Ref499553132 \h  \* MERGEFORMAT </w:instrText>
      </w:r>
      <w:r w:rsidRPr="008F47A6">
        <w:rPr>
          <w:lang w:val="fr-FR"/>
        </w:rPr>
      </w:r>
      <w:r w:rsidRPr="008F47A6">
        <w:rPr>
          <w:lang w:val="fr-FR"/>
        </w:rPr>
        <w:fldChar w:fldCharType="separate"/>
      </w:r>
      <w:r w:rsidRPr="008F47A6">
        <w:rPr>
          <w:lang w:val="fr-FR"/>
        </w:rPr>
        <w:t>Annexe 3 : Liste des personnes interviewées</w:t>
      </w:r>
      <w:r w:rsidRPr="008F47A6">
        <w:rPr>
          <w:lang w:val="fr-FR"/>
        </w:rPr>
        <w:fldChar w:fldCharType="end"/>
      </w:r>
      <w:r w:rsidRPr="008F47A6">
        <w:rPr>
          <w:lang w:val="fr-FR"/>
        </w:rPr>
        <w:t>.</w:t>
      </w:r>
    </w:p>
    <w:p w14:paraId="740CB0D0" w14:textId="52D1697F" w:rsidR="004F0CE2" w:rsidRPr="00486C46" w:rsidRDefault="00FA5C4D" w:rsidP="00FA5C4D">
      <w:pPr>
        <w:spacing w:after="120"/>
        <w:rPr>
          <w:lang w:val="fr-FR"/>
        </w:rPr>
      </w:pPr>
      <w:r>
        <w:rPr>
          <w:lang w:val="fr-FR"/>
        </w:rPr>
        <w:t xml:space="preserve">3) </w:t>
      </w:r>
      <w:r w:rsidRPr="00A41CEB">
        <w:rPr>
          <w:b/>
          <w:bCs/>
          <w:lang w:val="fr-FR"/>
        </w:rPr>
        <w:t>Analyse et rédaction</w:t>
      </w:r>
      <w:r w:rsidR="00A41CEB">
        <w:rPr>
          <w:lang w:val="fr-FR"/>
        </w:rPr>
        <w:t xml:space="preserve"> : </w:t>
      </w:r>
      <w:r w:rsidRPr="00C50F13">
        <w:rPr>
          <w:lang w:val="fr-FR"/>
        </w:rPr>
        <w:t xml:space="preserve">A la fin de la mission d’évaluation, les </w:t>
      </w:r>
      <w:r w:rsidRPr="00A41CEB">
        <w:rPr>
          <w:lang w:val="fr-FR"/>
        </w:rPr>
        <w:t xml:space="preserve">premières conclusions ont été présentées </w:t>
      </w:r>
      <w:r w:rsidR="00965024">
        <w:rPr>
          <w:lang w:val="fr-FR"/>
        </w:rPr>
        <w:t>au Directeur National du Projet (DNP) et</w:t>
      </w:r>
      <w:r w:rsidRPr="00A41CEB">
        <w:rPr>
          <w:lang w:val="fr-FR"/>
        </w:rPr>
        <w:t xml:space="preserve"> l’</w:t>
      </w:r>
      <w:r w:rsidR="00965024">
        <w:rPr>
          <w:lang w:val="fr-FR"/>
        </w:rPr>
        <w:t>U</w:t>
      </w:r>
      <w:r w:rsidRPr="00A41CEB">
        <w:rPr>
          <w:lang w:val="fr-FR"/>
        </w:rPr>
        <w:t>nité d</w:t>
      </w:r>
      <w:r w:rsidR="00965024">
        <w:rPr>
          <w:lang w:val="fr-FR"/>
        </w:rPr>
        <w:t>u Coordination</w:t>
      </w:r>
      <w:r w:rsidRPr="00A41CEB">
        <w:rPr>
          <w:lang w:val="fr-FR"/>
        </w:rPr>
        <w:t xml:space="preserve"> du </w:t>
      </w:r>
      <w:r w:rsidR="00965024">
        <w:rPr>
          <w:lang w:val="fr-FR"/>
        </w:rPr>
        <w:t>P</w:t>
      </w:r>
      <w:r w:rsidRPr="00A41CEB">
        <w:rPr>
          <w:lang w:val="fr-FR"/>
        </w:rPr>
        <w:t>rojet</w:t>
      </w:r>
      <w:r w:rsidR="00965024">
        <w:rPr>
          <w:lang w:val="fr-FR"/>
        </w:rPr>
        <w:t xml:space="preserve"> (UCP)</w:t>
      </w:r>
      <w:r w:rsidRPr="00A41CEB">
        <w:rPr>
          <w:lang w:val="fr-FR"/>
        </w:rPr>
        <w:t xml:space="preserve"> pour lancer une discussion sur les défis et les besoins potentiels pour mener à bien le processus de collecte de données. Après une triangulation des données et une analyse minutieuse des différentes données collectées, </w:t>
      </w:r>
      <w:r w:rsidR="00A41CEB">
        <w:rPr>
          <w:lang w:val="fr-FR"/>
        </w:rPr>
        <w:t>le présent rapport est établi dans le but d’établir</w:t>
      </w:r>
      <w:r w:rsidR="00A41CEB" w:rsidRPr="00C50F13">
        <w:rPr>
          <w:lang w:val="fr-FR"/>
        </w:rPr>
        <w:t xml:space="preserve"> des </w:t>
      </w:r>
      <w:r w:rsidR="00A41CEB">
        <w:rPr>
          <w:lang w:val="fr-FR"/>
        </w:rPr>
        <w:t>résultats</w:t>
      </w:r>
      <w:r w:rsidR="00A41CEB" w:rsidRPr="00C50F13">
        <w:rPr>
          <w:lang w:val="fr-FR"/>
        </w:rPr>
        <w:t xml:space="preserve"> factuels et de tirer des conclusions et des recommandations bien </w:t>
      </w:r>
      <w:r w:rsidR="00A41CEB">
        <w:rPr>
          <w:lang w:val="fr-FR"/>
        </w:rPr>
        <w:t>étayées</w:t>
      </w:r>
      <w:r w:rsidR="00A41CEB" w:rsidRPr="00C50F13">
        <w:rPr>
          <w:lang w:val="fr-FR"/>
        </w:rPr>
        <w:t xml:space="preserve"> </w:t>
      </w:r>
      <w:r w:rsidR="00A41CEB">
        <w:rPr>
          <w:lang w:val="fr-FR"/>
        </w:rPr>
        <w:t>pouvant guider</w:t>
      </w:r>
      <w:r w:rsidR="00A41CEB" w:rsidRPr="00C50F13">
        <w:rPr>
          <w:lang w:val="fr-FR"/>
        </w:rPr>
        <w:t xml:space="preserve"> la seconde moitié du projet.</w:t>
      </w:r>
      <w:r w:rsidR="00A41CEB">
        <w:rPr>
          <w:lang w:val="fr-FR"/>
        </w:rPr>
        <w:t xml:space="preserve"> Ce </w:t>
      </w:r>
      <w:proofErr w:type="gramStart"/>
      <w:r w:rsidR="00A41CEB">
        <w:rPr>
          <w:lang w:val="fr-FR"/>
        </w:rPr>
        <w:t>rapport</w:t>
      </w:r>
      <w:proofErr w:type="gramEnd"/>
      <w:r w:rsidR="00A41CEB">
        <w:rPr>
          <w:lang w:val="fr-FR"/>
        </w:rPr>
        <w:t xml:space="preserve"> suit les directives pour la conduite d’examens à mi-parcours des projets PNUD</w:t>
      </w:r>
      <w:r w:rsidR="00945180">
        <w:rPr>
          <w:lang w:val="fr-FR"/>
        </w:rPr>
        <w:t xml:space="preserve">, incluant les directives du </w:t>
      </w:r>
      <w:r w:rsidR="00945180" w:rsidRPr="002655EE">
        <w:rPr>
          <w:lang w:val="fr-FR"/>
        </w:rPr>
        <w:t>Groupe de l’</w:t>
      </w:r>
      <w:r w:rsidR="00945180">
        <w:rPr>
          <w:lang w:val="fr-FR"/>
        </w:rPr>
        <w:t>E</w:t>
      </w:r>
      <w:r w:rsidR="00945180" w:rsidRPr="002655EE">
        <w:rPr>
          <w:lang w:val="fr-FR"/>
        </w:rPr>
        <w:t xml:space="preserve">valuation des Nations Unies </w:t>
      </w:r>
      <w:r w:rsidR="00945180">
        <w:rPr>
          <w:lang w:val="fr-FR"/>
        </w:rPr>
        <w:t>(UNEG par l’acronyme anglais).</w:t>
      </w:r>
      <w:r w:rsidR="00176C3F">
        <w:rPr>
          <w:lang w:val="fr-FR"/>
        </w:rPr>
        <w:t xml:space="preserve"> A rapport provisoire était soumis en décembre 2019. Des commentaires au rapport provisoire ont été considérés dans la préparation de ce rapport final. </w:t>
      </w:r>
    </w:p>
    <w:p w14:paraId="7A7FC1A4" w14:textId="644A8B80" w:rsidR="00937AA0" w:rsidRDefault="00937AA0" w:rsidP="00937AA0">
      <w:pPr>
        <w:pStyle w:val="Titre2"/>
        <w:rPr>
          <w:lang w:val="fr-FR"/>
        </w:rPr>
      </w:pPr>
      <w:bookmarkStart w:id="9" w:name="_Toc501646705"/>
      <w:bookmarkStart w:id="10" w:name="_Toc31122554"/>
      <w:r w:rsidRPr="00486C46">
        <w:rPr>
          <w:lang w:val="fr-FR"/>
        </w:rPr>
        <w:t>Structure du rapport d’évaluation</w:t>
      </w:r>
      <w:bookmarkEnd w:id="9"/>
      <w:bookmarkEnd w:id="10"/>
    </w:p>
    <w:p w14:paraId="345D7768" w14:textId="11C084A4" w:rsidR="00576062" w:rsidRPr="00486C46" w:rsidRDefault="00576062" w:rsidP="00576062">
      <w:pPr>
        <w:spacing w:after="120"/>
        <w:rPr>
          <w:lang w:val="fr-FR"/>
        </w:rPr>
      </w:pPr>
      <w:r w:rsidRPr="00486C46">
        <w:rPr>
          <w:lang w:val="fr-FR"/>
        </w:rPr>
        <w:t xml:space="preserve">Après avoir présenté succinctement les objectifs de cette évaluation et la méthodologie qui a été poursuivie, ce rapport d’évaluation présente dans un premier temps le contexte de l’évaluation ainsi qu’une brève description du projet </w:t>
      </w:r>
      <w:r>
        <w:rPr>
          <w:lang w:val="fr-FR"/>
        </w:rPr>
        <w:t>APAA</w:t>
      </w:r>
      <w:r w:rsidRPr="00486C46">
        <w:rPr>
          <w:lang w:val="fr-FR"/>
        </w:rPr>
        <w:t xml:space="preserve">. </w:t>
      </w:r>
      <w:r w:rsidR="00944544">
        <w:rPr>
          <w:lang w:val="fr-FR"/>
        </w:rPr>
        <w:t>L</w:t>
      </w:r>
      <w:r w:rsidRPr="00486C46">
        <w:rPr>
          <w:lang w:val="fr-FR"/>
        </w:rPr>
        <w:t>es constats</w:t>
      </w:r>
      <w:r w:rsidR="00944544">
        <w:rPr>
          <w:lang w:val="fr-FR"/>
        </w:rPr>
        <w:t xml:space="preserve"> et résultats</w:t>
      </w:r>
      <w:r w:rsidRPr="00486C46">
        <w:rPr>
          <w:lang w:val="fr-FR"/>
        </w:rPr>
        <w:t xml:space="preserve"> que </w:t>
      </w:r>
      <w:r w:rsidR="00944544">
        <w:rPr>
          <w:lang w:val="fr-FR"/>
        </w:rPr>
        <w:t>l</w:t>
      </w:r>
      <w:r w:rsidR="00965024">
        <w:rPr>
          <w:lang w:val="fr-FR"/>
        </w:rPr>
        <w:t xml:space="preserve">es </w:t>
      </w:r>
      <w:r w:rsidR="00944544">
        <w:rPr>
          <w:lang w:val="fr-FR"/>
        </w:rPr>
        <w:t>examinateur</w:t>
      </w:r>
      <w:r w:rsidR="00965024">
        <w:rPr>
          <w:lang w:val="fr-FR"/>
        </w:rPr>
        <w:t>s</w:t>
      </w:r>
      <w:r w:rsidRPr="00486C46">
        <w:rPr>
          <w:lang w:val="fr-FR"/>
        </w:rPr>
        <w:t xml:space="preserve"> formule</w:t>
      </w:r>
      <w:r w:rsidR="00965024">
        <w:rPr>
          <w:lang w:val="fr-FR"/>
        </w:rPr>
        <w:t>nt</w:t>
      </w:r>
      <w:r w:rsidR="00944544">
        <w:rPr>
          <w:lang w:val="fr-FR"/>
        </w:rPr>
        <w:t xml:space="preserve"> sont articulés autour des 4 questions évaluatives accordées au cours de la phase de cadrage et couvrant les catégories mentionnées dans les </w:t>
      </w:r>
      <w:proofErr w:type="spellStart"/>
      <w:r w:rsidR="00944544">
        <w:rPr>
          <w:lang w:val="fr-FR"/>
        </w:rPr>
        <w:t>TdR</w:t>
      </w:r>
      <w:proofErr w:type="spellEnd"/>
      <w:r w:rsidRPr="00486C46">
        <w:rPr>
          <w:lang w:val="fr-FR"/>
        </w:rPr>
        <w:t>.</w:t>
      </w:r>
      <w:r w:rsidR="00944544" w:rsidRPr="00944544">
        <w:rPr>
          <w:lang w:val="fr-FR"/>
        </w:rPr>
        <w:t xml:space="preserve"> </w:t>
      </w:r>
      <w:r w:rsidR="00944544">
        <w:rPr>
          <w:lang w:val="fr-FR"/>
        </w:rPr>
        <w:t xml:space="preserve">« Stratégie de projet/Pertinence » ; « Progrès vers la réalisation des résultats / Efficacité » ; « Mise en œuvre des projets et gestion réactive / Efficience » et « Durabilité ». Des sous-questions ont été développées dans la matrice </w:t>
      </w:r>
      <w:r w:rsidR="00944544" w:rsidRPr="008F47A6">
        <w:rPr>
          <w:lang w:val="fr-FR"/>
        </w:rPr>
        <w:t xml:space="preserve">d’évaluation (Annexe </w:t>
      </w:r>
      <w:r w:rsidR="001C135A" w:rsidRPr="008F47A6">
        <w:rPr>
          <w:lang w:val="fr-FR"/>
        </w:rPr>
        <w:t>1</w:t>
      </w:r>
      <w:r w:rsidR="00944544" w:rsidRPr="008F47A6">
        <w:rPr>
          <w:lang w:val="fr-FR"/>
        </w:rPr>
        <w:t>). Le</w:t>
      </w:r>
      <w:r w:rsidR="00944544">
        <w:rPr>
          <w:lang w:val="fr-FR"/>
        </w:rPr>
        <w:t xml:space="preserve"> rapport y répond progressivement dans le corps du chapitre 3.</w:t>
      </w:r>
      <w:r w:rsidRPr="00486C46">
        <w:rPr>
          <w:lang w:val="fr-FR"/>
        </w:rPr>
        <w:t xml:space="preserve"> Une conclusion sommaire est systématiquement formulée pour chaque question évaluative. A la suite de la présentation de ces </w:t>
      </w:r>
      <w:r w:rsidR="00944544">
        <w:rPr>
          <w:lang w:val="fr-FR"/>
        </w:rPr>
        <w:t>résultats</w:t>
      </w:r>
      <w:r w:rsidRPr="00486C46">
        <w:rPr>
          <w:lang w:val="fr-FR"/>
        </w:rPr>
        <w:t xml:space="preserve">, le rapport présente les leçons apprises, et les différentes conclusions, avant d’introduire les recommandations formulées sur la base de ces conclusions. </w:t>
      </w:r>
    </w:p>
    <w:p w14:paraId="1AD68FF5" w14:textId="77777777" w:rsidR="00576062" w:rsidRPr="00576062" w:rsidRDefault="00576062" w:rsidP="00576062">
      <w:pPr>
        <w:rPr>
          <w:lang w:val="fr-FR"/>
        </w:rPr>
      </w:pPr>
    </w:p>
    <w:p w14:paraId="085252B8" w14:textId="5C09C9BF" w:rsidR="00937AA0" w:rsidRPr="00486C46" w:rsidRDefault="00937AA0" w:rsidP="00937AA0">
      <w:pPr>
        <w:pStyle w:val="Titre1"/>
        <w:ind w:left="1134" w:hanging="1134"/>
        <w:rPr>
          <w:lang w:val="fr-FR"/>
        </w:rPr>
      </w:pPr>
      <w:bookmarkStart w:id="11" w:name="_Toc501646706"/>
      <w:bookmarkStart w:id="12" w:name="_Toc31122555"/>
      <w:r w:rsidRPr="00486C46">
        <w:rPr>
          <w:lang w:val="fr-FR"/>
        </w:rPr>
        <w:lastRenderedPageBreak/>
        <w:t>Le projet et son contexte</w:t>
      </w:r>
      <w:bookmarkEnd w:id="11"/>
      <w:bookmarkEnd w:id="12"/>
    </w:p>
    <w:p w14:paraId="4BB20546" w14:textId="750753DA" w:rsidR="007E745A" w:rsidRPr="007E745A" w:rsidRDefault="007E745A" w:rsidP="007E745A">
      <w:pPr>
        <w:rPr>
          <w:lang w:val="fr-FR"/>
        </w:rPr>
      </w:pPr>
      <w:r w:rsidRPr="007E745A">
        <w:rPr>
          <w:lang w:val="fr-FR"/>
        </w:rPr>
        <w:t xml:space="preserve">Bien que Madagascar soit l’un des 17 hotspots de </w:t>
      </w:r>
      <w:proofErr w:type="spellStart"/>
      <w:r w:rsidRPr="007E745A">
        <w:rPr>
          <w:lang w:val="fr-FR"/>
        </w:rPr>
        <w:t>mégadiversité</w:t>
      </w:r>
      <w:proofErr w:type="spellEnd"/>
      <w:r w:rsidRPr="007E745A">
        <w:rPr>
          <w:lang w:val="fr-FR"/>
        </w:rPr>
        <w:t xml:space="preserve"> au monde, la conservation de la biodiversité en dehors de son réseau d’Aires Protégées (AP) demeure bien souvent problématique. Les AP sont soumises à de fortes pressions de l’extérieur et certaines des zones qui leur sont adjacentes sont dégradées voire fortement dégradées. En particulier, certains écosystèmes, pourtant parmi les plus exceptionnels et distinctifs de Madagascar, sont aussi les moins bien protégés contre les pressions anthropiques de différents ordres</w:t>
      </w:r>
      <w:r w:rsidR="00275A8E">
        <w:rPr>
          <w:lang w:val="fr-FR"/>
        </w:rPr>
        <w:t xml:space="preserve">. </w:t>
      </w:r>
      <w:r w:rsidRPr="007E745A">
        <w:rPr>
          <w:lang w:val="fr-FR"/>
        </w:rPr>
        <w:t xml:space="preserve">On constate que tant la reconversion des terres en faveur d’une agriculture de subsistance que le développement de l’agriculture commerciale intensive menacent la région de la forêt sèche et épineuse de l’Atsimo-Andrefana, située dans la partie sud-ouest de l’île. </w:t>
      </w:r>
      <w:r w:rsidR="00275A8E">
        <w:rPr>
          <w:lang w:val="fr-FR"/>
        </w:rPr>
        <w:t xml:space="preserve">En effet, il convient de noter qu’il existe cinq types de menaces anthropiques directes qui pèsent sur les écosystèmes : </w:t>
      </w:r>
      <w:r w:rsidR="00275A8E" w:rsidRPr="001A11ED">
        <w:rPr>
          <w:lang w:val="fr-FR"/>
        </w:rPr>
        <w:t>(i</w:t>
      </w:r>
      <w:r w:rsidR="00275A8E" w:rsidRPr="00275A8E">
        <w:rPr>
          <w:lang w:val="fr-FR"/>
        </w:rPr>
        <w:t xml:space="preserve">) les changements d’occupation des sols, y compris les changements d’habitats ; (ii) l’utilisation irrationnelle (ou la surexploitation) des ressources </w:t>
      </w:r>
      <w:proofErr w:type="gramStart"/>
      <w:r w:rsidR="00275A8E" w:rsidRPr="00275A8E">
        <w:rPr>
          <w:lang w:val="fr-FR"/>
        </w:rPr>
        <w:t>biologiques</w:t>
      </w:r>
      <w:proofErr w:type="gramEnd"/>
      <w:r w:rsidR="00275A8E" w:rsidRPr="00275A8E">
        <w:rPr>
          <w:lang w:val="fr-FR"/>
        </w:rPr>
        <w:t xml:space="preserve"> ; (iii) l’impact des espèces exotiques envahissantes ; (iv) la pollution ; et (v) les changements climatiques.</w:t>
      </w:r>
      <w:r w:rsidR="00275A8E" w:rsidRPr="001A11ED">
        <w:rPr>
          <w:lang w:val="fr-FR"/>
        </w:rPr>
        <w:t xml:space="preserve"> </w:t>
      </w:r>
      <w:r w:rsidRPr="007E745A">
        <w:rPr>
          <w:lang w:val="fr-FR"/>
        </w:rPr>
        <w:t>Les efforts de développement, qui se traduisent entre autres par des investissements privés de grande envergure tels que la construction de routes, de systèmes d’irrigation, et les activités de développement et exploitation minière, des gisements de pétrole et de gaz participent fortement à la dégradation de ces paysages. Le gouvernement ne dispose toutefois pas d’un cadre de gestion efficace lui permettant d’assurer que les pistes de développement poursuivie ne font pas courir un trop grand risque à la biodiversité</w:t>
      </w:r>
      <w:r>
        <w:rPr>
          <w:rStyle w:val="Appelnotedebasdep"/>
          <w:lang w:val="fr-FR"/>
        </w:rPr>
        <w:footnoteReference w:id="2"/>
      </w:r>
      <w:r w:rsidRPr="007E745A">
        <w:rPr>
          <w:lang w:val="fr-FR"/>
        </w:rPr>
        <w:t xml:space="preserve">. </w:t>
      </w:r>
    </w:p>
    <w:p w14:paraId="03986627" w14:textId="0D0DD32B" w:rsidR="007E745A" w:rsidRPr="007E745A" w:rsidRDefault="007E745A" w:rsidP="007E745A">
      <w:pPr>
        <w:rPr>
          <w:lang w:val="fr-FR"/>
        </w:rPr>
      </w:pPr>
      <w:r w:rsidRPr="007E745A">
        <w:rPr>
          <w:lang w:val="fr-FR"/>
        </w:rPr>
        <w:t xml:space="preserve">Pour renforcer les capacités de gestion nationales de la conservation et de l’exploitation durable des ressources naturelles en mettant l’accent sur les paysages abritant des taillis épineux et des forêts sèches, le projet « Approche paysage pour la conservation et la gestion de la biodiversité menacée de Madagascar, axée sur le paysage forestier sec et épineux de la région Atsimo Andrefana » (APAA), est appuyé par le PNUD et financé par le FEM pour un montant total de 5 372 452 USD. Mis en œuvre par le gouvernement de Madagascar à travers le Ministère de l’Environnement et du Développement Durable (MEDD) avec l’UCP, la fondation </w:t>
      </w:r>
      <w:proofErr w:type="spellStart"/>
      <w:r w:rsidRPr="007E745A">
        <w:rPr>
          <w:lang w:val="fr-FR"/>
        </w:rPr>
        <w:t>Tany</w:t>
      </w:r>
      <w:proofErr w:type="spellEnd"/>
      <w:r w:rsidRPr="007E745A">
        <w:rPr>
          <w:lang w:val="fr-FR"/>
        </w:rPr>
        <w:t xml:space="preserve"> </w:t>
      </w:r>
      <w:proofErr w:type="spellStart"/>
      <w:r w:rsidRPr="007E745A">
        <w:rPr>
          <w:lang w:val="fr-FR"/>
        </w:rPr>
        <w:t>Meva</w:t>
      </w:r>
      <w:proofErr w:type="spellEnd"/>
      <w:r w:rsidRPr="007E745A">
        <w:rPr>
          <w:lang w:val="fr-FR"/>
        </w:rPr>
        <w:t xml:space="preserve"> et Service d’Appui à la Gestion de l’Environnement (SAGE), le projet a pour objectif, au cours de ses 5 années d’exécution (juin 2017 – mai 2022), de protéger la biodiversité dans le paysage de la région de l’Atsimo-Andrefana des menaces actuelles et émergentes et de l’exploiter de manière viable en élaborant un cadre de gouvernance collaboratif pour l’intégration sectorielle et la gestion des ressources naturelles décentralisée/déconcentrée. Pour y parvenir, le projet s’articule autour de deux composantes et 2 résultats : </w:t>
      </w:r>
    </w:p>
    <w:p w14:paraId="08938CE9" w14:textId="77777777" w:rsidR="007E745A" w:rsidRPr="007E745A" w:rsidRDefault="007E745A" w:rsidP="007E745A">
      <w:pPr>
        <w:rPr>
          <w:lang w:val="fr-FR"/>
        </w:rPr>
      </w:pPr>
      <w:r w:rsidRPr="007E745A">
        <w:rPr>
          <w:lang w:val="fr-FR"/>
        </w:rPr>
        <w:t>Composante 1) Intégration efficace de la conservation de l’environnement à l’échelle du paysage</w:t>
      </w:r>
    </w:p>
    <w:p w14:paraId="1F91769A" w14:textId="77777777" w:rsidR="007E745A" w:rsidRPr="007E745A" w:rsidRDefault="007E745A" w:rsidP="007E745A">
      <w:pPr>
        <w:pStyle w:val="Paragraphedeliste"/>
        <w:numPr>
          <w:ilvl w:val="0"/>
          <w:numId w:val="0"/>
        </w:numPr>
        <w:ind w:left="720"/>
        <w:rPr>
          <w:lang w:val="fr-FR"/>
        </w:rPr>
      </w:pPr>
      <w:r w:rsidRPr="007E745A">
        <w:rPr>
          <w:u w:val="single"/>
          <w:lang w:val="fr-FR"/>
        </w:rPr>
        <w:t>Résultat</w:t>
      </w:r>
      <w:r w:rsidRPr="007E745A">
        <w:rPr>
          <w:lang w:val="fr-FR"/>
        </w:rPr>
        <w:t> </w:t>
      </w:r>
      <w:proofErr w:type="gramStart"/>
      <w:r w:rsidRPr="007E745A">
        <w:rPr>
          <w:lang w:val="fr-FR"/>
        </w:rPr>
        <w:t>1:</w:t>
      </w:r>
      <w:proofErr w:type="gramEnd"/>
      <w:r w:rsidRPr="007E745A">
        <w:rPr>
          <w:lang w:val="fr-FR"/>
        </w:rPr>
        <w:t xml:space="preserve"> la planification à l’échelle du paysage et les analyses économiques appuient l’intégration de la biodiversité dans la gestion du paysage de la région de l’Atsimo-Andrefana, en couvrant trois districts (Toliara II, Betioky et Morombe) et une surface de 2.4 millions d’hectares.</w:t>
      </w:r>
    </w:p>
    <w:p w14:paraId="2A7FAF03" w14:textId="77777777" w:rsidR="007E745A" w:rsidRPr="007E745A" w:rsidRDefault="007E745A" w:rsidP="007E745A">
      <w:pPr>
        <w:rPr>
          <w:lang w:val="fr-FR"/>
        </w:rPr>
      </w:pPr>
      <w:r w:rsidRPr="007E745A">
        <w:rPr>
          <w:lang w:val="fr-FR"/>
        </w:rPr>
        <w:lastRenderedPageBreak/>
        <w:t>Composante 2) Mise en œuvre de la conservation communautaire et de l’exploitation durable</w:t>
      </w:r>
    </w:p>
    <w:p w14:paraId="7F69E159" w14:textId="666AD9A8" w:rsidR="007E745A" w:rsidRPr="007E745A" w:rsidRDefault="007E745A" w:rsidP="007E745A">
      <w:pPr>
        <w:pStyle w:val="Paragraphedeliste"/>
        <w:numPr>
          <w:ilvl w:val="0"/>
          <w:numId w:val="0"/>
        </w:numPr>
        <w:ind w:left="720"/>
        <w:rPr>
          <w:lang w:val="fr-FR"/>
        </w:rPr>
      </w:pPr>
      <w:r w:rsidRPr="007E745A">
        <w:rPr>
          <w:lang w:val="fr-FR"/>
        </w:rPr>
        <w:t>Résultat </w:t>
      </w:r>
      <w:proofErr w:type="gramStart"/>
      <w:r w:rsidRPr="007E745A">
        <w:rPr>
          <w:lang w:val="fr-FR"/>
        </w:rPr>
        <w:t>2:</w:t>
      </w:r>
      <w:proofErr w:type="gramEnd"/>
      <w:r w:rsidRPr="007E745A">
        <w:rPr>
          <w:lang w:val="fr-FR"/>
        </w:rPr>
        <w:t xml:space="preserve"> Les activités de production communautaire et l’utilisation des ressources intègrent la conservation et l’exploitation durable de la biodiversité par des pratiques de gestion, sur au moins 100 000</w:t>
      </w:r>
      <w:r w:rsidR="001A348E">
        <w:rPr>
          <w:lang w:val="fr-FR"/>
        </w:rPr>
        <w:t xml:space="preserve"> </w:t>
      </w:r>
      <w:r w:rsidRPr="007E745A">
        <w:rPr>
          <w:lang w:val="fr-FR"/>
        </w:rPr>
        <w:t>ha de nouvelles Aires Protégées Communautaires</w:t>
      </w:r>
      <w:r w:rsidR="001A348E">
        <w:rPr>
          <w:lang w:val="fr-FR"/>
        </w:rPr>
        <w:t xml:space="preserve"> (APC)</w:t>
      </w:r>
      <w:r w:rsidRPr="007E745A">
        <w:rPr>
          <w:lang w:val="fr-FR"/>
        </w:rPr>
        <w:t>.</w:t>
      </w:r>
    </w:p>
    <w:p w14:paraId="0FDF1A1B" w14:textId="2C2CF559" w:rsidR="00305CE4" w:rsidRDefault="007E745A" w:rsidP="00305CE4">
      <w:pPr>
        <w:rPr>
          <w:lang w:val="fr-FR"/>
        </w:rPr>
      </w:pPr>
      <w:r w:rsidRPr="00305CE4">
        <w:rPr>
          <w:lang w:val="fr-FR"/>
        </w:rPr>
        <w:t>Le Comité de Pilotage</w:t>
      </w:r>
      <w:r w:rsidR="001A348E">
        <w:rPr>
          <w:lang w:val="fr-FR"/>
        </w:rPr>
        <w:t xml:space="preserve"> (</w:t>
      </w:r>
      <w:proofErr w:type="spellStart"/>
      <w:r w:rsidR="001A348E">
        <w:rPr>
          <w:lang w:val="fr-FR"/>
        </w:rPr>
        <w:t>CoP</w:t>
      </w:r>
      <w:r w:rsidR="00A45973">
        <w:rPr>
          <w:lang w:val="fr-FR"/>
        </w:rPr>
        <w:t>i</w:t>
      </w:r>
      <w:r w:rsidR="001A348E">
        <w:rPr>
          <w:lang w:val="fr-FR"/>
        </w:rPr>
        <w:t>l</w:t>
      </w:r>
      <w:proofErr w:type="spellEnd"/>
      <w:r w:rsidR="001A348E">
        <w:rPr>
          <w:lang w:val="fr-FR"/>
        </w:rPr>
        <w:t>)</w:t>
      </w:r>
      <w:r w:rsidR="00305CE4" w:rsidRPr="00305CE4">
        <w:rPr>
          <w:lang w:val="fr-FR"/>
        </w:rPr>
        <w:t>,</w:t>
      </w:r>
      <w:r w:rsidRPr="00305CE4">
        <w:rPr>
          <w:lang w:val="fr-FR"/>
        </w:rPr>
        <w:t xml:space="preserve"> éta</w:t>
      </w:r>
      <w:r w:rsidR="00305CE4" w:rsidRPr="00305CE4">
        <w:rPr>
          <w:lang w:val="fr-FR"/>
        </w:rPr>
        <w:t xml:space="preserve">bli par la décision n°36 du Ministère de l’Environnement, de </w:t>
      </w:r>
      <w:proofErr w:type="gramStart"/>
      <w:r w:rsidR="00305CE4" w:rsidRPr="00305CE4">
        <w:rPr>
          <w:lang w:val="fr-FR"/>
        </w:rPr>
        <w:t>l’</w:t>
      </w:r>
      <w:r w:rsidR="00305CE4">
        <w:rPr>
          <w:lang w:val="fr-FR"/>
        </w:rPr>
        <w:t>E</w:t>
      </w:r>
      <w:r w:rsidR="00305CE4" w:rsidRPr="00305CE4">
        <w:rPr>
          <w:lang w:val="fr-FR"/>
        </w:rPr>
        <w:t>cologie</w:t>
      </w:r>
      <w:proofErr w:type="gramEnd"/>
      <w:r w:rsidR="00305CE4" w:rsidRPr="00305CE4">
        <w:rPr>
          <w:lang w:val="fr-FR"/>
        </w:rPr>
        <w:t xml:space="preserve"> et des Forêts </w:t>
      </w:r>
      <w:r w:rsidR="00305CE4">
        <w:rPr>
          <w:lang w:val="fr-FR"/>
        </w:rPr>
        <w:t>(MEEF)</w:t>
      </w:r>
      <w:r w:rsidR="001C135A" w:rsidRPr="001C135A">
        <w:rPr>
          <w:rStyle w:val="Appelnotedebasdep"/>
          <w:lang w:val="fr-FR"/>
        </w:rPr>
        <w:t xml:space="preserve"> </w:t>
      </w:r>
      <w:r w:rsidR="001C135A">
        <w:rPr>
          <w:rStyle w:val="Appelnotedebasdep"/>
          <w:lang w:val="fr-FR"/>
        </w:rPr>
        <w:footnoteReference w:id="3"/>
      </w:r>
      <w:r w:rsidR="00305CE4">
        <w:rPr>
          <w:lang w:val="fr-FR"/>
        </w:rPr>
        <w:t xml:space="preserve"> </w:t>
      </w:r>
      <w:r w:rsidR="00305CE4" w:rsidRPr="00305CE4">
        <w:rPr>
          <w:lang w:val="fr-FR"/>
        </w:rPr>
        <w:t xml:space="preserve">de mai 2018, </w:t>
      </w:r>
      <w:r w:rsidR="00305CE4">
        <w:rPr>
          <w:lang w:val="fr-FR"/>
        </w:rPr>
        <w:t xml:space="preserve">dispose que celui-ci est composé de : </w:t>
      </w:r>
    </w:p>
    <w:p w14:paraId="6EFB8332" w14:textId="1C73E463" w:rsidR="00305CE4" w:rsidRDefault="00305CE4" w:rsidP="00305CE4">
      <w:pPr>
        <w:pStyle w:val="Paragraphedeliste"/>
        <w:numPr>
          <w:ilvl w:val="0"/>
          <w:numId w:val="8"/>
        </w:numPr>
        <w:rPr>
          <w:lang w:val="fr-FR"/>
        </w:rPr>
      </w:pPr>
      <w:proofErr w:type="gramStart"/>
      <w:r w:rsidRPr="00305CE4">
        <w:rPr>
          <w:lang w:val="fr-FR"/>
        </w:rPr>
        <w:t>différents</w:t>
      </w:r>
      <w:proofErr w:type="gramEnd"/>
      <w:r w:rsidRPr="00305CE4">
        <w:rPr>
          <w:lang w:val="fr-FR"/>
        </w:rPr>
        <w:t xml:space="preserve"> représentants du </w:t>
      </w:r>
      <w:r w:rsidR="001C135A">
        <w:rPr>
          <w:lang w:val="fr-FR"/>
        </w:rPr>
        <w:t>MEDD</w:t>
      </w:r>
      <w:r w:rsidRPr="00305CE4">
        <w:rPr>
          <w:lang w:val="fr-FR"/>
        </w:rPr>
        <w:t xml:space="preserve">, </w:t>
      </w:r>
    </w:p>
    <w:p w14:paraId="0A32A2C4" w14:textId="77777777" w:rsidR="00305CE4" w:rsidRDefault="00305CE4" w:rsidP="00305CE4">
      <w:pPr>
        <w:pStyle w:val="Paragraphedeliste"/>
        <w:numPr>
          <w:ilvl w:val="0"/>
          <w:numId w:val="8"/>
        </w:numPr>
        <w:rPr>
          <w:lang w:val="fr-FR"/>
        </w:rPr>
      </w:pPr>
      <w:proofErr w:type="gramStart"/>
      <w:r w:rsidRPr="00305CE4">
        <w:rPr>
          <w:lang w:val="fr-FR"/>
        </w:rPr>
        <w:t>de</w:t>
      </w:r>
      <w:proofErr w:type="gramEnd"/>
      <w:r w:rsidRPr="00305CE4">
        <w:rPr>
          <w:lang w:val="fr-FR"/>
        </w:rPr>
        <w:t xml:space="preserve"> la représentante résidente et du chargé de programme du PNUD, </w:t>
      </w:r>
    </w:p>
    <w:p w14:paraId="7779D7C5" w14:textId="7F4674C9" w:rsidR="00305CE4" w:rsidRDefault="00305CE4" w:rsidP="00305CE4">
      <w:pPr>
        <w:pStyle w:val="Paragraphedeliste"/>
        <w:numPr>
          <w:ilvl w:val="0"/>
          <w:numId w:val="8"/>
        </w:numPr>
        <w:rPr>
          <w:lang w:val="fr-FR"/>
        </w:rPr>
      </w:pPr>
      <w:proofErr w:type="gramStart"/>
      <w:r w:rsidRPr="00305CE4">
        <w:rPr>
          <w:lang w:val="fr-FR"/>
        </w:rPr>
        <w:t>du</w:t>
      </w:r>
      <w:proofErr w:type="gramEnd"/>
      <w:r w:rsidRPr="00305CE4">
        <w:rPr>
          <w:lang w:val="fr-FR"/>
        </w:rPr>
        <w:t xml:space="preserve"> DNP et de son suppléant, </w:t>
      </w:r>
    </w:p>
    <w:p w14:paraId="74C2571B" w14:textId="21AD37DF" w:rsidR="00305CE4" w:rsidRDefault="00305CE4" w:rsidP="00305CE4">
      <w:pPr>
        <w:pStyle w:val="Paragraphedeliste"/>
        <w:numPr>
          <w:ilvl w:val="0"/>
          <w:numId w:val="8"/>
        </w:numPr>
        <w:rPr>
          <w:lang w:val="fr-FR"/>
        </w:rPr>
      </w:pPr>
      <w:proofErr w:type="gramStart"/>
      <w:r w:rsidRPr="00305CE4">
        <w:rPr>
          <w:lang w:val="fr-FR"/>
        </w:rPr>
        <w:t>du</w:t>
      </w:r>
      <w:proofErr w:type="gramEnd"/>
      <w:r w:rsidRPr="00305CE4">
        <w:rPr>
          <w:lang w:val="fr-FR"/>
        </w:rPr>
        <w:t xml:space="preserve"> chef de la région Atsimo Andrefana,  </w:t>
      </w:r>
    </w:p>
    <w:p w14:paraId="552AEFD3" w14:textId="77777777"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Directeur du Développement Régional Atsimo Andrefana</w:t>
      </w:r>
    </w:p>
    <w:p w14:paraId="1219EB72" w14:textId="140850FE" w:rsidR="00305CE4" w:rsidRDefault="00305CE4" w:rsidP="00EC6DBA">
      <w:pPr>
        <w:pStyle w:val="Paragraphedeliste"/>
        <w:numPr>
          <w:ilvl w:val="0"/>
          <w:numId w:val="8"/>
        </w:numPr>
        <w:rPr>
          <w:lang w:val="fr-FR"/>
        </w:rPr>
      </w:pPr>
      <w:proofErr w:type="gramStart"/>
      <w:r w:rsidRPr="00305CE4">
        <w:rPr>
          <w:lang w:val="fr-FR"/>
        </w:rPr>
        <w:t>de</w:t>
      </w:r>
      <w:proofErr w:type="gramEnd"/>
      <w:r w:rsidRPr="00305CE4">
        <w:rPr>
          <w:lang w:val="fr-FR"/>
        </w:rPr>
        <w:t xml:space="preserve"> la Directrice Régionale de </w:t>
      </w:r>
      <w:proofErr w:type="spellStart"/>
      <w:r w:rsidRPr="00305CE4">
        <w:rPr>
          <w:lang w:val="fr-FR"/>
        </w:rPr>
        <w:t>I'Environnement</w:t>
      </w:r>
      <w:proofErr w:type="spellEnd"/>
      <w:r w:rsidRPr="00305CE4">
        <w:rPr>
          <w:lang w:val="fr-FR"/>
        </w:rPr>
        <w:t xml:space="preserve">, </w:t>
      </w:r>
      <w:r w:rsidRPr="002B677E">
        <w:rPr>
          <w:strike/>
          <w:lang w:val="fr-FR"/>
        </w:rPr>
        <w:t xml:space="preserve">de </w:t>
      </w:r>
      <w:proofErr w:type="spellStart"/>
      <w:r w:rsidRPr="002B677E">
        <w:rPr>
          <w:strike/>
          <w:lang w:val="fr-FR"/>
        </w:rPr>
        <w:t>I'Ecologie</w:t>
      </w:r>
      <w:proofErr w:type="spellEnd"/>
      <w:r w:rsidRPr="002B677E">
        <w:rPr>
          <w:strike/>
          <w:lang w:val="fr-FR"/>
        </w:rPr>
        <w:t xml:space="preserve"> et des Forêts</w:t>
      </w:r>
      <w:r w:rsidR="0090748E">
        <w:rPr>
          <w:strike/>
          <w:lang w:val="fr-FR"/>
        </w:rPr>
        <w:t xml:space="preserve"> </w:t>
      </w:r>
      <w:r w:rsidR="0090748E">
        <w:rPr>
          <w:lang w:val="fr-FR"/>
        </w:rPr>
        <w:t xml:space="preserve"> et du Développement Durable</w:t>
      </w:r>
    </w:p>
    <w:p w14:paraId="5B9E39F3" w14:textId="1430507E"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Directeur Régionale </w:t>
      </w:r>
      <w:r w:rsidR="008E5AA4">
        <w:rPr>
          <w:lang w:val="fr-FR"/>
        </w:rPr>
        <w:t xml:space="preserve">de </w:t>
      </w:r>
      <w:proofErr w:type="spellStart"/>
      <w:r w:rsidRPr="00305CE4">
        <w:rPr>
          <w:lang w:val="fr-FR"/>
        </w:rPr>
        <w:t>I'Agriculture</w:t>
      </w:r>
      <w:proofErr w:type="spellEnd"/>
      <w:r w:rsidRPr="00305CE4">
        <w:rPr>
          <w:lang w:val="fr-FR"/>
        </w:rPr>
        <w:t xml:space="preserve"> et de </w:t>
      </w:r>
      <w:proofErr w:type="spellStart"/>
      <w:r w:rsidRPr="00305CE4">
        <w:rPr>
          <w:lang w:val="fr-FR"/>
        </w:rPr>
        <w:t>I'Elevage</w:t>
      </w:r>
      <w:proofErr w:type="spellEnd"/>
    </w:p>
    <w:p w14:paraId="74C539E4" w14:textId="2E71E5AE" w:rsidR="00305CE4" w:rsidRDefault="00305CE4" w:rsidP="00305CE4">
      <w:pPr>
        <w:pStyle w:val="Paragraphedeliste"/>
        <w:numPr>
          <w:ilvl w:val="0"/>
          <w:numId w:val="8"/>
        </w:numPr>
        <w:rPr>
          <w:lang w:val="fr-FR"/>
        </w:rPr>
      </w:pPr>
      <w:proofErr w:type="gramStart"/>
      <w:r>
        <w:rPr>
          <w:lang w:val="fr-FR"/>
        </w:rPr>
        <w:t>du</w:t>
      </w:r>
      <w:proofErr w:type="gramEnd"/>
      <w:r>
        <w:rPr>
          <w:lang w:val="fr-FR"/>
        </w:rPr>
        <w:t xml:space="preserve"> </w:t>
      </w:r>
      <w:r w:rsidRPr="00305CE4">
        <w:rPr>
          <w:lang w:val="fr-FR"/>
        </w:rPr>
        <w:t xml:space="preserve">Directeur Inter-Régionale </w:t>
      </w:r>
      <w:r w:rsidR="008E5AA4">
        <w:rPr>
          <w:lang w:val="fr-FR"/>
        </w:rPr>
        <w:t xml:space="preserve">de </w:t>
      </w:r>
      <w:r w:rsidRPr="00305CE4">
        <w:rPr>
          <w:lang w:val="fr-FR"/>
        </w:rPr>
        <w:t>l</w:t>
      </w:r>
      <w:r>
        <w:rPr>
          <w:lang w:val="fr-FR"/>
        </w:rPr>
        <w:t>’</w:t>
      </w:r>
      <w:r w:rsidRPr="00305CE4">
        <w:rPr>
          <w:lang w:val="fr-FR"/>
        </w:rPr>
        <w:t>Aménagement du Te</w:t>
      </w:r>
      <w:r w:rsidR="00E94982">
        <w:rPr>
          <w:lang w:val="fr-FR"/>
        </w:rPr>
        <w:t>rr</w:t>
      </w:r>
      <w:r w:rsidRPr="00305CE4">
        <w:rPr>
          <w:lang w:val="fr-FR"/>
        </w:rPr>
        <w:t>itoir</w:t>
      </w:r>
      <w:r>
        <w:rPr>
          <w:lang w:val="fr-FR"/>
        </w:rPr>
        <w:t>e</w:t>
      </w:r>
    </w:p>
    <w:p w14:paraId="6850E8BD" w14:textId="7E3B8860"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Directeur Inter- Régionale </w:t>
      </w:r>
      <w:r w:rsidR="008E5AA4">
        <w:rPr>
          <w:lang w:val="fr-FR"/>
        </w:rPr>
        <w:t xml:space="preserve">des </w:t>
      </w:r>
      <w:r w:rsidRPr="00305CE4">
        <w:rPr>
          <w:lang w:val="fr-FR"/>
        </w:rPr>
        <w:t>Mines</w:t>
      </w:r>
    </w:p>
    <w:p w14:paraId="3FDE77DC" w14:textId="77777777" w:rsidR="00305CE4" w:rsidRDefault="00305CE4" w:rsidP="00EC6DBA">
      <w:pPr>
        <w:pStyle w:val="Paragraphedeliste"/>
        <w:numPr>
          <w:ilvl w:val="0"/>
          <w:numId w:val="8"/>
        </w:numPr>
        <w:rPr>
          <w:lang w:val="fr-FR"/>
        </w:rPr>
      </w:pPr>
      <w:proofErr w:type="gramStart"/>
      <w:r w:rsidRPr="00305CE4">
        <w:rPr>
          <w:lang w:val="fr-FR"/>
        </w:rPr>
        <w:t>des</w:t>
      </w:r>
      <w:proofErr w:type="gramEnd"/>
      <w:r w:rsidRPr="00305CE4">
        <w:rPr>
          <w:lang w:val="fr-FR"/>
        </w:rPr>
        <w:t xml:space="preserve"> Chefs de District de Betioky-Atsimo, Morombe, Toliara II ou leur représentant</w:t>
      </w:r>
    </w:p>
    <w:p w14:paraId="195FB564" w14:textId="77777777" w:rsidR="00305CE4" w:rsidRDefault="00305CE4" w:rsidP="00305CE4">
      <w:pPr>
        <w:pStyle w:val="Paragraphedeliste"/>
        <w:numPr>
          <w:ilvl w:val="0"/>
          <w:numId w:val="8"/>
        </w:numPr>
        <w:rPr>
          <w:lang w:val="fr-FR"/>
        </w:rPr>
      </w:pPr>
      <w:proofErr w:type="gramStart"/>
      <w:r>
        <w:rPr>
          <w:lang w:val="fr-FR"/>
        </w:rPr>
        <w:t>des</w:t>
      </w:r>
      <w:proofErr w:type="gramEnd"/>
      <w:r w:rsidRPr="00305CE4">
        <w:rPr>
          <w:lang w:val="fr-FR"/>
        </w:rPr>
        <w:t xml:space="preserve"> Représentant</w:t>
      </w:r>
      <w:r>
        <w:rPr>
          <w:lang w:val="fr-FR"/>
        </w:rPr>
        <w:t>s</w:t>
      </w:r>
      <w:r w:rsidRPr="00305CE4">
        <w:rPr>
          <w:lang w:val="fr-FR"/>
        </w:rPr>
        <w:t xml:space="preserve"> des Maires du District de Betioky-Atsimo</w:t>
      </w:r>
      <w:r>
        <w:rPr>
          <w:lang w:val="fr-FR"/>
        </w:rPr>
        <w:t>, Morombe, Toliara II</w:t>
      </w:r>
    </w:p>
    <w:p w14:paraId="162743D0" w14:textId="77777777"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Représentant de la Fondation </w:t>
      </w:r>
      <w:proofErr w:type="spellStart"/>
      <w:r w:rsidRPr="00305CE4">
        <w:rPr>
          <w:lang w:val="fr-FR"/>
        </w:rPr>
        <w:t>Tany</w:t>
      </w:r>
      <w:proofErr w:type="spellEnd"/>
      <w:r w:rsidRPr="00305CE4">
        <w:rPr>
          <w:lang w:val="fr-FR"/>
        </w:rPr>
        <w:t xml:space="preserve"> </w:t>
      </w:r>
      <w:proofErr w:type="spellStart"/>
      <w:r w:rsidRPr="00305CE4">
        <w:rPr>
          <w:lang w:val="fr-FR"/>
        </w:rPr>
        <w:t>Meva</w:t>
      </w:r>
      <w:proofErr w:type="spellEnd"/>
      <w:r w:rsidRPr="00305CE4">
        <w:rPr>
          <w:lang w:val="fr-FR"/>
        </w:rPr>
        <w:t xml:space="preserve"> national</w:t>
      </w:r>
    </w:p>
    <w:p w14:paraId="773E1DFC" w14:textId="77777777"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Représentant du Madagascar National Park</w:t>
      </w:r>
    </w:p>
    <w:p w14:paraId="761A6647" w14:textId="38A332BB"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Représentant de I</w:t>
      </w:r>
      <w:r w:rsidR="0090748E">
        <w:rPr>
          <w:lang w:val="fr-FR"/>
        </w:rPr>
        <w:t>’</w:t>
      </w:r>
      <w:r w:rsidRPr="00305CE4">
        <w:rPr>
          <w:lang w:val="fr-FR"/>
        </w:rPr>
        <w:t>ASITY</w:t>
      </w:r>
    </w:p>
    <w:p w14:paraId="1C192A21" w14:textId="6CBE22A4" w:rsidR="00305CE4" w:rsidRDefault="00305CE4" w:rsidP="00EC6DBA">
      <w:pPr>
        <w:pStyle w:val="Paragraphedeliste"/>
        <w:numPr>
          <w:ilvl w:val="0"/>
          <w:numId w:val="8"/>
        </w:numPr>
        <w:rPr>
          <w:lang w:val="fr-FR"/>
        </w:rPr>
      </w:pPr>
      <w:proofErr w:type="gramStart"/>
      <w:r w:rsidRPr="00305CE4">
        <w:rPr>
          <w:lang w:val="fr-FR"/>
        </w:rPr>
        <w:t>du</w:t>
      </w:r>
      <w:proofErr w:type="gramEnd"/>
      <w:r w:rsidRPr="00305CE4">
        <w:rPr>
          <w:lang w:val="fr-FR"/>
        </w:rPr>
        <w:t xml:space="preserve"> Représentant de l</w:t>
      </w:r>
      <w:r w:rsidR="00FF63EF">
        <w:rPr>
          <w:lang w:val="fr-FR"/>
        </w:rPr>
        <w:t xml:space="preserve">’Agence </w:t>
      </w:r>
      <w:r w:rsidR="00A45973">
        <w:rPr>
          <w:lang w:val="fr-FR"/>
        </w:rPr>
        <w:t>A</w:t>
      </w:r>
      <w:r w:rsidR="00FF63EF">
        <w:rPr>
          <w:lang w:val="fr-FR"/>
        </w:rPr>
        <w:t>llemande pour le Développement (</w:t>
      </w:r>
      <w:r w:rsidRPr="00305CE4">
        <w:rPr>
          <w:lang w:val="fr-FR"/>
        </w:rPr>
        <w:t>GIZ</w:t>
      </w:r>
      <w:r w:rsidR="00FF63EF">
        <w:rPr>
          <w:lang w:val="fr-FR"/>
        </w:rPr>
        <w:t xml:space="preserve"> par l’acronyme en allemand)</w:t>
      </w:r>
    </w:p>
    <w:p w14:paraId="09957E07" w14:textId="00F79BF5" w:rsidR="007E745A" w:rsidRDefault="00305CE4" w:rsidP="00EC6DBA">
      <w:pPr>
        <w:pStyle w:val="Paragraphedeliste"/>
        <w:numPr>
          <w:ilvl w:val="0"/>
          <w:numId w:val="8"/>
        </w:numPr>
        <w:rPr>
          <w:lang w:val="fr-FR"/>
        </w:rPr>
      </w:pPr>
      <w:proofErr w:type="gramStart"/>
      <w:r>
        <w:rPr>
          <w:lang w:val="fr-FR"/>
        </w:rPr>
        <w:t>du</w:t>
      </w:r>
      <w:proofErr w:type="gramEnd"/>
      <w:r w:rsidRPr="00305CE4">
        <w:rPr>
          <w:lang w:val="fr-FR"/>
        </w:rPr>
        <w:t xml:space="preserve"> Représentant de TOLIARA SANDS</w:t>
      </w:r>
    </w:p>
    <w:p w14:paraId="3626A3AD" w14:textId="10EB3A01" w:rsidR="00305CE4" w:rsidRPr="00305CE4" w:rsidRDefault="00305CE4" w:rsidP="00305CE4">
      <w:pPr>
        <w:rPr>
          <w:lang w:val="fr-FR"/>
        </w:rPr>
      </w:pPr>
      <w:r>
        <w:rPr>
          <w:lang w:val="fr-FR"/>
        </w:rPr>
        <w:t xml:space="preserve">Ce </w:t>
      </w:r>
      <w:proofErr w:type="spellStart"/>
      <w:r>
        <w:rPr>
          <w:lang w:val="fr-FR"/>
        </w:rPr>
        <w:t>CoPil</w:t>
      </w:r>
      <w:proofErr w:type="spellEnd"/>
      <w:r>
        <w:rPr>
          <w:lang w:val="fr-FR"/>
        </w:rPr>
        <w:t xml:space="preserve"> est coprésidé par le Secrétaire Général du </w:t>
      </w:r>
      <w:r w:rsidR="001C135A">
        <w:rPr>
          <w:lang w:val="fr-FR"/>
        </w:rPr>
        <w:t xml:space="preserve">MEDD </w:t>
      </w:r>
      <w:r>
        <w:rPr>
          <w:lang w:val="fr-FR"/>
        </w:rPr>
        <w:t xml:space="preserve">et par la représentante résidente du PNUD à Madagascar. </w:t>
      </w:r>
    </w:p>
    <w:p w14:paraId="496EF506" w14:textId="296DF2DF" w:rsidR="00937AA0" w:rsidRPr="00486C46" w:rsidRDefault="00F05E98" w:rsidP="00937AA0">
      <w:pPr>
        <w:rPr>
          <w:lang w:val="fr-FR"/>
        </w:rPr>
      </w:pPr>
      <w:r>
        <w:rPr>
          <w:lang w:val="fr-FR"/>
        </w:rPr>
        <w:t>Il convient de noter que</w:t>
      </w:r>
      <w:r w:rsidRPr="00F33309">
        <w:rPr>
          <w:lang w:val="fr-FR"/>
        </w:rPr>
        <w:t xml:space="preserve"> le périmètre d’action du projet représente 2</w:t>
      </w:r>
      <w:r w:rsidR="00FF63EF" w:rsidRPr="00F33309">
        <w:rPr>
          <w:lang w:val="fr-FR"/>
        </w:rPr>
        <w:t>.</w:t>
      </w:r>
      <w:r w:rsidRPr="00F33309">
        <w:rPr>
          <w:lang w:val="fr-FR"/>
        </w:rPr>
        <w:t>4</w:t>
      </w:r>
      <w:r w:rsidR="005A2A85" w:rsidRPr="00F33309">
        <w:rPr>
          <w:lang w:val="fr-FR"/>
        </w:rPr>
        <w:t xml:space="preserve"> millions d’hectares</w:t>
      </w:r>
      <w:r w:rsidR="00F33309">
        <w:rPr>
          <w:lang w:val="fr-FR"/>
        </w:rPr>
        <w:t xml:space="preserve"> pour la Composante 1</w:t>
      </w:r>
      <w:r w:rsidR="005A2A85" w:rsidRPr="00F33309">
        <w:rPr>
          <w:lang w:val="fr-FR"/>
        </w:rPr>
        <w:t>,</w:t>
      </w:r>
      <w:r w:rsidR="00F33309">
        <w:rPr>
          <w:lang w:val="fr-FR"/>
        </w:rPr>
        <w:t xml:space="preserve"> et le projet travail </w:t>
      </w:r>
      <w:r w:rsidR="00635354" w:rsidRPr="00F33309">
        <w:rPr>
          <w:lang w:val="fr-FR"/>
        </w:rPr>
        <w:t>dans</w:t>
      </w:r>
      <w:r w:rsidR="005A2A85" w:rsidRPr="00F33309">
        <w:rPr>
          <w:lang w:val="fr-FR"/>
        </w:rPr>
        <w:t xml:space="preserve"> 13 communes dans les 3 districts susmentionnés, englobant 25 </w:t>
      </w:r>
      <w:r w:rsidR="005A2A85" w:rsidRPr="00F33309">
        <w:rPr>
          <w:i/>
          <w:iCs/>
          <w:lang w:val="fr-FR"/>
        </w:rPr>
        <w:t>fokontany</w:t>
      </w:r>
      <w:r w:rsidR="00F33309">
        <w:rPr>
          <w:i/>
          <w:iCs/>
          <w:lang w:val="fr-FR"/>
        </w:rPr>
        <w:t>,</w:t>
      </w:r>
      <w:r w:rsidR="005A2A85" w:rsidRPr="00F33309">
        <w:rPr>
          <w:lang w:val="fr-FR"/>
        </w:rPr>
        <w:t xml:space="preserve"> et </w:t>
      </w:r>
      <w:r w:rsidR="00832166" w:rsidRPr="00F33309">
        <w:rPr>
          <w:lang w:val="fr-FR"/>
        </w:rPr>
        <w:t>prévoit</w:t>
      </w:r>
      <w:r w:rsidR="00832166" w:rsidRPr="00635354">
        <w:rPr>
          <w:lang w:val="fr-FR"/>
        </w:rPr>
        <w:t xml:space="preserve"> la création </w:t>
      </w:r>
      <w:r w:rsidR="005A2A85" w:rsidRPr="00635354">
        <w:rPr>
          <w:lang w:val="fr-FR"/>
        </w:rPr>
        <w:t xml:space="preserve">8 </w:t>
      </w:r>
      <w:r w:rsidR="00FF63EF" w:rsidRPr="00635354">
        <w:rPr>
          <w:lang w:val="fr-FR"/>
        </w:rPr>
        <w:t>APC</w:t>
      </w:r>
      <w:r w:rsidR="00F33309">
        <w:rPr>
          <w:lang w:val="fr-FR"/>
        </w:rPr>
        <w:t>, dans la Composante 2</w:t>
      </w:r>
      <w:r w:rsidR="005A2A85" w:rsidRPr="005C7D61">
        <w:rPr>
          <w:lang w:val="fr-FR"/>
        </w:rPr>
        <w:t>.</w:t>
      </w:r>
      <w:r w:rsidR="005A2A85">
        <w:rPr>
          <w:lang w:val="fr-FR"/>
        </w:rPr>
        <w:t xml:space="preserve"> </w:t>
      </w:r>
    </w:p>
    <w:p w14:paraId="40BACB6F" w14:textId="77777777" w:rsidR="00937AA0" w:rsidRPr="00486C46" w:rsidRDefault="00937AA0" w:rsidP="00937AA0">
      <w:pPr>
        <w:pStyle w:val="Titre1"/>
        <w:ind w:left="1134" w:hanging="1134"/>
        <w:rPr>
          <w:lang w:val="fr-FR"/>
        </w:rPr>
        <w:sectPr w:rsidR="00937AA0" w:rsidRPr="00486C46" w:rsidSect="00937AA0">
          <w:pgSz w:w="11906" w:h="16838" w:code="9"/>
          <w:pgMar w:top="1440" w:right="1440" w:bottom="1440" w:left="1440" w:header="576" w:footer="432" w:gutter="0"/>
          <w:cols w:space="720"/>
          <w:docGrid w:linePitch="360"/>
        </w:sectPr>
      </w:pPr>
    </w:p>
    <w:p w14:paraId="591B3C83" w14:textId="0A8EE319" w:rsidR="00937AA0" w:rsidRPr="00486C46" w:rsidRDefault="00576062" w:rsidP="00937AA0">
      <w:pPr>
        <w:pStyle w:val="Titre1"/>
        <w:ind w:left="1134" w:hanging="1134"/>
        <w:rPr>
          <w:lang w:val="fr-FR"/>
        </w:rPr>
      </w:pPr>
      <w:bookmarkStart w:id="13" w:name="_Toc31122556"/>
      <w:r>
        <w:rPr>
          <w:lang w:val="fr-FR"/>
        </w:rPr>
        <w:lastRenderedPageBreak/>
        <w:t>Résultats</w:t>
      </w:r>
      <w:bookmarkEnd w:id="13"/>
    </w:p>
    <w:p w14:paraId="27C1BBB5" w14:textId="571861A2" w:rsidR="005C550F" w:rsidRDefault="005C550F" w:rsidP="005C550F">
      <w:pPr>
        <w:pStyle w:val="Titre2"/>
        <w:rPr>
          <w:lang w:val="fr-FR"/>
        </w:rPr>
      </w:pPr>
      <w:bookmarkStart w:id="14" w:name="_Toc31122557"/>
      <w:r w:rsidRPr="005C550F">
        <w:rPr>
          <w:lang w:val="fr-FR"/>
        </w:rPr>
        <w:t>Stratégie du projet</w:t>
      </w:r>
      <w:bookmarkEnd w:id="14"/>
      <w:r w:rsidRPr="005C550F">
        <w:rPr>
          <w:lang w:val="fr-FR"/>
        </w:rPr>
        <w:t xml:space="preserve"> </w:t>
      </w:r>
    </w:p>
    <w:p w14:paraId="5D667212" w14:textId="6F3CF0D4" w:rsidR="002B1790" w:rsidRPr="00490585" w:rsidRDefault="002B1790" w:rsidP="002B1790">
      <w:pPr>
        <w:rPr>
          <w:b/>
          <w:bCs/>
          <w:lang w:val="fr-FR"/>
        </w:rPr>
      </w:pPr>
      <w:r w:rsidRPr="00490585">
        <w:rPr>
          <w:b/>
          <w:bCs/>
          <w:lang w:val="fr-FR"/>
        </w:rPr>
        <w:t xml:space="preserve">Q : Dans quelle mesure la stratégie du projet est-elle adaptée aux priorités du pays, à l’appropriation nationale et au meilleur moyen d’atteindre les résultats escomptés ? </w:t>
      </w:r>
    </w:p>
    <w:p w14:paraId="4E4ADE2D" w14:textId="3236FF71" w:rsidR="005C550F" w:rsidRDefault="005C550F" w:rsidP="005C550F">
      <w:pPr>
        <w:pStyle w:val="Titre3"/>
        <w:rPr>
          <w:lang w:val="fr-FR"/>
        </w:rPr>
      </w:pPr>
      <w:r>
        <w:rPr>
          <w:lang w:val="fr-FR"/>
        </w:rPr>
        <w:t>C</w:t>
      </w:r>
      <w:r w:rsidRPr="005C550F">
        <w:rPr>
          <w:lang w:val="fr-FR"/>
        </w:rPr>
        <w:t xml:space="preserve">onception du projet </w:t>
      </w:r>
    </w:p>
    <w:p w14:paraId="02F253C4" w14:textId="5CB046CD" w:rsidR="002B1790" w:rsidRPr="008F47A6" w:rsidRDefault="002B1790" w:rsidP="002B1790">
      <w:pPr>
        <w:rPr>
          <w:i/>
          <w:iCs/>
          <w:lang w:val="fr-FR"/>
        </w:rPr>
      </w:pPr>
      <w:r w:rsidRPr="008F47A6">
        <w:rPr>
          <w:i/>
          <w:iCs/>
          <w:lang w:val="fr-FR"/>
        </w:rPr>
        <w:t>Q</w:t>
      </w:r>
      <w:r w:rsidR="00C829CE" w:rsidRPr="008F47A6">
        <w:rPr>
          <w:i/>
          <w:iCs/>
          <w:lang w:val="fr-FR"/>
        </w:rPr>
        <w:t xml:space="preserve"> : Le problème auquel s’attaque le projet est-il pertinent par rapport au contexte national </w:t>
      </w:r>
      <w:r w:rsidR="00536929">
        <w:rPr>
          <w:i/>
          <w:iCs/>
          <w:lang w:val="fr-FR"/>
        </w:rPr>
        <w:t xml:space="preserve">et sous-national </w:t>
      </w:r>
      <w:r w:rsidR="00C829CE" w:rsidRPr="008F47A6">
        <w:rPr>
          <w:i/>
          <w:iCs/>
          <w:lang w:val="fr-FR"/>
        </w:rPr>
        <w:t>et aux hypothèses de base ?</w:t>
      </w:r>
    </w:p>
    <w:p w14:paraId="11405F3C" w14:textId="18A4AC98" w:rsidR="00C829CE" w:rsidRPr="008F47A6" w:rsidRDefault="00454C64" w:rsidP="002B1790">
      <w:pPr>
        <w:rPr>
          <w:lang w:val="fr-FR"/>
        </w:rPr>
      </w:pPr>
      <w:r w:rsidRPr="008F47A6">
        <w:rPr>
          <w:lang w:val="fr-FR"/>
        </w:rPr>
        <w:t xml:space="preserve">Le processus de conception de projet a été alimenté par des études préliminaires et </w:t>
      </w:r>
      <w:r w:rsidR="00BC5055" w:rsidRPr="008F47A6">
        <w:rPr>
          <w:lang w:val="fr-FR"/>
        </w:rPr>
        <w:t xml:space="preserve">repose </w:t>
      </w:r>
      <w:r w:rsidRPr="008F47A6">
        <w:rPr>
          <w:lang w:val="fr-FR"/>
        </w:rPr>
        <w:t>sur une situation de référence bien renseignée</w:t>
      </w:r>
      <w:r w:rsidR="00D02D99" w:rsidRPr="008F47A6">
        <w:rPr>
          <w:lang w:val="fr-FR"/>
        </w:rPr>
        <w:t xml:space="preserve"> du point de vue du contexte politique, institutionnel, écologique et </w:t>
      </w:r>
      <w:r w:rsidR="005836F1">
        <w:rPr>
          <w:lang w:val="fr-FR"/>
        </w:rPr>
        <w:t>socio-</w:t>
      </w:r>
      <w:r w:rsidR="00D02D99" w:rsidRPr="008F47A6">
        <w:rPr>
          <w:lang w:val="fr-FR"/>
        </w:rPr>
        <w:t>économique</w:t>
      </w:r>
      <w:r w:rsidR="005836F1" w:rsidRPr="005836F1">
        <w:rPr>
          <w:lang w:val="fr-FR"/>
        </w:rPr>
        <w:t xml:space="preserve"> </w:t>
      </w:r>
      <w:r w:rsidR="005836F1" w:rsidRPr="008F47A6">
        <w:rPr>
          <w:lang w:val="fr-FR"/>
        </w:rPr>
        <w:t>national et régional</w:t>
      </w:r>
      <w:r w:rsidR="00D02D99" w:rsidRPr="008F47A6">
        <w:rPr>
          <w:lang w:val="fr-FR"/>
        </w:rPr>
        <w:t xml:space="preserve">, comme l’indiquent les annexes </w:t>
      </w:r>
      <w:proofErr w:type="gramStart"/>
      <w:r w:rsidR="00D02D99" w:rsidRPr="008F47A6">
        <w:rPr>
          <w:lang w:val="fr-FR"/>
        </w:rPr>
        <w:t>5 </w:t>
      </w:r>
      <w:r w:rsidR="001A58D1">
        <w:rPr>
          <w:lang w:val="fr-FR"/>
        </w:rPr>
        <w:t>,</w:t>
      </w:r>
      <w:proofErr w:type="gramEnd"/>
      <w:r w:rsidR="00D02D99" w:rsidRPr="008F47A6">
        <w:rPr>
          <w:lang w:val="fr-FR"/>
        </w:rPr>
        <w:t xml:space="preserve"> 6 et 7 du document de projet</w:t>
      </w:r>
      <w:r w:rsidR="00BC5055" w:rsidRPr="008F47A6">
        <w:rPr>
          <w:rStyle w:val="Appelnotedebasdep"/>
          <w:lang w:val="fr-FR"/>
        </w:rPr>
        <w:footnoteReference w:id="4"/>
      </w:r>
      <w:r w:rsidR="00D02D99" w:rsidRPr="008F47A6">
        <w:rPr>
          <w:lang w:val="fr-FR"/>
        </w:rPr>
        <w:t xml:space="preserve">. </w:t>
      </w:r>
      <w:r w:rsidR="00B419AE" w:rsidRPr="008F47A6">
        <w:rPr>
          <w:lang w:val="fr-FR"/>
        </w:rPr>
        <w:t xml:space="preserve">Par ailleurs, un processus de consultation des parties prenantes approfondi a été mené tant au niveau national que régional et communautaire, d’une part pour collecter des données sur le problème et d’autre part pour valider le descriptif du projet. </w:t>
      </w:r>
      <w:r w:rsidR="00D02D99" w:rsidRPr="008F47A6">
        <w:rPr>
          <w:lang w:val="fr-FR"/>
        </w:rPr>
        <w:t xml:space="preserve">On peut donc en conclure que les hypothèses de base du projet sont bien fondées. </w:t>
      </w:r>
    </w:p>
    <w:p w14:paraId="64E8B189" w14:textId="79FA7386" w:rsidR="00801272" w:rsidRPr="008F47A6" w:rsidRDefault="00D02D99" w:rsidP="00801272">
      <w:pPr>
        <w:rPr>
          <w:lang w:val="fr-FR"/>
        </w:rPr>
      </w:pPr>
      <w:r w:rsidRPr="008F47A6">
        <w:rPr>
          <w:lang w:val="fr-FR"/>
        </w:rPr>
        <w:t xml:space="preserve">Par ailleurs, les entretiens menés auprès des acteurs et bénéficiaires du projet ont confirmé que le problème </w:t>
      </w:r>
      <w:r w:rsidR="00801272" w:rsidRPr="008F47A6">
        <w:rPr>
          <w:lang w:val="fr-FR"/>
        </w:rPr>
        <w:t xml:space="preserve">traité par le projet est très pertinent </w:t>
      </w:r>
      <w:r w:rsidRPr="008F47A6">
        <w:rPr>
          <w:lang w:val="fr-FR"/>
        </w:rPr>
        <w:t>que ce soit pour</w:t>
      </w:r>
      <w:r w:rsidR="00801272" w:rsidRPr="008F47A6">
        <w:rPr>
          <w:lang w:val="fr-FR"/>
        </w:rPr>
        <w:t xml:space="preserve"> l</w:t>
      </w:r>
      <w:r w:rsidRPr="008F47A6">
        <w:rPr>
          <w:lang w:val="fr-FR"/>
        </w:rPr>
        <w:t>a</w:t>
      </w:r>
      <w:r w:rsidR="00801272" w:rsidRPr="008F47A6">
        <w:rPr>
          <w:lang w:val="fr-FR"/>
        </w:rPr>
        <w:t xml:space="preserve"> composante 1 (</w:t>
      </w:r>
      <w:r w:rsidRPr="008F47A6">
        <w:rPr>
          <w:lang w:val="fr-FR"/>
        </w:rPr>
        <w:t xml:space="preserve">besoin d’outils </w:t>
      </w:r>
      <w:r w:rsidR="005836F1">
        <w:rPr>
          <w:lang w:val="fr-FR"/>
        </w:rPr>
        <w:t xml:space="preserve">et de plateformes </w:t>
      </w:r>
      <w:r w:rsidRPr="008F47A6">
        <w:rPr>
          <w:lang w:val="fr-FR"/>
        </w:rPr>
        <w:t xml:space="preserve">de </w:t>
      </w:r>
      <w:r w:rsidR="00801272" w:rsidRPr="008F47A6">
        <w:rPr>
          <w:lang w:val="fr-FR"/>
        </w:rPr>
        <w:t>planification territorial</w:t>
      </w:r>
      <w:r w:rsidRPr="008F47A6">
        <w:rPr>
          <w:lang w:val="fr-FR"/>
        </w:rPr>
        <w:t>e</w:t>
      </w:r>
      <w:r w:rsidR="00801272" w:rsidRPr="008F47A6">
        <w:rPr>
          <w:lang w:val="fr-FR"/>
        </w:rPr>
        <w:t xml:space="preserve"> intersectoriel) </w:t>
      </w:r>
      <w:r w:rsidRPr="008F47A6">
        <w:rPr>
          <w:lang w:val="fr-FR"/>
        </w:rPr>
        <w:t>que pour la composante</w:t>
      </w:r>
      <w:r w:rsidR="00801272" w:rsidRPr="008F47A6">
        <w:rPr>
          <w:lang w:val="fr-FR"/>
        </w:rPr>
        <w:t xml:space="preserve"> 2 (</w:t>
      </w:r>
      <w:r w:rsidRPr="008F47A6">
        <w:rPr>
          <w:lang w:val="fr-FR"/>
        </w:rPr>
        <w:t>besoin d</w:t>
      </w:r>
      <w:r w:rsidR="005836F1">
        <w:rPr>
          <w:lang w:val="fr-FR"/>
        </w:rPr>
        <w:t>’</w:t>
      </w:r>
      <w:r w:rsidR="005836F1" w:rsidRPr="008F47A6">
        <w:rPr>
          <w:lang w:val="fr-FR"/>
        </w:rPr>
        <w:t>é</w:t>
      </w:r>
      <w:r w:rsidR="005836F1">
        <w:rPr>
          <w:lang w:val="fr-FR"/>
        </w:rPr>
        <w:t>tablir et protéger</w:t>
      </w:r>
      <w:r w:rsidRPr="008F47A6">
        <w:rPr>
          <w:lang w:val="fr-FR"/>
        </w:rPr>
        <w:t xml:space="preserve"> des corridors écologiques et </w:t>
      </w:r>
      <w:r w:rsidR="005836F1">
        <w:rPr>
          <w:lang w:val="fr-FR"/>
        </w:rPr>
        <w:t>réduire</w:t>
      </w:r>
      <w:r w:rsidRPr="008F47A6">
        <w:rPr>
          <w:lang w:val="fr-FR"/>
        </w:rPr>
        <w:t xml:space="preserve"> la</w:t>
      </w:r>
      <w:r w:rsidR="00801272" w:rsidRPr="008F47A6">
        <w:rPr>
          <w:lang w:val="fr-FR"/>
        </w:rPr>
        <w:t xml:space="preserve"> pression</w:t>
      </w:r>
      <w:r w:rsidRPr="008F47A6">
        <w:rPr>
          <w:lang w:val="fr-FR"/>
        </w:rPr>
        <w:t xml:space="preserve"> anthropique</w:t>
      </w:r>
      <w:r w:rsidR="00801272" w:rsidRPr="008F47A6">
        <w:rPr>
          <w:lang w:val="fr-FR"/>
        </w:rPr>
        <w:t xml:space="preserve"> sur </w:t>
      </w:r>
      <w:r w:rsidRPr="008F47A6">
        <w:rPr>
          <w:lang w:val="fr-FR"/>
        </w:rPr>
        <w:t xml:space="preserve">les </w:t>
      </w:r>
      <w:r w:rsidR="005836F1">
        <w:rPr>
          <w:lang w:val="fr-FR"/>
        </w:rPr>
        <w:t>AP</w:t>
      </w:r>
      <w:r w:rsidR="00801272" w:rsidRPr="008F47A6">
        <w:rPr>
          <w:lang w:val="fr-FR"/>
        </w:rPr>
        <w:t>)</w:t>
      </w:r>
      <w:r w:rsidR="00B419AE" w:rsidRPr="008F47A6">
        <w:rPr>
          <w:lang w:val="fr-FR"/>
        </w:rPr>
        <w:t xml:space="preserve">. </w:t>
      </w:r>
    </w:p>
    <w:p w14:paraId="28328C5E" w14:textId="6F43A06E" w:rsidR="004B534B" w:rsidRDefault="004B534B" w:rsidP="008F47A6">
      <w:pPr>
        <w:rPr>
          <w:lang w:val="fr-FR"/>
        </w:rPr>
      </w:pPr>
      <w:r w:rsidRPr="008F47A6">
        <w:rPr>
          <w:lang w:val="fr-FR"/>
        </w:rPr>
        <w:t xml:space="preserve">Il convient de noter néanmoins que le document de projet </w:t>
      </w:r>
      <w:r w:rsidR="00BC5055" w:rsidRPr="008F47A6">
        <w:rPr>
          <w:lang w:val="fr-FR"/>
        </w:rPr>
        <w:t>ayant</w:t>
      </w:r>
      <w:r w:rsidRPr="008F47A6">
        <w:rPr>
          <w:lang w:val="fr-FR"/>
        </w:rPr>
        <w:t xml:space="preserve"> été élaboré en 2013 manque d’actualité par rapport aux </w:t>
      </w:r>
      <w:r w:rsidR="00BC5055" w:rsidRPr="008F47A6">
        <w:rPr>
          <w:lang w:val="fr-FR"/>
        </w:rPr>
        <w:t>outils</w:t>
      </w:r>
      <w:r w:rsidRPr="008F47A6">
        <w:rPr>
          <w:lang w:val="fr-FR"/>
        </w:rPr>
        <w:t xml:space="preserve"> qui ont été réalisé</w:t>
      </w:r>
      <w:r w:rsidR="00BC5055" w:rsidRPr="008F47A6">
        <w:rPr>
          <w:lang w:val="fr-FR"/>
        </w:rPr>
        <w:t>s</w:t>
      </w:r>
      <w:r w:rsidRPr="008F47A6">
        <w:rPr>
          <w:lang w:val="fr-FR"/>
        </w:rPr>
        <w:t xml:space="preserve"> a posteriori telles que le</w:t>
      </w:r>
      <w:r w:rsidR="00D725D8">
        <w:rPr>
          <w:lang w:val="fr-FR"/>
        </w:rPr>
        <w:t xml:space="preserve"> </w:t>
      </w:r>
      <w:r w:rsidR="00D725D8" w:rsidRPr="00D725D8">
        <w:rPr>
          <w:lang w:val="fr-FR"/>
        </w:rPr>
        <w:t>Schéma Régional d’Aménagement du Territoire</w:t>
      </w:r>
      <w:r w:rsidRPr="008F47A6">
        <w:rPr>
          <w:lang w:val="fr-FR"/>
        </w:rPr>
        <w:t xml:space="preserve"> </w:t>
      </w:r>
      <w:r w:rsidR="00D725D8">
        <w:rPr>
          <w:lang w:val="fr-FR"/>
        </w:rPr>
        <w:t>(</w:t>
      </w:r>
      <w:r w:rsidRPr="008F47A6">
        <w:rPr>
          <w:lang w:val="fr-FR"/>
        </w:rPr>
        <w:t>SRAT</w:t>
      </w:r>
      <w:r w:rsidR="00D725D8">
        <w:rPr>
          <w:lang w:val="fr-FR"/>
        </w:rPr>
        <w:t>)</w:t>
      </w:r>
      <w:r w:rsidRPr="008F47A6">
        <w:rPr>
          <w:lang w:val="fr-FR"/>
        </w:rPr>
        <w:t xml:space="preserve">, finalisé en 2018 et dont la mise en œuvre est conditionnée par </w:t>
      </w:r>
      <w:r w:rsidR="00255C99">
        <w:rPr>
          <w:lang w:val="fr-FR"/>
        </w:rPr>
        <w:t>l’</w:t>
      </w:r>
      <w:r w:rsidR="00255C99" w:rsidRPr="002655EE">
        <w:rPr>
          <w:lang w:val="fr-FR"/>
        </w:rPr>
        <w:t>Observatoire de la Biodiversité et des Ecosystèmes Régionaux</w:t>
      </w:r>
      <w:r w:rsidR="00255C99" w:rsidRPr="008F47A6">
        <w:rPr>
          <w:lang w:val="fr-FR"/>
        </w:rPr>
        <w:t xml:space="preserve"> </w:t>
      </w:r>
      <w:r w:rsidR="00255C99">
        <w:rPr>
          <w:lang w:val="fr-FR"/>
        </w:rPr>
        <w:t>(</w:t>
      </w:r>
      <w:r w:rsidR="00255C99" w:rsidRPr="008F47A6">
        <w:rPr>
          <w:lang w:val="fr-FR"/>
        </w:rPr>
        <w:t>OBER</w:t>
      </w:r>
      <w:r w:rsidR="00255C99">
        <w:rPr>
          <w:lang w:val="fr-FR"/>
        </w:rPr>
        <w:t>)</w:t>
      </w:r>
      <w:r w:rsidR="00A45973">
        <w:rPr>
          <w:lang w:val="fr-FR"/>
        </w:rPr>
        <w:t xml:space="preserve"> et </w:t>
      </w:r>
      <w:r w:rsidR="00255C99">
        <w:rPr>
          <w:lang w:val="fr-FR"/>
        </w:rPr>
        <w:t>les documents (</w:t>
      </w:r>
      <w:r w:rsidR="005836F1" w:rsidRPr="002655EE">
        <w:rPr>
          <w:lang w:val="fr-FR"/>
        </w:rPr>
        <w:t>Plan de Recommandations sur l’Occupation des Sols fondé sur la Composante Biodiversité</w:t>
      </w:r>
      <w:r w:rsidR="005836F1" w:rsidRPr="008F47A6">
        <w:rPr>
          <w:lang w:val="fr-FR"/>
        </w:rPr>
        <w:t xml:space="preserve"> </w:t>
      </w:r>
      <w:r w:rsidR="005836F1">
        <w:rPr>
          <w:lang w:val="fr-FR"/>
        </w:rPr>
        <w:t>(</w:t>
      </w:r>
      <w:r w:rsidRPr="008F47A6">
        <w:rPr>
          <w:lang w:val="fr-FR"/>
        </w:rPr>
        <w:t>PROSCB</w:t>
      </w:r>
      <w:r w:rsidR="005836F1">
        <w:rPr>
          <w:lang w:val="fr-FR"/>
        </w:rPr>
        <w:t>)</w:t>
      </w:r>
      <w:r w:rsidR="00255C99">
        <w:rPr>
          <w:lang w:val="fr-FR"/>
        </w:rPr>
        <w:t>)</w:t>
      </w:r>
      <w:r w:rsidRPr="008F47A6">
        <w:rPr>
          <w:lang w:val="fr-FR"/>
        </w:rPr>
        <w:t xml:space="preserve"> et </w:t>
      </w:r>
      <w:r w:rsidR="00255C99">
        <w:rPr>
          <w:lang w:val="fr-FR"/>
        </w:rPr>
        <w:t>outils (</w:t>
      </w:r>
      <w:r w:rsidR="005836F1">
        <w:rPr>
          <w:lang w:val="fr-FR"/>
        </w:rPr>
        <w:t>l’</w:t>
      </w:r>
      <w:r w:rsidR="005836F1" w:rsidRPr="002655EE">
        <w:rPr>
          <w:lang w:val="fr-FR"/>
        </w:rPr>
        <w:t>Outil de Planification Territoriale pour la Biodiversité</w:t>
      </w:r>
      <w:r w:rsidR="005836F1" w:rsidRPr="008F47A6">
        <w:rPr>
          <w:lang w:val="fr-FR"/>
        </w:rPr>
        <w:t xml:space="preserve"> </w:t>
      </w:r>
      <w:r w:rsidR="005836F1">
        <w:rPr>
          <w:lang w:val="fr-FR"/>
        </w:rPr>
        <w:t>(</w:t>
      </w:r>
      <w:r w:rsidR="005836F1" w:rsidRPr="008F47A6">
        <w:rPr>
          <w:lang w:val="fr-FR"/>
        </w:rPr>
        <w:t xml:space="preserve">OPT </w:t>
      </w:r>
      <w:r w:rsidRPr="008F47A6">
        <w:rPr>
          <w:lang w:val="fr-FR"/>
        </w:rPr>
        <w:t>BD</w:t>
      </w:r>
      <w:r w:rsidR="00255C99">
        <w:rPr>
          <w:lang w:val="fr-FR"/>
        </w:rPr>
        <w:t>)) qu’il utilise</w:t>
      </w:r>
      <w:r w:rsidRPr="008F47A6">
        <w:rPr>
          <w:rStyle w:val="Appelnotedebasdep"/>
          <w:lang w:val="fr-FR"/>
        </w:rPr>
        <w:footnoteReference w:id="5"/>
      </w:r>
      <w:r w:rsidRPr="008F47A6">
        <w:rPr>
          <w:lang w:val="fr-FR"/>
        </w:rPr>
        <w:t xml:space="preserve">. </w:t>
      </w:r>
    </w:p>
    <w:p w14:paraId="2922FB8C" w14:textId="77777777" w:rsidR="007800ED" w:rsidRPr="008F47A6" w:rsidRDefault="007800ED" w:rsidP="004B534B">
      <w:pPr>
        <w:autoSpaceDE w:val="0"/>
        <w:autoSpaceDN w:val="0"/>
        <w:adjustRightInd w:val="0"/>
        <w:spacing w:before="0" w:after="0" w:line="240" w:lineRule="auto"/>
        <w:jc w:val="left"/>
        <w:rPr>
          <w:lang w:val="fr-FR"/>
        </w:rPr>
      </w:pPr>
    </w:p>
    <w:p w14:paraId="10B21844" w14:textId="718E6348" w:rsidR="00C829CE" w:rsidRPr="008F47A6" w:rsidRDefault="00C829CE" w:rsidP="002B1790">
      <w:pPr>
        <w:rPr>
          <w:i/>
          <w:iCs/>
          <w:lang w:val="fr-FR"/>
        </w:rPr>
      </w:pPr>
      <w:r w:rsidRPr="008F47A6">
        <w:rPr>
          <w:i/>
          <w:iCs/>
          <w:lang w:val="fr-FR"/>
        </w:rPr>
        <w:t>Q : Quelle est l’efficacité de la stratégie choisie pour atteindre les résultats escomptés ? La théorie de changement (y compris les hypothèses et risques identifiés) demeure-t-elle pertinente ?</w:t>
      </w:r>
    </w:p>
    <w:p w14:paraId="163FAC49" w14:textId="20C16A30" w:rsidR="00AF70FE" w:rsidRPr="008F47A6" w:rsidRDefault="00BD69D0">
      <w:pPr>
        <w:rPr>
          <w:lang w:val="fr-FR"/>
        </w:rPr>
      </w:pPr>
      <w:r w:rsidRPr="008F47A6">
        <w:rPr>
          <w:lang w:val="fr-FR"/>
        </w:rPr>
        <w:t xml:space="preserve">Le projet </w:t>
      </w:r>
      <w:r w:rsidR="00BC5055" w:rsidRPr="008F47A6">
        <w:rPr>
          <w:lang w:val="fr-FR"/>
        </w:rPr>
        <w:t xml:space="preserve">vise à </w:t>
      </w:r>
      <w:r w:rsidR="00351DE7" w:rsidRPr="008F47A6">
        <w:rPr>
          <w:lang w:val="fr-FR"/>
        </w:rPr>
        <w:t xml:space="preserve">renforcer la gouvernance en matière d’exploitation des ressources à l’échelle des paysages en élaborant et en mettant en œuvre des outils </w:t>
      </w:r>
      <w:r w:rsidR="00255C99">
        <w:rPr>
          <w:lang w:val="fr-FR"/>
        </w:rPr>
        <w:t xml:space="preserve">et plateformes </w:t>
      </w:r>
      <w:r w:rsidR="00351DE7" w:rsidRPr="008F47A6">
        <w:rPr>
          <w:lang w:val="fr-FR"/>
        </w:rPr>
        <w:t xml:space="preserve">dynamiques </w:t>
      </w:r>
      <w:r w:rsidR="00351DE7" w:rsidRPr="00582B5D">
        <w:rPr>
          <w:lang w:val="fr-FR"/>
        </w:rPr>
        <w:t xml:space="preserve">qui intègrent explicitement les besoins de biodiversité en matière de protection environnementale </w:t>
      </w:r>
      <w:r w:rsidR="00351DE7" w:rsidRPr="008F47A6">
        <w:rPr>
          <w:lang w:val="fr-FR"/>
        </w:rPr>
        <w:t>qui permettront</w:t>
      </w:r>
      <w:r w:rsidR="00351DE7" w:rsidRPr="00582B5D">
        <w:rPr>
          <w:lang w:val="fr-FR"/>
        </w:rPr>
        <w:t xml:space="preserve"> d’atténuer les </w:t>
      </w:r>
      <w:r w:rsidR="00351DE7" w:rsidRPr="008E3E90">
        <w:rPr>
          <w:lang w:val="fr-FR"/>
        </w:rPr>
        <w:t>menaces</w:t>
      </w:r>
      <w:r w:rsidR="00351DE7" w:rsidRPr="008F47A6">
        <w:rPr>
          <w:lang w:val="fr-FR"/>
        </w:rPr>
        <w:t xml:space="preserve"> qui pèsent sur la biodiversité. Aussi, par un travail avec les communautés sur </w:t>
      </w:r>
      <w:r w:rsidR="00351DE7" w:rsidRPr="008F47A6">
        <w:rPr>
          <w:lang w:val="fr-FR"/>
        </w:rPr>
        <w:lastRenderedPageBreak/>
        <w:t xml:space="preserve">leurs moyens de subsistances et leurs pratiques d’occupation des sols, le projet cherche à intégrer la </w:t>
      </w:r>
      <w:proofErr w:type="gramStart"/>
      <w:r w:rsidR="00351DE7" w:rsidRPr="008F47A6">
        <w:rPr>
          <w:lang w:val="fr-FR"/>
        </w:rPr>
        <w:t>protection</w:t>
      </w:r>
      <w:proofErr w:type="gramEnd"/>
      <w:r w:rsidR="00351DE7" w:rsidRPr="008F47A6">
        <w:rPr>
          <w:lang w:val="fr-FR"/>
        </w:rPr>
        <w:t xml:space="preserve"> de l’environnement et de la biodiversité dans les activités et la production communautaire. Cette stratégie tient parfaitement compte du contexte de développement local, surtout dans le cadre de la composante 2. Les activités prévues sont cohérentes avec les résultats attendus. </w:t>
      </w:r>
      <w:r w:rsidR="004B534B" w:rsidRPr="008F47A6">
        <w:rPr>
          <w:lang w:val="fr-FR"/>
        </w:rPr>
        <w:t xml:space="preserve">Les outils de planification de la composante 1 sont considérés par les parties prenantes comme nécessaires et utiles. </w:t>
      </w:r>
    </w:p>
    <w:p w14:paraId="684DC9A3" w14:textId="106EA130" w:rsidR="00351DE7" w:rsidRPr="008F47A6" w:rsidRDefault="00351DE7">
      <w:pPr>
        <w:rPr>
          <w:lang w:val="fr-FR"/>
        </w:rPr>
      </w:pPr>
      <w:r w:rsidRPr="008F47A6">
        <w:rPr>
          <w:lang w:val="fr-FR"/>
        </w:rPr>
        <w:t xml:space="preserve">Toutefois, </w:t>
      </w:r>
      <w:r w:rsidR="00815BC8" w:rsidRPr="008F47A6">
        <w:rPr>
          <w:lang w:val="fr-FR"/>
        </w:rPr>
        <w:t xml:space="preserve">tant </w:t>
      </w:r>
      <w:r w:rsidRPr="008F47A6">
        <w:rPr>
          <w:lang w:val="fr-FR"/>
        </w:rPr>
        <w:t xml:space="preserve">la revue documentaire </w:t>
      </w:r>
      <w:r w:rsidR="00815BC8" w:rsidRPr="008F47A6">
        <w:rPr>
          <w:lang w:val="fr-FR"/>
        </w:rPr>
        <w:t>que</w:t>
      </w:r>
      <w:r w:rsidRPr="008F47A6">
        <w:rPr>
          <w:lang w:val="fr-FR"/>
        </w:rPr>
        <w:t xml:space="preserve"> les entretiens ont permis de </w:t>
      </w:r>
      <w:r w:rsidR="00815BC8" w:rsidRPr="008F47A6">
        <w:rPr>
          <w:lang w:val="fr-FR"/>
        </w:rPr>
        <w:t>constater</w:t>
      </w:r>
      <w:r w:rsidRPr="008F47A6">
        <w:rPr>
          <w:lang w:val="fr-FR"/>
        </w:rPr>
        <w:t xml:space="preserve"> que la stratégie se concentre </w:t>
      </w:r>
      <w:r w:rsidR="00034AA9" w:rsidRPr="008F47A6">
        <w:rPr>
          <w:lang w:val="fr-FR"/>
        </w:rPr>
        <w:t xml:space="preserve">beaucoup sur l’échelle régionale et communautaire, </w:t>
      </w:r>
      <w:r w:rsidR="00AF70FE" w:rsidRPr="008F47A6">
        <w:rPr>
          <w:lang w:val="fr-FR"/>
        </w:rPr>
        <w:t>et ne prévoit que dans une moindre mesure l’intégration de</w:t>
      </w:r>
      <w:r w:rsidR="00034AA9" w:rsidRPr="008F47A6">
        <w:rPr>
          <w:lang w:val="fr-FR"/>
        </w:rPr>
        <w:t xml:space="preserve"> l’échelle nationale. </w:t>
      </w:r>
      <w:r w:rsidR="00E94982" w:rsidRPr="008F47A6">
        <w:rPr>
          <w:lang w:val="fr-FR"/>
        </w:rPr>
        <w:t xml:space="preserve">Au sein du </w:t>
      </w:r>
      <w:proofErr w:type="spellStart"/>
      <w:r w:rsidR="00255C99">
        <w:rPr>
          <w:lang w:val="fr-FR"/>
        </w:rPr>
        <w:t>CoPil</w:t>
      </w:r>
      <w:proofErr w:type="spellEnd"/>
      <w:r w:rsidR="00E94982" w:rsidRPr="008F47A6">
        <w:rPr>
          <w:lang w:val="fr-FR"/>
        </w:rPr>
        <w:t xml:space="preserve">, le </w:t>
      </w:r>
      <w:r w:rsidR="001C135A">
        <w:rPr>
          <w:lang w:val="fr-FR"/>
        </w:rPr>
        <w:t>MEDD</w:t>
      </w:r>
      <w:r w:rsidR="00E94982" w:rsidRPr="008F47A6">
        <w:rPr>
          <w:lang w:val="fr-FR"/>
        </w:rPr>
        <w:t xml:space="preserve"> est le seul ministère à avoir des représentants au niveau national, contrairement à l’Agriculture et l’Elevage, l’Aménagement du Territoire et les Mines</w:t>
      </w:r>
      <w:r w:rsidR="00C81ECF" w:rsidRPr="008F47A6">
        <w:rPr>
          <w:lang w:val="fr-FR"/>
        </w:rPr>
        <w:t xml:space="preserve"> pour lesquels les représentants des directions régionales et interrégionales sont présent</w:t>
      </w:r>
      <w:r w:rsidR="00815BC8" w:rsidRPr="008F47A6">
        <w:rPr>
          <w:lang w:val="fr-FR"/>
        </w:rPr>
        <w:t>s</w:t>
      </w:r>
      <w:r w:rsidR="00E94982" w:rsidRPr="008F47A6">
        <w:rPr>
          <w:lang w:val="fr-FR"/>
        </w:rPr>
        <w:t xml:space="preserve">. </w:t>
      </w:r>
      <w:r w:rsidR="0033124F" w:rsidRPr="008F47A6">
        <w:rPr>
          <w:lang w:val="fr-FR"/>
        </w:rPr>
        <w:t xml:space="preserve">En outre, il n’y a pas d’activités réalisées au niveau national alors que cela serait nécessaire pour préparer la mise à l’échelle </w:t>
      </w:r>
      <w:r w:rsidR="00815BC8" w:rsidRPr="008F47A6">
        <w:rPr>
          <w:lang w:val="fr-FR"/>
        </w:rPr>
        <w:t xml:space="preserve">des outils de planification </w:t>
      </w:r>
      <w:r w:rsidR="0033124F" w:rsidRPr="008F47A6">
        <w:rPr>
          <w:lang w:val="fr-FR"/>
        </w:rPr>
        <w:t>et assurer la durabilité des résultats.</w:t>
      </w:r>
    </w:p>
    <w:p w14:paraId="53D07188" w14:textId="0D2D98A9" w:rsidR="00034AA9" w:rsidRPr="008E3E90" w:rsidRDefault="00034AA9" w:rsidP="00801272">
      <w:pPr>
        <w:rPr>
          <w:lang w:val="fr-FR"/>
        </w:rPr>
      </w:pPr>
      <w:r w:rsidRPr="008F47A6">
        <w:rPr>
          <w:lang w:val="fr-FR"/>
        </w:rPr>
        <w:t xml:space="preserve">Par ailleurs, si la stratégie est logique et exhaustivement présentée dans le document de projet, il est regrettable qu’elle ne soit pas plus graphiquement illustrée. En effet, le projet ne dispose pas </w:t>
      </w:r>
      <w:r w:rsidR="0001245D" w:rsidRPr="008F47A6">
        <w:rPr>
          <w:lang w:val="fr-FR"/>
        </w:rPr>
        <w:t>d’un schéma de</w:t>
      </w:r>
      <w:r w:rsidRPr="008F47A6">
        <w:rPr>
          <w:lang w:val="fr-FR"/>
        </w:rPr>
        <w:t xml:space="preserve"> théorie du changement</w:t>
      </w:r>
      <w:r w:rsidR="0001245D" w:rsidRPr="008F47A6">
        <w:rPr>
          <w:rStyle w:val="Appelnotedebasdep"/>
          <w:lang w:val="fr-FR"/>
        </w:rPr>
        <w:footnoteReference w:id="6"/>
      </w:r>
      <w:r w:rsidRPr="008F47A6">
        <w:rPr>
          <w:lang w:val="fr-FR"/>
        </w:rPr>
        <w:t xml:space="preserve">, ni même d’une présentation graphique des problèmes et des solutions. Or, les entretiens ont </w:t>
      </w:r>
      <w:r w:rsidR="00815BC8" w:rsidRPr="008F47A6">
        <w:rPr>
          <w:lang w:val="fr-FR"/>
        </w:rPr>
        <w:t>mis</w:t>
      </w:r>
      <w:r w:rsidR="00B7659C" w:rsidRPr="008F47A6">
        <w:rPr>
          <w:lang w:val="fr-FR"/>
        </w:rPr>
        <w:t xml:space="preserve"> en exergue </w:t>
      </w:r>
      <w:r w:rsidR="00815BC8" w:rsidRPr="008F47A6">
        <w:rPr>
          <w:lang w:val="fr-FR"/>
        </w:rPr>
        <w:t>qu’</w:t>
      </w:r>
      <w:r w:rsidR="00B7659C" w:rsidRPr="008F47A6">
        <w:rPr>
          <w:lang w:val="fr-FR"/>
        </w:rPr>
        <w:t>une partie des acteurs clés du projet, y compris à l’UCP,</w:t>
      </w:r>
      <w:r w:rsidR="004B534B" w:rsidRPr="008F47A6">
        <w:rPr>
          <w:lang w:val="fr-FR"/>
        </w:rPr>
        <w:t xml:space="preserve"> </w:t>
      </w:r>
      <w:r w:rsidR="00B7659C" w:rsidRPr="008F47A6">
        <w:rPr>
          <w:lang w:val="fr-FR"/>
        </w:rPr>
        <w:t>ne connaissait pas dans son ensemble la stratégie du projet</w:t>
      </w:r>
      <w:r w:rsidR="00C605FF" w:rsidRPr="00C605FF">
        <w:rPr>
          <w:lang w:val="fr-FR"/>
        </w:rPr>
        <w:t xml:space="preserve"> </w:t>
      </w:r>
      <w:r w:rsidR="00C605FF">
        <w:rPr>
          <w:lang w:val="fr-FR"/>
        </w:rPr>
        <w:t xml:space="preserve">ou </w:t>
      </w:r>
      <w:r w:rsidR="00A45973">
        <w:rPr>
          <w:lang w:val="fr-FR"/>
        </w:rPr>
        <w:t>avait des difficultés à</w:t>
      </w:r>
      <w:r w:rsidR="00C605FF">
        <w:rPr>
          <w:lang w:val="fr-FR"/>
        </w:rPr>
        <w:t xml:space="preserve"> expliquer les relations entre les différents produits du projet, surtout sur la composante 1</w:t>
      </w:r>
      <w:r w:rsidR="00536929">
        <w:rPr>
          <w:lang w:val="fr-FR"/>
        </w:rPr>
        <w:t xml:space="preserve"> qui est complexe</w:t>
      </w:r>
      <w:r w:rsidR="00B7659C" w:rsidRPr="008F47A6">
        <w:rPr>
          <w:lang w:val="fr-FR"/>
        </w:rPr>
        <w:t>. Le développement d’un arbre à problèmes et à solution</w:t>
      </w:r>
      <w:r w:rsidR="00815BC8" w:rsidRPr="008F47A6">
        <w:rPr>
          <w:lang w:val="fr-FR"/>
        </w:rPr>
        <w:t>s</w:t>
      </w:r>
      <w:r w:rsidR="00B7659C" w:rsidRPr="008F47A6">
        <w:rPr>
          <w:lang w:val="fr-FR"/>
        </w:rPr>
        <w:t xml:space="preserve"> ainsi qu’une théorie du changement, en plus d’être un exercice bénéfique à l’UCP, pourrait faciliter la présentation du projet auprès de certains acteurs. </w:t>
      </w:r>
    </w:p>
    <w:p w14:paraId="390A6D75" w14:textId="3232AC84" w:rsidR="00C829CE" w:rsidRPr="008F47A6" w:rsidRDefault="008C09F6" w:rsidP="002B1790">
      <w:pPr>
        <w:rPr>
          <w:lang w:val="fr-FR"/>
        </w:rPr>
      </w:pPr>
      <w:r>
        <w:rPr>
          <w:lang w:val="fr-FR"/>
        </w:rPr>
        <w:t>De plus</w:t>
      </w:r>
      <w:r w:rsidRPr="008F47A6">
        <w:rPr>
          <w:lang w:val="fr-FR"/>
        </w:rPr>
        <w:t>, au stade de la conception et de la sélection des sites, le projet n’a pas pleinement considéré les problèmes d’accessibilité des sites de protection prioritaires alors que</w:t>
      </w:r>
      <w:r w:rsidR="00635354">
        <w:rPr>
          <w:lang w:val="fr-FR"/>
        </w:rPr>
        <w:t>,</w:t>
      </w:r>
      <w:r w:rsidRPr="008F47A6">
        <w:rPr>
          <w:lang w:val="fr-FR"/>
        </w:rPr>
        <w:t xml:space="preserve"> pour certains sites, l’état des routes et la sécurité constituait un risque</w:t>
      </w:r>
      <w:r w:rsidR="00635354">
        <w:rPr>
          <w:lang w:val="fr-FR"/>
        </w:rPr>
        <w:t xml:space="preserve"> pour la gestion du projet, au moins pour certain</w:t>
      </w:r>
      <w:r w:rsidR="005C7D61">
        <w:rPr>
          <w:lang w:val="fr-FR"/>
        </w:rPr>
        <w:t>es</w:t>
      </w:r>
      <w:r w:rsidR="00635354">
        <w:rPr>
          <w:lang w:val="fr-FR"/>
        </w:rPr>
        <w:t xml:space="preserve"> périodes – la sécurité </w:t>
      </w:r>
      <w:r w:rsidR="00E355D5">
        <w:rPr>
          <w:lang w:val="fr-FR"/>
        </w:rPr>
        <w:t>est</w:t>
      </w:r>
      <w:r w:rsidR="00635354">
        <w:rPr>
          <w:lang w:val="fr-FR"/>
        </w:rPr>
        <w:t xml:space="preserve"> revenu</w:t>
      </w:r>
      <w:r w:rsidR="00E355D5">
        <w:rPr>
          <w:lang w:val="fr-FR"/>
        </w:rPr>
        <w:t>e</w:t>
      </w:r>
      <w:r w:rsidR="00635354">
        <w:rPr>
          <w:lang w:val="fr-FR"/>
        </w:rPr>
        <w:t xml:space="preserve"> </w:t>
      </w:r>
      <w:r w:rsidR="00E355D5">
        <w:rPr>
          <w:lang w:val="fr-FR"/>
        </w:rPr>
        <w:t>à</w:t>
      </w:r>
      <w:r w:rsidR="00635354">
        <w:rPr>
          <w:lang w:val="fr-FR"/>
        </w:rPr>
        <w:t xml:space="preserve"> </w:t>
      </w:r>
      <w:proofErr w:type="spellStart"/>
      <w:r w:rsidR="00635354">
        <w:rPr>
          <w:lang w:val="fr-FR"/>
        </w:rPr>
        <w:t>Nosy</w:t>
      </w:r>
      <w:proofErr w:type="spellEnd"/>
      <w:r w:rsidR="00635354">
        <w:rPr>
          <w:lang w:val="fr-FR"/>
        </w:rPr>
        <w:t xml:space="preserve"> </w:t>
      </w:r>
      <w:proofErr w:type="spellStart"/>
      <w:r w:rsidR="00635354">
        <w:rPr>
          <w:lang w:val="fr-FR"/>
        </w:rPr>
        <w:t>Ambositra</w:t>
      </w:r>
      <w:proofErr w:type="spellEnd"/>
      <w:r w:rsidR="00635354">
        <w:rPr>
          <w:lang w:val="fr-FR"/>
        </w:rPr>
        <w:t xml:space="preserve"> au deuxième trimestre de 2019 </w:t>
      </w:r>
      <w:r w:rsidRPr="008F47A6">
        <w:rPr>
          <w:rStyle w:val="Appelnotedebasdep"/>
          <w:lang w:val="fr-FR"/>
        </w:rPr>
        <w:footnoteReference w:id="7"/>
      </w:r>
      <w:r w:rsidR="00635354">
        <w:rPr>
          <w:lang w:val="fr-FR"/>
        </w:rPr>
        <w:t xml:space="preserve"> </w:t>
      </w:r>
      <w:r w:rsidRPr="008F47A6">
        <w:rPr>
          <w:lang w:val="fr-FR"/>
        </w:rPr>
        <w:t xml:space="preserve">.  </w:t>
      </w:r>
    </w:p>
    <w:p w14:paraId="433634B9" w14:textId="39AB1BD7" w:rsidR="00C829CE" w:rsidRPr="008F47A6" w:rsidRDefault="00C829CE" w:rsidP="002B1790">
      <w:pPr>
        <w:rPr>
          <w:i/>
          <w:iCs/>
          <w:lang w:val="fr-FR"/>
        </w:rPr>
      </w:pPr>
      <w:r w:rsidRPr="008F47A6">
        <w:rPr>
          <w:i/>
          <w:iCs/>
          <w:lang w:val="fr-FR"/>
        </w:rPr>
        <w:t>Q : Dans quelle mesure le projet répond-il aux priorités et plans nationaux et sous-nationaux ?</w:t>
      </w:r>
    </w:p>
    <w:p w14:paraId="0F72D5BF" w14:textId="4A308B65" w:rsidR="00552332" w:rsidRPr="008F47A6" w:rsidRDefault="00533A0A" w:rsidP="00810A99">
      <w:pPr>
        <w:rPr>
          <w:lang w:val="fr-FR"/>
        </w:rPr>
      </w:pPr>
      <w:r w:rsidRPr="008E3E90">
        <w:rPr>
          <w:lang w:val="fr-FR"/>
        </w:rPr>
        <w:t>Le processus de conception du projet a pris en compte les priorités du gouvernement de Madagascar en</w:t>
      </w:r>
      <w:r w:rsidRPr="00582B5D">
        <w:rPr>
          <w:lang w:val="fr-FR"/>
        </w:rPr>
        <w:t xml:space="preserve"> termes de conservation de la biodi</w:t>
      </w:r>
      <w:r w:rsidRPr="008F47A6">
        <w:rPr>
          <w:lang w:val="fr-FR"/>
        </w:rPr>
        <w:t xml:space="preserve">versité et de développement économique. Le projet contribue notamment aux engagements nationaux pris dans les documents politiques suivants et de référence à l’époque de formulation du projet : </w:t>
      </w:r>
    </w:p>
    <w:p w14:paraId="24B4CB61" w14:textId="77777777" w:rsidR="00533A0A" w:rsidRPr="008F47A6" w:rsidRDefault="00533A0A" w:rsidP="00533A0A">
      <w:pPr>
        <w:pStyle w:val="Paragraphedeliste"/>
        <w:numPr>
          <w:ilvl w:val="0"/>
          <w:numId w:val="12"/>
        </w:numPr>
        <w:spacing w:after="120"/>
        <w:ind w:left="714" w:hanging="357"/>
        <w:contextualSpacing w:val="0"/>
        <w:rPr>
          <w:lang w:val="fr-FR"/>
        </w:rPr>
      </w:pPr>
      <w:r w:rsidRPr="008F47A6">
        <w:rPr>
          <w:lang w:val="fr-FR"/>
        </w:rPr>
        <w:t xml:space="preserve">La </w:t>
      </w:r>
      <w:r w:rsidRPr="008F47A6">
        <w:rPr>
          <w:b/>
          <w:lang w:val="fr-FR"/>
        </w:rPr>
        <w:t>Constitution de Madagascar</w:t>
      </w:r>
      <w:r w:rsidRPr="008F47A6">
        <w:rPr>
          <w:lang w:val="fr-FR"/>
        </w:rPr>
        <w:t xml:space="preserve"> promeut le principe de subsidiarité de la gestion des ressources naturelles dans son préambule, principe auquel contribue le projet.</w:t>
      </w:r>
    </w:p>
    <w:p w14:paraId="1507A426" w14:textId="6AB94E14" w:rsidR="002F1A36" w:rsidRPr="008F47A6" w:rsidRDefault="002F1A36" w:rsidP="00533A0A">
      <w:pPr>
        <w:pStyle w:val="Paragraphedeliste"/>
        <w:numPr>
          <w:ilvl w:val="0"/>
          <w:numId w:val="12"/>
        </w:numPr>
        <w:spacing w:after="120"/>
        <w:ind w:left="714" w:hanging="357"/>
        <w:contextualSpacing w:val="0"/>
        <w:rPr>
          <w:lang w:val="fr-FR"/>
        </w:rPr>
      </w:pPr>
      <w:r w:rsidRPr="008F47A6">
        <w:rPr>
          <w:lang w:val="fr-FR"/>
        </w:rPr>
        <w:lastRenderedPageBreak/>
        <w:t xml:space="preserve">La </w:t>
      </w:r>
      <w:r w:rsidRPr="008F47A6">
        <w:rPr>
          <w:b/>
          <w:bCs/>
          <w:lang w:val="fr-FR"/>
        </w:rPr>
        <w:t>Vision de Durban</w:t>
      </w:r>
      <w:r w:rsidR="00C46BFC">
        <w:rPr>
          <w:b/>
          <w:bCs/>
          <w:lang w:val="fr-FR"/>
        </w:rPr>
        <w:t xml:space="preserve">, </w:t>
      </w:r>
      <w:r w:rsidR="00C46BFC" w:rsidRPr="00CA44AE">
        <w:rPr>
          <w:lang w:val="fr-FR"/>
        </w:rPr>
        <w:t xml:space="preserve">répond au Congrès de Durban </w:t>
      </w:r>
      <w:r w:rsidR="00C46BFC">
        <w:rPr>
          <w:lang w:val="fr-FR"/>
        </w:rPr>
        <w:t xml:space="preserve">de 2003 </w:t>
      </w:r>
      <w:r w:rsidR="00C46BFC" w:rsidRPr="00CA44AE">
        <w:rPr>
          <w:lang w:val="fr-FR"/>
        </w:rPr>
        <w:t>où</w:t>
      </w:r>
      <w:r w:rsidR="00C46BFC">
        <w:rPr>
          <w:b/>
          <w:bCs/>
          <w:lang w:val="fr-FR"/>
        </w:rPr>
        <w:t xml:space="preserve"> </w:t>
      </w:r>
      <w:r w:rsidR="00C46BFC" w:rsidRPr="00670EBD">
        <w:rPr>
          <w:lang w:val="fr-FR"/>
        </w:rPr>
        <w:t xml:space="preserve">Madagascar annonçait au monde entier la décision du Gouvernement Malgache de tripler avant 2008 la surface des aires protégées à Madagascar en se référant aux catégories des aires protégées de </w:t>
      </w:r>
      <w:r w:rsidR="00C46BFC">
        <w:rPr>
          <w:lang w:val="fr-FR"/>
        </w:rPr>
        <w:t>l’Union Internationale pour la Conservation de la Nature (UICN</w:t>
      </w:r>
      <w:proofErr w:type="gramStart"/>
      <w:r w:rsidR="00C46BFC">
        <w:rPr>
          <w:lang w:val="fr-FR"/>
        </w:rPr>
        <w:t>)</w:t>
      </w:r>
      <w:r w:rsidRPr="008F47A6">
        <w:rPr>
          <w:lang w:val="fr-FR"/>
        </w:rPr>
        <w:t xml:space="preserve"> </w:t>
      </w:r>
      <w:r w:rsidR="00FF6C63">
        <w:rPr>
          <w:lang w:val="fr-FR"/>
        </w:rPr>
        <w:t>.</w:t>
      </w:r>
      <w:proofErr w:type="gramEnd"/>
      <w:r w:rsidR="00FF6C63">
        <w:rPr>
          <w:lang w:val="fr-FR"/>
        </w:rPr>
        <w:t xml:space="preserve"> </w:t>
      </w:r>
    </w:p>
    <w:p w14:paraId="6EED6AC5" w14:textId="5D110241" w:rsidR="00533A0A" w:rsidRPr="00CA44AE" w:rsidRDefault="00533A0A" w:rsidP="003C067C">
      <w:pPr>
        <w:pStyle w:val="Paragraphedeliste"/>
        <w:numPr>
          <w:ilvl w:val="0"/>
          <w:numId w:val="12"/>
        </w:numPr>
        <w:spacing w:after="120"/>
        <w:contextualSpacing w:val="0"/>
        <w:rPr>
          <w:lang w:val="fr-FR"/>
        </w:rPr>
      </w:pPr>
      <w:r w:rsidRPr="00BC5D8E">
        <w:rPr>
          <w:lang w:val="fr-FR"/>
        </w:rPr>
        <w:t xml:space="preserve">Le </w:t>
      </w:r>
      <w:r w:rsidR="00D725D8" w:rsidRPr="00BC5D8E">
        <w:rPr>
          <w:sz w:val="21"/>
          <w:szCs w:val="21"/>
        </w:rPr>
        <w:t>Code des Aires Protégées (</w:t>
      </w:r>
      <w:r w:rsidRPr="00BC5D8E">
        <w:rPr>
          <w:b/>
          <w:lang w:val="fr-FR"/>
        </w:rPr>
        <w:t>COAP</w:t>
      </w:r>
      <w:r w:rsidR="00D725D8" w:rsidRPr="00966B3B">
        <w:rPr>
          <w:b/>
          <w:lang w:val="fr-FR"/>
        </w:rPr>
        <w:t>)</w:t>
      </w:r>
      <w:r w:rsidRPr="00966B3B">
        <w:rPr>
          <w:lang w:val="fr-FR"/>
        </w:rPr>
        <w:t>,</w:t>
      </w:r>
      <w:r w:rsidRPr="00966B3B">
        <w:rPr>
          <w:b/>
          <w:lang w:val="fr-FR"/>
        </w:rPr>
        <w:t xml:space="preserve"> </w:t>
      </w:r>
      <w:r w:rsidR="00B32A9A" w:rsidRPr="00CA44AE">
        <w:rPr>
          <w:bCs/>
          <w:lang w:val="fr-FR"/>
        </w:rPr>
        <w:t xml:space="preserve">adopté et </w:t>
      </w:r>
      <w:r w:rsidRPr="00BC5D8E">
        <w:rPr>
          <w:bCs/>
          <w:lang w:val="fr-FR"/>
        </w:rPr>
        <w:t>entré</w:t>
      </w:r>
      <w:r w:rsidRPr="00BC5D8E">
        <w:rPr>
          <w:lang w:val="fr-FR"/>
        </w:rPr>
        <w:t xml:space="preserve"> en vigueur en 2001, est un texte légal qui énonce les principes d’existence du réseau d’AP, et comporte des dispositions sur les types de gouvernance, et la procédure de création de nouvelles AP</w:t>
      </w:r>
      <w:r w:rsidRPr="00966B3B">
        <w:rPr>
          <w:lang w:val="fr-FR"/>
        </w:rPr>
        <w:t xml:space="preserve">. </w:t>
      </w:r>
      <w:r w:rsidR="00B32A9A" w:rsidRPr="00966B3B">
        <w:rPr>
          <w:lang w:val="fr-FR"/>
        </w:rPr>
        <w:t>Le COA</w:t>
      </w:r>
      <w:r w:rsidR="00B32A9A" w:rsidRPr="00CA44AE">
        <w:rPr>
          <w:lang w:val="fr-FR"/>
        </w:rPr>
        <w:t xml:space="preserve">P </w:t>
      </w:r>
      <w:r w:rsidR="008017A0" w:rsidRPr="00CA44AE">
        <w:rPr>
          <w:lang w:val="fr-FR"/>
        </w:rPr>
        <w:t xml:space="preserve">de 2001 </w:t>
      </w:r>
      <w:r w:rsidR="0096653B" w:rsidRPr="00BC5D8E">
        <w:rPr>
          <w:lang w:val="fr-FR"/>
        </w:rPr>
        <w:t>intègre</w:t>
      </w:r>
      <w:r w:rsidR="008017A0" w:rsidRPr="00CA44AE">
        <w:rPr>
          <w:lang w:val="fr-FR"/>
        </w:rPr>
        <w:t xml:space="preserve"> 3 catégories </w:t>
      </w:r>
      <w:proofErr w:type="gramStart"/>
      <w:r w:rsidR="008017A0" w:rsidRPr="00CA44AE">
        <w:rPr>
          <w:lang w:val="fr-FR"/>
        </w:rPr>
        <w:t>d’AP:</w:t>
      </w:r>
      <w:proofErr w:type="gramEnd"/>
      <w:r w:rsidR="008017A0" w:rsidRPr="00CA44AE">
        <w:rPr>
          <w:lang w:val="fr-FR"/>
        </w:rPr>
        <w:t xml:space="preserve"> La Réserve Natur</w:t>
      </w:r>
      <w:r w:rsidR="008017A0" w:rsidRPr="00BC5D8E">
        <w:rPr>
          <w:lang w:val="fr-FR"/>
        </w:rPr>
        <w:t xml:space="preserve">elle  </w:t>
      </w:r>
      <w:r w:rsidR="008017A0" w:rsidRPr="00966B3B">
        <w:rPr>
          <w:lang w:val="fr-FR"/>
        </w:rPr>
        <w:t>Intégrale</w:t>
      </w:r>
      <w:r w:rsidR="008017A0">
        <w:rPr>
          <w:rStyle w:val="Appelnotedebasdep"/>
          <w:lang w:val="fr-FR"/>
        </w:rPr>
        <w:footnoteReference w:id="8"/>
      </w:r>
      <w:r w:rsidR="008017A0" w:rsidRPr="00BC5D8E">
        <w:rPr>
          <w:lang w:val="fr-FR"/>
        </w:rPr>
        <w:t>, le Parc National</w:t>
      </w:r>
      <w:r w:rsidR="008017A0">
        <w:rPr>
          <w:rStyle w:val="Appelnotedebasdep"/>
          <w:lang w:val="fr-FR"/>
        </w:rPr>
        <w:footnoteReference w:id="9"/>
      </w:r>
      <w:r w:rsidR="008017A0" w:rsidRPr="00BC5D8E">
        <w:rPr>
          <w:lang w:val="fr-FR"/>
        </w:rPr>
        <w:t xml:space="preserve"> et la Réserve Spéciale</w:t>
      </w:r>
      <w:r w:rsidR="008017A0">
        <w:rPr>
          <w:rStyle w:val="Appelnotedebasdep"/>
          <w:lang w:val="fr-FR"/>
        </w:rPr>
        <w:footnoteReference w:id="10"/>
      </w:r>
      <w:r w:rsidR="003C067C">
        <w:rPr>
          <w:lang w:val="fr-FR"/>
        </w:rPr>
        <w:t xml:space="preserve">. </w:t>
      </w:r>
      <w:proofErr w:type="gramStart"/>
      <w:r w:rsidR="00670EBD" w:rsidRPr="00BC5D8E">
        <w:rPr>
          <w:lang w:val="fr-FR"/>
        </w:rPr>
        <w:t>Suite à</w:t>
      </w:r>
      <w:proofErr w:type="gramEnd"/>
      <w:r w:rsidR="00670EBD" w:rsidRPr="00BC5D8E">
        <w:rPr>
          <w:lang w:val="fr-FR"/>
        </w:rPr>
        <w:t xml:space="preserve"> la conférence de Durban, le COAP a été progressive</w:t>
      </w:r>
      <w:r w:rsidR="00670EBD" w:rsidRPr="00966B3B">
        <w:rPr>
          <w:lang w:val="fr-FR"/>
        </w:rPr>
        <w:t>ment révisé pour</w:t>
      </w:r>
      <w:r w:rsidR="00670EBD" w:rsidRPr="00007EF2">
        <w:rPr>
          <w:lang w:val="fr-FR"/>
        </w:rPr>
        <w:t xml:space="preserve"> instituer </w:t>
      </w:r>
      <w:r w:rsidR="008017A0" w:rsidRPr="00D65F8E">
        <w:rPr>
          <w:lang w:val="fr-FR"/>
        </w:rPr>
        <w:t>d’autres types d’AP</w:t>
      </w:r>
      <w:r w:rsidR="00FF6C63" w:rsidRPr="00D65F8E">
        <w:rPr>
          <w:lang w:val="fr-FR"/>
        </w:rPr>
        <w:t xml:space="preserve">. </w:t>
      </w:r>
      <w:r w:rsidR="0096653B" w:rsidRPr="00D65F8E">
        <w:rPr>
          <w:lang w:val="fr-FR"/>
        </w:rPr>
        <w:t>En 2005 notamment</w:t>
      </w:r>
      <w:r w:rsidR="0096653B" w:rsidRPr="00AD78D9">
        <w:rPr>
          <w:lang w:val="fr-FR"/>
        </w:rPr>
        <w:t>, un décret de régulation</w:t>
      </w:r>
      <w:r w:rsidR="00FF6C63" w:rsidRPr="00F66085">
        <w:rPr>
          <w:lang w:val="fr-FR"/>
        </w:rPr>
        <w:t xml:space="preserve"> est</w:t>
      </w:r>
      <w:r w:rsidR="0096653B" w:rsidRPr="00F66085">
        <w:rPr>
          <w:lang w:val="fr-FR"/>
        </w:rPr>
        <w:t xml:space="preserve"> adopté pour élargir la liste des </w:t>
      </w:r>
      <w:r w:rsidR="0096653B" w:rsidRPr="005167A6">
        <w:rPr>
          <w:lang w:val="fr-FR"/>
        </w:rPr>
        <w:t xml:space="preserve">catégories d’AP </w:t>
      </w:r>
      <w:r w:rsidR="00FF6C63" w:rsidRPr="005167A6">
        <w:rPr>
          <w:lang w:val="fr-FR"/>
        </w:rPr>
        <w:t>en intégrant la notion d</w:t>
      </w:r>
      <w:r w:rsidR="00FF6C63" w:rsidRPr="00803365">
        <w:rPr>
          <w:lang w:val="fr-FR"/>
        </w:rPr>
        <w:t>’</w:t>
      </w:r>
      <w:r w:rsidR="0096653B" w:rsidRPr="0010057A">
        <w:rPr>
          <w:lang w:val="fr-FR"/>
        </w:rPr>
        <w:t>A</w:t>
      </w:r>
      <w:r w:rsidR="0096653B" w:rsidRPr="008B3850">
        <w:rPr>
          <w:lang w:val="fr-FR"/>
        </w:rPr>
        <w:t>ire Protégée M</w:t>
      </w:r>
      <w:r w:rsidR="0096653B" w:rsidRPr="00F56F56">
        <w:rPr>
          <w:lang w:val="fr-FR"/>
        </w:rPr>
        <w:t>a</w:t>
      </w:r>
      <w:r w:rsidR="0096653B" w:rsidRPr="003270CB">
        <w:rPr>
          <w:lang w:val="fr-FR"/>
        </w:rPr>
        <w:t xml:space="preserve">rine et </w:t>
      </w:r>
      <w:r w:rsidR="0096653B" w:rsidRPr="00FF6C63">
        <w:rPr>
          <w:lang w:val="fr-FR"/>
        </w:rPr>
        <w:t>Côtière. Cependant, le décret est bref et ne fournit aucune explication sur la manière dont ces catégories doivent être interprétées au niveau national et intégrée</w:t>
      </w:r>
      <w:r w:rsidR="00FF6C63" w:rsidRPr="00FF6C63">
        <w:rPr>
          <w:lang w:val="fr-FR"/>
        </w:rPr>
        <w:t>s</w:t>
      </w:r>
      <w:r w:rsidR="0096653B" w:rsidRPr="00FF6C63">
        <w:rPr>
          <w:lang w:val="fr-FR"/>
        </w:rPr>
        <w:t xml:space="preserve"> dans le </w:t>
      </w:r>
      <w:r w:rsidR="00FF6C63">
        <w:t>Réseau National des Aires Protégées</w:t>
      </w:r>
      <w:r w:rsidR="0096653B" w:rsidRPr="00BC5D8E">
        <w:rPr>
          <w:lang w:val="fr-FR"/>
        </w:rPr>
        <w:t>.</w:t>
      </w:r>
      <w:r w:rsidR="004C2DB1">
        <w:rPr>
          <w:lang w:val="fr-FR"/>
        </w:rPr>
        <w:t xml:space="preserve"> En 2015, </w:t>
      </w:r>
      <w:r w:rsidR="004C2DB1" w:rsidRPr="00C87326">
        <w:rPr>
          <w:lang w:val="fr-FR"/>
        </w:rPr>
        <w:t xml:space="preserve">loi 2015-005 </w:t>
      </w:r>
      <w:r w:rsidR="004C2DB1">
        <w:rPr>
          <w:lang w:val="fr-FR"/>
        </w:rPr>
        <w:t>ajoute des modifications.</w:t>
      </w:r>
      <w:r w:rsidR="0096653B" w:rsidRPr="00BC5D8E">
        <w:rPr>
          <w:lang w:val="fr-FR"/>
        </w:rPr>
        <w:t xml:space="preserve"> Ce nouveau projet de </w:t>
      </w:r>
      <w:r w:rsidR="00FF6C63" w:rsidRPr="00007EF2">
        <w:rPr>
          <w:lang w:val="fr-FR"/>
        </w:rPr>
        <w:t>COAP</w:t>
      </w:r>
      <w:r w:rsidR="0096653B" w:rsidRPr="00007EF2">
        <w:rPr>
          <w:lang w:val="fr-FR"/>
        </w:rPr>
        <w:t xml:space="preserve"> </w:t>
      </w:r>
      <w:r w:rsidR="00FF6C63" w:rsidRPr="00D65F8E">
        <w:rPr>
          <w:lang w:val="fr-FR"/>
        </w:rPr>
        <w:t xml:space="preserve">créée le </w:t>
      </w:r>
      <w:r w:rsidR="00D94765">
        <w:rPr>
          <w:lang w:val="fr-FR"/>
        </w:rPr>
        <w:t>Systèmes des Aires Protégées de Madagascar (</w:t>
      </w:r>
      <w:r w:rsidR="00FF6C63" w:rsidRPr="00D65F8E">
        <w:rPr>
          <w:lang w:val="fr-FR"/>
        </w:rPr>
        <w:t>SAPM</w:t>
      </w:r>
      <w:r w:rsidR="00D94765">
        <w:rPr>
          <w:lang w:val="fr-FR"/>
        </w:rPr>
        <w:t>)</w:t>
      </w:r>
      <w:r w:rsidR="00FF6C63">
        <w:rPr>
          <w:lang w:val="fr-FR"/>
        </w:rPr>
        <w:t xml:space="preserve"> et inclue dans la nomenclature d’AP de nouvelles catégories pourvues d’objectifs de gestion spécifiques telles que le Parc Naturel</w:t>
      </w:r>
      <w:r w:rsidR="00FF6C63">
        <w:rPr>
          <w:rStyle w:val="Appelnotedebasdep"/>
          <w:lang w:val="fr-FR"/>
        </w:rPr>
        <w:footnoteReference w:id="11"/>
      </w:r>
      <w:r w:rsidR="00FF6C63">
        <w:rPr>
          <w:lang w:val="fr-FR"/>
        </w:rPr>
        <w:t>, le Monument Naturel</w:t>
      </w:r>
      <w:r w:rsidR="00FF6C63">
        <w:rPr>
          <w:rStyle w:val="Appelnotedebasdep"/>
          <w:lang w:val="fr-FR"/>
        </w:rPr>
        <w:footnoteReference w:id="12"/>
      </w:r>
      <w:r w:rsidR="00FF6C63">
        <w:rPr>
          <w:lang w:val="fr-FR"/>
        </w:rPr>
        <w:t>, le Paysage Harmonieux Protégé</w:t>
      </w:r>
      <w:r w:rsidR="00FF6C63">
        <w:rPr>
          <w:rStyle w:val="Appelnotedebasdep"/>
          <w:lang w:val="fr-FR"/>
        </w:rPr>
        <w:footnoteReference w:id="13"/>
      </w:r>
      <w:r w:rsidR="00FF6C63">
        <w:rPr>
          <w:lang w:val="fr-FR"/>
        </w:rPr>
        <w:t xml:space="preserve"> et la Réserve de Ressources Naturelles</w:t>
      </w:r>
      <w:r w:rsidR="00FF6C63">
        <w:rPr>
          <w:rStyle w:val="Appelnotedebasdep"/>
          <w:lang w:val="fr-FR"/>
        </w:rPr>
        <w:footnoteReference w:id="14"/>
      </w:r>
      <w:r w:rsidR="00FF6C63">
        <w:rPr>
          <w:lang w:val="fr-FR"/>
        </w:rPr>
        <w:t>. L</w:t>
      </w:r>
      <w:r w:rsidR="004C2DB1">
        <w:rPr>
          <w:lang w:val="fr-FR"/>
        </w:rPr>
        <w:t>a modification de 2015</w:t>
      </w:r>
      <w:r w:rsidR="00FF6C63">
        <w:rPr>
          <w:lang w:val="fr-FR"/>
        </w:rPr>
        <w:t xml:space="preserve"> COAP </w:t>
      </w:r>
      <w:r w:rsidR="0096653B" w:rsidRPr="00BC5D8E">
        <w:rPr>
          <w:lang w:val="fr-FR"/>
        </w:rPr>
        <w:t>clarifie</w:t>
      </w:r>
      <w:r w:rsidR="00FF6C63">
        <w:rPr>
          <w:lang w:val="fr-FR"/>
        </w:rPr>
        <w:t xml:space="preserve"> égaleme</w:t>
      </w:r>
      <w:r w:rsidR="00BC5D8E">
        <w:rPr>
          <w:lang w:val="fr-FR"/>
        </w:rPr>
        <w:t>n</w:t>
      </w:r>
      <w:r w:rsidR="00FF6C63">
        <w:rPr>
          <w:lang w:val="fr-FR"/>
        </w:rPr>
        <w:t>t</w:t>
      </w:r>
      <w:r w:rsidR="0096653B" w:rsidRPr="00BC5D8E">
        <w:rPr>
          <w:lang w:val="fr-FR"/>
        </w:rPr>
        <w:t xml:space="preserve"> le rôle des pouvoirs locaux et communautés </w:t>
      </w:r>
      <w:r w:rsidR="0096653B" w:rsidRPr="00966B3B">
        <w:rPr>
          <w:lang w:val="fr-FR"/>
        </w:rPr>
        <w:t>dans la gestion des AP, par exemple à travers la catégorie nationale aire protégée communautaire</w:t>
      </w:r>
      <w:r w:rsidR="003C067C">
        <w:rPr>
          <w:lang w:val="fr-FR"/>
        </w:rPr>
        <w:t xml:space="preserve"> (APC)</w:t>
      </w:r>
      <w:r w:rsidR="00BC5D8E">
        <w:rPr>
          <w:lang w:val="fr-FR"/>
        </w:rPr>
        <w:t>. Il précise par exemple que « </w:t>
      </w:r>
      <w:r w:rsidR="00BC5D8E">
        <w:t xml:space="preserve">Les APC sont instituées et gérées volontairement par les communautés locales en vue de la conservation et l’utilisation durable des ressources naturelles, de la préservation des coutumes et du patrimoine culturel et spirituel associé ainsi que des pratiques et des usages traditionnels ». </w:t>
      </w:r>
      <w:r w:rsidR="00BC5D8E" w:rsidRPr="00C87326">
        <w:rPr>
          <w:lang w:val="fr-FR"/>
        </w:rPr>
        <w:t xml:space="preserve"> </w:t>
      </w:r>
      <w:r w:rsidR="004C2DB1">
        <w:rPr>
          <w:lang w:val="fr-FR"/>
        </w:rPr>
        <w:t>L</w:t>
      </w:r>
      <w:r w:rsidR="00BC5D8E" w:rsidRPr="00C87326">
        <w:rPr>
          <w:lang w:val="fr-FR"/>
        </w:rPr>
        <w:t xml:space="preserve">e décret d’application </w:t>
      </w:r>
      <w:r w:rsidR="004C2DB1">
        <w:rPr>
          <w:lang w:val="fr-FR"/>
        </w:rPr>
        <w:t xml:space="preserve">de la loi 2015-005 </w:t>
      </w:r>
      <w:r w:rsidR="00BC5D8E" w:rsidRPr="00C87326">
        <w:rPr>
          <w:lang w:val="fr-FR"/>
        </w:rPr>
        <w:t>a été pris en mai 2017.</w:t>
      </w:r>
      <w:r w:rsidR="003C067C">
        <w:rPr>
          <w:lang w:val="fr-FR"/>
        </w:rPr>
        <w:t xml:space="preserve"> </w:t>
      </w:r>
      <w:r w:rsidR="003C0DC8" w:rsidRPr="00CA44AE">
        <w:rPr>
          <w:lang w:val="fr-FR"/>
        </w:rPr>
        <w:t>Il convient de noter que les aire</w:t>
      </w:r>
      <w:r w:rsidR="00C46BFC" w:rsidRPr="00CA44AE">
        <w:rPr>
          <w:lang w:val="fr-FR"/>
        </w:rPr>
        <w:t>s</w:t>
      </w:r>
      <w:r w:rsidR="003C0DC8" w:rsidRPr="003C067C">
        <w:rPr>
          <w:lang w:val="fr-FR"/>
        </w:rPr>
        <w:t xml:space="preserve"> de catégorie</w:t>
      </w:r>
      <w:r w:rsidR="00C46BFC" w:rsidRPr="003C067C">
        <w:rPr>
          <w:lang w:val="fr-FR"/>
        </w:rPr>
        <w:t>s</w:t>
      </w:r>
      <w:r w:rsidR="003C0DC8" w:rsidRPr="003C067C">
        <w:rPr>
          <w:lang w:val="fr-FR"/>
        </w:rPr>
        <w:t xml:space="preserve"> V</w:t>
      </w:r>
      <w:r w:rsidR="0096653B" w:rsidRPr="003C067C">
        <w:rPr>
          <w:lang w:val="fr-FR"/>
        </w:rPr>
        <w:t xml:space="preserve"> selon UICN</w:t>
      </w:r>
      <w:r w:rsidR="00C46BFC" w:rsidRPr="003C067C">
        <w:rPr>
          <w:lang w:val="fr-FR"/>
        </w:rPr>
        <w:t xml:space="preserve"> (ici Paysage Harmonieux Protégé)</w:t>
      </w:r>
      <w:r w:rsidR="003C0DC8" w:rsidRPr="003C067C">
        <w:rPr>
          <w:lang w:val="fr-FR"/>
        </w:rPr>
        <w:t xml:space="preserve"> sont des AP gérées principalement dans le but d’assurer la conservation de paysages terrestres ou marins et à des fins récréatives alors que les catégories VI </w:t>
      </w:r>
      <w:r w:rsidR="00C46BFC" w:rsidRPr="003C067C">
        <w:rPr>
          <w:lang w:val="fr-FR"/>
        </w:rPr>
        <w:t xml:space="preserve">(Réserve de Ressources Naturelles) </w:t>
      </w:r>
      <w:r w:rsidR="003C0DC8" w:rsidRPr="003C067C">
        <w:rPr>
          <w:lang w:val="fr-FR"/>
        </w:rPr>
        <w:t xml:space="preserve">sont des AP gérées principalement à des fins d’utilisation durable des écosystèmes naturels. </w:t>
      </w:r>
    </w:p>
    <w:p w14:paraId="167E6106" w14:textId="4940CC55" w:rsidR="00533A0A" w:rsidRPr="008F47A6" w:rsidRDefault="00533A0A" w:rsidP="00533A0A">
      <w:pPr>
        <w:pStyle w:val="Paragraphedeliste"/>
        <w:numPr>
          <w:ilvl w:val="0"/>
          <w:numId w:val="12"/>
        </w:numPr>
        <w:spacing w:after="120"/>
        <w:ind w:left="714" w:hanging="357"/>
        <w:contextualSpacing w:val="0"/>
        <w:rPr>
          <w:lang w:val="fr-FR"/>
        </w:rPr>
      </w:pPr>
      <w:r w:rsidRPr="008F47A6">
        <w:rPr>
          <w:lang w:val="fr-FR"/>
        </w:rPr>
        <w:t xml:space="preserve">La </w:t>
      </w:r>
      <w:r w:rsidRPr="008F47A6">
        <w:rPr>
          <w:b/>
          <w:lang w:val="fr-FR"/>
        </w:rPr>
        <w:t xml:space="preserve">loi </w:t>
      </w:r>
      <w:r w:rsidRPr="008F47A6">
        <w:rPr>
          <w:lang w:val="fr-FR"/>
        </w:rPr>
        <w:t xml:space="preserve">sur la </w:t>
      </w:r>
      <w:r w:rsidRPr="000D3EC3">
        <w:rPr>
          <w:lang w:val="fr-FR"/>
        </w:rPr>
        <w:t>Gestion Locale Sécurisée</w:t>
      </w:r>
      <w:r w:rsidRPr="008F47A6">
        <w:rPr>
          <w:lang w:val="fr-FR"/>
        </w:rPr>
        <w:t xml:space="preserve"> </w:t>
      </w:r>
      <w:r w:rsidR="000D3EC3">
        <w:rPr>
          <w:lang w:val="fr-FR"/>
        </w:rPr>
        <w:t>(</w:t>
      </w:r>
      <w:proofErr w:type="spellStart"/>
      <w:r w:rsidR="000D3EC3" w:rsidRPr="008F47A6">
        <w:rPr>
          <w:b/>
          <w:lang w:val="fr-FR"/>
        </w:rPr>
        <w:t>GeLoSe</w:t>
      </w:r>
      <w:proofErr w:type="spellEnd"/>
      <w:r w:rsidR="000D3EC3">
        <w:rPr>
          <w:b/>
          <w:lang w:val="fr-FR"/>
        </w:rPr>
        <w:t>)</w:t>
      </w:r>
      <w:r w:rsidR="000D3EC3" w:rsidRPr="008F47A6">
        <w:rPr>
          <w:lang w:val="fr-FR"/>
        </w:rPr>
        <w:t xml:space="preserve"> </w:t>
      </w:r>
      <w:r w:rsidRPr="008F47A6">
        <w:rPr>
          <w:lang w:val="fr-FR"/>
        </w:rPr>
        <w:t xml:space="preserve">qui fixe le cadre légal sur le transfert de gestion des ressources naturelles, et reconnait légalement les </w:t>
      </w:r>
      <w:r w:rsidRPr="008F47A6">
        <w:rPr>
          <w:i/>
          <w:iCs/>
          <w:lang w:val="fr-FR"/>
        </w:rPr>
        <w:t>dina</w:t>
      </w:r>
      <w:r w:rsidRPr="008E3E90">
        <w:rPr>
          <w:lang w:val="fr-FR"/>
        </w:rPr>
        <w:t xml:space="preserve"> - normes sociales ou code de conduites qui régiss</w:t>
      </w:r>
      <w:r w:rsidRPr="00582B5D">
        <w:rPr>
          <w:lang w:val="fr-FR"/>
        </w:rPr>
        <w:t>ent les relations au sein des</w:t>
      </w:r>
      <w:r w:rsidRPr="008F47A6">
        <w:rPr>
          <w:lang w:val="fr-FR"/>
        </w:rPr>
        <w:t xml:space="preserve"> ou entre communautés - comme outils de gouvernance ; puis le Décret 2001-22 relatif à la Gestion Contractualisée des Forêts de l’État (GCF). La loi </w:t>
      </w:r>
      <w:proofErr w:type="spellStart"/>
      <w:r w:rsidRPr="008F47A6">
        <w:rPr>
          <w:lang w:val="fr-FR"/>
        </w:rPr>
        <w:t>GeLose</w:t>
      </w:r>
      <w:proofErr w:type="spellEnd"/>
      <w:r w:rsidRPr="008F47A6">
        <w:rPr>
          <w:lang w:val="fr-FR"/>
        </w:rPr>
        <w:t xml:space="preserve"> permet le « transfert de gestion des ressources » (TGRN) ou plus communément « transfert de gestion » (TG) ;</w:t>
      </w:r>
    </w:p>
    <w:p w14:paraId="0120C8AC" w14:textId="03263FB4" w:rsidR="00533A0A" w:rsidRPr="008E3E90" w:rsidRDefault="00533A0A" w:rsidP="00533A0A">
      <w:pPr>
        <w:pStyle w:val="Paragraphedeliste"/>
        <w:numPr>
          <w:ilvl w:val="0"/>
          <w:numId w:val="12"/>
        </w:numPr>
        <w:spacing w:after="120"/>
        <w:ind w:left="714" w:hanging="357"/>
        <w:contextualSpacing w:val="0"/>
        <w:rPr>
          <w:lang w:val="fr-FR"/>
        </w:rPr>
      </w:pPr>
      <w:r w:rsidRPr="008F47A6">
        <w:rPr>
          <w:lang w:val="fr-FR"/>
        </w:rPr>
        <w:lastRenderedPageBreak/>
        <w:t xml:space="preserve">Le </w:t>
      </w:r>
      <w:r w:rsidRPr="008F47A6">
        <w:rPr>
          <w:b/>
          <w:bCs/>
          <w:lang w:val="fr-FR"/>
        </w:rPr>
        <w:t xml:space="preserve">décret </w:t>
      </w:r>
      <w:r w:rsidRPr="000D3EC3">
        <w:rPr>
          <w:lang w:val="fr-FR"/>
        </w:rPr>
        <w:t xml:space="preserve">de Mise en Compatibilité des Investissements avec l’Environnement </w:t>
      </w:r>
      <w:r w:rsidR="000D3EC3" w:rsidRPr="000D3EC3">
        <w:rPr>
          <w:lang w:val="fr-FR"/>
        </w:rPr>
        <w:t>(</w:t>
      </w:r>
      <w:r w:rsidR="000D3EC3" w:rsidRPr="00CA44AE">
        <w:rPr>
          <w:b/>
          <w:lang w:val="fr-FR"/>
        </w:rPr>
        <w:t>MECIE</w:t>
      </w:r>
      <w:r w:rsidR="000D3EC3" w:rsidRPr="000D3EC3">
        <w:rPr>
          <w:lang w:val="fr-FR"/>
        </w:rPr>
        <w:t>)</w:t>
      </w:r>
      <w:r w:rsidR="000D3EC3">
        <w:rPr>
          <w:lang w:val="fr-FR"/>
        </w:rPr>
        <w:t xml:space="preserve"> </w:t>
      </w:r>
      <w:r w:rsidRPr="008F47A6">
        <w:rPr>
          <w:lang w:val="fr-FR"/>
        </w:rPr>
        <w:t>qui règlemente la compatibilité des investissements de production et des infrastructures avec l’environnement prévoit un cadre juridique afin de mettre en œuvre l’Étude d’</w:t>
      </w:r>
      <w:r w:rsidR="000D3EC3">
        <w:rPr>
          <w:lang w:val="fr-FR"/>
        </w:rPr>
        <w:t>I</w:t>
      </w:r>
      <w:r w:rsidRPr="008F47A6">
        <w:rPr>
          <w:lang w:val="fr-FR"/>
        </w:rPr>
        <w:t xml:space="preserve">mpact </w:t>
      </w:r>
      <w:r w:rsidR="000D3EC3">
        <w:rPr>
          <w:lang w:val="fr-FR"/>
        </w:rPr>
        <w:t>E</w:t>
      </w:r>
      <w:r w:rsidRPr="008F47A6">
        <w:rPr>
          <w:lang w:val="fr-FR"/>
        </w:rPr>
        <w:t>nvironnementale (EIE).</w:t>
      </w:r>
    </w:p>
    <w:p w14:paraId="48B8074F" w14:textId="74FB2974" w:rsidR="00533A0A" w:rsidRPr="008F47A6" w:rsidRDefault="00533A0A" w:rsidP="00533A0A">
      <w:pPr>
        <w:pStyle w:val="Paragraphedeliste"/>
        <w:numPr>
          <w:ilvl w:val="0"/>
          <w:numId w:val="12"/>
        </w:numPr>
        <w:spacing w:after="120"/>
        <w:ind w:left="714" w:hanging="357"/>
        <w:contextualSpacing w:val="0"/>
        <w:rPr>
          <w:lang w:val="fr-FR"/>
        </w:rPr>
      </w:pPr>
      <w:r w:rsidRPr="00582B5D">
        <w:rPr>
          <w:lang w:val="fr-FR"/>
        </w:rPr>
        <w:t xml:space="preserve">Le </w:t>
      </w:r>
      <w:r w:rsidRPr="008F47A6">
        <w:rPr>
          <w:b/>
          <w:lang w:val="fr-FR"/>
        </w:rPr>
        <w:t>Plan National de Développement</w:t>
      </w:r>
      <w:r w:rsidRPr="008F47A6">
        <w:rPr>
          <w:lang w:val="fr-FR"/>
        </w:rPr>
        <w:t xml:space="preserve"> 2015-2019 dont l’axe stratégique 5 vise « la Valorisation du Capital naturel et </w:t>
      </w:r>
      <w:r w:rsidR="000D3EC3">
        <w:rPr>
          <w:lang w:val="fr-FR"/>
        </w:rPr>
        <w:t xml:space="preserve">le </w:t>
      </w:r>
      <w:r w:rsidRPr="008F47A6">
        <w:rPr>
          <w:lang w:val="fr-FR"/>
        </w:rPr>
        <w:t>renforcement de la résilience aux risques de catastrophes » ; y compris « </w:t>
      </w:r>
      <w:r w:rsidR="000D3EC3">
        <w:rPr>
          <w:lang w:val="fr-FR"/>
        </w:rPr>
        <w:t xml:space="preserve">la </w:t>
      </w:r>
      <w:r w:rsidRPr="008F47A6">
        <w:rPr>
          <w:lang w:val="fr-FR"/>
        </w:rPr>
        <w:t xml:space="preserve">préservation de la biodiversité et l’environnement des zones de pêche ainsi que des réserves marines, et </w:t>
      </w:r>
      <w:r w:rsidR="000D3EC3">
        <w:rPr>
          <w:lang w:val="fr-FR"/>
        </w:rPr>
        <w:t>l’</w:t>
      </w:r>
      <w:r w:rsidRPr="008F47A6">
        <w:rPr>
          <w:lang w:val="fr-FR"/>
        </w:rPr>
        <w:t>instauration de la bonne gouvernance forestière ».</w:t>
      </w:r>
    </w:p>
    <w:p w14:paraId="4360899E" w14:textId="0EC20A24" w:rsidR="00533A0A" w:rsidRPr="008F47A6" w:rsidRDefault="0001245D" w:rsidP="00810A99">
      <w:pPr>
        <w:rPr>
          <w:lang w:val="fr-FR"/>
        </w:rPr>
      </w:pPr>
      <w:r w:rsidRPr="008F47A6">
        <w:rPr>
          <w:lang w:val="fr-FR"/>
        </w:rPr>
        <w:t xml:space="preserve">Le projet s’inscrit donc dans les priorités nationales en termes de promotion du développement durable, c’est-à-dire de développement socio-économique favorable à la conservation de l’environnement. La loi COAP </w:t>
      </w:r>
      <w:r w:rsidR="000D3EC3">
        <w:rPr>
          <w:lang w:val="fr-FR"/>
        </w:rPr>
        <w:t xml:space="preserve">de 2015 </w:t>
      </w:r>
      <w:r w:rsidRPr="008F47A6">
        <w:rPr>
          <w:lang w:val="fr-FR"/>
        </w:rPr>
        <w:t xml:space="preserve">en particulier met l’accent sur l’exploitation durable des ressources et intègre la dimension socio-économique à travers la gestion communautaire des AP. </w:t>
      </w:r>
      <w:r w:rsidR="00895F06" w:rsidRPr="008F47A6">
        <w:rPr>
          <w:lang w:val="fr-FR"/>
        </w:rPr>
        <w:t>Le projet a pour objectif d’appuyer certaines AP afin qu’elles puissent suivre les directives du COAP</w:t>
      </w:r>
      <w:r w:rsidR="00895F06" w:rsidRPr="008F47A6">
        <w:rPr>
          <w:rStyle w:val="Appelnotedebasdep"/>
          <w:lang w:val="fr-FR"/>
        </w:rPr>
        <w:footnoteReference w:id="15"/>
      </w:r>
      <w:r w:rsidR="00895F06" w:rsidRPr="008F47A6">
        <w:rPr>
          <w:lang w:val="fr-FR"/>
        </w:rPr>
        <w:t xml:space="preserve">. </w:t>
      </w:r>
    </w:p>
    <w:p w14:paraId="22AED9BE" w14:textId="58480E70" w:rsidR="007800ED" w:rsidRPr="008F47A6" w:rsidRDefault="0017466F" w:rsidP="002B1790">
      <w:pPr>
        <w:rPr>
          <w:lang w:val="fr-FR"/>
        </w:rPr>
      </w:pPr>
      <w:r w:rsidRPr="008F47A6">
        <w:rPr>
          <w:lang w:val="fr-FR"/>
        </w:rPr>
        <w:t>La consultation et participation de la</w:t>
      </w:r>
      <w:r w:rsidR="000225B5" w:rsidRPr="000225B5">
        <w:rPr>
          <w:lang w:val="fr-FR" w:eastAsia="en-GB"/>
        </w:rPr>
        <w:t xml:space="preserve"> </w:t>
      </w:r>
      <w:r w:rsidR="000225B5" w:rsidRPr="002655EE">
        <w:rPr>
          <w:lang w:val="fr-FR" w:eastAsia="en-GB"/>
        </w:rPr>
        <w:t xml:space="preserve">Direction Régionale de l’Environnement </w:t>
      </w:r>
      <w:r w:rsidR="000225B5">
        <w:rPr>
          <w:lang w:val="fr-FR" w:eastAsia="en-GB"/>
        </w:rPr>
        <w:t xml:space="preserve">et du </w:t>
      </w:r>
      <w:r w:rsidR="000225B5" w:rsidRPr="002655EE">
        <w:rPr>
          <w:lang w:val="fr-FR" w:eastAsia="en-GB"/>
        </w:rPr>
        <w:t>Développement Durable</w:t>
      </w:r>
      <w:r w:rsidRPr="008F47A6">
        <w:rPr>
          <w:lang w:val="fr-FR"/>
        </w:rPr>
        <w:t xml:space="preserve"> </w:t>
      </w:r>
      <w:r w:rsidR="000225B5">
        <w:rPr>
          <w:lang w:val="fr-FR"/>
        </w:rPr>
        <w:t>(</w:t>
      </w:r>
      <w:r w:rsidRPr="008F47A6">
        <w:rPr>
          <w:lang w:val="fr-FR"/>
        </w:rPr>
        <w:t>DREDD</w:t>
      </w:r>
      <w:r w:rsidR="000225B5">
        <w:rPr>
          <w:lang w:val="fr-FR"/>
        </w:rPr>
        <w:t>)</w:t>
      </w:r>
      <w:r w:rsidRPr="008F47A6">
        <w:rPr>
          <w:lang w:val="fr-FR"/>
        </w:rPr>
        <w:t xml:space="preserve">, </w:t>
      </w:r>
      <w:r w:rsidR="00C4432B" w:rsidRPr="008F47A6">
        <w:rPr>
          <w:lang w:val="fr-FR"/>
        </w:rPr>
        <w:t xml:space="preserve">les directions régionales des ministères sectoriels, </w:t>
      </w:r>
      <w:r w:rsidR="000D3EC3" w:rsidRPr="008F47A6">
        <w:rPr>
          <w:lang w:val="fr-FR"/>
        </w:rPr>
        <w:t xml:space="preserve">les autorités régionales, </w:t>
      </w:r>
      <w:r w:rsidR="00C4432B" w:rsidRPr="008F47A6">
        <w:rPr>
          <w:lang w:val="fr-FR"/>
        </w:rPr>
        <w:t xml:space="preserve">et la Cellule Environnement Régionale </w:t>
      </w:r>
      <w:r w:rsidR="000D3EC3">
        <w:rPr>
          <w:lang w:val="fr-FR"/>
        </w:rPr>
        <w:t xml:space="preserve">(CER) </w:t>
      </w:r>
      <w:r w:rsidR="00C4432B" w:rsidRPr="008F47A6">
        <w:rPr>
          <w:lang w:val="fr-FR"/>
        </w:rPr>
        <w:t xml:space="preserve">d’Atsimo Andrefana permettent la pleine considération de la </w:t>
      </w:r>
      <w:proofErr w:type="gramStart"/>
      <w:r w:rsidR="00C4432B" w:rsidRPr="008F47A6">
        <w:rPr>
          <w:lang w:val="fr-FR"/>
        </w:rPr>
        <w:t>dimension</w:t>
      </w:r>
      <w:proofErr w:type="gramEnd"/>
      <w:r w:rsidR="00C4432B" w:rsidRPr="008F47A6">
        <w:rPr>
          <w:lang w:val="fr-FR"/>
        </w:rPr>
        <w:t xml:space="preserve"> régionale. En outre, le projet prend en compte le nouveau SRAT ainsi que le Plan Régional de Développement (PRD) dont il vise à promouvoir la mise en œuvre. </w:t>
      </w:r>
      <w:r w:rsidR="00423B96">
        <w:rPr>
          <w:lang w:val="fr-FR"/>
        </w:rPr>
        <w:t xml:space="preserve">La consultation et participation au </w:t>
      </w:r>
      <w:proofErr w:type="spellStart"/>
      <w:r w:rsidR="00423B96">
        <w:rPr>
          <w:lang w:val="fr-FR"/>
        </w:rPr>
        <w:t>CoPil</w:t>
      </w:r>
      <w:proofErr w:type="spellEnd"/>
      <w:r w:rsidR="00423B96">
        <w:rPr>
          <w:lang w:val="fr-FR"/>
        </w:rPr>
        <w:t xml:space="preserve"> des</w:t>
      </w:r>
      <w:r w:rsidR="00423B96" w:rsidRPr="00423B96">
        <w:rPr>
          <w:lang w:val="fr-FR"/>
        </w:rPr>
        <w:t xml:space="preserve"> Chefs de</w:t>
      </w:r>
      <w:r w:rsidR="00423B96">
        <w:rPr>
          <w:lang w:val="fr-FR"/>
        </w:rPr>
        <w:t>s trois d</w:t>
      </w:r>
      <w:r w:rsidR="00423B96" w:rsidRPr="00423B96">
        <w:rPr>
          <w:lang w:val="fr-FR"/>
        </w:rPr>
        <w:t>istrict</w:t>
      </w:r>
      <w:r w:rsidR="00423B96">
        <w:rPr>
          <w:lang w:val="fr-FR"/>
        </w:rPr>
        <w:t>s et des r</w:t>
      </w:r>
      <w:r w:rsidR="00423B96" w:rsidRPr="00423B96">
        <w:rPr>
          <w:lang w:val="fr-FR"/>
        </w:rPr>
        <w:t>eprésentants</w:t>
      </w:r>
      <w:r w:rsidR="00423B96">
        <w:rPr>
          <w:lang w:val="fr-FR"/>
        </w:rPr>
        <w:t xml:space="preserve"> des maires des trois d</w:t>
      </w:r>
      <w:r w:rsidR="00423B96" w:rsidRPr="00423B96">
        <w:rPr>
          <w:lang w:val="fr-FR"/>
        </w:rPr>
        <w:t>istrict</w:t>
      </w:r>
      <w:r w:rsidR="00423B96">
        <w:rPr>
          <w:lang w:val="fr-FR"/>
        </w:rPr>
        <w:t xml:space="preserve">s permettent aussi la considération des priorités au niveau districts. </w:t>
      </w:r>
      <w:r w:rsidR="00423B96" w:rsidRPr="00423B96">
        <w:rPr>
          <w:lang w:val="fr-FR"/>
        </w:rPr>
        <w:t xml:space="preserve"> </w:t>
      </w:r>
    </w:p>
    <w:p w14:paraId="20B53AAF" w14:textId="4FA2A339" w:rsidR="00C829CE" w:rsidRPr="008F47A6" w:rsidRDefault="00C829CE" w:rsidP="002B1790">
      <w:pPr>
        <w:rPr>
          <w:lang w:val="fr-FR"/>
        </w:rPr>
      </w:pPr>
      <w:r w:rsidRPr="008F47A6">
        <w:rPr>
          <w:i/>
          <w:iCs/>
          <w:lang w:val="fr-FR"/>
        </w:rPr>
        <w:t>Q : Dans quelle mesure les points de vue de toutes les parties prenantes concernées par le projet ont-ils été pris en compte lors de la conception ?</w:t>
      </w:r>
    </w:p>
    <w:p w14:paraId="52B44E2E" w14:textId="60A57942" w:rsidR="00290A96" w:rsidRPr="008F47A6" w:rsidRDefault="00C4432B" w:rsidP="00173737">
      <w:pPr>
        <w:rPr>
          <w:lang w:val="fr-FR"/>
        </w:rPr>
      </w:pPr>
      <w:r w:rsidRPr="008F47A6">
        <w:rPr>
          <w:lang w:val="fr-FR"/>
        </w:rPr>
        <w:t xml:space="preserve">Pendant la phase de développement du projet, des consultations aux niveaux </w:t>
      </w:r>
      <w:r w:rsidR="00DE1F0C" w:rsidRPr="008F47A6">
        <w:rPr>
          <w:lang w:val="fr-FR"/>
        </w:rPr>
        <w:t xml:space="preserve">gouvernemental </w:t>
      </w:r>
      <w:r w:rsidR="00DE1F0C">
        <w:rPr>
          <w:lang w:val="fr-FR"/>
        </w:rPr>
        <w:t xml:space="preserve">et </w:t>
      </w:r>
      <w:r w:rsidRPr="008F47A6">
        <w:rPr>
          <w:lang w:val="fr-FR"/>
        </w:rPr>
        <w:t>communautaires</w:t>
      </w:r>
      <w:r w:rsidR="00DE1F0C">
        <w:rPr>
          <w:lang w:val="fr-FR"/>
        </w:rPr>
        <w:t xml:space="preserve"> </w:t>
      </w:r>
      <w:r w:rsidRPr="008F47A6">
        <w:rPr>
          <w:lang w:val="fr-FR"/>
        </w:rPr>
        <w:t xml:space="preserve">ont été réalisées. </w:t>
      </w:r>
      <w:r w:rsidR="00DE1F0C" w:rsidRPr="008F47A6">
        <w:rPr>
          <w:lang w:val="fr-FR"/>
        </w:rPr>
        <w:t xml:space="preserve">Les autorités gouvernementales </w:t>
      </w:r>
      <w:r w:rsidR="00DE1F0C">
        <w:rPr>
          <w:lang w:val="fr-FR"/>
        </w:rPr>
        <w:t xml:space="preserve">nationales, </w:t>
      </w:r>
      <w:r w:rsidR="00DE1F0C" w:rsidRPr="008F47A6">
        <w:rPr>
          <w:lang w:val="fr-FR"/>
        </w:rPr>
        <w:t xml:space="preserve">régionales et </w:t>
      </w:r>
      <w:r w:rsidR="00DE1F0C">
        <w:rPr>
          <w:lang w:val="fr-FR"/>
        </w:rPr>
        <w:t>des districts</w:t>
      </w:r>
      <w:r w:rsidR="00DE1F0C" w:rsidRPr="008F47A6">
        <w:rPr>
          <w:lang w:val="fr-FR"/>
        </w:rPr>
        <w:t xml:space="preserve">, </w:t>
      </w:r>
      <w:r w:rsidR="00A713E9">
        <w:rPr>
          <w:lang w:val="fr-FR"/>
        </w:rPr>
        <w:t xml:space="preserve">et </w:t>
      </w:r>
      <w:r w:rsidR="00DE1F0C" w:rsidRPr="008F47A6">
        <w:rPr>
          <w:lang w:val="fr-FR"/>
        </w:rPr>
        <w:t>partenaires techniques et financiers d</w:t>
      </w:r>
      <w:r w:rsidR="00A713E9">
        <w:rPr>
          <w:lang w:val="fr-FR"/>
        </w:rPr>
        <w:t>es</w:t>
      </w:r>
      <w:r w:rsidR="00DE1F0C" w:rsidRPr="008F47A6">
        <w:rPr>
          <w:lang w:val="fr-FR"/>
        </w:rPr>
        <w:t xml:space="preserve"> secteur</w:t>
      </w:r>
      <w:r w:rsidR="00A713E9">
        <w:rPr>
          <w:lang w:val="fr-FR"/>
        </w:rPr>
        <w:t>s</w:t>
      </w:r>
      <w:r w:rsidR="00DE1F0C" w:rsidRPr="008F47A6">
        <w:rPr>
          <w:lang w:val="fr-FR"/>
        </w:rPr>
        <w:t xml:space="preserve"> environnement, agriculture et aménagement du territoire ont été consultés lors de deux ateliers</w:t>
      </w:r>
      <w:r w:rsidR="00966B3B">
        <w:rPr>
          <w:lang w:val="fr-FR"/>
        </w:rPr>
        <w:t xml:space="preserve"> comme le déclare le document de projet. Toutefois, l’équipe d’évaluation ne dispose pas d’information complémentaire sur ces ateliers</w:t>
      </w:r>
      <w:r w:rsidR="00DE1F0C" w:rsidRPr="008F47A6">
        <w:rPr>
          <w:rStyle w:val="Appelnotedebasdep"/>
          <w:lang w:val="fr-FR"/>
        </w:rPr>
        <w:footnoteReference w:id="16"/>
      </w:r>
      <w:r w:rsidR="00DE1F0C" w:rsidRPr="008F47A6">
        <w:rPr>
          <w:lang w:val="fr-FR"/>
        </w:rPr>
        <w:t xml:space="preserve">. </w:t>
      </w:r>
      <w:r w:rsidR="00DE1F0C">
        <w:rPr>
          <w:lang w:val="fr-FR"/>
        </w:rPr>
        <w:t xml:space="preserve">Des consultations communautaires </w:t>
      </w:r>
      <w:r w:rsidRPr="008F47A6">
        <w:rPr>
          <w:lang w:val="fr-FR"/>
        </w:rPr>
        <w:t xml:space="preserve">ont permis de mettre en lumière la volonté des communautés locales qui souhaitaient s’investir dans le projet. </w:t>
      </w:r>
      <w:r w:rsidR="00DE1F0C">
        <w:rPr>
          <w:lang w:val="fr-FR"/>
        </w:rPr>
        <w:t>Dans ce sens, les problèmes que les communautés</w:t>
      </w:r>
      <w:r w:rsidR="00DE1F0C" w:rsidRPr="008F47A6">
        <w:rPr>
          <w:lang w:val="fr-FR"/>
        </w:rPr>
        <w:t xml:space="preserve"> mentionnent sont effectivement traités par le projet dans ses sites d’intervention.</w:t>
      </w:r>
      <w:r w:rsidR="00DE1F0C" w:rsidRPr="00DE1F0C">
        <w:rPr>
          <w:lang w:val="fr-FR"/>
        </w:rPr>
        <w:t xml:space="preserve"> </w:t>
      </w:r>
      <w:r w:rsidR="00DE1F0C" w:rsidRPr="008F47A6">
        <w:rPr>
          <w:lang w:val="fr-FR"/>
        </w:rPr>
        <w:t xml:space="preserve">Ces problèmes sont liés à la dégradation des terres et incluent les feux de forêt, la production intensive de maïs et le braconnage. </w:t>
      </w:r>
    </w:p>
    <w:p w14:paraId="4E3CDB9F" w14:textId="7A0B2E19" w:rsidR="007800ED" w:rsidRPr="00F66085" w:rsidRDefault="00AE2D4F" w:rsidP="00173737">
      <w:pPr>
        <w:rPr>
          <w:lang w:val="fr-FR"/>
        </w:rPr>
      </w:pPr>
      <w:r w:rsidRPr="008F47A6">
        <w:rPr>
          <w:lang w:val="fr-FR"/>
        </w:rPr>
        <w:t xml:space="preserve">Toutefois, l’évaluation de mi-parcours a montré qu’à part le </w:t>
      </w:r>
      <w:r w:rsidR="00DE1F0C">
        <w:rPr>
          <w:lang w:val="fr-FR"/>
        </w:rPr>
        <w:t>DNP</w:t>
      </w:r>
      <w:r w:rsidRPr="008F47A6">
        <w:rPr>
          <w:lang w:val="fr-FR"/>
        </w:rPr>
        <w:t xml:space="preserve">, aucun des acteurs clés de la mise en œuvre n’avait été impliqué dans sa conception. Cela est dû en grande partie </w:t>
      </w:r>
      <w:r w:rsidR="00DE1F0C">
        <w:rPr>
          <w:lang w:val="fr-FR"/>
        </w:rPr>
        <w:t xml:space="preserve">au retard dans l’approbation du projet, qui </w:t>
      </w:r>
      <w:r w:rsidR="00DE1F0C" w:rsidRPr="008F47A6">
        <w:rPr>
          <w:lang w:val="fr-FR"/>
        </w:rPr>
        <w:t>a été préparé en 2013 pour être finalement approuvé en 2017</w:t>
      </w:r>
      <w:r w:rsidR="00DE1F0C">
        <w:rPr>
          <w:lang w:val="fr-FR"/>
        </w:rPr>
        <w:t xml:space="preserve">, et à </w:t>
      </w:r>
      <w:r w:rsidRPr="008F47A6">
        <w:rPr>
          <w:lang w:val="fr-FR"/>
        </w:rPr>
        <w:t xml:space="preserve">l’instabilité politique et institutionnelle qui se traduit par beaucoup de fluctuation de personnel. La </w:t>
      </w:r>
      <w:r w:rsidRPr="008F47A6">
        <w:rPr>
          <w:lang w:val="fr-FR"/>
        </w:rPr>
        <w:lastRenderedPageBreak/>
        <w:t xml:space="preserve">stabilité du DNP est donc une force qui </w:t>
      </w:r>
      <w:r w:rsidR="00A713E9">
        <w:rPr>
          <w:lang w:val="fr-FR"/>
        </w:rPr>
        <w:t xml:space="preserve">contribue </w:t>
      </w:r>
      <w:r w:rsidR="00966B3B">
        <w:rPr>
          <w:lang w:val="fr-FR"/>
        </w:rPr>
        <w:t>à</w:t>
      </w:r>
      <w:r w:rsidRPr="008F47A6">
        <w:rPr>
          <w:lang w:val="fr-FR"/>
        </w:rPr>
        <w:t xml:space="preserve"> la continuité et la mémoire du projet.</w:t>
      </w:r>
      <w:r w:rsidR="00A713E9">
        <w:rPr>
          <w:lang w:val="fr-FR"/>
        </w:rPr>
        <w:t xml:space="preserve"> </w:t>
      </w:r>
      <w:r w:rsidR="00966B3B" w:rsidRPr="00966B3B">
        <w:rPr>
          <w:lang w:val="fr-FR"/>
        </w:rPr>
        <w:t>Né</w:t>
      </w:r>
      <w:r w:rsidR="00966B3B" w:rsidRPr="00CA44AE">
        <w:rPr>
          <w:lang w:val="fr-FR"/>
        </w:rPr>
        <w:t xml:space="preserve">anmoins, comme mentionné plus haut, la complexité du projet et particulièrement de sa composante 1, ainsi que l’absence de théorie du changement ou au moins de </w:t>
      </w:r>
      <w:r w:rsidR="00966B3B" w:rsidRPr="00966B3B">
        <w:rPr>
          <w:lang w:val="fr-FR"/>
        </w:rPr>
        <w:t>représentation</w:t>
      </w:r>
      <w:r w:rsidR="00966B3B" w:rsidRPr="00CA44AE">
        <w:rPr>
          <w:lang w:val="fr-FR"/>
        </w:rPr>
        <w:t xml:space="preserve"> graphique illustrant les problèmes traités et solutions proposées par le projet</w:t>
      </w:r>
      <w:r w:rsidR="00966B3B">
        <w:rPr>
          <w:lang w:val="fr-FR"/>
        </w:rPr>
        <w:t>,</w:t>
      </w:r>
      <w:r w:rsidR="00966B3B" w:rsidRPr="00CA44AE">
        <w:rPr>
          <w:lang w:val="fr-FR"/>
        </w:rPr>
        <w:t xml:space="preserve"> ne permet pas </w:t>
      </w:r>
      <w:r w:rsidR="00966B3B">
        <w:rPr>
          <w:lang w:val="fr-FR"/>
        </w:rPr>
        <w:t>aux nouveaux acteurs de comprendre</w:t>
      </w:r>
      <w:r w:rsidR="00966B3B" w:rsidRPr="00966B3B">
        <w:rPr>
          <w:lang w:val="fr-FR"/>
        </w:rPr>
        <w:t xml:space="preserve"> facilement la pertinence du problème et l'efficacité de la stratégie du projet.</w:t>
      </w:r>
      <w:r w:rsidR="00A713E9" w:rsidRPr="00966B3B">
        <w:rPr>
          <w:lang w:val="fr-FR"/>
        </w:rPr>
        <w:t xml:space="preserve"> </w:t>
      </w:r>
    </w:p>
    <w:p w14:paraId="193F4239" w14:textId="1BFD84E6" w:rsidR="00C829CE" w:rsidRPr="008F47A6" w:rsidRDefault="00C829CE" w:rsidP="002B1790">
      <w:pPr>
        <w:rPr>
          <w:i/>
          <w:iCs/>
          <w:lang w:val="fr-FR"/>
        </w:rPr>
      </w:pPr>
      <w:r w:rsidRPr="008F47A6">
        <w:rPr>
          <w:i/>
          <w:iCs/>
          <w:lang w:val="fr-FR"/>
        </w:rPr>
        <w:t>Q : Dans quelle mesure les questions pertinentes en matière de genre ont-elles -été prise en compte lors de la conception du projet ?</w:t>
      </w:r>
    </w:p>
    <w:p w14:paraId="3850043A" w14:textId="464C1E83" w:rsidR="00C81ECF" w:rsidRPr="008E3E90" w:rsidRDefault="00C81ECF" w:rsidP="00801272">
      <w:pPr>
        <w:rPr>
          <w:lang w:val="fr-FR"/>
        </w:rPr>
      </w:pPr>
      <w:r w:rsidRPr="008F47A6">
        <w:rPr>
          <w:lang w:val="fr-FR"/>
        </w:rPr>
        <w:t xml:space="preserve">Selon le document de projet, et conformément à la stratégie PNUD pour la promotion de l’égalité des sexes 2014-2017, l’approche adoptée par le projet consiste à : </w:t>
      </w:r>
    </w:p>
    <w:p w14:paraId="08F15C2D" w14:textId="77777777" w:rsidR="00C81ECF" w:rsidRPr="008E3E90" w:rsidRDefault="00C81ECF" w:rsidP="00C81ECF">
      <w:pPr>
        <w:pStyle w:val="Paragraphedeliste"/>
        <w:numPr>
          <w:ilvl w:val="0"/>
          <w:numId w:val="13"/>
        </w:numPr>
        <w:rPr>
          <w:lang w:val="fr-FR"/>
        </w:rPr>
      </w:pPr>
      <w:r w:rsidRPr="008F47A6">
        <w:rPr>
          <w:lang w:val="fr-FR"/>
        </w:rPr>
        <w:t xml:space="preserve">Appuyer l’autonomisation des femmes et des filles par le biais d’interventions ciblées sexospécifiques et ; </w:t>
      </w:r>
    </w:p>
    <w:p w14:paraId="62DAB2EE" w14:textId="713B5EA7" w:rsidR="00C81ECF" w:rsidRPr="008E3E90" w:rsidRDefault="00C81ECF" w:rsidP="00C81ECF">
      <w:pPr>
        <w:pStyle w:val="Paragraphedeliste"/>
        <w:numPr>
          <w:ilvl w:val="0"/>
          <w:numId w:val="13"/>
        </w:numPr>
        <w:rPr>
          <w:lang w:val="fr-FR"/>
        </w:rPr>
      </w:pPr>
      <w:r w:rsidRPr="008F47A6">
        <w:rPr>
          <w:lang w:val="fr-FR"/>
        </w:rPr>
        <w:t xml:space="preserve">Régler les questions sexospécifiques dans le développement, la mise en œuvre et l’évaluation de toutes les activités du projet.  </w:t>
      </w:r>
    </w:p>
    <w:p w14:paraId="1B6E35A5" w14:textId="6EA3CD7A" w:rsidR="005F4BF7" w:rsidRPr="00966B3B" w:rsidRDefault="00C81ECF" w:rsidP="00C81ECF">
      <w:pPr>
        <w:rPr>
          <w:lang w:val="fr-FR"/>
        </w:rPr>
      </w:pPr>
      <w:r w:rsidRPr="008F47A6">
        <w:rPr>
          <w:lang w:val="fr-FR"/>
        </w:rPr>
        <w:t xml:space="preserve">Dans cette optique, le projet englobe une activité dédiée à la </w:t>
      </w:r>
      <w:r w:rsidRPr="008E3E90">
        <w:rPr>
          <w:lang w:val="fr-FR"/>
        </w:rPr>
        <w:t xml:space="preserve">participation des femmes et leur intégration dans le développement ; </w:t>
      </w:r>
      <w:r w:rsidR="00492378">
        <w:rPr>
          <w:lang w:val="fr-FR"/>
        </w:rPr>
        <w:t xml:space="preserve">et </w:t>
      </w:r>
      <w:r w:rsidRPr="008E3E90">
        <w:rPr>
          <w:lang w:val="fr-FR"/>
        </w:rPr>
        <w:t>renforcer leur rôle</w:t>
      </w:r>
      <w:r w:rsidRPr="005C1CF2">
        <w:rPr>
          <w:lang w:val="fr-FR"/>
        </w:rPr>
        <w:t xml:space="preserve"> dans la gestion des ressources naturelles</w:t>
      </w:r>
      <w:r w:rsidRPr="00582B5D">
        <w:rPr>
          <w:lang w:val="fr-FR"/>
        </w:rPr>
        <w:t xml:space="preserve"> (</w:t>
      </w:r>
      <w:proofErr w:type="spellStart"/>
      <w:r w:rsidRPr="00582B5D">
        <w:rPr>
          <w:lang w:val="fr-FR"/>
        </w:rPr>
        <w:t>Act</w:t>
      </w:r>
      <w:proofErr w:type="spellEnd"/>
      <w:r w:rsidRPr="00582B5D">
        <w:rPr>
          <w:lang w:val="fr-FR"/>
        </w:rPr>
        <w:t>. 2.4.4)</w:t>
      </w:r>
      <w:r w:rsidR="005F4BF7" w:rsidRPr="008F47A6">
        <w:rPr>
          <w:lang w:val="fr-FR"/>
        </w:rPr>
        <w:t>. Les femmes sont particulièrement considérées par l’équipe de projet dans les activités de sensibilisation de la composante 2. Toutefois,</w:t>
      </w:r>
      <w:r w:rsidR="00966B3B">
        <w:rPr>
          <w:lang w:val="fr-FR"/>
        </w:rPr>
        <w:t xml:space="preserve"> il est important de relever qu’en dehors de ces activités, le projet ne dispose pas de réelle stratégie en matière de genre. De même, la </w:t>
      </w:r>
      <w:r w:rsidR="005F4BF7" w:rsidRPr="008F47A6">
        <w:rPr>
          <w:lang w:val="fr-FR"/>
        </w:rPr>
        <w:t>participation</w:t>
      </w:r>
      <w:r w:rsidR="00966B3B">
        <w:rPr>
          <w:lang w:val="fr-FR"/>
        </w:rPr>
        <w:t xml:space="preserve"> des femmes</w:t>
      </w:r>
      <w:r w:rsidR="005F4BF7" w:rsidRPr="008F47A6">
        <w:rPr>
          <w:lang w:val="fr-FR"/>
        </w:rPr>
        <w:t xml:space="preserve"> dans la gestion des APC reste à promouvoir puisqu’elles ne représentent que 25% du personnel des structures de gestion des APC. </w:t>
      </w:r>
      <w:r w:rsidR="005C7D61">
        <w:rPr>
          <w:lang w:val="fr-FR"/>
        </w:rPr>
        <w:t xml:space="preserve">Ce taux </w:t>
      </w:r>
      <w:r w:rsidR="005C7D61" w:rsidRPr="0022070F">
        <w:rPr>
          <w:lang w:val="fr-FR"/>
        </w:rPr>
        <w:t xml:space="preserve">au début de la mise en place des structures de gestion </w:t>
      </w:r>
      <w:r w:rsidR="005C7D61">
        <w:rPr>
          <w:lang w:val="fr-FR"/>
        </w:rPr>
        <w:t xml:space="preserve">peut être considéré </w:t>
      </w:r>
      <w:r w:rsidR="005C7D61" w:rsidRPr="0022070F">
        <w:rPr>
          <w:lang w:val="fr-FR"/>
        </w:rPr>
        <w:t>un bon score dans le contexte d’une Région comme l’Atsimo Andrefana où les femmes ne s’affichent pas directement dans les structures de prise de décision</w:t>
      </w:r>
      <w:r w:rsidR="005C7D61">
        <w:rPr>
          <w:lang w:val="fr-FR"/>
        </w:rPr>
        <w:t> : d</w:t>
      </w:r>
      <w:r w:rsidR="005C7D61" w:rsidRPr="0022070F">
        <w:rPr>
          <w:lang w:val="fr-FR"/>
        </w:rPr>
        <w:t xml:space="preserve">ans les AP existantes depuis 2015 et dont le processus de création a débuté depuis 2009, ce taux atteint rarement les 45%. </w:t>
      </w:r>
      <w:r w:rsidR="005C7D61">
        <w:rPr>
          <w:lang w:val="fr-FR"/>
        </w:rPr>
        <w:t xml:space="preserve">Néanmoins, un taux de 25% reste toujours bas. Le projet manifeste être </w:t>
      </w:r>
      <w:r w:rsidR="005C7D61" w:rsidRPr="0022070F">
        <w:rPr>
          <w:lang w:val="fr-FR"/>
        </w:rPr>
        <w:t xml:space="preserve">prêt à relever le défi </w:t>
      </w:r>
      <w:r w:rsidR="005C7D61">
        <w:rPr>
          <w:lang w:val="fr-FR"/>
        </w:rPr>
        <w:t xml:space="preserve">d’augmenter la participation des femmes dans les structures de gestion des </w:t>
      </w:r>
      <w:r w:rsidR="005C7D61" w:rsidRPr="0022070F">
        <w:rPr>
          <w:lang w:val="fr-FR"/>
        </w:rPr>
        <w:t>7 APC.</w:t>
      </w:r>
      <w:r w:rsidR="005C7D61">
        <w:rPr>
          <w:lang w:val="fr-FR"/>
        </w:rPr>
        <w:t xml:space="preserve"> </w:t>
      </w:r>
      <w:r w:rsidR="00966B3B" w:rsidRPr="00CA44AE">
        <w:rPr>
          <w:lang w:val="fr-FR"/>
        </w:rPr>
        <w:t xml:space="preserve">Les activités génératrices de revenus n’ayant pas encore été définies au moment de la </w:t>
      </w:r>
      <w:r w:rsidR="00966B3B">
        <w:rPr>
          <w:lang w:val="fr-FR"/>
        </w:rPr>
        <w:t>rédaction</w:t>
      </w:r>
      <w:r w:rsidR="00966B3B" w:rsidRPr="00CA44AE">
        <w:rPr>
          <w:lang w:val="fr-FR"/>
        </w:rPr>
        <w:t>, cette évaluation ne permet pas de déterminer dans quelle mesure elles favorisent l’égalité des sexes. Les entretiens montrent en tout cas que l’idée est de se focaliser sur des activités qui y contribueront clairement.</w:t>
      </w:r>
    </w:p>
    <w:p w14:paraId="020FB0EF" w14:textId="30B1A243" w:rsidR="00D65F8E" w:rsidRDefault="00FB0A92">
      <w:pPr>
        <w:rPr>
          <w:lang w:val="fr-FR"/>
        </w:rPr>
      </w:pPr>
      <w:r w:rsidRPr="008F47A6">
        <w:rPr>
          <w:lang w:val="fr-FR"/>
        </w:rPr>
        <w:t>L</w:t>
      </w:r>
      <w:r w:rsidR="005F4BF7" w:rsidRPr="008F47A6">
        <w:rPr>
          <w:lang w:val="fr-FR"/>
        </w:rPr>
        <w:t>e cadre logique du projet ne dispose pas d’indicateurs ventilés par sexe</w:t>
      </w:r>
      <w:r w:rsidRPr="008F47A6">
        <w:rPr>
          <w:lang w:val="fr-FR"/>
        </w:rPr>
        <w:t xml:space="preserve">. </w:t>
      </w:r>
      <w:proofErr w:type="gramStart"/>
      <w:r w:rsidRPr="008F47A6">
        <w:rPr>
          <w:lang w:val="fr-FR"/>
        </w:rPr>
        <w:t>Par contre</w:t>
      </w:r>
      <w:proofErr w:type="gramEnd"/>
      <w:r w:rsidR="00C721FE">
        <w:rPr>
          <w:lang w:val="fr-FR"/>
        </w:rPr>
        <w:t>,</w:t>
      </w:r>
      <w:r w:rsidR="005F4BF7" w:rsidRPr="008F47A6">
        <w:rPr>
          <w:lang w:val="fr-FR"/>
        </w:rPr>
        <w:t xml:space="preserve"> des indications sexospécifiques doivent néanmoins être recueillies et enregistrées dans le système Atlas du PNUD</w:t>
      </w:r>
      <w:r w:rsidRPr="008F47A6">
        <w:rPr>
          <w:lang w:val="fr-FR"/>
        </w:rPr>
        <w:t>. C</w:t>
      </w:r>
      <w:r w:rsidR="005F4BF7" w:rsidRPr="008F47A6">
        <w:rPr>
          <w:lang w:val="fr-FR"/>
        </w:rPr>
        <w:t>elles-ci portent sur la gestion du projet (nombre de femmes employées par le projet ou faisant partie du Conseil d’Administration du Projet)</w:t>
      </w:r>
      <w:r w:rsidR="003749E3">
        <w:rPr>
          <w:lang w:val="fr-FR"/>
        </w:rPr>
        <w:t xml:space="preserve"> et quelques impacts (</w:t>
      </w:r>
      <w:r w:rsidR="003749E3" w:rsidRPr="00CA44AE">
        <w:rPr>
          <w:lang w:val="fr-FR"/>
        </w:rPr>
        <w:t>nombre d’emplois créés par le projet occupés par des femmes)</w:t>
      </w:r>
      <w:r w:rsidR="003749E3">
        <w:rPr>
          <w:lang w:val="fr-FR"/>
        </w:rPr>
        <w:t xml:space="preserve">. </w:t>
      </w:r>
      <w:r w:rsidR="000226C4" w:rsidRPr="008F47A6">
        <w:rPr>
          <w:lang w:val="fr-FR"/>
        </w:rPr>
        <w:t xml:space="preserve">A noter que l’évaluation n’a pas permis de prouver que ces indicateurs ont été renseignés systématiquement depuis le lancement du projet, car ils ne sont pas intégrés au format de cadre logique utilisé pour le rapportage. </w:t>
      </w:r>
      <w:r w:rsidR="006F2D67" w:rsidRPr="008F47A6">
        <w:rPr>
          <w:lang w:val="fr-FR"/>
        </w:rPr>
        <w:t>A ce jour</w:t>
      </w:r>
      <w:r w:rsidR="00492378">
        <w:rPr>
          <w:lang w:val="fr-FR"/>
        </w:rPr>
        <w:t>,</w:t>
      </w:r>
      <w:r w:rsidR="000226C4" w:rsidRPr="008F47A6">
        <w:rPr>
          <w:lang w:val="fr-FR"/>
        </w:rPr>
        <w:t xml:space="preserve"> toutefois</w:t>
      </w:r>
      <w:r w:rsidR="006F2D67" w:rsidRPr="008F47A6">
        <w:rPr>
          <w:lang w:val="fr-FR"/>
        </w:rPr>
        <w:t xml:space="preserve">, sur les 8 personnes qui constituent l’équipe technique du MEDD, 3 sont des femmes. </w:t>
      </w:r>
    </w:p>
    <w:p w14:paraId="1701C698" w14:textId="77777777" w:rsidR="003749E3" w:rsidRDefault="003749E3">
      <w:pPr>
        <w:rPr>
          <w:lang w:val="fr-FR"/>
        </w:rPr>
        <w:sectPr w:rsidR="003749E3" w:rsidSect="00937AA0">
          <w:footerReference w:type="default" r:id="rId15"/>
          <w:pgSz w:w="11906" w:h="16838" w:code="9"/>
          <w:pgMar w:top="1440" w:right="1440" w:bottom="1440" w:left="1440" w:header="576" w:footer="432" w:gutter="0"/>
          <w:cols w:space="720"/>
          <w:docGrid w:linePitch="360"/>
        </w:sectPr>
      </w:pPr>
    </w:p>
    <w:p w14:paraId="40AB31EE" w14:textId="696FD372" w:rsidR="00C81ECF" w:rsidRPr="008F47A6" w:rsidRDefault="00C81ECF">
      <w:pPr>
        <w:rPr>
          <w:lang w:val="fr-FR"/>
        </w:rPr>
      </w:pPr>
    </w:p>
    <w:p w14:paraId="293A52DE" w14:textId="3294FA82" w:rsidR="005C550F" w:rsidRPr="008F47A6" w:rsidRDefault="005C550F" w:rsidP="005C550F">
      <w:pPr>
        <w:pStyle w:val="Titre3"/>
        <w:rPr>
          <w:lang w:val="fr-FR"/>
        </w:rPr>
      </w:pPr>
      <w:r w:rsidRPr="008F47A6">
        <w:rPr>
          <w:lang w:val="fr-FR"/>
        </w:rPr>
        <w:t xml:space="preserve">Cadre de résultats/cadre logique </w:t>
      </w:r>
    </w:p>
    <w:p w14:paraId="185B13D0" w14:textId="501676C1" w:rsidR="00C829CE" w:rsidRPr="008F47A6" w:rsidRDefault="00C829CE" w:rsidP="00C829CE">
      <w:pPr>
        <w:rPr>
          <w:i/>
          <w:iCs/>
          <w:szCs w:val="24"/>
          <w:lang w:val="fr-FR"/>
        </w:rPr>
      </w:pPr>
      <w:r w:rsidRPr="008F47A6">
        <w:rPr>
          <w:i/>
          <w:iCs/>
          <w:szCs w:val="24"/>
          <w:lang w:val="fr-FR"/>
        </w:rPr>
        <w:t>Q : Dans quelle mesure les résultats et les objectifs du projet sont-ils clairs, applicable</w:t>
      </w:r>
      <w:r w:rsidR="00FB0A92" w:rsidRPr="008F47A6">
        <w:rPr>
          <w:i/>
          <w:iCs/>
          <w:szCs w:val="24"/>
          <w:lang w:val="fr-FR"/>
        </w:rPr>
        <w:t>s</w:t>
      </w:r>
      <w:r w:rsidRPr="008F47A6">
        <w:rPr>
          <w:i/>
          <w:iCs/>
          <w:szCs w:val="24"/>
          <w:lang w:val="fr-FR"/>
        </w:rPr>
        <w:t xml:space="preserve"> dans la pratique et mesurables ? Dans quelle mesure les cibles et les délais sont-ils réalistes ?  T</w:t>
      </w:r>
      <w:r w:rsidR="00C72320">
        <w:rPr>
          <w:i/>
          <w:iCs/>
          <w:szCs w:val="24"/>
          <w:lang w:val="fr-FR"/>
        </w:rPr>
        <w:t>heory of Change</w:t>
      </w:r>
      <w:r w:rsidRPr="008F47A6">
        <w:rPr>
          <w:i/>
          <w:iCs/>
          <w:szCs w:val="24"/>
          <w:lang w:val="fr-FR"/>
        </w:rPr>
        <w:t> : Les hypothèses établies au départ se sont-elles révélées exactes ? Si non, quels impacts sur l’atteinte des résultats et quelles actions de redressement ?</w:t>
      </w:r>
    </w:p>
    <w:p w14:paraId="671823F6" w14:textId="19618A39" w:rsidR="00E01159" w:rsidRDefault="00E01159" w:rsidP="00E01159">
      <w:pPr>
        <w:rPr>
          <w:i/>
          <w:iCs/>
          <w:szCs w:val="24"/>
          <w:lang w:val="fr-FR"/>
        </w:rPr>
      </w:pPr>
      <w:r w:rsidRPr="008F47A6">
        <w:rPr>
          <w:i/>
          <w:iCs/>
          <w:szCs w:val="24"/>
          <w:lang w:val="fr-FR"/>
        </w:rPr>
        <w:t>Q : Quelle est l’efficacité/la pertinence des indicateurs, bases de référence et cibles du cadre logique pour mesurer les effets du projet ?</w:t>
      </w:r>
    </w:p>
    <w:p w14:paraId="4E005E16" w14:textId="45458169" w:rsidR="00D65F8E" w:rsidRPr="00CA44AE" w:rsidRDefault="00D65F8E" w:rsidP="00E01159">
      <w:pPr>
        <w:rPr>
          <w:szCs w:val="24"/>
          <w:u w:val="single"/>
          <w:lang w:val="fr-FR"/>
        </w:rPr>
      </w:pPr>
      <w:r w:rsidRPr="00CA44AE">
        <w:rPr>
          <w:szCs w:val="24"/>
          <w:u w:val="single"/>
          <w:lang w:val="fr-FR"/>
        </w:rPr>
        <w:t xml:space="preserve">Analyse du cadre logique initial, tel qu’inclus dans le Document de Projet et repris à quelques détails près, encore actuellement dans les rapports d’avancement : </w:t>
      </w:r>
    </w:p>
    <w:p w14:paraId="667BC289" w14:textId="2362BC52" w:rsidR="005167A6" w:rsidRPr="00CA44AE" w:rsidRDefault="005167A6" w:rsidP="00CA44AE">
      <w:pPr>
        <w:pStyle w:val="Lgende"/>
        <w:keepNext/>
        <w:rPr>
          <w:lang w:val="fr-FR"/>
        </w:rPr>
      </w:pPr>
      <w:r w:rsidRPr="00CA44AE">
        <w:rPr>
          <w:lang w:val="fr-FR"/>
        </w:rPr>
        <w:t xml:space="preserve">Table </w:t>
      </w:r>
      <w:r>
        <w:fldChar w:fldCharType="begin"/>
      </w:r>
      <w:r w:rsidRPr="00CA44AE">
        <w:rPr>
          <w:lang w:val="fr-FR"/>
        </w:rPr>
        <w:instrText xml:space="preserve"> SEQ Table \* ARABIC </w:instrText>
      </w:r>
      <w:r>
        <w:fldChar w:fldCharType="separate"/>
      </w:r>
      <w:r w:rsidRPr="00CA44AE">
        <w:rPr>
          <w:noProof/>
          <w:lang w:val="fr-FR"/>
        </w:rPr>
        <w:t>1</w:t>
      </w:r>
      <w:r>
        <w:fldChar w:fldCharType="end"/>
      </w:r>
      <w:r w:rsidRPr="00CA44AE">
        <w:rPr>
          <w:lang w:val="fr-FR"/>
        </w:rPr>
        <w:t>: Analyse du cadre logique du Document de Projet</w:t>
      </w:r>
    </w:p>
    <w:tbl>
      <w:tblPr>
        <w:tblStyle w:val="TableBaastel"/>
        <w:tblW w:w="14966" w:type="dxa"/>
        <w:tblLayout w:type="fixed"/>
        <w:tblLook w:val="04A0" w:firstRow="1" w:lastRow="0" w:firstColumn="1" w:lastColumn="0" w:noHBand="0" w:noVBand="1"/>
      </w:tblPr>
      <w:tblGrid>
        <w:gridCol w:w="737"/>
        <w:gridCol w:w="3374"/>
        <w:gridCol w:w="2410"/>
        <w:gridCol w:w="3260"/>
        <w:gridCol w:w="4678"/>
        <w:gridCol w:w="507"/>
      </w:tblGrid>
      <w:tr w:rsidR="001715ED" w:rsidRPr="00D65F8E" w14:paraId="49E95B75" w14:textId="640D22F6" w:rsidTr="00CA44AE">
        <w:trPr>
          <w:gridAfter w:val="1"/>
          <w:cnfStyle w:val="100000000000" w:firstRow="1" w:lastRow="0" w:firstColumn="0" w:lastColumn="0" w:oddVBand="0" w:evenVBand="0" w:oddHBand="0" w:evenHBand="0" w:firstRowFirstColumn="0" w:firstRowLastColumn="0" w:lastRowFirstColumn="0" w:lastRowLastColumn="0"/>
          <w:wAfter w:w="507" w:type="dxa"/>
        </w:trPr>
        <w:tc>
          <w:tcPr>
            <w:tcW w:w="737" w:type="dxa"/>
          </w:tcPr>
          <w:p w14:paraId="4CCB9DF3" w14:textId="77777777" w:rsidR="00D65F8E" w:rsidRPr="00CA44AE" w:rsidRDefault="00D65F8E" w:rsidP="00CA44AE">
            <w:pPr>
              <w:spacing w:before="0" w:after="0"/>
              <w:jc w:val="center"/>
              <w:rPr>
                <w:b w:val="0"/>
                <w:sz w:val="20"/>
                <w:szCs w:val="20"/>
              </w:rPr>
            </w:pPr>
            <w:bookmarkStart w:id="15" w:name="_Hlk26539354"/>
            <w:r w:rsidRPr="00CA44AE">
              <w:rPr>
                <w:sz w:val="20"/>
                <w:szCs w:val="20"/>
              </w:rPr>
              <w:t>#</w:t>
            </w:r>
          </w:p>
        </w:tc>
        <w:tc>
          <w:tcPr>
            <w:tcW w:w="3374" w:type="dxa"/>
          </w:tcPr>
          <w:p w14:paraId="3A775D74" w14:textId="77777777" w:rsidR="00D65F8E" w:rsidRPr="00CA44AE" w:rsidRDefault="00D65F8E" w:rsidP="00CA44AE">
            <w:pPr>
              <w:spacing w:before="0" w:after="0"/>
              <w:jc w:val="center"/>
              <w:rPr>
                <w:b w:val="0"/>
                <w:sz w:val="20"/>
                <w:szCs w:val="20"/>
              </w:rPr>
            </w:pPr>
            <w:proofErr w:type="spellStart"/>
            <w:r w:rsidRPr="00CA44AE">
              <w:rPr>
                <w:sz w:val="20"/>
                <w:szCs w:val="20"/>
              </w:rPr>
              <w:t>Indicateur</w:t>
            </w:r>
            <w:proofErr w:type="spellEnd"/>
            <w:r w:rsidRPr="00CA44AE">
              <w:rPr>
                <w:sz w:val="20"/>
                <w:szCs w:val="20"/>
              </w:rPr>
              <w:t xml:space="preserve">* </w:t>
            </w:r>
          </w:p>
        </w:tc>
        <w:tc>
          <w:tcPr>
            <w:tcW w:w="2410" w:type="dxa"/>
          </w:tcPr>
          <w:p w14:paraId="1048ED61" w14:textId="77777777" w:rsidR="00D65F8E" w:rsidRPr="00CA44AE" w:rsidRDefault="00D65F8E" w:rsidP="00CA44AE">
            <w:pPr>
              <w:spacing w:before="0" w:after="0"/>
              <w:jc w:val="center"/>
              <w:rPr>
                <w:b w:val="0"/>
                <w:sz w:val="20"/>
                <w:szCs w:val="20"/>
              </w:rPr>
            </w:pPr>
            <w:r w:rsidRPr="00CA44AE">
              <w:rPr>
                <w:sz w:val="20"/>
                <w:szCs w:val="20"/>
              </w:rPr>
              <w:t xml:space="preserve">Point de </w:t>
            </w:r>
            <w:proofErr w:type="spellStart"/>
            <w:r w:rsidRPr="00CA44AE">
              <w:rPr>
                <w:sz w:val="20"/>
                <w:szCs w:val="20"/>
              </w:rPr>
              <w:t>départ</w:t>
            </w:r>
            <w:proofErr w:type="spellEnd"/>
          </w:p>
        </w:tc>
        <w:tc>
          <w:tcPr>
            <w:tcW w:w="3260" w:type="dxa"/>
          </w:tcPr>
          <w:p w14:paraId="58C76B98" w14:textId="77777777" w:rsidR="00D65F8E" w:rsidRPr="00CA44AE" w:rsidRDefault="00D65F8E" w:rsidP="00CA44AE">
            <w:pPr>
              <w:keepLines/>
              <w:spacing w:before="0" w:after="0"/>
              <w:jc w:val="center"/>
              <w:rPr>
                <w:b w:val="0"/>
                <w:sz w:val="20"/>
                <w:szCs w:val="20"/>
                <w:lang w:val="fr-FR"/>
              </w:rPr>
            </w:pPr>
            <w:r w:rsidRPr="00CA44AE">
              <w:rPr>
                <w:sz w:val="20"/>
                <w:szCs w:val="20"/>
                <w:lang w:val="fr-FR"/>
              </w:rPr>
              <w:t>Cibles d’ici la fin du projet</w:t>
            </w:r>
          </w:p>
        </w:tc>
        <w:tc>
          <w:tcPr>
            <w:tcW w:w="4678" w:type="dxa"/>
          </w:tcPr>
          <w:p w14:paraId="67032DC0" w14:textId="62172B7F" w:rsidR="00D65F8E" w:rsidRPr="00CA44AE" w:rsidRDefault="00D65F8E" w:rsidP="00D65F8E">
            <w:pPr>
              <w:keepLines/>
              <w:spacing w:before="0" w:after="0" w:line="276" w:lineRule="auto"/>
              <w:jc w:val="center"/>
              <w:rPr>
                <w:bCs/>
                <w:sz w:val="20"/>
                <w:szCs w:val="20"/>
                <w:lang w:val="fr-FR"/>
              </w:rPr>
            </w:pPr>
            <w:r w:rsidRPr="00C30657">
              <w:rPr>
                <w:bCs/>
                <w:sz w:val="20"/>
                <w:szCs w:val="20"/>
                <w:lang w:val="fr-FR"/>
              </w:rPr>
              <w:t xml:space="preserve">Commentaires </w:t>
            </w:r>
          </w:p>
        </w:tc>
      </w:tr>
      <w:tr w:rsidR="001715ED" w:rsidRPr="00BE1549" w14:paraId="127BDCD4" w14:textId="77777777" w:rsidTr="00CA44AE">
        <w:trPr>
          <w:gridAfter w:val="1"/>
          <w:wAfter w:w="507" w:type="dxa"/>
        </w:trPr>
        <w:tc>
          <w:tcPr>
            <w:tcW w:w="14459" w:type="dxa"/>
            <w:gridSpan w:val="5"/>
          </w:tcPr>
          <w:p w14:paraId="623B2809" w14:textId="22E979F4" w:rsidR="001715ED" w:rsidRPr="008F47A6" w:rsidRDefault="001715ED" w:rsidP="00D65F8E">
            <w:pPr>
              <w:spacing w:before="0" w:after="0"/>
              <w:contextualSpacing/>
              <w:jc w:val="left"/>
              <w:rPr>
                <w:sz w:val="20"/>
                <w:szCs w:val="20"/>
                <w:lang w:val="fr-FR"/>
              </w:rPr>
            </w:pPr>
            <w:r w:rsidRPr="008F5A64">
              <w:rPr>
                <w:b/>
                <w:lang w:val="fr-FR"/>
              </w:rPr>
              <w:t>Objectif du projet : Protéger la biodiversité dans la région de l’Atsimo-Andrefana afin de combattre les menaces actuelles et émergentes et l’utiliser durablement en mettant en œuvre un cadre de gouvernance axé sur la collaboration aux fins de l’intégration sectorielle et de la gestion décentralisée des ressources naturelles</w:t>
            </w:r>
          </w:p>
        </w:tc>
      </w:tr>
      <w:tr w:rsidR="001715ED" w:rsidRPr="00BE1549" w14:paraId="39926190" w14:textId="7FFF1EA6" w:rsidTr="00CA44AE">
        <w:trPr>
          <w:gridAfter w:val="1"/>
          <w:wAfter w:w="507" w:type="dxa"/>
        </w:trPr>
        <w:tc>
          <w:tcPr>
            <w:tcW w:w="737" w:type="dxa"/>
          </w:tcPr>
          <w:p w14:paraId="0FF9946D" w14:textId="77777777" w:rsidR="00D65F8E" w:rsidRPr="00CA44AE" w:rsidDel="00A556D4" w:rsidRDefault="00D65F8E" w:rsidP="00CA44AE">
            <w:pPr>
              <w:spacing w:before="0" w:after="0"/>
              <w:jc w:val="left"/>
              <w:rPr>
                <w:sz w:val="20"/>
                <w:szCs w:val="20"/>
              </w:rPr>
            </w:pPr>
            <w:r w:rsidRPr="00CA44AE">
              <w:rPr>
                <w:sz w:val="20"/>
                <w:szCs w:val="20"/>
              </w:rPr>
              <w:t>1</w:t>
            </w:r>
          </w:p>
        </w:tc>
        <w:tc>
          <w:tcPr>
            <w:tcW w:w="3374" w:type="dxa"/>
          </w:tcPr>
          <w:p w14:paraId="74BFC354" w14:textId="77777777" w:rsidR="00D65F8E" w:rsidRPr="00CA44AE" w:rsidRDefault="00D65F8E" w:rsidP="00CA44AE">
            <w:pPr>
              <w:spacing w:before="0" w:after="0"/>
              <w:jc w:val="left"/>
              <w:rPr>
                <w:sz w:val="20"/>
                <w:szCs w:val="20"/>
                <w:lang w:val="fr-FR"/>
              </w:rPr>
            </w:pPr>
            <w:r w:rsidRPr="00CA44AE">
              <w:rPr>
                <w:sz w:val="20"/>
                <w:szCs w:val="20"/>
                <w:lang w:val="fr-FR"/>
              </w:rPr>
              <w:t>Utilisation de l’outil de planification territoriale aux fins de l’intégration de la biodiversité :</w:t>
            </w:r>
          </w:p>
          <w:p w14:paraId="7BB57462" w14:textId="77777777" w:rsidR="00D65F8E" w:rsidRPr="00CA44AE" w:rsidRDefault="00D65F8E" w:rsidP="00CA44AE">
            <w:pPr>
              <w:spacing w:before="0" w:after="0"/>
              <w:jc w:val="left"/>
              <w:rPr>
                <w:sz w:val="20"/>
                <w:szCs w:val="20"/>
                <w:lang w:val="fr-FR"/>
              </w:rPr>
            </w:pPr>
          </w:p>
          <w:p w14:paraId="7B3ED201" w14:textId="77777777" w:rsidR="00D65F8E" w:rsidRPr="00CA44AE" w:rsidRDefault="00D65F8E" w:rsidP="00CA44AE">
            <w:pPr>
              <w:spacing w:before="0" w:after="0"/>
              <w:jc w:val="left"/>
              <w:rPr>
                <w:sz w:val="20"/>
                <w:szCs w:val="20"/>
                <w:lang w:val="fr-FR"/>
              </w:rPr>
            </w:pPr>
            <w:r w:rsidRPr="00CA44AE">
              <w:rPr>
                <w:sz w:val="20"/>
                <w:szCs w:val="20"/>
                <w:lang w:val="fr-FR"/>
              </w:rPr>
              <w:t xml:space="preserve">(a) Mise en œuvre des recommandations prescrites dans le PROSCB– grâce à une analyse réalisée par l’OPT BD à l’échelle des paysages </w:t>
            </w:r>
          </w:p>
          <w:p w14:paraId="32A2E230" w14:textId="77777777" w:rsidR="00D65F8E" w:rsidRPr="00CA44AE" w:rsidRDefault="00D65F8E" w:rsidP="00CA44AE">
            <w:pPr>
              <w:spacing w:before="0" w:after="0"/>
              <w:jc w:val="left"/>
              <w:rPr>
                <w:sz w:val="20"/>
                <w:szCs w:val="20"/>
                <w:lang w:val="fr-FR"/>
              </w:rPr>
            </w:pPr>
          </w:p>
          <w:p w14:paraId="2DCC1385" w14:textId="77777777" w:rsidR="00D65F8E" w:rsidRPr="00CA44AE" w:rsidRDefault="00D65F8E" w:rsidP="00CA44AE">
            <w:pPr>
              <w:spacing w:before="0" w:after="0"/>
              <w:contextualSpacing/>
              <w:jc w:val="left"/>
              <w:rPr>
                <w:sz w:val="20"/>
                <w:szCs w:val="20"/>
                <w:lang w:val="fr-FR"/>
              </w:rPr>
            </w:pPr>
            <w:r w:rsidRPr="00CA44AE">
              <w:rPr>
                <w:sz w:val="20"/>
                <w:szCs w:val="20"/>
                <w:lang w:val="fr-FR"/>
              </w:rPr>
              <w:t xml:space="preserve">(b) Le Plan de gestion, de zonage, les cartes des AP (élaborés par la composante OPT BD - PROSCB) sont </w:t>
            </w:r>
            <w:proofErr w:type="gramStart"/>
            <w:r w:rsidRPr="00CA44AE">
              <w:rPr>
                <w:sz w:val="20"/>
                <w:szCs w:val="20"/>
                <w:lang w:val="fr-FR"/>
              </w:rPr>
              <w:t>intégrés</w:t>
            </w:r>
            <w:proofErr w:type="gramEnd"/>
            <w:r w:rsidRPr="00CA44AE">
              <w:rPr>
                <w:sz w:val="20"/>
                <w:szCs w:val="20"/>
                <w:lang w:val="fr-FR"/>
              </w:rPr>
              <w:t xml:space="preserve"> dans le SRAT et le PRD</w:t>
            </w:r>
          </w:p>
        </w:tc>
        <w:tc>
          <w:tcPr>
            <w:tcW w:w="2410" w:type="dxa"/>
          </w:tcPr>
          <w:p w14:paraId="0915A51E" w14:textId="77777777" w:rsidR="00D65F8E" w:rsidRPr="00CA44AE" w:rsidRDefault="00D65F8E" w:rsidP="00CA44AE">
            <w:pPr>
              <w:spacing w:before="0" w:after="0"/>
              <w:jc w:val="left"/>
              <w:rPr>
                <w:sz w:val="20"/>
                <w:szCs w:val="20"/>
                <w:lang w:val="fr-FR"/>
              </w:rPr>
            </w:pPr>
            <w:r w:rsidRPr="00CA44AE">
              <w:rPr>
                <w:sz w:val="20"/>
                <w:szCs w:val="20"/>
                <w:lang w:val="fr-FR"/>
              </w:rPr>
              <w:t xml:space="preserve">(a) Le système OPT BD n’est pas encore élaboré. Le contrôle de la mise en œuvre du PROSCB se fera à partir de la deuxième année d’existence du projet lorsque le système OPT BD sera lancé et définira </w:t>
            </w:r>
            <w:proofErr w:type="gramStart"/>
            <w:r w:rsidRPr="00CA44AE">
              <w:rPr>
                <w:sz w:val="20"/>
                <w:szCs w:val="20"/>
                <w:lang w:val="fr-FR"/>
              </w:rPr>
              <w:t>les  recommandations</w:t>
            </w:r>
            <w:proofErr w:type="gramEnd"/>
            <w:r w:rsidRPr="00CA44AE">
              <w:rPr>
                <w:sz w:val="20"/>
                <w:szCs w:val="20"/>
                <w:lang w:val="fr-FR"/>
              </w:rPr>
              <w:t xml:space="preserve"> pour le SRAT et le PRD</w:t>
            </w:r>
          </w:p>
          <w:p w14:paraId="1E6C3489" w14:textId="77777777" w:rsidR="00D65F8E" w:rsidRPr="00CA44AE" w:rsidRDefault="00D65F8E" w:rsidP="00CA44AE">
            <w:pPr>
              <w:spacing w:before="0" w:after="0"/>
              <w:jc w:val="left"/>
              <w:rPr>
                <w:sz w:val="20"/>
                <w:szCs w:val="20"/>
                <w:lang w:val="fr-FR"/>
              </w:rPr>
            </w:pPr>
          </w:p>
          <w:p w14:paraId="38282DEF" w14:textId="77777777" w:rsidR="00D65F8E" w:rsidRPr="00CA44AE" w:rsidRDefault="00D65F8E" w:rsidP="00CA44AE">
            <w:pPr>
              <w:tabs>
                <w:tab w:val="left" w:pos="240"/>
              </w:tabs>
              <w:spacing w:before="0" w:after="0"/>
              <w:jc w:val="left"/>
              <w:rPr>
                <w:sz w:val="20"/>
                <w:szCs w:val="20"/>
                <w:lang w:val="fr-FR"/>
              </w:rPr>
            </w:pPr>
            <w:r w:rsidRPr="00CA44AE">
              <w:rPr>
                <w:sz w:val="20"/>
                <w:szCs w:val="20"/>
                <w:lang w:val="fr-FR"/>
              </w:rPr>
              <w:lastRenderedPageBreak/>
              <w:t>(b) Le SRAT sans le PROSCB (OPT BD) et le PRD sans l’OPT BD</w:t>
            </w:r>
          </w:p>
        </w:tc>
        <w:tc>
          <w:tcPr>
            <w:tcW w:w="3260" w:type="dxa"/>
          </w:tcPr>
          <w:p w14:paraId="7876EC35" w14:textId="77777777" w:rsidR="00D65F8E" w:rsidRPr="00CA44AE" w:rsidRDefault="00D65F8E" w:rsidP="00CA44AE">
            <w:pPr>
              <w:spacing w:before="0" w:after="0"/>
              <w:contextualSpacing/>
              <w:jc w:val="left"/>
              <w:rPr>
                <w:sz w:val="20"/>
                <w:szCs w:val="20"/>
                <w:lang w:val="fr-FR"/>
              </w:rPr>
            </w:pPr>
            <w:r w:rsidRPr="00CA44AE">
              <w:rPr>
                <w:sz w:val="20"/>
                <w:szCs w:val="20"/>
                <w:lang w:val="fr-FR"/>
              </w:rPr>
              <w:lastRenderedPageBreak/>
              <w:t>(a) Le SRAT avec l’annexe OPT BD</w:t>
            </w:r>
          </w:p>
          <w:p w14:paraId="202FEE54" w14:textId="77777777" w:rsidR="00D65F8E" w:rsidRPr="00CA44AE" w:rsidRDefault="00D65F8E" w:rsidP="00CA44AE">
            <w:pPr>
              <w:spacing w:before="0" w:after="0"/>
              <w:contextualSpacing/>
              <w:jc w:val="left"/>
              <w:rPr>
                <w:sz w:val="20"/>
                <w:szCs w:val="20"/>
                <w:lang w:val="fr-FR"/>
              </w:rPr>
            </w:pPr>
          </w:p>
          <w:p w14:paraId="69D6C9E2" w14:textId="77777777" w:rsidR="00D65F8E" w:rsidRPr="00CA44AE" w:rsidRDefault="00D65F8E" w:rsidP="00CA44AE">
            <w:pPr>
              <w:spacing w:before="0" w:after="0"/>
              <w:contextualSpacing/>
              <w:jc w:val="left"/>
              <w:rPr>
                <w:sz w:val="20"/>
                <w:szCs w:val="20"/>
                <w:lang w:val="fr-FR"/>
              </w:rPr>
            </w:pPr>
          </w:p>
          <w:p w14:paraId="700BCAE0" w14:textId="77777777" w:rsidR="00D65F8E" w:rsidRPr="00CA44AE" w:rsidRDefault="00D65F8E" w:rsidP="00CA44AE">
            <w:pPr>
              <w:spacing w:before="0" w:after="0"/>
              <w:contextualSpacing/>
              <w:jc w:val="left"/>
              <w:rPr>
                <w:sz w:val="20"/>
                <w:szCs w:val="20"/>
                <w:lang w:val="fr-FR"/>
              </w:rPr>
            </w:pPr>
          </w:p>
          <w:p w14:paraId="0F72E32C" w14:textId="77777777" w:rsidR="00D65F8E" w:rsidRPr="00CA44AE" w:rsidRDefault="00D65F8E" w:rsidP="00CA44AE">
            <w:pPr>
              <w:spacing w:before="0" w:after="0"/>
              <w:contextualSpacing/>
              <w:jc w:val="left"/>
              <w:rPr>
                <w:sz w:val="20"/>
                <w:szCs w:val="20"/>
                <w:lang w:val="fr-FR"/>
              </w:rPr>
            </w:pPr>
          </w:p>
          <w:p w14:paraId="4581C2C3" w14:textId="77777777" w:rsidR="00D65F8E" w:rsidRPr="00CA44AE" w:rsidRDefault="00D65F8E" w:rsidP="00CA44AE">
            <w:pPr>
              <w:spacing w:before="0" w:after="0"/>
              <w:contextualSpacing/>
              <w:jc w:val="left"/>
              <w:rPr>
                <w:sz w:val="20"/>
                <w:szCs w:val="20"/>
                <w:lang w:val="fr-FR"/>
              </w:rPr>
            </w:pPr>
          </w:p>
          <w:p w14:paraId="1E197A06" w14:textId="77777777" w:rsidR="00D65F8E" w:rsidRPr="00CA44AE" w:rsidRDefault="00D65F8E" w:rsidP="00CA44AE">
            <w:pPr>
              <w:keepLines/>
              <w:tabs>
                <w:tab w:val="left" w:pos="240"/>
              </w:tabs>
              <w:spacing w:before="0" w:after="0"/>
              <w:jc w:val="left"/>
              <w:rPr>
                <w:sz w:val="20"/>
                <w:szCs w:val="20"/>
                <w:lang w:val="fr-FR"/>
              </w:rPr>
            </w:pPr>
            <w:r w:rsidRPr="00CA44AE">
              <w:rPr>
                <w:sz w:val="20"/>
                <w:szCs w:val="20"/>
                <w:lang w:val="fr-FR"/>
              </w:rPr>
              <w:t>(b) 100% du contenu du PRD relatif à la planification sont conformes aux orientations du PROSCB (OPT BD) annexes au SRAT</w:t>
            </w:r>
          </w:p>
        </w:tc>
        <w:tc>
          <w:tcPr>
            <w:tcW w:w="4678" w:type="dxa"/>
          </w:tcPr>
          <w:p w14:paraId="5C0F406D" w14:textId="14BCC3EC" w:rsidR="00F33309" w:rsidRPr="00832DA1" w:rsidRDefault="00D65F8E" w:rsidP="00F33309">
            <w:pPr>
              <w:pStyle w:val="Commentaire"/>
              <w:rPr>
                <w:lang w:val="fr-FR"/>
              </w:rPr>
            </w:pPr>
            <w:r w:rsidRPr="008F47A6">
              <w:rPr>
                <w:lang w:val="fr-FR"/>
              </w:rPr>
              <w:t>Indicateur 1 a) Il n’est pas clairement expliqué comment la mise en œuvre des recommandations prescrites dans le PROSCB pourra être mesurée.</w:t>
            </w:r>
            <w:r w:rsidR="00F33309" w:rsidRPr="00832DA1">
              <w:rPr>
                <w:lang w:val="fr-FR"/>
              </w:rPr>
              <w:t xml:space="preserve"> D’ailleurs la f</w:t>
            </w:r>
            <w:r w:rsidR="00F33309">
              <w:rPr>
                <w:lang w:val="fr-FR"/>
              </w:rPr>
              <w:t>ormulation même de l’indicateur s’apparente à celle d’une action ou d’un résultat.</w:t>
            </w:r>
          </w:p>
          <w:p w14:paraId="7947C8D4" w14:textId="502774E8" w:rsidR="00D65F8E" w:rsidRPr="00D65F8E" w:rsidRDefault="00D65F8E" w:rsidP="00D65F8E">
            <w:pPr>
              <w:spacing w:before="0" w:after="0"/>
              <w:contextualSpacing/>
              <w:jc w:val="left"/>
              <w:rPr>
                <w:sz w:val="20"/>
                <w:szCs w:val="20"/>
                <w:lang w:val="fr-FR"/>
              </w:rPr>
            </w:pPr>
          </w:p>
        </w:tc>
      </w:tr>
      <w:tr w:rsidR="001715ED" w:rsidRPr="00BE1549" w14:paraId="7260B6E9" w14:textId="51F0570A" w:rsidTr="00CA44AE">
        <w:trPr>
          <w:gridAfter w:val="1"/>
          <w:wAfter w:w="507" w:type="dxa"/>
        </w:trPr>
        <w:tc>
          <w:tcPr>
            <w:tcW w:w="737" w:type="dxa"/>
          </w:tcPr>
          <w:p w14:paraId="3FB5B62B" w14:textId="77777777" w:rsidR="00D65F8E" w:rsidRPr="00CA44AE" w:rsidRDefault="00D65F8E" w:rsidP="00CA44AE">
            <w:pPr>
              <w:spacing w:before="0" w:after="0"/>
              <w:jc w:val="left"/>
              <w:rPr>
                <w:sz w:val="20"/>
                <w:szCs w:val="20"/>
              </w:rPr>
            </w:pPr>
            <w:r w:rsidRPr="00CA44AE">
              <w:rPr>
                <w:sz w:val="20"/>
                <w:szCs w:val="20"/>
              </w:rPr>
              <w:t>2</w:t>
            </w:r>
          </w:p>
        </w:tc>
        <w:tc>
          <w:tcPr>
            <w:tcW w:w="3374" w:type="dxa"/>
          </w:tcPr>
          <w:p w14:paraId="391A55D4" w14:textId="77777777" w:rsidR="00D65F8E" w:rsidRPr="00CA44AE" w:rsidRDefault="00D65F8E" w:rsidP="00CA44AE">
            <w:pPr>
              <w:spacing w:before="0" w:after="0"/>
              <w:contextualSpacing/>
              <w:jc w:val="left"/>
              <w:rPr>
                <w:sz w:val="20"/>
                <w:szCs w:val="20"/>
                <w:lang w:val="fr-FR"/>
              </w:rPr>
            </w:pPr>
            <w:r w:rsidRPr="00CA44AE">
              <w:rPr>
                <w:sz w:val="20"/>
                <w:szCs w:val="20"/>
                <w:lang w:val="fr-FR"/>
              </w:rPr>
              <w:t>Les réponses du SO2 TT de la partie III concernant les “pratiques de gestion” (consulter le Tableau 8 dans l’Annexe 3) :</w:t>
            </w:r>
          </w:p>
          <w:p w14:paraId="425B876C" w14:textId="77777777" w:rsidR="00D65F8E" w:rsidRPr="00CA44AE" w:rsidRDefault="00D65F8E" w:rsidP="00CA44AE">
            <w:pPr>
              <w:spacing w:before="0" w:after="0"/>
              <w:contextualSpacing/>
              <w:jc w:val="left"/>
              <w:rPr>
                <w:sz w:val="20"/>
                <w:szCs w:val="20"/>
                <w:lang w:val="fr-FR"/>
              </w:rPr>
            </w:pPr>
          </w:p>
          <w:p w14:paraId="4C67192B" w14:textId="77777777" w:rsidR="00D65F8E" w:rsidRPr="00CA44AE" w:rsidRDefault="00D65F8E" w:rsidP="00CA44AE">
            <w:pPr>
              <w:spacing w:before="0" w:after="0"/>
              <w:contextualSpacing/>
              <w:jc w:val="left"/>
              <w:rPr>
                <w:sz w:val="20"/>
                <w:szCs w:val="20"/>
                <w:lang w:val="fr-FR"/>
              </w:rPr>
            </w:pPr>
            <w:r w:rsidRPr="00CA44AE">
              <w:rPr>
                <w:sz w:val="20"/>
                <w:szCs w:val="20"/>
                <w:lang w:val="fr-FR"/>
              </w:rPr>
              <w:t xml:space="preserve">(a) Le résultat des efforts d’intégration :  une surface qui bénéficie d’une gestion de la biodiversité améliorée </w:t>
            </w:r>
          </w:p>
          <w:p w14:paraId="2A3D65C8" w14:textId="77777777" w:rsidR="00D65F8E" w:rsidRPr="00CA44AE" w:rsidRDefault="00D65F8E" w:rsidP="00CA44AE">
            <w:pPr>
              <w:spacing w:before="0" w:after="0"/>
              <w:contextualSpacing/>
              <w:jc w:val="left"/>
              <w:rPr>
                <w:sz w:val="20"/>
                <w:szCs w:val="20"/>
                <w:lang w:val="fr-FR"/>
              </w:rPr>
            </w:pPr>
          </w:p>
          <w:p w14:paraId="2BCDC5C3" w14:textId="1D0EB623" w:rsidR="00D65F8E" w:rsidRPr="00CA44AE" w:rsidRDefault="00D65F8E" w:rsidP="00CA44AE">
            <w:pPr>
              <w:spacing w:before="0" w:after="0"/>
              <w:contextualSpacing/>
              <w:jc w:val="left"/>
              <w:rPr>
                <w:sz w:val="20"/>
                <w:szCs w:val="20"/>
                <w:lang w:val="fr-FR"/>
              </w:rPr>
            </w:pPr>
            <w:r w:rsidRPr="00CA44AE">
              <w:rPr>
                <w:sz w:val="20"/>
                <w:szCs w:val="20"/>
                <w:lang w:val="fr-FR"/>
              </w:rPr>
              <w:t xml:space="preserve">(b) État d’avancement des “mesures d’atténuation” à l’échelle des paysages (dans le cadre de la partie III du SO2 TT “Pratiques de gestion”) </w:t>
            </w:r>
          </w:p>
        </w:tc>
        <w:tc>
          <w:tcPr>
            <w:tcW w:w="2410" w:type="dxa"/>
          </w:tcPr>
          <w:p w14:paraId="10288C4E" w14:textId="77777777" w:rsidR="00D65F8E" w:rsidRPr="00CA44AE" w:rsidRDefault="00D65F8E" w:rsidP="00CA44AE">
            <w:pPr>
              <w:tabs>
                <w:tab w:val="left" w:pos="240"/>
              </w:tabs>
              <w:spacing w:before="0" w:after="0"/>
              <w:jc w:val="left"/>
              <w:rPr>
                <w:sz w:val="20"/>
                <w:szCs w:val="20"/>
                <w:lang w:val="fr-FR"/>
              </w:rPr>
            </w:pPr>
            <w:r w:rsidRPr="00CA44AE">
              <w:rPr>
                <w:sz w:val="20"/>
                <w:szCs w:val="20"/>
                <w:lang w:val="fr-FR"/>
              </w:rPr>
              <w:t>(a) 0 hectare</w:t>
            </w:r>
          </w:p>
          <w:p w14:paraId="7E9B443B" w14:textId="77777777" w:rsidR="00D65F8E" w:rsidRPr="00CA44AE" w:rsidRDefault="00D65F8E" w:rsidP="00CA44AE">
            <w:pPr>
              <w:tabs>
                <w:tab w:val="left" w:pos="240"/>
              </w:tabs>
              <w:spacing w:before="0" w:after="0"/>
              <w:jc w:val="left"/>
              <w:rPr>
                <w:sz w:val="20"/>
                <w:szCs w:val="20"/>
                <w:lang w:val="fr-FR"/>
              </w:rPr>
            </w:pPr>
          </w:p>
          <w:p w14:paraId="2595789B" w14:textId="77777777" w:rsidR="00D65F8E" w:rsidRPr="00CA44AE" w:rsidRDefault="00D65F8E" w:rsidP="00CA44AE">
            <w:pPr>
              <w:tabs>
                <w:tab w:val="left" w:pos="240"/>
              </w:tabs>
              <w:spacing w:before="0" w:after="0"/>
              <w:jc w:val="left"/>
              <w:rPr>
                <w:sz w:val="20"/>
                <w:szCs w:val="20"/>
                <w:lang w:val="fr-FR"/>
              </w:rPr>
            </w:pPr>
            <w:r w:rsidRPr="00CA44AE">
              <w:rPr>
                <w:sz w:val="20"/>
                <w:szCs w:val="20"/>
                <w:lang w:val="fr-FR"/>
              </w:rPr>
              <w:t>(b) La mise en œuvre des “mesures d’atténuation” n’a pas été systématiquement tentée dans la région de l’Atsimo-Andrefana en tant que pratique de gestion de la biodiversité</w:t>
            </w:r>
          </w:p>
        </w:tc>
        <w:tc>
          <w:tcPr>
            <w:tcW w:w="3260" w:type="dxa"/>
          </w:tcPr>
          <w:p w14:paraId="72409ECF" w14:textId="77777777" w:rsidR="00D65F8E" w:rsidRPr="00CA44AE" w:rsidRDefault="00D65F8E" w:rsidP="00CA44AE">
            <w:pPr>
              <w:keepLines/>
              <w:tabs>
                <w:tab w:val="left" w:pos="240"/>
              </w:tabs>
              <w:spacing w:before="0" w:after="0"/>
              <w:jc w:val="left"/>
              <w:rPr>
                <w:sz w:val="20"/>
                <w:szCs w:val="20"/>
                <w:lang w:val="fr-FR"/>
              </w:rPr>
            </w:pPr>
            <w:r w:rsidRPr="00CA44AE">
              <w:rPr>
                <w:sz w:val="20"/>
                <w:szCs w:val="20"/>
                <w:lang w:val="fr-FR"/>
              </w:rPr>
              <w:t>(a) 2 400 000 hectares</w:t>
            </w:r>
          </w:p>
          <w:p w14:paraId="3419567F" w14:textId="77777777" w:rsidR="00D65F8E" w:rsidRPr="00CA44AE" w:rsidRDefault="00D65F8E" w:rsidP="00CA44AE">
            <w:pPr>
              <w:keepLines/>
              <w:tabs>
                <w:tab w:val="left" w:pos="240"/>
              </w:tabs>
              <w:spacing w:before="0" w:after="0"/>
              <w:jc w:val="left"/>
              <w:rPr>
                <w:sz w:val="20"/>
                <w:szCs w:val="20"/>
                <w:lang w:val="fr-FR"/>
              </w:rPr>
            </w:pPr>
          </w:p>
          <w:p w14:paraId="4B18242C" w14:textId="29B253D5" w:rsidR="00D65F8E" w:rsidRPr="00CA44AE" w:rsidRDefault="00D65F8E" w:rsidP="00CA44AE">
            <w:pPr>
              <w:keepLines/>
              <w:tabs>
                <w:tab w:val="left" w:pos="240"/>
              </w:tabs>
              <w:spacing w:before="0" w:after="0"/>
              <w:jc w:val="left"/>
              <w:rPr>
                <w:sz w:val="20"/>
                <w:szCs w:val="20"/>
                <w:lang w:val="fr-FR"/>
              </w:rPr>
            </w:pPr>
            <w:r w:rsidRPr="00CA44AE">
              <w:rPr>
                <w:sz w:val="20"/>
                <w:szCs w:val="20"/>
                <w:lang w:val="fr-FR"/>
              </w:rPr>
              <w:t xml:space="preserve">(b) Une mise en œuvre plus systématique des mesures d’atténuation a lieu à l’échelle des paysages lorsqu’il y a des décisions importantes concernant l’agriculture extractive et à grande échelle qui peuvent affecter la </w:t>
            </w:r>
            <w:r w:rsidR="0090748E" w:rsidRPr="00CA44AE">
              <w:rPr>
                <w:sz w:val="20"/>
                <w:szCs w:val="20"/>
                <w:lang w:val="fr-FR"/>
              </w:rPr>
              <w:t>biodiversité (</w:t>
            </w:r>
            <w:r w:rsidRPr="00CA44AE">
              <w:rPr>
                <w:sz w:val="20"/>
                <w:szCs w:val="20"/>
                <w:lang w:val="fr-FR"/>
              </w:rPr>
              <w:t>la cible doit être validée indépendamment)</w:t>
            </w:r>
          </w:p>
        </w:tc>
        <w:tc>
          <w:tcPr>
            <w:tcW w:w="4678" w:type="dxa"/>
          </w:tcPr>
          <w:p w14:paraId="0C47F560" w14:textId="536BD5A1" w:rsidR="00D65F8E" w:rsidRPr="00D65F8E" w:rsidRDefault="00F33309" w:rsidP="00D65F8E">
            <w:pPr>
              <w:keepLines/>
              <w:tabs>
                <w:tab w:val="left" w:pos="240"/>
              </w:tabs>
              <w:spacing w:before="0" w:after="0"/>
              <w:jc w:val="left"/>
              <w:rPr>
                <w:sz w:val="20"/>
                <w:szCs w:val="20"/>
                <w:lang w:val="fr-FR"/>
              </w:rPr>
            </w:pPr>
            <w:r>
              <w:rPr>
                <w:sz w:val="20"/>
                <w:szCs w:val="20"/>
                <w:lang w:val="fr-FR"/>
              </w:rPr>
              <w:t>Cible 2 a)</w:t>
            </w:r>
            <w:r w:rsidR="00AD491C" w:rsidRPr="002B677E">
              <w:rPr>
                <w:lang w:val="fr-FR"/>
              </w:rPr>
              <w:t xml:space="preserve"> </w:t>
            </w:r>
            <w:r w:rsidR="00AD491C" w:rsidRPr="00AD491C">
              <w:rPr>
                <w:sz w:val="20"/>
                <w:szCs w:val="20"/>
                <w:lang w:val="fr-FR"/>
              </w:rPr>
              <w:t xml:space="preserve">Il n'est pas clair à quelle surface la cible se réfère. Apparemment, il s'agit de zones bénéficiant d'une certaine protection, c'est-à-dire celles qui appartiennent à l'une des catégories suivantes : AP, zone de protection des AP, ACPC, TGRN et ABE. La cible ne tient pas non plus compte du fait qu'étant donné le fort processus de déforestation, cette surface serait modifiée. Selon les études réalisées au cours de la mise en œuvre du projet, en 2019, la surface sous l'une des catégories mentionnées ci-dessus s'élevait à 2.080.000 ha. 320.000 ha avaient été perdus entre 2013 et 2018 à cause de la déforestation.  </w:t>
            </w:r>
            <w:r w:rsidR="009313B0" w:rsidRPr="009313B0">
              <w:rPr>
                <w:sz w:val="20"/>
                <w:szCs w:val="20"/>
                <w:lang w:val="fr-FR"/>
              </w:rPr>
              <w:t>Ce nombre doit être pris en compte</w:t>
            </w:r>
            <w:r w:rsidR="009313B0">
              <w:rPr>
                <w:sz w:val="20"/>
                <w:szCs w:val="20"/>
                <w:lang w:val="fr-FR"/>
              </w:rPr>
              <w:t xml:space="preserve">. </w:t>
            </w:r>
            <w:r w:rsidR="00AD491C" w:rsidRPr="00AD491C">
              <w:rPr>
                <w:sz w:val="20"/>
                <w:szCs w:val="20"/>
                <w:lang w:val="fr-FR"/>
              </w:rPr>
              <w:t>Cible 2 b) la cible n'est pas assez spécifique. Par exemple, elle pourrait se référer au pourcentage (par exemple, au moins 75 %) des risques identifiés qui ont été traités par la mise en place de mesures d'atténuation (à vérifier par des rapports fournissant des preuves de la mise en œuvre de mesures d'atténuation)</w:t>
            </w:r>
            <w:r w:rsidR="00BD464D">
              <w:rPr>
                <w:sz w:val="20"/>
                <w:szCs w:val="20"/>
                <w:lang w:val="fr-FR"/>
              </w:rPr>
              <w:t xml:space="preserve"> </w:t>
            </w:r>
          </w:p>
        </w:tc>
      </w:tr>
      <w:tr w:rsidR="001715ED" w:rsidRPr="00BE1549" w14:paraId="51A74B9E" w14:textId="3F9D1614" w:rsidTr="00CA44AE">
        <w:trPr>
          <w:gridAfter w:val="1"/>
          <w:wAfter w:w="507" w:type="dxa"/>
        </w:trPr>
        <w:tc>
          <w:tcPr>
            <w:tcW w:w="737" w:type="dxa"/>
          </w:tcPr>
          <w:p w14:paraId="0355FC6A" w14:textId="77777777" w:rsidR="00D65F8E" w:rsidRPr="00CA44AE" w:rsidDel="00A556D4" w:rsidRDefault="00D65F8E" w:rsidP="00CA44AE">
            <w:pPr>
              <w:spacing w:before="0" w:after="0"/>
              <w:jc w:val="left"/>
              <w:rPr>
                <w:sz w:val="20"/>
                <w:szCs w:val="20"/>
              </w:rPr>
            </w:pPr>
            <w:r w:rsidRPr="00CA44AE">
              <w:rPr>
                <w:sz w:val="20"/>
                <w:szCs w:val="20"/>
              </w:rPr>
              <w:t>3</w:t>
            </w:r>
          </w:p>
        </w:tc>
        <w:tc>
          <w:tcPr>
            <w:tcW w:w="3374" w:type="dxa"/>
          </w:tcPr>
          <w:p w14:paraId="14C1140D" w14:textId="77777777" w:rsidR="00D65F8E" w:rsidRPr="00CA44AE" w:rsidRDefault="00D65F8E" w:rsidP="00CA44AE">
            <w:pPr>
              <w:spacing w:before="0" w:after="0"/>
              <w:jc w:val="left"/>
              <w:rPr>
                <w:sz w:val="20"/>
                <w:szCs w:val="20"/>
                <w:lang w:val="fr-FR"/>
              </w:rPr>
            </w:pPr>
            <w:r w:rsidRPr="00CA44AE">
              <w:rPr>
                <w:sz w:val="20"/>
                <w:szCs w:val="20"/>
                <w:lang w:val="fr-FR"/>
              </w:rPr>
              <w:t>Bénéficiaires des activités de la Composante 2 du projet, appui et financement :</w:t>
            </w:r>
          </w:p>
          <w:p w14:paraId="4E2AEA46" w14:textId="77777777" w:rsidR="00D65F8E" w:rsidRPr="00CA44AE" w:rsidRDefault="00D65F8E" w:rsidP="00CA44AE">
            <w:pPr>
              <w:spacing w:before="0" w:after="0"/>
              <w:jc w:val="left"/>
              <w:rPr>
                <w:sz w:val="20"/>
                <w:szCs w:val="20"/>
                <w:lang w:val="fr-FR"/>
              </w:rPr>
            </w:pPr>
          </w:p>
          <w:p w14:paraId="5F6A5811" w14:textId="77777777" w:rsidR="00D65F8E" w:rsidRPr="00CA44AE" w:rsidRDefault="00D65F8E" w:rsidP="00CA44AE">
            <w:pPr>
              <w:spacing w:before="0" w:after="0"/>
              <w:jc w:val="left"/>
              <w:rPr>
                <w:sz w:val="20"/>
                <w:szCs w:val="20"/>
                <w:lang w:val="fr-FR"/>
              </w:rPr>
            </w:pPr>
            <w:r w:rsidRPr="00CA44AE">
              <w:rPr>
                <w:sz w:val="20"/>
                <w:szCs w:val="20"/>
                <w:lang w:val="fr-FR"/>
              </w:rPr>
              <w:t xml:space="preserve">(a) Nombre de </w:t>
            </w:r>
            <w:r w:rsidRPr="00CA44AE">
              <w:rPr>
                <w:i/>
                <w:sz w:val="20"/>
                <w:szCs w:val="20"/>
                <w:lang w:val="fr-FR"/>
              </w:rPr>
              <w:t>fokontanys</w:t>
            </w:r>
            <w:r w:rsidRPr="00CA44AE">
              <w:rPr>
                <w:sz w:val="20"/>
                <w:szCs w:val="20"/>
                <w:lang w:val="fr-FR"/>
              </w:rPr>
              <w:t xml:space="preserve"> </w:t>
            </w:r>
          </w:p>
          <w:p w14:paraId="5350F6CC" w14:textId="792BC9B5" w:rsidR="00D65F8E" w:rsidRPr="00CA44AE" w:rsidRDefault="00D65F8E" w:rsidP="00CA44AE">
            <w:pPr>
              <w:spacing w:before="0" w:after="0"/>
              <w:contextualSpacing/>
              <w:jc w:val="left"/>
              <w:rPr>
                <w:sz w:val="20"/>
                <w:szCs w:val="20"/>
                <w:lang w:val="fr-FR"/>
              </w:rPr>
            </w:pPr>
            <w:r w:rsidRPr="00CA44AE">
              <w:rPr>
                <w:sz w:val="20"/>
                <w:szCs w:val="20"/>
                <w:lang w:val="fr-FR"/>
              </w:rPr>
              <w:t xml:space="preserve">(b) Population dans ces </w:t>
            </w:r>
            <w:r w:rsidRPr="00CA44AE">
              <w:rPr>
                <w:i/>
                <w:sz w:val="20"/>
                <w:szCs w:val="20"/>
                <w:lang w:val="fr-FR"/>
              </w:rPr>
              <w:t>fokontanys</w:t>
            </w:r>
          </w:p>
        </w:tc>
        <w:tc>
          <w:tcPr>
            <w:tcW w:w="2410" w:type="dxa"/>
          </w:tcPr>
          <w:p w14:paraId="6418DEB4" w14:textId="77777777" w:rsidR="00D65F8E" w:rsidRPr="00CA44AE" w:rsidRDefault="00D65F8E" w:rsidP="00CA44AE">
            <w:pPr>
              <w:spacing w:before="0" w:after="0"/>
              <w:jc w:val="left"/>
              <w:rPr>
                <w:sz w:val="20"/>
                <w:szCs w:val="20"/>
                <w:lang w:val="fr-FR"/>
              </w:rPr>
            </w:pPr>
          </w:p>
          <w:p w14:paraId="29247D21" w14:textId="77777777" w:rsidR="00D65F8E" w:rsidRPr="00CA44AE" w:rsidRDefault="00D65F8E" w:rsidP="00CA44AE">
            <w:pPr>
              <w:spacing w:before="0" w:after="0"/>
              <w:jc w:val="left"/>
              <w:rPr>
                <w:sz w:val="20"/>
                <w:szCs w:val="20"/>
              </w:rPr>
            </w:pPr>
            <w:r w:rsidRPr="00CA44AE">
              <w:rPr>
                <w:sz w:val="20"/>
                <w:szCs w:val="20"/>
              </w:rPr>
              <w:t>(a) 0</w:t>
            </w:r>
          </w:p>
          <w:p w14:paraId="77E11761" w14:textId="77777777" w:rsidR="00D65F8E" w:rsidRPr="00CA44AE" w:rsidRDefault="00D65F8E" w:rsidP="00CA44AE">
            <w:pPr>
              <w:tabs>
                <w:tab w:val="left" w:pos="240"/>
              </w:tabs>
              <w:spacing w:before="0" w:after="0"/>
              <w:jc w:val="left"/>
              <w:rPr>
                <w:sz w:val="20"/>
                <w:szCs w:val="20"/>
              </w:rPr>
            </w:pPr>
            <w:r w:rsidRPr="00CA44AE">
              <w:rPr>
                <w:sz w:val="20"/>
                <w:szCs w:val="20"/>
              </w:rPr>
              <w:t>(b) 0</w:t>
            </w:r>
          </w:p>
        </w:tc>
        <w:tc>
          <w:tcPr>
            <w:tcW w:w="3260" w:type="dxa"/>
          </w:tcPr>
          <w:p w14:paraId="7DBAFC5E" w14:textId="77777777" w:rsidR="00D65F8E" w:rsidRPr="00CA44AE" w:rsidRDefault="00D65F8E" w:rsidP="00CA44AE">
            <w:pPr>
              <w:spacing w:before="0" w:after="0"/>
              <w:jc w:val="left"/>
              <w:rPr>
                <w:sz w:val="20"/>
                <w:szCs w:val="20"/>
                <w:lang w:val="fr-FR"/>
              </w:rPr>
            </w:pPr>
            <w:r w:rsidRPr="00CA44AE">
              <w:rPr>
                <w:sz w:val="20"/>
                <w:szCs w:val="20"/>
                <w:lang w:val="fr-FR"/>
              </w:rPr>
              <w:t>(a) Au moins 12</w:t>
            </w:r>
          </w:p>
          <w:p w14:paraId="0970A3EE" w14:textId="77777777" w:rsidR="00D65F8E" w:rsidRPr="00CA44AE" w:rsidRDefault="00D65F8E" w:rsidP="00CA44AE">
            <w:pPr>
              <w:keepLines/>
              <w:tabs>
                <w:tab w:val="left" w:pos="240"/>
              </w:tabs>
              <w:spacing w:before="0" w:after="0"/>
              <w:jc w:val="left"/>
              <w:rPr>
                <w:sz w:val="20"/>
                <w:szCs w:val="20"/>
                <w:lang w:val="fr-FR"/>
              </w:rPr>
            </w:pPr>
            <w:r w:rsidRPr="00CA44AE">
              <w:rPr>
                <w:sz w:val="20"/>
                <w:szCs w:val="20"/>
                <w:lang w:val="fr-FR"/>
              </w:rPr>
              <w:t>(b) [doivent être calculées sur la base de la liste finale du site qui sera compilée pendant l’évaluation du projet]</w:t>
            </w:r>
          </w:p>
        </w:tc>
        <w:tc>
          <w:tcPr>
            <w:tcW w:w="4678" w:type="dxa"/>
          </w:tcPr>
          <w:p w14:paraId="0864CB92" w14:textId="26190646" w:rsidR="00D65F8E" w:rsidRPr="00D65F8E" w:rsidRDefault="00D65F8E" w:rsidP="00D65F8E">
            <w:pPr>
              <w:spacing w:before="0" w:after="0"/>
              <w:jc w:val="left"/>
              <w:rPr>
                <w:sz w:val="20"/>
                <w:szCs w:val="20"/>
                <w:lang w:val="fr-FR"/>
              </w:rPr>
            </w:pPr>
            <w:r w:rsidRPr="008F47A6">
              <w:rPr>
                <w:sz w:val="20"/>
                <w:szCs w:val="20"/>
                <w:lang w:val="fr-FR"/>
              </w:rPr>
              <w:t>Cible 3 b) la cible en termes de population dans les fokontany concernées par le projet était à déterminer lors de la phase de démarrage et devrait maintenant être actualisée. Sans cible, on ne peut pas mesurer le progrès.</w:t>
            </w:r>
            <w:r w:rsidR="00BD464D">
              <w:rPr>
                <w:sz w:val="20"/>
                <w:szCs w:val="20"/>
                <w:lang w:val="fr-FR"/>
              </w:rPr>
              <w:t xml:space="preserve"> </w:t>
            </w:r>
            <w:r w:rsidR="00A7610B" w:rsidRPr="00A7610B">
              <w:rPr>
                <w:sz w:val="20"/>
                <w:szCs w:val="20"/>
                <w:lang w:val="fr-FR"/>
              </w:rPr>
              <w:t>Le projet prévoit de définir le nombre de bénéficiaires seulement en 2020, après la finalisation du Plan de Gestion Environnementale et de Sauvegarde Sociale (PGESS)</w:t>
            </w:r>
            <w:r w:rsidR="009313B0">
              <w:rPr>
                <w:sz w:val="20"/>
                <w:szCs w:val="20"/>
                <w:lang w:val="fr-FR"/>
              </w:rPr>
              <w:t xml:space="preserve"> et le Plan d’Aménagement et Gestion (PAG)</w:t>
            </w:r>
            <w:r w:rsidR="00A7610B" w:rsidRPr="00A7610B">
              <w:rPr>
                <w:sz w:val="20"/>
                <w:szCs w:val="20"/>
                <w:lang w:val="fr-FR"/>
              </w:rPr>
              <w:t xml:space="preserve">. C'est trop tard pour un projet qui a démarré en </w:t>
            </w:r>
            <w:r w:rsidR="00A7610B">
              <w:rPr>
                <w:sz w:val="20"/>
                <w:szCs w:val="20"/>
                <w:lang w:val="fr-FR"/>
              </w:rPr>
              <w:t>juin</w:t>
            </w:r>
            <w:r w:rsidR="00A7610B" w:rsidRPr="00A7610B">
              <w:rPr>
                <w:sz w:val="20"/>
                <w:szCs w:val="20"/>
                <w:lang w:val="fr-FR"/>
              </w:rPr>
              <w:t xml:space="preserve"> 2017</w:t>
            </w:r>
            <w:r w:rsidR="0095265A">
              <w:rPr>
                <w:sz w:val="20"/>
                <w:szCs w:val="20"/>
                <w:lang w:val="fr-FR"/>
              </w:rPr>
              <w:t xml:space="preserve">. </w:t>
            </w:r>
            <w:r w:rsidR="00BD464D">
              <w:rPr>
                <w:sz w:val="20"/>
                <w:szCs w:val="20"/>
                <w:lang w:val="fr-FR"/>
              </w:rPr>
              <w:t xml:space="preserve"> </w:t>
            </w:r>
            <w:r w:rsidR="0095265A" w:rsidRPr="00346FE6">
              <w:rPr>
                <w:sz w:val="20"/>
                <w:szCs w:val="20"/>
                <w:lang w:val="fr-FR"/>
              </w:rPr>
              <w:t xml:space="preserve"> D’ailleurs, dans la Composante 2, c’est plus pertinent de parler de la population bénéficiaire des interventions dans </w:t>
            </w:r>
            <w:r w:rsidR="0095265A" w:rsidRPr="00346FE6">
              <w:rPr>
                <w:sz w:val="20"/>
                <w:szCs w:val="20"/>
                <w:lang w:val="fr-FR"/>
              </w:rPr>
              <w:lastRenderedPageBreak/>
              <w:t>les foko</w:t>
            </w:r>
            <w:r w:rsidR="0095265A">
              <w:rPr>
                <w:sz w:val="20"/>
                <w:szCs w:val="20"/>
                <w:lang w:val="fr-FR"/>
              </w:rPr>
              <w:t>n</w:t>
            </w:r>
            <w:r w:rsidR="0095265A" w:rsidRPr="00346FE6">
              <w:rPr>
                <w:sz w:val="20"/>
                <w:szCs w:val="20"/>
                <w:lang w:val="fr-FR"/>
              </w:rPr>
              <w:t>tanys que de la population dans les foko</w:t>
            </w:r>
            <w:r w:rsidR="0095265A">
              <w:rPr>
                <w:sz w:val="20"/>
                <w:szCs w:val="20"/>
                <w:lang w:val="fr-FR"/>
              </w:rPr>
              <w:t>n</w:t>
            </w:r>
            <w:r w:rsidR="0095265A" w:rsidRPr="00346FE6">
              <w:rPr>
                <w:sz w:val="20"/>
                <w:szCs w:val="20"/>
                <w:lang w:val="fr-FR"/>
              </w:rPr>
              <w:t>tanys bénéficiaires</w:t>
            </w:r>
            <w:r w:rsidR="0095265A">
              <w:rPr>
                <w:sz w:val="20"/>
                <w:szCs w:val="20"/>
                <w:lang w:val="fr-FR"/>
              </w:rPr>
              <w:t>.</w:t>
            </w:r>
            <w:r w:rsidR="009313B0" w:rsidRPr="002B677E">
              <w:rPr>
                <w:lang w:val="fr-FR"/>
              </w:rPr>
              <w:t xml:space="preserve"> </w:t>
            </w:r>
            <w:r w:rsidR="009313B0" w:rsidRPr="009313B0">
              <w:rPr>
                <w:sz w:val="20"/>
                <w:szCs w:val="20"/>
                <w:lang w:val="fr-FR"/>
              </w:rPr>
              <w:t>En ce sens, les habitants des fokontanys bénéficiaires ne bénéficieront pas tous de manière significative des interventions. L'indicateur ne devrait prendre en compte que ceux qui bénéficient de manière substantielle du projet dans les fokontanys cibles.</w:t>
            </w:r>
          </w:p>
        </w:tc>
      </w:tr>
      <w:tr w:rsidR="001715ED" w:rsidRPr="00BE1549" w14:paraId="781945DA" w14:textId="1DE24C66" w:rsidTr="00CA44AE">
        <w:trPr>
          <w:gridAfter w:val="1"/>
          <w:wAfter w:w="507" w:type="dxa"/>
        </w:trPr>
        <w:tc>
          <w:tcPr>
            <w:tcW w:w="737" w:type="dxa"/>
          </w:tcPr>
          <w:p w14:paraId="1A0CBAED" w14:textId="77777777" w:rsidR="00D65F8E" w:rsidRPr="00CA44AE" w:rsidRDefault="00D65F8E" w:rsidP="00CA44AE">
            <w:pPr>
              <w:spacing w:before="0" w:after="0"/>
              <w:jc w:val="left"/>
              <w:rPr>
                <w:sz w:val="20"/>
                <w:szCs w:val="20"/>
              </w:rPr>
            </w:pPr>
            <w:r w:rsidRPr="00CA44AE">
              <w:rPr>
                <w:sz w:val="20"/>
                <w:szCs w:val="20"/>
              </w:rPr>
              <w:lastRenderedPageBreak/>
              <w:t>4</w:t>
            </w:r>
          </w:p>
        </w:tc>
        <w:tc>
          <w:tcPr>
            <w:tcW w:w="3374" w:type="dxa"/>
          </w:tcPr>
          <w:p w14:paraId="4531C647" w14:textId="1FE611C7" w:rsidR="00D65F8E" w:rsidRPr="00CA44AE" w:rsidRDefault="00D65F8E" w:rsidP="00CA44AE">
            <w:pPr>
              <w:spacing w:before="0" w:after="0"/>
              <w:contextualSpacing/>
              <w:jc w:val="left"/>
              <w:rPr>
                <w:sz w:val="20"/>
                <w:szCs w:val="20"/>
                <w:lang w:val="fr-FR"/>
              </w:rPr>
            </w:pPr>
            <w:r w:rsidRPr="00CA44AE">
              <w:rPr>
                <w:sz w:val="20"/>
                <w:szCs w:val="20"/>
                <w:lang w:val="fr-FR"/>
              </w:rPr>
              <w:t xml:space="preserve">Les scores SO2 TT de la partie IV concernant les “cadres politiques et règlementaires” concernant les questions sur </w:t>
            </w:r>
            <w:proofErr w:type="gramStart"/>
            <w:r w:rsidRPr="00CA44AE">
              <w:rPr>
                <w:sz w:val="20"/>
                <w:szCs w:val="20"/>
                <w:lang w:val="fr-FR"/>
              </w:rPr>
              <w:t>l’ «</w:t>
            </w:r>
            <w:proofErr w:type="gramEnd"/>
            <w:r w:rsidRPr="00CA44AE">
              <w:rPr>
                <w:sz w:val="20"/>
                <w:szCs w:val="20"/>
                <w:lang w:val="fr-FR"/>
              </w:rPr>
              <w:t> </w:t>
            </w:r>
            <w:r w:rsidRPr="00CA44AE">
              <w:rPr>
                <w:i/>
                <w:sz w:val="20"/>
                <w:szCs w:val="20"/>
                <w:u w:val="single"/>
                <w:lang w:val="fr-FR"/>
              </w:rPr>
              <w:t>Agriculture »</w:t>
            </w:r>
            <w:r w:rsidRPr="00CA44AE">
              <w:rPr>
                <w:sz w:val="20"/>
                <w:szCs w:val="20"/>
                <w:lang w:val="fr-FR"/>
              </w:rPr>
              <w:t xml:space="preserve"> et l’ « </w:t>
            </w:r>
            <w:r w:rsidRPr="00CA44AE">
              <w:rPr>
                <w:i/>
                <w:sz w:val="20"/>
                <w:szCs w:val="20"/>
                <w:lang w:val="fr-FR"/>
              </w:rPr>
              <w:t>exploitation minière</w:t>
            </w:r>
            <w:r w:rsidRPr="00CA44AE">
              <w:rPr>
                <w:sz w:val="20"/>
                <w:szCs w:val="20"/>
                <w:lang w:val="fr-FR"/>
              </w:rPr>
              <w:t> » respectivement (consulter Tableau 9 dans l’Annexe 3)</w:t>
            </w:r>
          </w:p>
        </w:tc>
        <w:tc>
          <w:tcPr>
            <w:tcW w:w="2410" w:type="dxa"/>
          </w:tcPr>
          <w:p w14:paraId="21907453" w14:textId="77777777" w:rsidR="00D65F8E" w:rsidRPr="00CA44AE" w:rsidRDefault="00D65F8E" w:rsidP="00CA44AE">
            <w:pPr>
              <w:tabs>
                <w:tab w:val="left" w:pos="240"/>
              </w:tabs>
              <w:spacing w:before="0" w:after="0"/>
              <w:jc w:val="left"/>
              <w:rPr>
                <w:sz w:val="20"/>
                <w:szCs w:val="20"/>
                <w:lang w:val="fr-FR"/>
              </w:rPr>
            </w:pPr>
            <w:r w:rsidRPr="00CA44AE">
              <w:rPr>
                <w:sz w:val="20"/>
                <w:szCs w:val="20"/>
                <w:lang w:val="fr-FR"/>
              </w:rPr>
              <w:t xml:space="preserve">Nombre de points au total = 12 sur 24 points possibles </w:t>
            </w:r>
          </w:p>
          <w:p w14:paraId="1F303D4A" w14:textId="77777777" w:rsidR="00D65F8E" w:rsidRPr="00CA44AE" w:rsidRDefault="00D65F8E" w:rsidP="00CA44AE">
            <w:pPr>
              <w:tabs>
                <w:tab w:val="left" w:pos="240"/>
              </w:tabs>
              <w:spacing w:before="0" w:after="0"/>
              <w:jc w:val="left"/>
              <w:rPr>
                <w:sz w:val="20"/>
                <w:szCs w:val="20"/>
                <w:lang w:val="fr-FR"/>
              </w:rPr>
            </w:pPr>
          </w:p>
          <w:p w14:paraId="18ABF2C3" w14:textId="77777777" w:rsidR="00D65F8E" w:rsidRPr="00CA44AE" w:rsidRDefault="00D65F8E" w:rsidP="00CA44AE">
            <w:pPr>
              <w:tabs>
                <w:tab w:val="left" w:pos="240"/>
              </w:tabs>
              <w:spacing w:before="0" w:after="0"/>
              <w:jc w:val="left"/>
              <w:rPr>
                <w:sz w:val="20"/>
                <w:szCs w:val="20"/>
                <w:lang w:val="fr-FR"/>
              </w:rPr>
            </w:pPr>
          </w:p>
        </w:tc>
        <w:tc>
          <w:tcPr>
            <w:tcW w:w="3260" w:type="dxa"/>
          </w:tcPr>
          <w:p w14:paraId="178CE322" w14:textId="77777777" w:rsidR="00D65F8E" w:rsidRPr="00CA44AE" w:rsidRDefault="00D65F8E" w:rsidP="00CA44AE">
            <w:pPr>
              <w:keepLines/>
              <w:tabs>
                <w:tab w:val="left" w:pos="240"/>
              </w:tabs>
              <w:spacing w:before="0" w:after="0"/>
              <w:jc w:val="left"/>
              <w:rPr>
                <w:sz w:val="20"/>
                <w:szCs w:val="20"/>
                <w:lang w:val="fr-FR"/>
              </w:rPr>
            </w:pPr>
            <w:r w:rsidRPr="00CA44AE">
              <w:rPr>
                <w:sz w:val="20"/>
                <w:szCs w:val="20"/>
                <w:lang w:val="fr-FR"/>
              </w:rPr>
              <w:t>Scores au total = 15 sur 24 points possibles</w:t>
            </w:r>
          </w:p>
        </w:tc>
        <w:tc>
          <w:tcPr>
            <w:tcW w:w="4678" w:type="dxa"/>
          </w:tcPr>
          <w:p w14:paraId="0D99ACEA" w14:textId="60055252" w:rsidR="00D65F8E" w:rsidRPr="00D65F8E" w:rsidRDefault="00D65F8E" w:rsidP="00D65F8E">
            <w:pPr>
              <w:keepLines/>
              <w:tabs>
                <w:tab w:val="left" w:pos="240"/>
              </w:tabs>
              <w:spacing w:before="0" w:after="0"/>
              <w:jc w:val="left"/>
              <w:rPr>
                <w:sz w:val="20"/>
                <w:szCs w:val="20"/>
                <w:lang w:val="fr-FR"/>
              </w:rPr>
            </w:pPr>
            <w:r w:rsidRPr="008F47A6">
              <w:rPr>
                <w:sz w:val="20"/>
                <w:szCs w:val="20"/>
                <w:lang w:val="fr-FR"/>
              </w:rPr>
              <w:t>Cible 4) la cible de fin de projet de 15 sur 24 points, semble peu ambitieuse</w:t>
            </w:r>
          </w:p>
        </w:tc>
      </w:tr>
      <w:tr w:rsidR="001715ED" w:rsidRPr="00BE1549" w14:paraId="263C0310" w14:textId="5B8B47E6" w:rsidTr="00CA44AE">
        <w:trPr>
          <w:gridAfter w:val="1"/>
          <w:wAfter w:w="507" w:type="dxa"/>
        </w:trPr>
        <w:tc>
          <w:tcPr>
            <w:tcW w:w="737" w:type="dxa"/>
          </w:tcPr>
          <w:p w14:paraId="7C99B9FF" w14:textId="77777777" w:rsidR="00D65F8E" w:rsidRPr="00CA44AE" w:rsidRDefault="00D65F8E" w:rsidP="00CA44AE">
            <w:pPr>
              <w:spacing w:before="0" w:after="0"/>
              <w:jc w:val="left"/>
              <w:rPr>
                <w:sz w:val="20"/>
                <w:szCs w:val="20"/>
              </w:rPr>
            </w:pPr>
            <w:r w:rsidRPr="00CA44AE">
              <w:rPr>
                <w:sz w:val="20"/>
                <w:szCs w:val="20"/>
              </w:rPr>
              <w:t>5</w:t>
            </w:r>
          </w:p>
        </w:tc>
        <w:tc>
          <w:tcPr>
            <w:tcW w:w="3374" w:type="dxa"/>
          </w:tcPr>
          <w:p w14:paraId="30816AF1" w14:textId="76FDECA8" w:rsidR="00D65F8E" w:rsidRPr="00CA44AE" w:rsidRDefault="00D65F8E" w:rsidP="00CA44AE">
            <w:pPr>
              <w:spacing w:before="0" w:after="0"/>
              <w:jc w:val="left"/>
              <w:rPr>
                <w:sz w:val="20"/>
                <w:szCs w:val="20"/>
                <w:lang w:val="fr-FR"/>
              </w:rPr>
            </w:pPr>
            <w:r w:rsidRPr="00CA44AE">
              <w:rPr>
                <w:sz w:val="20"/>
                <w:szCs w:val="20"/>
                <w:lang w:val="fr-FR"/>
              </w:rPr>
              <w:t xml:space="preserve">Total des scores faibles (&lt;2) pour les “30 questions clefs </w:t>
            </w:r>
            <w:r w:rsidR="00D84524" w:rsidRPr="00D84524">
              <w:rPr>
                <w:sz w:val="20"/>
                <w:szCs w:val="20"/>
                <w:lang w:val="fr-FR"/>
              </w:rPr>
              <w:t xml:space="preserve">Management </w:t>
            </w:r>
            <w:proofErr w:type="spellStart"/>
            <w:r w:rsidR="00D84524" w:rsidRPr="00D84524">
              <w:rPr>
                <w:sz w:val="20"/>
                <w:szCs w:val="20"/>
                <w:lang w:val="fr-FR"/>
              </w:rPr>
              <w:t>Effectiveness</w:t>
            </w:r>
            <w:proofErr w:type="spellEnd"/>
            <w:r w:rsidR="00D84524" w:rsidRPr="00D84524">
              <w:rPr>
                <w:sz w:val="20"/>
                <w:szCs w:val="20"/>
                <w:lang w:val="fr-FR"/>
              </w:rPr>
              <w:t xml:space="preserve"> </w:t>
            </w:r>
            <w:proofErr w:type="spellStart"/>
            <w:r w:rsidR="00D84524" w:rsidRPr="00D84524">
              <w:rPr>
                <w:sz w:val="20"/>
                <w:szCs w:val="20"/>
                <w:lang w:val="fr-FR"/>
              </w:rPr>
              <w:t>Tracking</w:t>
            </w:r>
            <w:proofErr w:type="spellEnd"/>
            <w:r w:rsidR="00D84524" w:rsidRPr="00D84524">
              <w:rPr>
                <w:sz w:val="20"/>
                <w:szCs w:val="20"/>
                <w:lang w:val="fr-FR"/>
              </w:rPr>
              <w:t xml:space="preserve"> Tool </w:t>
            </w:r>
            <w:r w:rsidR="00D84524">
              <w:rPr>
                <w:sz w:val="20"/>
                <w:szCs w:val="20"/>
                <w:lang w:val="fr-FR"/>
              </w:rPr>
              <w:t>(METT)</w:t>
            </w:r>
            <w:r w:rsidRPr="00CA44AE">
              <w:rPr>
                <w:sz w:val="20"/>
                <w:szCs w:val="20"/>
                <w:lang w:val="fr-FR"/>
              </w:rPr>
              <w:t>” concernant la gestion des AP pour les quatre AP évaluées (consulter Tableau 11 dans l’Annexe 3)</w:t>
            </w:r>
          </w:p>
          <w:p w14:paraId="6FF06A67" w14:textId="77777777" w:rsidR="00D65F8E" w:rsidRPr="00CA44AE" w:rsidDel="00A556D4" w:rsidRDefault="00D65F8E" w:rsidP="00CA44AE">
            <w:pPr>
              <w:spacing w:before="0" w:after="0"/>
              <w:jc w:val="left"/>
              <w:rPr>
                <w:sz w:val="20"/>
                <w:szCs w:val="20"/>
                <w:lang w:val="fr-FR"/>
              </w:rPr>
            </w:pPr>
            <w:r w:rsidRPr="00CA44AE">
              <w:rPr>
                <w:sz w:val="20"/>
                <w:szCs w:val="20"/>
                <w:lang w:val="fr-FR"/>
              </w:rPr>
              <w:t>[Note : SO1 TT n’est pas une exigence du FEM dans le cadre de ce projet, les résultats sont donc contrôlés pour le bénéfice des directeurs des AP seulement et pour surveiller les indicateurs de suivi de 5 à 10.]</w:t>
            </w:r>
          </w:p>
        </w:tc>
        <w:tc>
          <w:tcPr>
            <w:tcW w:w="2410" w:type="dxa"/>
          </w:tcPr>
          <w:p w14:paraId="752EDCDD" w14:textId="77777777" w:rsidR="00D65F8E" w:rsidRPr="00CA44AE" w:rsidRDefault="00D65F8E" w:rsidP="00CA44AE">
            <w:pPr>
              <w:spacing w:before="0" w:after="0"/>
              <w:jc w:val="left"/>
              <w:rPr>
                <w:sz w:val="20"/>
                <w:szCs w:val="20"/>
              </w:rPr>
            </w:pPr>
            <w:r w:rsidRPr="00CA44AE">
              <w:rPr>
                <w:sz w:val="20"/>
                <w:szCs w:val="20"/>
              </w:rPr>
              <w:t>Total = 19</w:t>
            </w:r>
          </w:p>
        </w:tc>
        <w:tc>
          <w:tcPr>
            <w:tcW w:w="3260" w:type="dxa"/>
          </w:tcPr>
          <w:p w14:paraId="21DBF669" w14:textId="77777777" w:rsidR="00D65F8E" w:rsidRPr="00CA44AE" w:rsidRDefault="00D65F8E" w:rsidP="00CA44AE">
            <w:pPr>
              <w:keepLines/>
              <w:spacing w:before="0" w:after="0"/>
              <w:jc w:val="left"/>
              <w:rPr>
                <w:sz w:val="20"/>
                <w:szCs w:val="20"/>
                <w:lang w:val="fr-FR"/>
              </w:rPr>
            </w:pPr>
            <w:r w:rsidRPr="00CA44AE">
              <w:rPr>
                <w:sz w:val="20"/>
                <w:szCs w:val="20"/>
                <w:lang w:val="fr-FR"/>
              </w:rPr>
              <w:t>Scores au total pour les mêmes questions = au moins 24</w:t>
            </w:r>
          </w:p>
          <w:p w14:paraId="0E88D1D2" w14:textId="77777777" w:rsidR="00D65F8E" w:rsidRPr="00CA44AE" w:rsidRDefault="00D65F8E" w:rsidP="00CA44AE">
            <w:pPr>
              <w:keepLines/>
              <w:spacing w:before="0" w:after="0"/>
              <w:jc w:val="left"/>
              <w:rPr>
                <w:sz w:val="20"/>
                <w:szCs w:val="20"/>
                <w:lang w:val="fr-FR"/>
              </w:rPr>
            </w:pPr>
          </w:p>
        </w:tc>
        <w:tc>
          <w:tcPr>
            <w:tcW w:w="4678" w:type="dxa"/>
          </w:tcPr>
          <w:p w14:paraId="67D9990F" w14:textId="77777777" w:rsidR="00D65F8E" w:rsidRDefault="005F0EBE" w:rsidP="00346FE6">
            <w:pPr>
              <w:keepLines/>
              <w:spacing w:before="0" w:after="0"/>
              <w:rPr>
                <w:sz w:val="20"/>
                <w:szCs w:val="20"/>
                <w:lang w:val="fr-FR"/>
              </w:rPr>
            </w:pPr>
            <w:r>
              <w:rPr>
                <w:sz w:val="20"/>
                <w:szCs w:val="20"/>
                <w:lang w:val="fr-FR"/>
              </w:rPr>
              <w:t xml:space="preserve">L’indicateur ne précise pas s’il s’agit d’AP candidates au statut d’APC, ou d’autres AP. </w:t>
            </w:r>
          </w:p>
          <w:p w14:paraId="095239EB" w14:textId="75A8C186" w:rsidR="005F0EBE" w:rsidRPr="00D65F8E" w:rsidRDefault="005F0EBE" w:rsidP="00346FE6">
            <w:pPr>
              <w:keepLines/>
              <w:spacing w:before="0" w:after="0"/>
              <w:rPr>
                <w:sz w:val="20"/>
                <w:szCs w:val="20"/>
                <w:lang w:val="fr-FR"/>
              </w:rPr>
            </w:pPr>
            <w:r w:rsidRPr="00B6674E">
              <w:rPr>
                <w:sz w:val="20"/>
                <w:szCs w:val="20"/>
                <w:lang w:val="fr-FR"/>
              </w:rPr>
              <w:t>Il serait plus pertinent d’évaluer les premières à l’aide de cet outil.</w:t>
            </w:r>
            <w:r>
              <w:rPr>
                <w:sz w:val="20"/>
                <w:szCs w:val="20"/>
                <w:lang w:val="fr-FR"/>
              </w:rPr>
              <w:t xml:space="preserve"> </w:t>
            </w:r>
            <w:r w:rsidR="00C71BE2">
              <w:rPr>
                <w:sz w:val="20"/>
                <w:szCs w:val="20"/>
                <w:lang w:val="fr-FR"/>
              </w:rPr>
              <w:t xml:space="preserve">En effet, les 7 areas candidates au statut d’APC seront évalués </w:t>
            </w:r>
            <w:r w:rsidR="00C71BE2" w:rsidRPr="00346FE6">
              <w:rPr>
                <w:sz w:val="20"/>
                <w:szCs w:val="20"/>
                <w:lang w:val="fr-FR"/>
              </w:rPr>
              <w:t>à partir de l’année fiscale 2020 – 2021 (juillet 2020 – juin 2021). Il faut attendre l’obtention de l’arrêté de mise en protection temporaire des APC (Semestre 1 2020) pour pouvoir commencer à mesurer avec le METT.</w:t>
            </w:r>
          </w:p>
        </w:tc>
      </w:tr>
      <w:tr w:rsidR="001715ED" w:rsidRPr="00BE1549" w14:paraId="4A3FC731" w14:textId="77777777" w:rsidTr="00CA44AE">
        <w:tc>
          <w:tcPr>
            <w:tcW w:w="737" w:type="dxa"/>
          </w:tcPr>
          <w:p w14:paraId="3B838F48" w14:textId="77777777" w:rsidR="00AD78D9" w:rsidRPr="00CA44AE" w:rsidRDefault="00AD78D9" w:rsidP="00AD78D9">
            <w:pPr>
              <w:spacing w:before="0" w:after="0" w:line="276" w:lineRule="auto"/>
              <w:jc w:val="left"/>
              <w:rPr>
                <w:rFonts w:eastAsia="SimSun" w:cs="Angsana New"/>
                <w:sz w:val="20"/>
                <w:szCs w:val="20"/>
                <w:lang w:val="fr-FR" w:eastAsia="zh-CN"/>
              </w:rPr>
            </w:pPr>
          </w:p>
        </w:tc>
        <w:tc>
          <w:tcPr>
            <w:tcW w:w="9044" w:type="dxa"/>
            <w:gridSpan w:val="3"/>
          </w:tcPr>
          <w:p w14:paraId="28B822D0" w14:textId="1B57B870" w:rsidR="00AD78D9" w:rsidRPr="00F66085" w:rsidRDefault="00AD78D9" w:rsidP="00AD78D9">
            <w:pPr>
              <w:keepLines/>
              <w:spacing w:before="0" w:after="0"/>
              <w:rPr>
                <w:sz w:val="20"/>
                <w:szCs w:val="20"/>
                <w:lang w:val="fr-FR"/>
              </w:rPr>
            </w:pPr>
            <w:r w:rsidRPr="003270CB">
              <w:rPr>
                <w:b/>
                <w:lang w:val="fr-FR"/>
              </w:rPr>
              <w:t xml:space="preserve">Objectif 1 : L’appui </w:t>
            </w:r>
            <w:r w:rsidRPr="00801010">
              <w:rPr>
                <w:b/>
                <w:lang w:val="fr-FR"/>
              </w:rPr>
              <w:t>à la planification à l’échelle des paysages et à l’analyse économique favorisent l’intégration de la bi</w:t>
            </w:r>
            <w:r w:rsidRPr="00F66085">
              <w:rPr>
                <w:b/>
                <w:lang w:val="fr-FR"/>
              </w:rPr>
              <w:t>odiversité dans la gestion de la région de l’Atsimo-Andrefana, ce qui représente trois districts et une surface approximative de 24 millions d’hectares</w:t>
            </w:r>
          </w:p>
        </w:tc>
        <w:tc>
          <w:tcPr>
            <w:tcW w:w="5185" w:type="dxa"/>
            <w:gridSpan w:val="2"/>
          </w:tcPr>
          <w:p w14:paraId="3B1C5D9B" w14:textId="3E4A66EE" w:rsidR="00AD78D9" w:rsidRPr="00D65F8E" w:rsidRDefault="00AD78D9" w:rsidP="00AD78D9">
            <w:pPr>
              <w:keepLines/>
              <w:spacing w:before="0" w:after="0"/>
              <w:rPr>
                <w:sz w:val="20"/>
                <w:szCs w:val="20"/>
                <w:lang w:val="fr-FR"/>
              </w:rPr>
            </w:pPr>
            <w:r>
              <w:rPr>
                <w:sz w:val="20"/>
                <w:szCs w:val="20"/>
                <w:lang w:val="fr-FR"/>
              </w:rPr>
              <w:t>Ici il s’agit en fait du Résultat 1 et non de l’objectif 1</w:t>
            </w:r>
          </w:p>
        </w:tc>
      </w:tr>
      <w:tr w:rsidR="001715ED" w:rsidRPr="00BE1549" w14:paraId="775ACC1C" w14:textId="3284AD69" w:rsidTr="00CA44AE">
        <w:trPr>
          <w:gridAfter w:val="1"/>
          <w:wAfter w:w="507" w:type="dxa"/>
        </w:trPr>
        <w:tc>
          <w:tcPr>
            <w:tcW w:w="737" w:type="dxa"/>
          </w:tcPr>
          <w:p w14:paraId="1D6E1839" w14:textId="77777777" w:rsidR="00AD78D9" w:rsidRPr="00CA44AE" w:rsidDel="00A556D4"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6</w:t>
            </w:r>
          </w:p>
        </w:tc>
        <w:tc>
          <w:tcPr>
            <w:tcW w:w="3374" w:type="dxa"/>
          </w:tcPr>
          <w:p w14:paraId="23A40372" w14:textId="77777777" w:rsidR="00AD78D9" w:rsidRPr="00CA44AE" w:rsidRDefault="00AD78D9" w:rsidP="00CA44AE">
            <w:pPr>
              <w:spacing w:before="0" w:after="0"/>
              <w:jc w:val="left"/>
              <w:rPr>
                <w:rFonts w:eastAsia="SimSun" w:cs="Angsana New"/>
                <w:color w:val="FF0000"/>
                <w:sz w:val="20"/>
                <w:szCs w:val="20"/>
                <w:lang w:val="fr-FR" w:eastAsia="zh-CN"/>
              </w:rPr>
            </w:pPr>
            <w:r w:rsidRPr="00CA44AE">
              <w:rPr>
                <w:rFonts w:eastAsia="SimSun" w:cs="Angsana New"/>
                <w:sz w:val="20"/>
                <w:szCs w:val="20"/>
                <w:lang w:val="fr-FR" w:eastAsia="zh-CN"/>
              </w:rPr>
              <w:t>Le système OPT BD est élaboré, disponible pour la planification territoriale</w:t>
            </w:r>
          </w:p>
        </w:tc>
        <w:tc>
          <w:tcPr>
            <w:tcW w:w="2410" w:type="dxa"/>
          </w:tcPr>
          <w:p w14:paraId="662503DA" w14:textId="77777777" w:rsidR="00AD78D9" w:rsidRPr="00CA44AE" w:rsidRDefault="00AD78D9" w:rsidP="00CA44AE">
            <w:pPr>
              <w:spacing w:before="0" w:after="0"/>
              <w:jc w:val="left"/>
              <w:rPr>
                <w:rFonts w:eastAsia="SimSun" w:cs="Angsana New"/>
                <w:color w:val="FF0000"/>
                <w:sz w:val="20"/>
                <w:szCs w:val="20"/>
                <w:lang w:val="fr-FR" w:eastAsia="zh-CN"/>
              </w:rPr>
            </w:pPr>
            <w:r w:rsidRPr="00CA44AE">
              <w:rPr>
                <w:sz w:val="20"/>
                <w:szCs w:val="20"/>
                <w:lang w:val="fr-FR"/>
              </w:rPr>
              <w:t>Le système OPT BD n’est pas encore élaboré</w:t>
            </w:r>
          </w:p>
        </w:tc>
        <w:tc>
          <w:tcPr>
            <w:tcW w:w="3260" w:type="dxa"/>
          </w:tcPr>
          <w:p w14:paraId="3511C16D" w14:textId="77777777" w:rsidR="00AD78D9" w:rsidRPr="00CA44AE" w:rsidRDefault="00AD78D9" w:rsidP="00CA44AE">
            <w:pPr>
              <w:keepLines/>
              <w:spacing w:before="0" w:after="0"/>
              <w:rPr>
                <w:sz w:val="20"/>
                <w:szCs w:val="20"/>
                <w:lang w:val="fr-FR"/>
              </w:rPr>
            </w:pPr>
            <w:r w:rsidRPr="00CA44AE">
              <w:rPr>
                <w:sz w:val="20"/>
                <w:szCs w:val="20"/>
                <w:lang w:val="fr-FR"/>
              </w:rPr>
              <w:t>Le système OPT BD est disponible</w:t>
            </w:r>
          </w:p>
          <w:p w14:paraId="05363669" w14:textId="6E4BCFC2" w:rsidR="00AD78D9" w:rsidRPr="00CA44AE" w:rsidRDefault="00AD78D9" w:rsidP="00AD78D9">
            <w:pPr>
              <w:pStyle w:val="ColorfulList-Accent11"/>
              <w:keepNext/>
              <w:keepLines/>
              <w:numPr>
                <w:ilvl w:val="0"/>
                <w:numId w:val="25"/>
              </w:numPr>
              <w:ind w:left="292" w:hanging="218"/>
              <w:contextualSpacing/>
              <w:jc w:val="left"/>
              <w:outlineLvl w:val="5"/>
              <w:rPr>
                <w:rFonts w:ascii="Corbel" w:hAnsi="Corbel"/>
                <w:sz w:val="20"/>
                <w:szCs w:val="20"/>
                <w:lang w:val="fr-FR"/>
              </w:rPr>
            </w:pPr>
            <w:r w:rsidRPr="00CA44AE">
              <w:rPr>
                <w:rFonts w:ascii="Corbel" w:hAnsi="Corbel"/>
                <w:sz w:val="20"/>
                <w:szCs w:val="20"/>
                <w:lang w:val="fr-FR"/>
              </w:rPr>
              <w:lastRenderedPageBreak/>
              <w:t xml:space="preserve">Des couches </w:t>
            </w:r>
            <w:r w:rsidR="0090748E" w:rsidRPr="00CA44AE">
              <w:rPr>
                <w:rFonts w:ascii="Corbel" w:hAnsi="Corbel"/>
                <w:sz w:val="20"/>
                <w:szCs w:val="20"/>
                <w:lang w:val="fr-FR"/>
              </w:rPr>
              <w:t>géospatiales</w:t>
            </w:r>
            <w:r w:rsidRPr="00CA44AE">
              <w:rPr>
                <w:rFonts w:ascii="Corbel" w:hAnsi="Corbel"/>
                <w:sz w:val="20"/>
                <w:szCs w:val="20"/>
                <w:lang w:val="fr-FR"/>
              </w:rPr>
              <w:t xml:space="preserve"> </w:t>
            </w:r>
            <w:r w:rsidR="0090748E" w:rsidRPr="00CA44AE">
              <w:rPr>
                <w:rFonts w:ascii="Corbel" w:hAnsi="Corbel"/>
                <w:sz w:val="20"/>
                <w:szCs w:val="20"/>
                <w:lang w:val="fr-FR"/>
              </w:rPr>
              <w:t>synthétiques sont</w:t>
            </w:r>
            <w:r w:rsidRPr="00CA44AE">
              <w:rPr>
                <w:rFonts w:ascii="Corbel" w:hAnsi="Corbel"/>
                <w:sz w:val="20"/>
                <w:szCs w:val="20"/>
                <w:lang w:val="fr-FR"/>
              </w:rPr>
              <w:t xml:space="preserve"> disponibles pour compiler le PROSCB et son dûment incorporées ;</w:t>
            </w:r>
          </w:p>
          <w:p w14:paraId="0BD21C62" w14:textId="6D6E39FD" w:rsidR="00AD78D9" w:rsidRPr="00CA44AE" w:rsidRDefault="00AD78D9" w:rsidP="00AD78D9">
            <w:pPr>
              <w:pStyle w:val="ColorfulList-Accent11"/>
              <w:keepNext/>
              <w:keepLines/>
              <w:numPr>
                <w:ilvl w:val="0"/>
                <w:numId w:val="25"/>
              </w:numPr>
              <w:ind w:left="292" w:hanging="218"/>
              <w:contextualSpacing/>
              <w:jc w:val="left"/>
              <w:outlineLvl w:val="5"/>
              <w:rPr>
                <w:rFonts w:ascii="Corbel" w:hAnsi="Corbel"/>
                <w:sz w:val="20"/>
                <w:szCs w:val="20"/>
                <w:lang w:val="fr-FR"/>
              </w:rPr>
            </w:pPr>
            <w:r w:rsidRPr="00CA44AE">
              <w:rPr>
                <w:rFonts w:ascii="Corbel" w:hAnsi="Corbel"/>
                <w:sz w:val="20"/>
                <w:szCs w:val="20"/>
                <w:lang w:val="fr-FR"/>
              </w:rPr>
              <w:t xml:space="preserve">Le portail </w:t>
            </w:r>
            <w:r w:rsidR="0090748E" w:rsidRPr="00CA44AE">
              <w:rPr>
                <w:rFonts w:ascii="Corbel" w:hAnsi="Corbel"/>
                <w:sz w:val="20"/>
                <w:szCs w:val="20"/>
                <w:lang w:val="fr-FR"/>
              </w:rPr>
              <w:t>géospatial</w:t>
            </w:r>
            <w:r w:rsidRPr="00CA44AE">
              <w:rPr>
                <w:rFonts w:ascii="Corbel" w:hAnsi="Corbel"/>
                <w:sz w:val="20"/>
                <w:szCs w:val="20"/>
                <w:lang w:val="fr-FR"/>
              </w:rPr>
              <w:t xml:space="preserve"> OPT BD est en ligne et doté d’un accès libre ;</w:t>
            </w:r>
          </w:p>
          <w:p w14:paraId="1697A4F6" w14:textId="77777777" w:rsidR="00AD78D9" w:rsidRPr="00CA44AE" w:rsidRDefault="00AD78D9" w:rsidP="00AD78D9">
            <w:pPr>
              <w:pStyle w:val="ColorfulList-Accent11"/>
              <w:numPr>
                <w:ilvl w:val="0"/>
                <w:numId w:val="25"/>
              </w:numPr>
              <w:ind w:left="292" w:hanging="218"/>
              <w:contextualSpacing/>
              <w:jc w:val="left"/>
              <w:rPr>
                <w:rFonts w:ascii="Corbel" w:hAnsi="Corbel"/>
                <w:sz w:val="20"/>
                <w:szCs w:val="20"/>
                <w:lang w:val="fr-FR"/>
              </w:rPr>
            </w:pPr>
            <w:r w:rsidRPr="00CA44AE">
              <w:rPr>
                <w:rFonts w:ascii="Corbel" w:hAnsi="Corbel"/>
                <w:sz w:val="20"/>
                <w:szCs w:val="20"/>
                <w:lang w:val="fr-FR"/>
              </w:rPr>
              <w:t xml:space="preserve">L’Observatoire de la biodiversité régionale et des </w:t>
            </w:r>
            <w:proofErr w:type="gramStart"/>
            <w:r w:rsidRPr="00CA44AE">
              <w:rPr>
                <w:rFonts w:ascii="Corbel" w:hAnsi="Corbel"/>
                <w:sz w:val="20"/>
                <w:szCs w:val="20"/>
                <w:lang w:val="fr-FR"/>
              </w:rPr>
              <w:t>écosystèmes  (</w:t>
            </w:r>
            <w:proofErr w:type="gramEnd"/>
            <w:r w:rsidRPr="00CA44AE">
              <w:rPr>
                <w:rFonts w:ascii="Corbel" w:hAnsi="Corbel"/>
                <w:sz w:val="20"/>
                <w:szCs w:val="20"/>
                <w:lang w:val="fr-FR"/>
              </w:rPr>
              <w:t xml:space="preserve">ORBE) est en activité ; et </w:t>
            </w:r>
          </w:p>
          <w:p w14:paraId="63B26FA6" w14:textId="5844BDDB" w:rsidR="00AD78D9" w:rsidRPr="00CA44AE" w:rsidRDefault="00AD78D9" w:rsidP="00CA44AE">
            <w:pPr>
              <w:pStyle w:val="ColorfulList-Accent11"/>
              <w:numPr>
                <w:ilvl w:val="0"/>
                <w:numId w:val="25"/>
              </w:numPr>
              <w:ind w:left="292" w:hanging="218"/>
              <w:contextualSpacing/>
              <w:jc w:val="left"/>
              <w:rPr>
                <w:sz w:val="20"/>
                <w:szCs w:val="20"/>
                <w:lang w:val="fr-FR"/>
              </w:rPr>
            </w:pPr>
            <w:r w:rsidRPr="00CA44AE">
              <w:rPr>
                <w:rFonts w:ascii="Corbel" w:hAnsi="Corbel"/>
                <w:sz w:val="20"/>
                <w:szCs w:val="20"/>
                <w:lang w:val="fr-FR"/>
              </w:rPr>
              <w:t>Le système d’alarme fonctionne et est largement utilisé.</w:t>
            </w:r>
          </w:p>
        </w:tc>
        <w:tc>
          <w:tcPr>
            <w:tcW w:w="4678" w:type="dxa"/>
          </w:tcPr>
          <w:p w14:paraId="26FD6219" w14:textId="77777777" w:rsidR="00AD78D9" w:rsidRPr="00D65F8E" w:rsidRDefault="00AD78D9" w:rsidP="00AD78D9">
            <w:pPr>
              <w:keepLines/>
              <w:spacing w:before="0" w:after="0"/>
              <w:rPr>
                <w:sz w:val="20"/>
                <w:szCs w:val="20"/>
                <w:lang w:val="fr-FR"/>
              </w:rPr>
            </w:pPr>
          </w:p>
        </w:tc>
      </w:tr>
      <w:tr w:rsidR="001715ED" w:rsidRPr="00B76253" w14:paraId="22CF22B7" w14:textId="61A92176" w:rsidTr="00CA44AE">
        <w:trPr>
          <w:gridAfter w:val="1"/>
          <w:wAfter w:w="507" w:type="dxa"/>
        </w:trPr>
        <w:tc>
          <w:tcPr>
            <w:tcW w:w="737" w:type="dxa"/>
          </w:tcPr>
          <w:p w14:paraId="71553532"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7</w:t>
            </w:r>
          </w:p>
        </w:tc>
        <w:tc>
          <w:tcPr>
            <w:tcW w:w="3374" w:type="dxa"/>
          </w:tcPr>
          <w:p w14:paraId="6CE6B613" w14:textId="77777777" w:rsidR="00AD78D9" w:rsidRPr="00CA44AE" w:rsidRDefault="00AD78D9" w:rsidP="00CA44AE">
            <w:pPr>
              <w:spacing w:before="0" w:after="0"/>
              <w:jc w:val="left"/>
              <w:rPr>
                <w:rFonts w:eastAsia="SimSun" w:cs="Angsana New"/>
                <w:color w:val="FF0000"/>
                <w:sz w:val="20"/>
                <w:szCs w:val="20"/>
                <w:lang w:val="fr-FR" w:eastAsia="zh-CN"/>
              </w:rPr>
            </w:pPr>
            <w:r w:rsidRPr="00CA44AE">
              <w:rPr>
                <w:rFonts w:eastAsia="SimSun"/>
                <w:sz w:val="20"/>
                <w:szCs w:val="20"/>
                <w:lang w:val="fr-FR" w:eastAsia="zh-CN"/>
              </w:rPr>
              <w:t>La composante PROSCB de l’OPT BD est incluse dans le SRAT et adoptée avec la charte pour l’engagement du SRAT</w:t>
            </w:r>
          </w:p>
        </w:tc>
        <w:tc>
          <w:tcPr>
            <w:tcW w:w="2410" w:type="dxa"/>
          </w:tcPr>
          <w:p w14:paraId="69E3DAEE" w14:textId="77777777" w:rsidR="00AD78D9" w:rsidRPr="00CA44AE" w:rsidRDefault="00AD78D9" w:rsidP="00CA44AE">
            <w:pPr>
              <w:spacing w:before="0" w:after="0"/>
              <w:jc w:val="left"/>
              <w:rPr>
                <w:color w:val="FF0000"/>
                <w:sz w:val="20"/>
                <w:szCs w:val="20"/>
                <w:lang w:val="fr-FR"/>
              </w:rPr>
            </w:pPr>
            <w:r w:rsidRPr="00CA44AE">
              <w:rPr>
                <w:rFonts w:eastAsia="SimSun"/>
                <w:sz w:val="20"/>
                <w:szCs w:val="20"/>
                <w:lang w:val="fr-FR" w:eastAsia="zh-CN"/>
              </w:rPr>
              <w:t>Actuellement, le SRAT n’a pas encore de PROSCB</w:t>
            </w:r>
          </w:p>
        </w:tc>
        <w:tc>
          <w:tcPr>
            <w:tcW w:w="3260" w:type="dxa"/>
          </w:tcPr>
          <w:p w14:paraId="6552C92E" w14:textId="77777777" w:rsidR="00AD78D9" w:rsidRPr="00CA44AE" w:rsidRDefault="00AD78D9" w:rsidP="00CA44AE">
            <w:pPr>
              <w:keepLines/>
              <w:spacing w:before="0" w:after="0"/>
              <w:jc w:val="left"/>
              <w:rPr>
                <w:rFonts w:eastAsia="SimSun"/>
                <w:sz w:val="20"/>
                <w:szCs w:val="20"/>
                <w:lang w:val="fr-FR" w:eastAsia="zh-CN"/>
              </w:rPr>
            </w:pPr>
            <w:r w:rsidRPr="00CA44AE">
              <w:rPr>
                <w:rFonts w:eastAsia="SimSun"/>
                <w:sz w:val="20"/>
                <w:szCs w:val="20"/>
                <w:lang w:val="fr-FR" w:eastAsia="zh-CN"/>
              </w:rPr>
              <w:t>OPT BD / PROSCB annexés au SRAT</w:t>
            </w:r>
          </w:p>
          <w:p w14:paraId="33FCD90E" w14:textId="77777777" w:rsidR="00AD78D9" w:rsidRPr="00CA44AE" w:rsidRDefault="00AD78D9" w:rsidP="00CA44AE">
            <w:pPr>
              <w:keepLines/>
              <w:spacing w:before="0" w:after="0"/>
              <w:jc w:val="left"/>
              <w:rPr>
                <w:rFonts w:eastAsia="SimSun"/>
                <w:sz w:val="20"/>
                <w:szCs w:val="20"/>
                <w:lang w:val="fr-FR" w:eastAsia="zh-CN"/>
              </w:rPr>
            </w:pPr>
            <w:r w:rsidRPr="00CA44AE">
              <w:rPr>
                <w:rFonts w:eastAsia="SimSun"/>
                <w:sz w:val="20"/>
                <w:szCs w:val="20"/>
                <w:lang w:val="fr-FR" w:eastAsia="zh-CN"/>
              </w:rPr>
              <w:t>OPT BD / PROSCB enregistrés dans la Charte pour l’adoption du SRAT</w:t>
            </w:r>
          </w:p>
          <w:p w14:paraId="061FC4C8" w14:textId="77777777" w:rsidR="00AD78D9" w:rsidRPr="00CA44AE" w:rsidRDefault="00AD78D9" w:rsidP="00CA44AE">
            <w:pPr>
              <w:keepLines/>
              <w:spacing w:before="0" w:after="0"/>
              <w:jc w:val="left"/>
              <w:rPr>
                <w:i/>
                <w:color w:val="FF0000"/>
                <w:sz w:val="20"/>
                <w:szCs w:val="20"/>
                <w:lang w:val="fr-FR"/>
              </w:rPr>
            </w:pPr>
          </w:p>
        </w:tc>
        <w:tc>
          <w:tcPr>
            <w:tcW w:w="4678" w:type="dxa"/>
          </w:tcPr>
          <w:p w14:paraId="3075978A" w14:textId="083D2121" w:rsidR="00AD78D9" w:rsidRPr="00CA44AE" w:rsidRDefault="00AD78D9" w:rsidP="00CA44AE">
            <w:pPr>
              <w:spacing w:before="0" w:after="0"/>
              <w:rPr>
                <w:sz w:val="20"/>
                <w:szCs w:val="20"/>
                <w:lang w:val="fr-FR"/>
              </w:rPr>
            </w:pPr>
            <w:r w:rsidRPr="008F47A6">
              <w:rPr>
                <w:sz w:val="20"/>
                <w:szCs w:val="20"/>
                <w:lang w:val="fr-FR"/>
              </w:rPr>
              <w:t xml:space="preserve">Cible </w:t>
            </w:r>
            <w:r w:rsidRPr="00D84524">
              <w:rPr>
                <w:sz w:val="20"/>
                <w:szCs w:val="20"/>
                <w:lang w:val="fr-FR"/>
              </w:rPr>
              <w:t xml:space="preserve">de l’indicateur 7 </w:t>
            </w:r>
            <w:r w:rsidRPr="008F47A6">
              <w:rPr>
                <w:sz w:val="20"/>
                <w:szCs w:val="20"/>
                <w:lang w:val="fr-FR"/>
              </w:rPr>
              <w:t>« OPT-BD et PROSCB annexés au SRAT » est à revoir car le SRAT a été publié avant l’OPT BD et PROSCB</w:t>
            </w:r>
            <w:r w:rsidR="00C71BE2">
              <w:rPr>
                <w:sz w:val="20"/>
                <w:szCs w:val="20"/>
                <w:lang w:val="fr-FR"/>
              </w:rPr>
              <w:t xml:space="preserve">. Il pourrait être éliminé. </w:t>
            </w:r>
          </w:p>
        </w:tc>
      </w:tr>
      <w:tr w:rsidR="001715ED" w:rsidRPr="00BE1549" w14:paraId="607978D5" w14:textId="2A4363A6" w:rsidTr="00CA44AE">
        <w:trPr>
          <w:gridAfter w:val="1"/>
          <w:wAfter w:w="507" w:type="dxa"/>
        </w:trPr>
        <w:tc>
          <w:tcPr>
            <w:tcW w:w="737" w:type="dxa"/>
          </w:tcPr>
          <w:p w14:paraId="7F738CAF"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8</w:t>
            </w:r>
          </w:p>
        </w:tc>
        <w:tc>
          <w:tcPr>
            <w:tcW w:w="3374" w:type="dxa"/>
          </w:tcPr>
          <w:p w14:paraId="201797E8" w14:textId="5670925E"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Les impacts possibles et existants des activités économiques intensives (exploitation minière, pétrolière, infrastructures, énergie, agriculture) sur les AP et les écosystèmes vulnérables sont maitrisés et atténués :</w:t>
            </w:r>
          </w:p>
          <w:p w14:paraId="442B5814" w14:textId="77777777" w:rsidR="00AD78D9" w:rsidRPr="00CA44AE" w:rsidRDefault="00AD78D9" w:rsidP="00CA44AE">
            <w:pPr>
              <w:spacing w:before="0" w:after="0"/>
              <w:jc w:val="left"/>
              <w:rPr>
                <w:rFonts w:eastAsia="SimSun"/>
                <w:sz w:val="20"/>
                <w:szCs w:val="20"/>
                <w:lang w:eastAsia="zh-CN"/>
              </w:rPr>
            </w:pPr>
            <w:r w:rsidRPr="00CA44AE">
              <w:rPr>
                <w:rFonts w:eastAsia="SimSun"/>
                <w:i/>
                <w:sz w:val="20"/>
                <w:szCs w:val="20"/>
                <w:lang w:eastAsia="zh-CN"/>
              </w:rPr>
              <w:t>[</w:t>
            </w:r>
            <w:proofErr w:type="spellStart"/>
            <w:r w:rsidRPr="00CA44AE">
              <w:rPr>
                <w:rFonts w:eastAsia="SimSun"/>
                <w:i/>
                <w:sz w:val="20"/>
                <w:szCs w:val="20"/>
                <w:lang w:eastAsia="zh-CN"/>
              </w:rPr>
              <w:t>énumérés</w:t>
            </w:r>
            <w:proofErr w:type="spellEnd"/>
            <w:r w:rsidRPr="00CA44AE">
              <w:rPr>
                <w:rFonts w:eastAsia="SimSun"/>
                <w:i/>
                <w:sz w:val="20"/>
                <w:szCs w:val="20"/>
                <w:lang w:eastAsia="zh-CN"/>
              </w:rPr>
              <w:t xml:space="preserve"> ci-dessous]</w:t>
            </w:r>
          </w:p>
        </w:tc>
        <w:tc>
          <w:tcPr>
            <w:tcW w:w="2410" w:type="dxa"/>
          </w:tcPr>
          <w:p w14:paraId="4DDEC4F7" w14:textId="77777777" w:rsidR="00AD78D9" w:rsidRPr="00CA44AE" w:rsidRDefault="00AD78D9" w:rsidP="00CA44AE">
            <w:pPr>
              <w:spacing w:before="0" w:after="0"/>
              <w:jc w:val="left"/>
              <w:rPr>
                <w:rFonts w:eastAsia="SimSun"/>
                <w:sz w:val="20"/>
                <w:szCs w:val="20"/>
                <w:lang w:eastAsia="zh-CN"/>
              </w:rPr>
            </w:pPr>
            <w:r w:rsidRPr="00CA44AE">
              <w:rPr>
                <w:rFonts w:eastAsia="SimSun"/>
                <w:i/>
                <w:sz w:val="20"/>
                <w:szCs w:val="20"/>
                <w:lang w:eastAsia="zh-CN"/>
              </w:rPr>
              <w:t>[</w:t>
            </w:r>
            <w:proofErr w:type="spellStart"/>
            <w:r w:rsidRPr="00CA44AE">
              <w:rPr>
                <w:rFonts w:eastAsia="SimSun"/>
                <w:i/>
                <w:sz w:val="20"/>
                <w:szCs w:val="20"/>
                <w:lang w:eastAsia="zh-CN"/>
              </w:rPr>
              <w:t>énumérés</w:t>
            </w:r>
            <w:proofErr w:type="spellEnd"/>
            <w:r w:rsidRPr="00CA44AE">
              <w:rPr>
                <w:rFonts w:eastAsia="SimSun"/>
                <w:i/>
                <w:sz w:val="20"/>
                <w:szCs w:val="20"/>
                <w:lang w:eastAsia="zh-CN"/>
              </w:rPr>
              <w:t xml:space="preserve"> ci-dessous]</w:t>
            </w:r>
          </w:p>
        </w:tc>
        <w:tc>
          <w:tcPr>
            <w:tcW w:w="3260" w:type="dxa"/>
          </w:tcPr>
          <w:p w14:paraId="76371F6E" w14:textId="77777777" w:rsidR="00AD78D9" w:rsidRPr="00CA44AE" w:rsidRDefault="00AD78D9" w:rsidP="00CA44AE">
            <w:pPr>
              <w:keepLines/>
              <w:spacing w:before="0" w:after="0"/>
              <w:jc w:val="left"/>
              <w:rPr>
                <w:rFonts w:eastAsia="SimSun"/>
                <w:sz w:val="20"/>
                <w:szCs w:val="20"/>
                <w:lang w:eastAsia="zh-CN"/>
              </w:rPr>
            </w:pPr>
            <w:r w:rsidRPr="00CA44AE">
              <w:rPr>
                <w:rFonts w:eastAsia="SimSun"/>
                <w:i/>
                <w:sz w:val="20"/>
                <w:szCs w:val="20"/>
                <w:lang w:eastAsia="zh-CN"/>
              </w:rPr>
              <w:t>[</w:t>
            </w:r>
            <w:proofErr w:type="spellStart"/>
            <w:r w:rsidRPr="00CA44AE">
              <w:rPr>
                <w:rFonts w:eastAsia="SimSun"/>
                <w:i/>
                <w:sz w:val="20"/>
                <w:szCs w:val="20"/>
                <w:lang w:eastAsia="zh-CN"/>
              </w:rPr>
              <w:t>énumérés</w:t>
            </w:r>
            <w:proofErr w:type="spellEnd"/>
            <w:r w:rsidRPr="00CA44AE">
              <w:rPr>
                <w:rFonts w:eastAsia="SimSun"/>
                <w:i/>
                <w:sz w:val="20"/>
                <w:szCs w:val="20"/>
                <w:lang w:eastAsia="zh-CN"/>
              </w:rPr>
              <w:t xml:space="preserve"> ci-dessous]</w:t>
            </w:r>
          </w:p>
        </w:tc>
        <w:tc>
          <w:tcPr>
            <w:tcW w:w="4678" w:type="dxa"/>
            <w:vMerge w:val="restart"/>
          </w:tcPr>
          <w:p w14:paraId="76529AF6" w14:textId="02AE5AAE" w:rsidR="00AD78D9" w:rsidRPr="00CA44AE" w:rsidRDefault="00AD78D9" w:rsidP="00CA44AE">
            <w:pPr>
              <w:spacing w:before="0" w:after="0"/>
              <w:rPr>
                <w:sz w:val="20"/>
                <w:szCs w:val="20"/>
                <w:lang w:val="fr-FR"/>
              </w:rPr>
            </w:pPr>
            <w:r w:rsidRPr="008F47A6">
              <w:rPr>
                <w:sz w:val="20"/>
                <w:szCs w:val="20"/>
                <w:lang w:val="fr-FR"/>
              </w:rPr>
              <w:t xml:space="preserve">Indicateurs </w:t>
            </w:r>
            <w:r w:rsidRPr="00D84524">
              <w:rPr>
                <w:sz w:val="20"/>
                <w:szCs w:val="20"/>
                <w:lang w:val="fr-FR"/>
              </w:rPr>
              <w:t>8</w:t>
            </w:r>
            <w:r w:rsidRPr="008F47A6">
              <w:rPr>
                <w:sz w:val="20"/>
                <w:szCs w:val="20"/>
                <w:lang w:val="fr-FR"/>
              </w:rPr>
              <w:t xml:space="preserve"> a ; b ; c) concernant le suivi et l’analyse des activités requises ne disposent pas d’une </w:t>
            </w:r>
            <w:proofErr w:type="spellStart"/>
            <w:r w:rsidRPr="008F47A6">
              <w:rPr>
                <w:sz w:val="20"/>
                <w:szCs w:val="20"/>
                <w:lang w:val="fr-FR"/>
              </w:rPr>
              <w:t>baseline</w:t>
            </w:r>
            <w:proofErr w:type="spellEnd"/>
            <w:r w:rsidRPr="008F47A6">
              <w:rPr>
                <w:sz w:val="20"/>
                <w:szCs w:val="20"/>
                <w:lang w:val="fr-FR"/>
              </w:rPr>
              <w:t xml:space="preserve"> ni de cible précises et mesurables. </w:t>
            </w:r>
            <w:r w:rsidR="00A7610B" w:rsidRPr="00A7610B">
              <w:rPr>
                <w:sz w:val="20"/>
                <w:szCs w:val="20"/>
                <w:lang w:val="fr-FR"/>
              </w:rPr>
              <w:t xml:space="preserve">Les bases de référence seront définies en juin 2020, ce qui est trop tard pour un projet qui a débuté en </w:t>
            </w:r>
            <w:r w:rsidR="00A7610B">
              <w:rPr>
                <w:sz w:val="20"/>
                <w:szCs w:val="20"/>
                <w:lang w:val="fr-FR"/>
              </w:rPr>
              <w:t>juin</w:t>
            </w:r>
            <w:r w:rsidR="00A7610B" w:rsidRPr="00A7610B">
              <w:rPr>
                <w:sz w:val="20"/>
                <w:szCs w:val="20"/>
                <w:lang w:val="fr-FR"/>
              </w:rPr>
              <w:t xml:space="preserve"> 2017.</w:t>
            </w:r>
          </w:p>
        </w:tc>
      </w:tr>
      <w:tr w:rsidR="001715ED" w:rsidRPr="00BE1549" w14:paraId="74423D77" w14:textId="5A0FD064" w:rsidTr="00CA44AE">
        <w:trPr>
          <w:gridAfter w:val="1"/>
          <w:wAfter w:w="507" w:type="dxa"/>
        </w:trPr>
        <w:tc>
          <w:tcPr>
            <w:tcW w:w="737" w:type="dxa"/>
          </w:tcPr>
          <w:p w14:paraId="2F1D7233"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8a</w:t>
            </w:r>
          </w:p>
        </w:tc>
        <w:tc>
          <w:tcPr>
            <w:tcW w:w="3374" w:type="dxa"/>
          </w:tcPr>
          <w:p w14:paraId="4380E73A" w14:textId="37ABFF75" w:rsidR="00AD78D9" w:rsidRPr="00CA44AE" w:rsidRDefault="00AD78D9" w:rsidP="00CA44AE">
            <w:pPr>
              <w:spacing w:before="0" w:after="0"/>
              <w:contextualSpacing/>
              <w:jc w:val="left"/>
              <w:rPr>
                <w:rFonts w:eastAsia="SimSun"/>
                <w:sz w:val="20"/>
                <w:szCs w:val="20"/>
                <w:lang w:val="fr-FR" w:eastAsia="zh-CN"/>
              </w:rPr>
            </w:pPr>
            <w:r w:rsidRPr="00CA44AE">
              <w:rPr>
                <w:rFonts w:eastAsia="SimSun"/>
                <w:sz w:val="20"/>
                <w:szCs w:val="20"/>
                <w:lang w:val="fr-FR" w:eastAsia="zh-CN"/>
              </w:rPr>
              <w:t xml:space="preserve">Le suivi et la mise en œuvre du contenu du cahier des charges </w:t>
            </w:r>
          </w:p>
        </w:tc>
        <w:tc>
          <w:tcPr>
            <w:tcW w:w="2410" w:type="dxa"/>
          </w:tcPr>
          <w:p w14:paraId="43338678" w14:textId="77777777"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Le suivi et l’analyse des activités citées dans l’EIE seront menés pour les activités en cours</w:t>
            </w:r>
          </w:p>
        </w:tc>
        <w:tc>
          <w:tcPr>
            <w:tcW w:w="3260" w:type="dxa"/>
          </w:tcPr>
          <w:p w14:paraId="2ABA80BD" w14:textId="77777777" w:rsidR="00AD78D9" w:rsidRPr="00CA44AE" w:rsidRDefault="00AD78D9" w:rsidP="00CA44AE">
            <w:pPr>
              <w:keepLines/>
              <w:spacing w:before="0" w:after="0"/>
              <w:jc w:val="left"/>
              <w:rPr>
                <w:rFonts w:eastAsia="SimSun"/>
                <w:sz w:val="20"/>
                <w:szCs w:val="20"/>
                <w:lang w:val="fr-FR" w:eastAsia="zh-CN"/>
              </w:rPr>
            </w:pPr>
            <w:r w:rsidRPr="00CA44AE">
              <w:rPr>
                <w:rFonts w:eastAsia="SimSun"/>
                <w:sz w:val="20"/>
                <w:szCs w:val="20"/>
                <w:lang w:val="fr-FR" w:eastAsia="zh-CN"/>
              </w:rPr>
              <w:t xml:space="preserve">100% des recommandations figurant dans PGESS sont mises en œuvre </w:t>
            </w:r>
          </w:p>
        </w:tc>
        <w:tc>
          <w:tcPr>
            <w:tcW w:w="4678" w:type="dxa"/>
            <w:vMerge/>
          </w:tcPr>
          <w:p w14:paraId="2BBA8471" w14:textId="77777777" w:rsidR="00AD78D9" w:rsidRPr="00D65F8E" w:rsidRDefault="00AD78D9" w:rsidP="00AD78D9">
            <w:pPr>
              <w:keepLines/>
              <w:spacing w:before="0" w:after="0"/>
              <w:jc w:val="left"/>
              <w:rPr>
                <w:rFonts w:eastAsia="SimSun"/>
                <w:sz w:val="20"/>
                <w:szCs w:val="20"/>
                <w:lang w:val="fr-FR" w:eastAsia="zh-CN"/>
              </w:rPr>
            </w:pPr>
          </w:p>
        </w:tc>
      </w:tr>
      <w:tr w:rsidR="001715ED" w:rsidRPr="00BE1549" w14:paraId="5C1E63A0" w14:textId="2D779D0C" w:rsidTr="00CA44AE">
        <w:trPr>
          <w:gridAfter w:val="1"/>
          <w:wAfter w:w="507" w:type="dxa"/>
        </w:trPr>
        <w:tc>
          <w:tcPr>
            <w:tcW w:w="737" w:type="dxa"/>
          </w:tcPr>
          <w:p w14:paraId="2C3CFC09"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8b</w:t>
            </w:r>
          </w:p>
        </w:tc>
        <w:tc>
          <w:tcPr>
            <w:tcW w:w="3374" w:type="dxa"/>
          </w:tcPr>
          <w:p w14:paraId="5096E865" w14:textId="6A42CF89" w:rsidR="00AD78D9" w:rsidRPr="00CA44AE" w:rsidRDefault="00AD78D9" w:rsidP="00CA44AE">
            <w:pPr>
              <w:spacing w:before="0" w:after="0"/>
              <w:contextualSpacing/>
              <w:jc w:val="left"/>
              <w:rPr>
                <w:rFonts w:eastAsia="SimSun"/>
                <w:sz w:val="20"/>
                <w:szCs w:val="20"/>
                <w:lang w:val="fr-FR" w:eastAsia="zh-CN"/>
              </w:rPr>
            </w:pPr>
            <w:r w:rsidRPr="00CA44AE">
              <w:rPr>
                <w:rFonts w:eastAsia="SimSun"/>
                <w:sz w:val="20"/>
                <w:szCs w:val="20"/>
                <w:lang w:val="fr-FR" w:eastAsia="zh-CN"/>
              </w:rPr>
              <w:t>Taux des investissements des activités économiques intégrant les mesures d’atténuation dans les cycles de leurs projets (au-delà du contenu de l’EIE)</w:t>
            </w:r>
          </w:p>
        </w:tc>
        <w:tc>
          <w:tcPr>
            <w:tcW w:w="2410" w:type="dxa"/>
          </w:tcPr>
          <w:p w14:paraId="485E4F2C" w14:textId="77777777"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 xml:space="preserve">Une étude pour analyser le contenu environnemental dans les cycles des projets d’investissement des ministères sera achevée au début du projet  </w:t>
            </w:r>
          </w:p>
        </w:tc>
        <w:tc>
          <w:tcPr>
            <w:tcW w:w="3260" w:type="dxa"/>
          </w:tcPr>
          <w:p w14:paraId="651014B6" w14:textId="77777777" w:rsidR="00AD78D9" w:rsidRPr="00CA44AE" w:rsidRDefault="00AD78D9" w:rsidP="00CA44AE">
            <w:pPr>
              <w:spacing w:before="0" w:after="0"/>
              <w:contextualSpacing/>
              <w:jc w:val="left"/>
              <w:rPr>
                <w:rFonts w:eastAsia="SimSun"/>
                <w:sz w:val="20"/>
                <w:szCs w:val="20"/>
                <w:lang w:val="fr-FR" w:eastAsia="zh-CN"/>
              </w:rPr>
            </w:pPr>
            <w:r w:rsidRPr="00CA44AE">
              <w:rPr>
                <w:rFonts w:eastAsia="SimSun"/>
                <w:sz w:val="20"/>
                <w:szCs w:val="20"/>
                <w:lang w:val="fr-FR" w:eastAsia="zh-CN"/>
              </w:rPr>
              <w:t>70% des investissements publics prévoient un programme d’atténuation dans leurs cycles de projet</w:t>
            </w:r>
          </w:p>
          <w:p w14:paraId="34F78021" w14:textId="77777777" w:rsidR="00AD78D9" w:rsidRPr="00CA44AE" w:rsidRDefault="00AD78D9" w:rsidP="00CA44AE">
            <w:pPr>
              <w:keepLines/>
              <w:spacing w:before="0" w:after="0"/>
              <w:jc w:val="left"/>
              <w:rPr>
                <w:rFonts w:eastAsia="SimSun"/>
                <w:sz w:val="20"/>
                <w:szCs w:val="20"/>
                <w:lang w:val="fr-FR" w:eastAsia="zh-CN"/>
              </w:rPr>
            </w:pPr>
          </w:p>
        </w:tc>
        <w:tc>
          <w:tcPr>
            <w:tcW w:w="4678" w:type="dxa"/>
            <w:vMerge/>
          </w:tcPr>
          <w:p w14:paraId="60D09F76" w14:textId="77777777" w:rsidR="00AD78D9" w:rsidRPr="00D65F8E" w:rsidRDefault="00AD78D9" w:rsidP="00AD78D9">
            <w:pPr>
              <w:spacing w:before="0" w:after="0"/>
              <w:contextualSpacing/>
              <w:jc w:val="left"/>
              <w:rPr>
                <w:rFonts w:eastAsia="SimSun"/>
                <w:sz w:val="20"/>
                <w:szCs w:val="20"/>
                <w:lang w:val="fr-FR" w:eastAsia="zh-CN"/>
              </w:rPr>
            </w:pPr>
          </w:p>
        </w:tc>
      </w:tr>
      <w:tr w:rsidR="001715ED" w:rsidRPr="00BE1549" w14:paraId="12E8D03E" w14:textId="3E82645C" w:rsidTr="00CA44AE">
        <w:trPr>
          <w:gridAfter w:val="1"/>
          <w:wAfter w:w="507" w:type="dxa"/>
        </w:trPr>
        <w:tc>
          <w:tcPr>
            <w:tcW w:w="737" w:type="dxa"/>
          </w:tcPr>
          <w:p w14:paraId="14E0CF76"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lastRenderedPageBreak/>
              <w:t>8c</w:t>
            </w:r>
          </w:p>
        </w:tc>
        <w:tc>
          <w:tcPr>
            <w:tcW w:w="3374" w:type="dxa"/>
          </w:tcPr>
          <w:p w14:paraId="49F6153F" w14:textId="2020A459"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 xml:space="preserve">Nombre d’accords de coopération signé entre les entreprises privées et </w:t>
            </w:r>
            <w:proofErr w:type="gramStart"/>
            <w:r w:rsidRPr="00CA44AE">
              <w:rPr>
                <w:rFonts w:eastAsia="SimSun"/>
                <w:sz w:val="20"/>
                <w:szCs w:val="20"/>
                <w:lang w:val="fr-FR" w:eastAsia="zh-CN"/>
              </w:rPr>
              <w:t>la</w:t>
            </w:r>
            <w:proofErr w:type="gramEnd"/>
            <w:r w:rsidRPr="00CA44AE">
              <w:rPr>
                <w:rFonts w:eastAsia="SimSun"/>
                <w:sz w:val="20"/>
                <w:szCs w:val="20"/>
                <w:lang w:val="fr-FR" w:eastAsia="zh-CN"/>
              </w:rPr>
              <w:t xml:space="preserve"> DREEF/ONE qui contiennent des programmes aux fins de la mise en œuvre des mesures d’atténuation dans le cycle de projet (au-delà du contenu de l’EIE)</w:t>
            </w:r>
          </w:p>
        </w:tc>
        <w:tc>
          <w:tcPr>
            <w:tcW w:w="2410" w:type="dxa"/>
          </w:tcPr>
          <w:p w14:paraId="0099F698" w14:textId="77777777"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Aucun accord de collaboration signé (entreprises privées - DREEF/ONE)</w:t>
            </w:r>
          </w:p>
        </w:tc>
        <w:tc>
          <w:tcPr>
            <w:tcW w:w="3260" w:type="dxa"/>
          </w:tcPr>
          <w:p w14:paraId="2D95DD7E" w14:textId="77777777" w:rsidR="00AD78D9" w:rsidRPr="00CA44AE" w:rsidRDefault="00AD78D9" w:rsidP="00CA44AE">
            <w:pPr>
              <w:keepLines/>
              <w:spacing w:before="0" w:after="0"/>
              <w:jc w:val="left"/>
              <w:rPr>
                <w:rFonts w:eastAsia="SimSun"/>
                <w:sz w:val="20"/>
                <w:szCs w:val="20"/>
                <w:lang w:val="fr-FR" w:eastAsia="zh-CN"/>
              </w:rPr>
            </w:pPr>
            <w:r w:rsidRPr="00CA44AE">
              <w:rPr>
                <w:rFonts w:eastAsia="SimSun"/>
                <w:sz w:val="20"/>
                <w:szCs w:val="20"/>
                <w:lang w:val="fr-FR" w:eastAsia="zh-CN"/>
              </w:rPr>
              <w:t>50% des investissements de production signent un accord de collaboration et intégrant un processus d’atténuation environnemental dans leur cycle de projet</w:t>
            </w:r>
          </w:p>
        </w:tc>
        <w:tc>
          <w:tcPr>
            <w:tcW w:w="4678" w:type="dxa"/>
            <w:vMerge/>
          </w:tcPr>
          <w:p w14:paraId="2B50E5E1" w14:textId="77777777" w:rsidR="00AD78D9" w:rsidRPr="00D65F8E" w:rsidRDefault="00AD78D9" w:rsidP="00AD78D9">
            <w:pPr>
              <w:keepLines/>
              <w:spacing w:before="0" w:after="0"/>
              <w:jc w:val="left"/>
              <w:rPr>
                <w:rFonts w:eastAsia="SimSun"/>
                <w:sz w:val="20"/>
                <w:szCs w:val="20"/>
                <w:lang w:val="fr-FR" w:eastAsia="zh-CN"/>
              </w:rPr>
            </w:pPr>
          </w:p>
        </w:tc>
      </w:tr>
      <w:tr w:rsidR="001715ED" w:rsidRPr="00BE1549" w14:paraId="018C02D2" w14:textId="598FB504" w:rsidTr="00CA44AE">
        <w:trPr>
          <w:gridAfter w:val="1"/>
          <w:wAfter w:w="507" w:type="dxa"/>
        </w:trPr>
        <w:tc>
          <w:tcPr>
            <w:tcW w:w="737" w:type="dxa"/>
          </w:tcPr>
          <w:p w14:paraId="08899BCA"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9</w:t>
            </w:r>
          </w:p>
        </w:tc>
        <w:tc>
          <w:tcPr>
            <w:tcW w:w="3374" w:type="dxa"/>
          </w:tcPr>
          <w:p w14:paraId="222A4FE1" w14:textId="77777777" w:rsidR="00AD78D9" w:rsidRPr="00CA44AE" w:rsidRDefault="00AD78D9" w:rsidP="00CA44AE">
            <w:pPr>
              <w:spacing w:before="0" w:after="0"/>
              <w:jc w:val="left"/>
              <w:rPr>
                <w:rFonts w:eastAsia="SimSun" w:cs="Angsana New"/>
                <w:color w:val="FF0000"/>
                <w:sz w:val="20"/>
                <w:szCs w:val="20"/>
                <w:lang w:val="fr-FR" w:eastAsia="zh-CN"/>
              </w:rPr>
            </w:pPr>
            <w:r w:rsidRPr="00CA44AE">
              <w:rPr>
                <w:sz w:val="20"/>
                <w:szCs w:val="20"/>
                <w:lang w:val="fr-FR"/>
              </w:rPr>
              <w:t>La planification à l’échelle des paysages (PEP) est élaborée et approuvée</w:t>
            </w:r>
          </w:p>
        </w:tc>
        <w:tc>
          <w:tcPr>
            <w:tcW w:w="2410" w:type="dxa"/>
          </w:tcPr>
          <w:p w14:paraId="4C4726C1" w14:textId="77777777" w:rsidR="00AD78D9" w:rsidRPr="00CA44AE" w:rsidRDefault="00AD78D9" w:rsidP="00CA44AE">
            <w:pPr>
              <w:spacing w:before="0" w:after="0"/>
              <w:jc w:val="left"/>
              <w:rPr>
                <w:sz w:val="20"/>
                <w:szCs w:val="20"/>
                <w:lang w:val="fr-FR"/>
              </w:rPr>
            </w:pPr>
            <w:r w:rsidRPr="00CA44AE">
              <w:rPr>
                <w:sz w:val="20"/>
                <w:szCs w:val="20"/>
                <w:lang w:val="fr-FR"/>
              </w:rPr>
              <w:t xml:space="preserve">Aucune PEP pour le paysage ciblé (à l’exception du paysage </w:t>
            </w:r>
            <w:proofErr w:type="spellStart"/>
            <w:r w:rsidRPr="00CA44AE">
              <w:rPr>
                <w:sz w:val="20"/>
                <w:szCs w:val="20"/>
                <w:lang w:val="fr-FR"/>
              </w:rPr>
              <w:t>Mahafaly</w:t>
            </w:r>
            <w:proofErr w:type="spellEnd"/>
            <w:r w:rsidRPr="00CA44AE">
              <w:rPr>
                <w:sz w:val="20"/>
                <w:szCs w:val="20"/>
                <w:lang w:val="fr-FR"/>
              </w:rPr>
              <w:t>)</w:t>
            </w:r>
          </w:p>
        </w:tc>
        <w:tc>
          <w:tcPr>
            <w:tcW w:w="3260" w:type="dxa"/>
          </w:tcPr>
          <w:p w14:paraId="60A6A6E8" w14:textId="77777777" w:rsidR="00AD78D9" w:rsidRPr="00CA44AE" w:rsidRDefault="00AD78D9" w:rsidP="00CA44AE">
            <w:pPr>
              <w:keepLines/>
              <w:spacing w:before="0" w:after="0"/>
              <w:jc w:val="left"/>
              <w:rPr>
                <w:color w:val="FF0000"/>
                <w:sz w:val="20"/>
                <w:szCs w:val="20"/>
                <w:lang w:val="fr-FR"/>
              </w:rPr>
            </w:pPr>
            <w:r w:rsidRPr="00CA44AE">
              <w:rPr>
                <w:sz w:val="20"/>
                <w:szCs w:val="20"/>
                <w:lang w:val="fr-FR"/>
              </w:rPr>
              <w:t xml:space="preserve">Évaluation environnementale stratégique du paysage ciblé achevé </w:t>
            </w:r>
          </w:p>
        </w:tc>
        <w:tc>
          <w:tcPr>
            <w:tcW w:w="4678" w:type="dxa"/>
          </w:tcPr>
          <w:p w14:paraId="792030D8" w14:textId="77777777" w:rsidR="00AD78D9" w:rsidRPr="00D65F8E" w:rsidRDefault="00AD78D9" w:rsidP="00AD78D9">
            <w:pPr>
              <w:keepLines/>
              <w:spacing w:before="0" w:after="0"/>
              <w:jc w:val="left"/>
              <w:rPr>
                <w:sz w:val="20"/>
                <w:szCs w:val="20"/>
                <w:lang w:val="fr-FR"/>
              </w:rPr>
            </w:pPr>
          </w:p>
        </w:tc>
      </w:tr>
      <w:tr w:rsidR="001715ED" w:rsidRPr="00BE1549" w14:paraId="63E18204" w14:textId="62FEB8DD" w:rsidTr="00CA44AE">
        <w:trPr>
          <w:gridAfter w:val="1"/>
          <w:wAfter w:w="507" w:type="dxa"/>
        </w:trPr>
        <w:tc>
          <w:tcPr>
            <w:tcW w:w="737" w:type="dxa"/>
          </w:tcPr>
          <w:p w14:paraId="7354DCFF" w14:textId="77777777" w:rsidR="00AD78D9" w:rsidRPr="00CA44AE" w:rsidRDefault="00AD78D9" w:rsidP="00CA44AE">
            <w:pPr>
              <w:spacing w:before="0" w:after="0"/>
              <w:jc w:val="left"/>
              <w:rPr>
                <w:rFonts w:eastAsia="SimSun" w:cs="Angsana New"/>
                <w:sz w:val="20"/>
                <w:szCs w:val="20"/>
                <w:lang w:eastAsia="zh-CN"/>
              </w:rPr>
            </w:pPr>
            <w:r w:rsidRPr="00CA44AE">
              <w:rPr>
                <w:rFonts w:eastAsia="SimSun" w:cs="Angsana New"/>
                <w:sz w:val="20"/>
                <w:szCs w:val="20"/>
                <w:lang w:eastAsia="zh-CN"/>
              </w:rPr>
              <w:t>10</w:t>
            </w:r>
          </w:p>
        </w:tc>
        <w:tc>
          <w:tcPr>
            <w:tcW w:w="3374" w:type="dxa"/>
          </w:tcPr>
          <w:p w14:paraId="6C2C4E2B" w14:textId="1F4D9B30" w:rsidR="00AD78D9" w:rsidRPr="00CA44AE" w:rsidRDefault="00AD78D9" w:rsidP="00CA44AE">
            <w:pPr>
              <w:spacing w:before="0" w:after="0"/>
              <w:jc w:val="left"/>
              <w:rPr>
                <w:sz w:val="20"/>
                <w:szCs w:val="20"/>
                <w:lang w:val="fr-FR"/>
              </w:rPr>
            </w:pPr>
            <w:r w:rsidRPr="00CA44AE">
              <w:rPr>
                <w:sz w:val="20"/>
                <w:szCs w:val="20"/>
                <w:lang w:val="fr-FR"/>
              </w:rPr>
              <w:t xml:space="preserve">Les outils suivi METT sont utilisés sur une base annuelle pour chaque AP </w:t>
            </w:r>
          </w:p>
          <w:p w14:paraId="7ABFBCA8" w14:textId="77777777" w:rsidR="00AD78D9" w:rsidRPr="00CA44AE" w:rsidRDefault="00AD78D9" w:rsidP="00CA44AE">
            <w:pPr>
              <w:spacing w:before="0" w:after="0"/>
              <w:jc w:val="left"/>
              <w:rPr>
                <w:sz w:val="20"/>
                <w:szCs w:val="20"/>
                <w:lang w:val="fr-FR"/>
              </w:rPr>
            </w:pPr>
            <w:r w:rsidRPr="00CA44AE">
              <w:rPr>
                <w:sz w:val="20"/>
                <w:szCs w:val="20"/>
                <w:lang w:val="fr-FR"/>
              </w:rPr>
              <w:t xml:space="preserve">[Note : SO1 TT n’est pas une exigence du FEM dans le cadre de ce projet, les résultats sont donc contrôlés par des directeurs des AP seulement et pour surveiller les indicateurs de suivi de 5 à 10.] </w:t>
            </w:r>
          </w:p>
        </w:tc>
        <w:tc>
          <w:tcPr>
            <w:tcW w:w="2410" w:type="dxa"/>
          </w:tcPr>
          <w:p w14:paraId="28B56EBF" w14:textId="77777777" w:rsidR="00AD78D9" w:rsidRPr="00CA44AE" w:rsidRDefault="00AD78D9" w:rsidP="00CA44AE">
            <w:pPr>
              <w:spacing w:before="0" w:after="0"/>
              <w:jc w:val="left"/>
              <w:rPr>
                <w:color w:val="FF0000"/>
                <w:sz w:val="20"/>
                <w:szCs w:val="20"/>
                <w:lang w:val="fr-FR"/>
              </w:rPr>
            </w:pPr>
            <w:r w:rsidRPr="00CA44AE">
              <w:rPr>
                <w:sz w:val="20"/>
                <w:szCs w:val="20"/>
                <w:lang w:val="fr-FR"/>
              </w:rPr>
              <w:t xml:space="preserve">Les METT ont été utilisés dans 4 AP pendant la phase de développement du projet </w:t>
            </w:r>
          </w:p>
        </w:tc>
        <w:tc>
          <w:tcPr>
            <w:tcW w:w="3260" w:type="dxa"/>
          </w:tcPr>
          <w:p w14:paraId="536656A6" w14:textId="77777777" w:rsidR="00AD78D9" w:rsidRPr="00CA44AE" w:rsidRDefault="00AD78D9" w:rsidP="00CA44AE">
            <w:pPr>
              <w:keepLines/>
              <w:spacing w:before="0" w:after="0"/>
              <w:jc w:val="left"/>
              <w:rPr>
                <w:rFonts w:eastAsia="SimSun" w:cs="Angsana New"/>
                <w:color w:val="FF0000"/>
                <w:sz w:val="20"/>
                <w:szCs w:val="20"/>
                <w:u w:val="single"/>
                <w:lang w:val="fr-FR" w:eastAsia="zh-CN"/>
              </w:rPr>
            </w:pPr>
            <w:r w:rsidRPr="00CA44AE">
              <w:rPr>
                <w:sz w:val="20"/>
                <w:szCs w:val="20"/>
                <w:lang w:val="fr-FR"/>
              </w:rPr>
              <w:t>Les METT ont été utilisés dans toutes les sept AP dans la zone sur une base périodique</w:t>
            </w:r>
          </w:p>
        </w:tc>
        <w:tc>
          <w:tcPr>
            <w:tcW w:w="4678" w:type="dxa"/>
          </w:tcPr>
          <w:p w14:paraId="6106F3CA" w14:textId="77777777" w:rsidR="00AD78D9" w:rsidRPr="00D65F8E" w:rsidRDefault="00AD78D9" w:rsidP="00AD78D9">
            <w:pPr>
              <w:keepLines/>
              <w:spacing w:before="0" w:after="0"/>
              <w:jc w:val="left"/>
              <w:rPr>
                <w:sz w:val="20"/>
                <w:szCs w:val="20"/>
                <w:lang w:val="fr-FR"/>
              </w:rPr>
            </w:pPr>
          </w:p>
        </w:tc>
      </w:tr>
      <w:tr w:rsidR="001715ED" w:rsidRPr="00BE1549" w14:paraId="2640A246" w14:textId="77777777" w:rsidTr="00CA44AE">
        <w:tc>
          <w:tcPr>
            <w:tcW w:w="737" w:type="dxa"/>
            <w:shd w:val="clear" w:color="auto" w:fill="auto"/>
          </w:tcPr>
          <w:p w14:paraId="274A1D0C" w14:textId="77777777" w:rsidR="00F66085" w:rsidRPr="00CA44AE" w:rsidRDefault="00F66085" w:rsidP="00AD78D9">
            <w:pPr>
              <w:spacing w:before="0" w:after="0" w:line="276" w:lineRule="auto"/>
              <w:jc w:val="left"/>
              <w:rPr>
                <w:rFonts w:eastAsia="SimSun" w:cs="Angsana New"/>
                <w:sz w:val="20"/>
                <w:szCs w:val="20"/>
                <w:lang w:val="fr-FR" w:eastAsia="zh-CN"/>
              </w:rPr>
            </w:pPr>
          </w:p>
        </w:tc>
        <w:tc>
          <w:tcPr>
            <w:tcW w:w="9044" w:type="dxa"/>
            <w:gridSpan w:val="3"/>
            <w:shd w:val="clear" w:color="auto" w:fill="auto"/>
          </w:tcPr>
          <w:p w14:paraId="3AF38491" w14:textId="1FBD5EC1" w:rsidR="00F66085" w:rsidRPr="00F66085" w:rsidRDefault="00F66085" w:rsidP="00CA44AE">
            <w:pPr>
              <w:keepLines/>
              <w:spacing w:before="0" w:after="0"/>
              <w:rPr>
                <w:color w:val="auto"/>
                <w:sz w:val="20"/>
                <w:szCs w:val="20"/>
                <w:lang w:val="fr-FR"/>
              </w:rPr>
            </w:pPr>
            <w:r w:rsidRPr="00CA44AE">
              <w:rPr>
                <w:b/>
                <w:lang w:val="fr-FR"/>
              </w:rPr>
              <w:t>Résultat 2 : Les activités liées à l’utilisation des ressources et à la production communautaire incorporent la conservation et l’utilisation durable de la biodiversité dans les pratiques de gestion dans au moins 100 000 ha de nouvelles ACC</w:t>
            </w:r>
          </w:p>
        </w:tc>
        <w:tc>
          <w:tcPr>
            <w:tcW w:w="5185" w:type="dxa"/>
            <w:gridSpan w:val="2"/>
            <w:shd w:val="clear" w:color="auto" w:fill="auto"/>
          </w:tcPr>
          <w:p w14:paraId="2B318824" w14:textId="4BE0F98F" w:rsidR="00F66085" w:rsidRPr="00D65F8E" w:rsidRDefault="00F66085" w:rsidP="00AD78D9">
            <w:pPr>
              <w:keepLines/>
              <w:spacing w:before="0" w:after="0"/>
              <w:jc w:val="left"/>
              <w:rPr>
                <w:sz w:val="20"/>
                <w:szCs w:val="20"/>
                <w:lang w:val="fr-FR"/>
              </w:rPr>
            </w:pPr>
            <w:r w:rsidRPr="00F66085">
              <w:rPr>
                <w:sz w:val="20"/>
                <w:szCs w:val="20"/>
                <w:lang w:val="fr-FR"/>
              </w:rPr>
              <w:t xml:space="preserve">Dans l’ensemble de la </w:t>
            </w:r>
            <w:r w:rsidRPr="00FD1CE3">
              <w:rPr>
                <w:sz w:val="20"/>
                <w:szCs w:val="20"/>
                <w:lang w:val="fr-FR"/>
              </w:rPr>
              <w:t>composante 2, l</w:t>
            </w:r>
            <w:r w:rsidRPr="005167A6">
              <w:rPr>
                <w:sz w:val="20"/>
                <w:szCs w:val="20"/>
                <w:lang w:val="fr-FR"/>
              </w:rPr>
              <w:t>’appellation ACC devrait être modifiée au profit d</w:t>
            </w:r>
            <w:r w:rsidRPr="0010057A">
              <w:rPr>
                <w:sz w:val="20"/>
                <w:szCs w:val="20"/>
                <w:lang w:val="fr-FR"/>
              </w:rPr>
              <w:t>’APC</w:t>
            </w:r>
          </w:p>
        </w:tc>
      </w:tr>
      <w:tr w:rsidR="001715ED" w:rsidRPr="00BE1549" w14:paraId="60DBE91E" w14:textId="62C36FBC" w:rsidTr="00CA44AE">
        <w:trPr>
          <w:gridAfter w:val="1"/>
          <w:wAfter w:w="507" w:type="dxa"/>
        </w:trPr>
        <w:tc>
          <w:tcPr>
            <w:tcW w:w="737" w:type="dxa"/>
          </w:tcPr>
          <w:p w14:paraId="33BF8EB1" w14:textId="77777777" w:rsidR="00AD78D9" w:rsidRPr="00CA44AE" w:rsidRDefault="00AD78D9" w:rsidP="00CA44AE">
            <w:pPr>
              <w:spacing w:before="0" w:after="0"/>
              <w:jc w:val="left"/>
              <w:rPr>
                <w:sz w:val="20"/>
                <w:szCs w:val="20"/>
              </w:rPr>
            </w:pPr>
            <w:r w:rsidRPr="00CA44AE">
              <w:rPr>
                <w:sz w:val="20"/>
                <w:szCs w:val="20"/>
              </w:rPr>
              <w:t>11</w:t>
            </w:r>
          </w:p>
        </w:tc>
        <w:tc>
          <w:tcPr>
            <w:tcW w:w="3374" w:type="dxa"/>
          </w:tcPr>
          <w:p w14:paraId="56D1F397" w14:textId="77777777"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(a) ACC renforcées ou créées dans des écosystèmes vulnérables (autour des AP dans les ACC ou les corridors forestiers)</w:t>
            </w:r>
          </w:p>
          <w:p w14:paraId="4F7AD925" w14:textId="77777777" w:rsidR="00AD78D9" w:rsidRPr="00CA44AE" w:rsidRDefault="00AD78D9" w:rsidP="00CA44AE">
            <w:pPr>
              <w:spacing w:before="0" w:after="0"/>
              <w:jc w:val="left"/>
              <w:rPr>
                <w:rFonts w:eastAsia="SimSun"/>
                <w:sz w:val="20"/>
                <w:szCs w:val="20"/>
                <w:lang w:val="fr-FR" w:eastAsia="zh-CN"/>
              </w:rPr>
            </w:pPr>
          </w:p>
          <w:p w14:paraId="36E952DC" w14:textId="77777777" w:rsidR="00AD78D9" w:rsidRPr="00CA44AE" w:rsidRDefault="00AD78D9" w:rsidP="00CA44AE">
            <w:pPr>
              <w:spacing w:before="0" w:after="0"/>
              <w:jc w:val="left"/>
              <w:rPr>
                <w:color w:val="FF0000"/>
                <w:sz w:val="20"/>
                <w:szCs w:val="20"/>
                <w:lang w:val="fr-FR"/>
              </w:rPr>
            </w:pPr>
            <w:r w:rsidRPr="00CA44AE">
              <w:rPr>
                <w:rFonts w:eastAsia="SimSun"/>
                <w:sz w:val="20"/>
                <w:szCs w:val="20"/>
                <w:lang w:val="fr-FR" w:eastAsia="zh-CN"/>
              </w:rPr>
              <w:t xml:space="preserve">(b) Les contrats de transfert de </w:t>
            </w:r>
            <w:proofErr w:type="gramStart"/>
            <w:r w:rsidRPr="00CA44AE">
              <w:rPr>
                <w:rFonts w:eastAsia="SimSun"/>
                <w:sz w:val="20"/>
                <w:szCs w:val="20"/>
                <w:lang w:val="fr-FR" w:eastAsia="zh-CN"/>
              </w:rPr>
              <w:t>gestion  (</w:t>
            </w:r>
            <w:proofErr w:type="gramEnd"/>
            <w:r w:rsidRPr="00CA44AE">
              <w:rPr>
                <w:rFonts w:eastAsia="SimSun"/>
                <w:sz w:val="20"/>
                <w:szCs w:val="20"/>
                <w:lang w:val="fr-FR" w:eastAsia="zh-CN"/>
              </w:rPr>
              <w:t>TDG) et « </w:t>
            </w:r>
            <w:r w:rsidRPr="00CA44AE">
              <w:rPr>
                <w:rFonts w:eastAsia="SimSun"/>
                <w:i/>
                <w:sz w:val="20"/>
                <w:szCs w:val="20"/>
                <w:lang w:val="fr-FR" w:eastAsia="zh-CN"/>
              </w:rPr>
              <w:t xml:space="preserve">Dina »s </w:t>
            </w:r>
            <w:r w:rsidRPr="00CA44AE">
              <w:rPr>
                <w:rFonts w:eastAsia="SimSun"/>
                <w:sz w:val="20"/>
                <w:szCs w:val="20"/>
                <w:lang w:val="fr-FR" w:eastAsia="zh-CN"/>
              </w:rPr>
              <w:t xml:space="preserve">(avec une composante biodiversité) obtiennent un statut juridique </w:t>
            </w:r>
          </w:p>
        </w:tc>
        <w:tc>
          <w:tcPr>
            <w:tcW w:w="2410" w:type="dxa"/>
          </w:tcPr>
          <w:p w14:paraId="301C8369" w14:textId="77777777" w:rsidR="00AD78D9" w:rsidRPr="00CA44AE" w:rsidRDefault="00AD78D9" w:rsidP="00CA44AE">
            <w:pPr>
              <w:spacing w:before="0" w:after="0"/>
              <w:rPr>
                <w:sz w:val="20"/>
                <w:szCs w:val="20"/>
                <w:lang w:val="fr-FR"/>
              </w:rPr>
            </w:pPr>
            <w:r w:rsidRPr="00CA44AE">
              <w:rPr>
                <w:rFonts w:eastAsia="SimSun"/>
                <w:sz w:val="20"/>
                <w:szCs w:val="20"/>
                <w:lang w:val="fr-FR" w:eastAsia="zh-CN"/>
              </w:rPr>
              <w:t xml:space="preserve">(a) L’identification des </w:t>
            </w:r>
            <w:proofErr w:type="gramStart"/>
            <w:r w:rsidRPr="00CA44AE">
              <w:rPr>
                <w:rFonts w:eastAsia="SimSun"/>
                <w:sz w:val="20"/>
                <w:szCs w:val="20"/>
                <w:lang w:val="fr-FR" w:eastAsia="zh-CN"/>
              </w:rPr>
              <w:t>sites  potentiels</w:t>
            </w:r>
            <w:proofErr w:type="gramEnd"/>
            <w:r w:rsidRPr="00CA44AE">
              <w:rPr>
                <w:rFonts w:eastAsia="SimSun"/>
                <w:sz w:val="20"/>
                <w:szCs w:val="20"/>
                <w:lang w:val="fr-FR" w:eastAsia="zh-CN"/>
              </w:rPr>
              <w:t xml:space="preserve"> avec des TDG sera achevée au début du projet – (le nombre doit être confirmé)</w:t>
            </w:r>
          </w:p>
          <w:p w14:paraId="50EA238B" w14:textId="77777777" w:rsidR="00AD78D9" w:rsidRPr="00CA44AE" w:rsidRDefault="00AD78D9" w:rsidP="00CA44AE">
            <w:pPr>
              <w:spacing w:before="0" w:after="0"/>
              <w:jc w:val="left"/>
              <w:rPr>
                <w:rFonts w:eastAsia="SimSun"/>
                <w:sz w:val="20"/>
                <w:szCs w:val="20"/>
                <w:lang w:val="fr-FR" w:eastAsia="zh-CN"/>
              </w:rPr>
            </w:pPr>
          </w:p>
          <w:p w14:paraId="41626184" w14:textId="77777777" w:rsidR="00AD78D9" w:rsidRPr="00CA44AE" w:rsidRDefault="00AD78D9" w:rsidP="00CA44AE">
            <w:pPr>
              <w:spacing w:before="0" w:after="0"/>
              <w:jc w:val="left"/>
              <w:rPr>
                <w:color w:val="FF0000"/>
                <w:sz w:val="20"/>
                <w:szCs w:val="20"/>
                <w:lang w:val="fr-FR"/>
              </w:rPr>
            </w:pPr>
            <w:r w:rsidRPr="00CA44AE">
              <w:rPr>
                <w:rFonts w:eastAsia="SimSun"/>
                <w:sz w:val="20"/>
                <w:szCs w:val="20"/>
                <w:lang w:val="fr-FR" w:eastAsia="zh-CN"/>
              </w:rPr>
              <w:t xml:space="preserve">(b) les TDG et les « Dinas » approuvés et signés par les parties prenantes et les autorités </w:t>
            </w:r>
            <w:r w:rsidRPr="00CA44AE">
              <w:rPr>
                <w:rFonts w:eastAsia="SimSun"/>
                <w:sz w:val="20"/>
                <w:szCs w:val="20"/>
                <w:lang w:val="fr-FR" w:eastAsia="zh-CN"/>
              </w:rPr>
              <w:lastRenderedPageBreak/>
              <w:t xml:space="preserve">gouvernementales concernées </w:t>
            </w:r>
          </w:p>
        </w:tc>
        <w:tc>
          <w:tcPr>
            <w:tcW w:w="3260" w:type="dxa"/>
          </w:tcPr>
          <w:p w14:paraId="7643CC82" w14:textId="77777777" w:rsidR="00AD78D9" w:rsidRPr="00CA44AE" w:rsidRDefault="00AD78D9" w:rsidP="00CA44AE">
            <w:pPr>
              <w:spacing w:before="0" w:after="0"/>
              <w:jc w:val="left"/>
              <w:rPr>
                <w:sz w:val="20"/>
                <w:szCs w:val="20"/>
                <w:lang w:val="fr-FR"/>
              </w:rPr>
            </w:pPr>
            <w:r w:rsidRPr="00CA44AE">
              <w:rPr>
                <w:rFonts w:eastAsia="SimSun"/>
                <w:sz w:val="20"/>
                <w:szCs w:val="20"/>
                <w:lang w:val="fr-FR" w:eastAsia="zh-CN"/>
              </w:rPr>
              <w:lastRenderedPageBreak/>
              <w:t xml:space="preserve">(a) 12 nouvelles ACC avec au </w:t>
            </w:r>
            <w:proofErr w:type="gramStart"/>
            <w:r w:rsidRPr="00CA44AE">
              <w:rPr>
                <w:rFonts w:eastAsia="SimSun"/>
                <w:sz w:val="20"/>
                <w:szCs w:val="20"/>
                <w:lang w:val="fr-FR" w:eastAsia="zh-CN"/>
              </w:rPr>
              <w:t xml:space="preserve">moins  </w:t>
            </w:r>
            <w:r w:rsidRPr="00CA44AE">
              <w:rPr>
                <w:sz w:val="20"/>
                <w:szCs w:val="20"/>
                <w:lang w:val="fr-FR"/>
              </w:rPr>
              <w:t>100</w:t>
            </w:r>
            <w:proofErr w:type="gramEnd"/>
            <w:r w:rsidRPr="00CA44AE">
              <w:rPr>
                <w:sz w:val="20"/>
                <w:szCs w:val="20"/>
                <w:lang w:val="fr-FR"/>
              </w:rPr>
              <w:t xml:space="preserve"> 000 hectares protégés</w:t>
            </w:r>
          </w:p>
          <w:p w14:paraId="220982FA" w14:textId="77777777" w:rsidR="00AD78D9" w:rsidRPr="00CA44AE" w:rsidRDefault="00AD78D9" w:rsidP="00CA44AE">
            <w:pPr>
              <w:keepLines/>
              <w:spacing w:before="0" w:after="0"/>
              <w:jc w:val="left"/>
              <w:rPr>
                <w:sz w:val="20"/>
                <w:szCs w:val="20"/>
                <w:lang w:val="fr-FR"/>
              </w:rPr>
            </w:pPr>
          </w:p>
          <w:p w14:paraId="61F26C16" w14:textId="77777777" w:rsidR="00AD78D9" w:rsidRPr="00CA44AE" w:rsidRDefault="00AD78D9" w:rsidP="00CA44AE">
            <w:pPr>
              <w:keepLines/>
              <w:spacing w:before="0" w:after="0"/>
              <w:jc w:val="left"/>
              <w:rPr>
                <w:sz w:val="20"/>
                <w:szCs w:val="20"/>
                <w:lang w:val="fr-FR"/>
              </w:rPr>
            </w:pPr>
          </w:p>
          <w:p w14:paraId="2C297BD5" w14:textId="77777777" w:rsidR="00AD78D9" w:rsidRPr="00CA44AE" w:rsidRDefault="00AD78D9" w:rsidP="00CA44AE">
            <w:pPr>
              <w:keepLines/>
              <w:spacing w:before="0" w:after="0"/>
              <w:jc w:val="left"/>
              <w:rPr>
                <w:color w:val="FF0000"/>
                <w:sz w:val="20"/>
                <w:szCs w:val="20"/>
                <w:lang w:val="fr-FR"/>
              </w:rPr>
            </w:pPr>
            <w:r w:rsidRPr="00CA44AE">
              <w:rPr>
                <w:sz w:val="20"/>
                <w:szCs w:val="20"/>
                <w:lang w:val="fr-FR"/>
              </w:rPr>
              <w:t>(b) 12 contrats de transfert de gestion approuvés et signés (ont mis à jour les « </w:t>
            </w:r>
            <w:r w:rsidRPr="00CA44AE">
              <w:rPr>
                <w:rFonts w:eastAsia="SimSun"/>
                <w:i/>
                <w:sz w:val="20"/>
                <w:szCs w:val="20"/>
                <w:lang w:val="fr-FR" w:eastAsia="zh-CN"/>
              </w:rPr>
              <w:t xml:space="preserve">Dinas » </w:t>
            </w:r>
            <w:r w:rsidRPr="00CA44AE">
              <w:rPr>
                <w:rFonts w:eastAsia="SimSun"/>
                <w:sz w:val="20"/>
                <w:szCs w:val="20"/>
                <w:lang w:val="fr-FR" w:eastAsia="zh-CN"/>
              </w:rPr>
              <w:t>et PCGT / les « </w:t>
            </w:r>
            <w:r w:rsidRPr="00CA44AE">
              <w:rPr>
                <w:rFonts w:eastAsia="SimSun"/>
                <w:i/>
                <w:sz w:val="20"/>
                <w:szCs w:val="20"/>
                <w:lang w:val="fr-FR" w:eastAsia="zh-CN"/>
              </w:rPr>
              <w:t xml:space="preserve">Dinas » communautaires </w:t>
            </w:r>
            <w:r w:rsidRPr="00CA44AE">
              <w:rPr>
                <w:rFonts w:eastAsia="SimSun"/>
                <w:sz w:val="20"/>
                <w:szCs w:val="20"/>
                <w:lang w:val="fr-FR" w:eastAsia="zh-CN"/>
              </w:rPr>
              <w:t>et les</w:t>
            </w:r>
            <w:r w:rsidRPr="00CA44AE">
              <w:rPr>
                <w:rFonts w:eastAsia="SimSun"/>
                <w:i/>
                <w:sz w:val="20"/>
                <w:szCs w:val="20"/>
                <w:lang w:val="fr-FR" w:eastAsia="zh-CN"/>
              </w:rPr>
              <w:t xml:space="preserve"> « Dinas »</w:t>
            </w:r>
            <w:r w:rsidRPr="00CA44AE">
              <w:rPr>
                <w:rFonts w:eastAsia="SimSun"/>
                <w:sz w:val="20"/>
                <w:szCs w:val="20"/>
                <w:lang w:val="fr-FR" w:eastAsia="zh-CN"/>
              </w:rPr>
              <w:t xml:space="preserve"> ont un statut juridique)</w:t>
            </w:r>
          </w:p>
        </w:tc>
        <w:tc>
          <w:tcPr>
            <w:tcW w:w="4678" w:type="dxa"/>
          </w:tcPr>
          <w:p w14:paraId="087FAA60" w14:textId="3320A3A7" w:rsidR="00AD78D9" w:rsidRPr="008F47A6" w:rsidRDefault="00AD78D9" w:rsidP="00AD78D9">
            <w:pPr>
              <w:spacing w:before="0" w:after="0"/>
              <w:rPr>
                <w:sz w:val="20"/>
                <w:szCs w:val="20"/>
                <w:lang w:val="fr-FR"/>
              </w:rPr>
            </w:pPr>
            <w:r w:rsidRPr="00D84524">
              <w:rPr>
                <w:sz w:val="20"/>
                <w:szCs w:val="20"/>
                <w:lang w:val="fr-FR"/>
              </w:rPr>
              <w:t>L’indicateur 11 doit être actualisé</w:t>
            </w:r>
            <w:r w:rsidR="00F15BAC">
              <w:rPr>
                <w:sz w:val="20"/>
                <w:szCs w:val="20"/>
                <w:lang w:val="fr-FR"/>
              </w:rPr>
              <w:t xml:space="preserve">, </w:t>
            </w:r>
            <w:r w:rsidR="00A7610B" w:rsidRPr="00A7610B">
              <w:rPr>
                <w:sz w:val="20"/>
                <w:szCs w:val="20"/>
                <w:lang w:val="fr-FR"/>
              </w:rPr>
              <w:t>concernant les catégories (APC) et les numéros sous chacune d'elles</w:t>
            </w:r>
            <w:r w:rsidR="00F15BAC">
              <w:rPr>
                <w:sz w:val="20"/>
                <w:szCs w:val="20"/>
                <w:lang w:val="fr-FR"/>
              </w:rPr>
              <w:t xml:space="preserve">. </w:t>
            </w:r>
            <w:r w:rsidRPr="00D84524">
              <w:rPr>
                <w:sz w:val="20"/>
                <w:szCs w:val="20"/>
                <w:lang w:val="fr-FR"/>
              </w:rPr>
              <w:t xml:space="preserve"> </w:t>
            </w:r>
          </w:p>
          <w:p w14:paraId="7EA279F3" w14:textId="18C4B6D1" w:rsidR="00AD78D9" w:rsidRPr="00CA44AE" w:rsidRDefault="00AD78D9" w:rsidP="00346FE6">
            <w:pPr>
              <w:spacing w:before="0" w:after="0"/>
              <w:jc w:val="left"/>
              <w:rPr>
                <w:sz w:val="20"/>
                <w:szCs w:val="20"/>
                <w:lang w:val="fr-FR"/>
              </w:rPr>
            </w:pPr>
          </w:p>
        </w:tc>
      </w:tr>
      <w:tr w:rsidR="001715ED" w:rsidRPr="00BE1549" w14:paraId="457E1CEE" w14:textId="3A2D6CBE" w:rsidTr="00CA44AE">
        <w:trPr>
          <w:gridAfter w:val="1"/>
          <w:wAfter w:w="507" w:type="dxa"/>
        </w:trPr>
        <w:tc>
          <w:tcPr>
            <w:tcW w:w="737" w:type="dxa"/>
          </w:tcPr>
          <w:p w14:paraId="6F8B1938" w14:textId="77777777" w:rsidR="00AD78D9" w:rsidRPr="00CA44AE" w:rsidRDefault="00AD78D9" w:rsidP="00CA44AE">
            <w:pPr>
              <w:spacing w:before="0" w:after="0"/>
              <w:jc w:val="left"/>
              <w:rPr>
                <w:sz w:val="20"/>
                <w:szCs w:val="20"/>
              </w:rPr>
            </w:pPr>
            <w:r w:rsidRPr="00CA44AE">
              <w:rPr>
                <w:sz w:val="20"/>
                <w:szCs w:val="20"/>
              </w:rPr>
              <w:t>12</w:t>
            </w:r>
          </w:p>
        </w:tc>
        <w:tc>
          <w:tcPr>
            <w:tcW w:w="3374" w:type="dxa"/>
          </w:tcPr>
          <w:p w14:paraId="465373ED" w14:textId="77777777" w:rsidR="00AD78D9" w:rsidRPr="00CA44AE" w:rsidRDefault="00AD78D9" w:rsidP="00CA44AE">
            <w:pPr>
              <w:spacing w:before="0" w:after="0"/>
              <w:jc w:val="left"/>
              <w:rPr>
                <w:i/>
                <w:iCs/>
                <w:sz w:val="20"/>
                <w:szCs w:val="20"/>
                <w:lang w:val="fr-FR"/>
              </w:rPr>
            </w:pPr>
            <w:r w:rsidRPr="00CA44AE">
              <w:rPr>
                <w:i/>
                <w:iCs/>
                <w:sz w:val="20"/>
                <w:szCs w:val="20"/>
                <w:lang w:val="fr-FR"/>
              </w:rPr>
              <w:t>[Les sous- indicateurs proposés peuvent être révisés dès le lancement :]</w:t>
            </w:r>
          </w:p>
          <w:p w14:paraId="4AEE51FF" w14:textId="77777777" w:rsidR="00AD78D9" w:rsidRPr="00CA44AE" w:rsidRDefault="00AD78D9" w:rsidP="00CA44AE">
            <w:pPr>
              <w:spacing w:before="0" w:after="0"/>
              <w:jc w:val="left"/>
              <w:rPr>
                <w:iCs/>
                <w:sz w:val="20"/>
                <w:szCs w:val="20"/>
                <w:lang w:val="fr-FR"/>
              </w:rPr>
            </w:pPr>
            <w:r w:rsidRPr="00CA44AE">
              <w:rPr>
                <w:iCs/>
                <w:sz w:val="20"/>
                <w:szCs w:val="20"/>
                <w:lang w:val="fr-FR"/>
              </w:rPr>
              <w:t>Les aires/territoires désignés par les communautés locales comme devant être protégées sont incluses dans le PCGT</w:t>
            </w:r>
          </w:p>
          <w:p w14:paraId="33CC7C21" w14:textId="77777777" w:rsidR="00AD78D9" w:rsidRPr="00CA44AE" w:rsidRDefault="00AD78D9" w:rsidP="00CA44AE">
            <w:pPr>
              <w:spacing w:before="0" w:after="0"/>
              <w:jc w:val="left"/>
              <w:rPr>
                <w:rFonts w:eastAsia="SimSun"/>
                <w:sz w:val="20"/>
                <w:szCs w:val="20"/>
                <w:lang w:val="fr-FR" w:eastAsia="zh-CN"/>
              </w:rPr>
            </w:pPr>
          </w:p>
          <w:p w14:paraId="46C2C552" w14:textId="77777777" w:rsidR="00AD78D9" w:rsidRPr="00CA44AE" w:rsidRDefault="00AD78D9" w:rsidP="00CA44AE">
            <w:pPr>
              <w:spacing w:before="0" w:after="0"/>
              <w:jc w:val="left"/>
              <w:rPr>
                <w:rFonts w:eastAsia="SimSun"/>
                <w:sz w:val="20"/>
                <w:szCs w:val="20"/>
                <w:lang w:val="fr-FR" w:eastAsia="zh-CN"/>
              </w:rPr>
            </w:pPr>
            <w:r w:rsidRPr="00CA44AE">
              <w:rPr>
                <w:iCs/>
                <w:sz w:val="20"/>
                <w:szCs w:val="20"/>
                <w:lang w:val="fr-FR"/>
              </w:rPr>
              <w:t>Existence de normes et règlementations communautaires aux fins de l’utilisation durable des ressources naturelles dans les territoires communautaires et les TDG</w:t>
            </w:r>
          </w:p>
          <w:p w14:paraId="3918B1A2" w14:textId="77777777" w:rsidR="00AD78D9" w:rsidRPr="00CA44AE" w:rsidRDefault="00AD78D9" w:rsidP="00CA44AE">
            <w:pPr>
              <w:spacing w:before="0" w:after="0"/>
              <w:jc w:val="left"/>
              <w:rPr>
                <w:i/>
                <w:iCs/>
                <w:sz w:val="20"/>
                <w:szCs w:val="20"/>
                <w:lang w:val="fr-FR"/>
              </w:rPr>
            </w:pPr>
          </w:p>
          <w:p w14:paraId="03635B56" w14:textId="77777777" w:rsidR="00AD78D9" w:rsidRPr="00CA44AE" w:rsidRDefault="00AD78D9" w:rsidP="00CA44AE">
            <w:pPr>
              <w:spacing w:before="0" w:after="0"/>
              <w:jc w:val="left"/>
              <w:rPr>
                <w:color w:val="FF0000"/>
                <w:sz w:val="20"/>
                <w:szCs w:val="20"/>
                <w:lang w:val="fr-FR"/>
              </w:rPr>
            </w:pPr>
            <w:r w:rsidRPr="00CA44AE">
              <w:rPr>
                <w:i/>
                <w:iCs/>
                <w:sz w:val="20"/>
                <w:szCs w:val="20"/>
                <w:lang w:val="fr-FR"/>
              </w:rPr>
              <w:t xml:space="preserve">Les Dinas </w:t>
            </w:r>
            <w:r w:rsidRPr="00CA44AE">
              <w:rPr>
                <w:iCs/>
                <w:sz w:val="20"/>
                <w:szCs w:val="20"/>
                <w:lang w:val="fr-FR"/>
              </w:rPr>
              <w:t>acquièrent un statut juridique prévoyant des mesures relatives à l’utilisation des ressources naturelles</w:t>
            </w:r>
          </w:p>
        </w:tc>
        <w:tc>
          <w:tcPr>
            <w:tcW w:w="2410" w:type="dxa"/>
          </w:tcPr>
          <w:p w14:paraId="15B3B0A9" w14:textId="77777777" w:rsidR="00AD78D9" w:rsidRPr="00CA44AE" w:rsidRDefault="00AD78D9" w:rsidP="00CA44AE">
            <w:pPr>
              <w:spacing w:before="0" w:after="0"/>
              <w:jc w:val="left"/>
              <w:rPr>
                <w:i/>
                <w:sz w:val="20"/>
                <w:szCs w:val="20"/>
                <w:lang w:val="fr-FR"/>
              </w:rPr>
            </w:pPr>
            <w:r w:rsidRPr="00CA44AE">
              <w:rPr>
                <w:i/>
                <w:sz w:val="20"/>
                <w:szCs w:val="20"/>
                <w:lang w:val="fr-FR"/>
              </w:rPr>
              <w:t xml:space="preserve">[Le point de départ – doit être révisé dès le lancement </w:t>
            </w:r>
            <w:r w:rsidRPr="00CA44AE">
              <w:rPr>
                <w:i/>
                <w:iCs/>
                <w:sz w:val="20"/>
                <w:szCs w:val="20"/>
                <w:lang w:val="fr-FR"/>
              </w:rPr>
              <w:t>:]</w:t>
            </w:r>
          </w:p>
          <w:p w14:paraId="298D02A3" w14:textId="77777777" w:rsidR="00AD78D9" w:rsidRPr="00CA44AE" w:rsidRDefault="00AD78D9" w:rsidP="00CA44AE">
            <w:pPr>
              <w:spacing w:before="0" w:after="0"/>
              <w:jc w:val="left"/>
              <w:rPr>
                <w:sz w:val="20"/>
                <w:szCs w:val="20"/>
                <w:lang w:val="fr-FR"/>
              </w:rPr>
            </w:pPr>
          </w:p>
          <w:p w14:paraId="21AAE662" w14:textId="77777777" w:rsidR="00AD78D9" w:rsidRPr="00CA44AE" w:rsidRDefault="00AD78D9" w:rsidP="00CA44AE">
            <w:pPr>
              <w:spacing w:before="0" w:after="0"/>
              <w:jc w:val="left"/>
              <w:rPr>
                <w:sz w:val="20"/>
                <w:szCs w:val="20"/>
                <w:lang w:val="fr-FR"/>
              </w:rPr>
            </w:pPr>
            <w:r w:rsidRPr="00CA44AE">
              <w:rPr>
                <w:sz w:val="20"/>
                <w:szCs w:val="20"/>
                <w:lang w:val="fr-FR"/>
              </w:rPr>
              <w:t xml:space="preserve">Actuellement certaines zones communautaires contiennent des aires protégées qui n’ont pas encore obtenu ce statut officiel. </w:t>
            </w:r>
          </w:p>
          <w:p w14:paraId="3454F5CC" w14:textId="77777777" w:rsidR="00AD78D9" w:rsidRPr="00CA44AE" w:rsidRDefault="00AD78D9" w:rsidP="00CA44AE">
            <w:pPr>
              <w:spacing w:before="0" w:after="0"/>
              <w:jc w:val="left"/>
              <w:rPr>
                <w:sz w:val="20"/>
                <w:szCs w:val="20"/>
                <w:lang w:val="fr-FR"/>
              </w:rPr>
            </w:pPr>
          </w:p>
          <w:p w14:paraId="3A6675CA" w14:textId="77777777" w:rsidR="00AD78D9" w:rsidRPr="00CA44AE" w:rsidRDefault="00AD78D9" w:rsidP="00CA44AE">
            <w:pPr>
              <w:spacing w:before="0" w:after="0"/>
              <w:jc w:val="left"/>
              <w:rPr>
                <w:color w:val="FF0000"/>
                <w:sz w:val="20"/>
                <w:szCs w:val="20"/>
                <w:lang w:val="fr-FR"/>
              </w:rPr>
            </w:pPr>
            <w:proofErr w:type="gramStart"/>
            <w:r w:rsidRPr="00CA44AE">
              <w:rPr>
                <w:sz w:val="20"/>
                <w:szCs w:val="20"/>
                <w:lang w:val="fr-FR"/>
              </w:rPr>
              <w:t>Suite à</w:t>
            </w:r>
            <w:proofErr w:type="gramEnd"/>
            <w:r w:rsidRPr="00CA44AE">
              <w:rPr>
                <w:sz w:val="20"/>
                <w:szCs w:val="20"/>
                <w:lang w:val="fr-FR"/>
              </w:rPr>
              <w:t xml:space="preserve"> la sélection du site et au recensement des ACC, une évaluation sera réalisée pour évaluer l’état d’avancement de la réglementation en ce qui concerne les ressources naturelles sur chaque site </w:t>
            </w:r>
          </w:p>
        </w:tc>
        <w:tc>
          <w:tcPr>
            <w:tcW w:w="3260" w:type="dxa"/>
          </w:tcPr>
          <w:p w14:paraId="07C1A8B1" w14:textId="77777777" w:rsidR="00AD78D9" w:rsidRPr="00CA44AE" w:rsidRDefault="00AD78D9" w:rsidP="00CA44AE">
            <w:pPr>
              <w:keepLines/>
              <w:spacing w:before="0" w:after="0"/>
              <w:jc w:val="left"/>
              <w:rPr>
                <w:i/>
                <w:color w:val="FF0000"/>
                <w:sz w:val="20"/>
                <w:szCs w:val="20"/>
                <w:lang w:val="fr-FR"/>
              </w:rPr>
            </w:pPr>
            <w:r w:rsidRPr="00CA44AE">
              <w:rPr>
                <w:i/>
                <w:sz w:val="20"/>
                <w:szCs w:val="20"/>
                <w:lang w:val="fr-FR"/>
              </w:rPr>
              <w:t>[Devra être déterminé au lancement]</w:t>
            </w:r>
          </w:p>
        </w:tc>
        <w:tc>
          <w:tcPr>
            <w:tcW w:w="4678" w:type="dxa"/>
          </w:tcPr>
          <w:p w14:paraId="00160D38" w14:textId="77777777" w:rsidR="00AD78D9" w:rsidRPr="008F47A6" w:rsidRDefault="00AD78D9" w:rsidP="00AD78D9">
            <w:pPr>
              <w:spacing w:before="0" w:after="0"/>
              <w:rPr>
                <w:sz w:val="20"/>
                <w:szCs w:val="20"/>
                <w:lang w:val="fr-FR"/>
              </w:rPr>
            </w:pPr>
            <w:r w:rsidRPr="00D84524">
              <w:rPr>
                <w:sz w:val="20"/>
                <w:szCs w:val="20"/>
                <w:lang w:val="fr-FR"/>
              </w:rPr>
              <w:t xml:space="preserve">Indicateur 12 est proposé sans cible </w:t>
            </w:r>
          </w:p>
          <w:p w14:paraId="6905CFEB" w14:textId="31381CF1" w:rsidR="00AD78D9" w:rsidRPr="008F47A6" w:rsidRDefault="00AD78D9" w:rsidP="00AD78D9">
            <w:pPr>
              <w:spacing w:before="0" w:after="0"/>
              <w:jc w:val="left"/>
              <w:rPr>
                <w:sz w:val="20"/>
                <w:szCs w:val="20"/>
                <w:lang w:val="fr-FR"/>
              </w:rPr>
            </w:pPr>
            <w:r w:rsidRPr="00D84524">
              <w:rPr>
                <w:sz w:val="20"/>
                <w:szCs w:val="20"/>
                <w:lang w:val="fr-FR"/>
              </w:rPr>
              <w:t>« </w:t>
            </w:r>
            <w:r w:rsidRPr="008F47A6">
              <w:rPr>
                <w:sz w:val="20"/>
                <w:szCs w:val="20"/>
                <w:lang w:val="fr-FR"/>
              </w:rPr>
              <w:t xml:space="preserve">Les aires/territoires désignés par les communautés locales sont inclus </w:t>
            </w:r>
            <w:r w:rsidR="001E55E7" w:rsidRPr="00346FE6">
              <w:rPr>
                <w:sz w:val="20"/>
                <w:szCs w:val="20"/>
                <w:lang w:val="fr-FR"/>
              </w:rPr>
              <w:t>dans les APC avec les normes et réglementations stipulées dans le Plan d’Aménagement et de Gestion (PAG) de chaque APC</w:t>
            </w:r>
          </w:p>
          <w:p w14:paraId="1F065B84" w14:textId="77777777" w:rsidR="00AD78D9" w:rsidRPr="008F47A6" w:rsidRDefault="00AD78D9" w:rsidP="00AD78D9">
            <w:pPr>
              <w:spacing w:before="0" w:after="0"/>
              <w:jc w:val="left"/>
              <w:rPr>
                <w:sz w:val="20"/>
                <w:szCs w:val="20"/>
                <w:lang w:val="fr-FR"/>
              </w:rPr>
            </w:pPr>
            <w:r w:rsidRPr="008F47A6">
              <w:rPr>
                <w:sz w:val="20"/>
                <w:szCs w:val="20"/>
                <w:lang w:val="fr-FR"/>
              </w:rPr>
              <w:t>Existence de normes et règlementations communautaires aux fins de l’utilisation durable des ressources naturelles dans les territoires communautaires et les TDG</w:t>
            </w:r>
          </w:p>
          <w:p w14:paraId="7BB18C76" w14:textId="70DCDF22" w:rsidR="00AD78D9" w:rsidRPr="00CA44AE" w:rsidRDefault="00AD78D9" w:rsidP="00CA44AE">
            <w:pPr>
              <w:spacing w:before="0" w:after="0"/>
              <w:rPr>
                <w:sz w:val="20"/>
                <w:szCs w:val="20"/>
                <w:lang w:val="fr-FR"/>
              </w:rPr>
            </w:pPr>
            <w:r w:rsidRPr="008F47A6">
              <w:rPr>
                <w:sz w:val="20"/>
                <w:szCs w:val="20"/>
                <w:lang w:val="fr-FR"/>
              </w:rPr>
              <w:t>Les Dinas acquièrent un statut juridique prévoyant des mesures relatives à l’utilisation des ressources naturelles</w:t>
            </w:r>
            <w:r w:rsidR="001E55E7">
              <w:rPr>
                <w:sz w:val="20"/>
                <w:szCs w:val="20"/>
                <w:lang w:val="fr-FR"/>
              </w:rPr>
              <w:t xml:space="preserve">. Ils </w:t>
            </w:r>
            <w:r w:rsidR="001E55E7" w:rsidRPr="008F47A6">
              <w:rPr>
                <w:sz w:val="20"/>
                <w:szCs w:val="20"/>
                <w:lang w:val="fr-FR"/>
              </w:rPr>
              <w:t xml:space="preserve">sont inclus </w:t>
            </w:r>
            <w:r w:rsidR="001E55E7" w:rsidRPr="00894AB7">
              <w:rPr>
                <w:sz w:val="20"/>
                <w:szCs w:val="20"/>
                <w:lang w:val="fr-FR"/>
              </w:rPr>
              <w:t>dans les APC avec les normes et réglementations stipulées dans le Plan d’Aménagement et de Gestion (PAG) de chaque APC</w:t>
            </w:r>
            <w:r w:rsidRPr="008F47A6">
              <w:rPr>
                <w:sz w:val="20"/>
                <w:szCs w:val="20"/>
                <w:lang w:val="fr-FR"/>
              </w:rPr>
              <w:t> »</w:t>
            </w:r>
          </w:p>
        </w:tc>
      </w:tr>
      <w:tr w:rsidR="001715ED" w:rsidRPr="00BE1549" w14:paraId="1E892091" w14:textId="65668A18" w:rsidTr="00CA44AE">
        <w:trPr>
          <w:gridAfter w:val="1"/>
          <w:wAfter w:w="507" w:type="dxa"/>
        </w:trPr>
        <w:tc>
          <w:tcPr>
            <w:tcW w:w="737" w:type="dxa"/>
          </w:tcPr>
          <w:p w14:paraId="1228AE35" w14:textId="77777777" w:rsidR="00AD78D9" w:rsidRPr="00CA44AE" w:rsidRDefault="00AD78D9" w:rsidP="00CA44AE">
            <w:pPr>
              <w:spacing w:before="0" w:after="0"/>
              <w:jc w:val="left"/>
              <w:rPr>
                <w:sz w:val="20"/>
                <w:szCs w:val="20"/>
              </w:rPr>
            </w:pPr>
            <w:r w:rsidRPr="00CA44AE">
              <w:rPr>
                <w:sz w:val="20"/>
                <w:szCs w:val="20"/>
              </w:rPr>
              <w:t>13</w:t>
            </w:r>
          </w:p>
        </w:tc>
        <w:tc>
          <w:tcPr>
            <w:tcW w:w="3374" w:type="dxa"/>
          </w:tcPr>
          <w:p w14:paraId="3DAFCF44" w14:textId="77777777" w:rsidR="00AD78D9" w:rsidRPr="00CA44AE" w:rsidRDefault="00AD78D9" w:rsidP="00CA44AE">
            <w:pPr>
              <w:spacing w:before="0" w:after="0"/>
              <w:jc w:val="left"/>
              <w:rPr>
                <w:iCs/>
                <w:sz w:val="20"/>
                <w:szCs w:val="20"/>
                <w:lang w:val="fr-FR"/>
              </w:rPr>
            </w:pPr>
            <w:r w:rsidRPr="00CA44AE">
              <w:rPr>
                <w:sz w:val="20"/>
                <w:szCs w:val="20"/>
                <w:lang w:val="fr-FR"/>
              </w:rPr>
              <w:t>(a) Surveiller la mise en œuvre des plans de gestion communautaires figurant dans les TDG</w:t>
            </w:r>
          </w:p>
          <w:p w14:paraId="1CAF3D65" w14:textId="77777777" w:rsidR="00AD78D9" w:rsidRPr="00CA44AE" w:rsidRDefault="00AD78D9" w:rsidP="00CA44AE">
            <w:pPr>
              <w:spacing w:before="0" w:after="0"/>
              <w:jc w:val="left"/>
              <w:rPr>
                <w:iCs/>
                <w:sz w:val="20"/>
                <w:szCs w:val="20"/>
                <w:lang w:val="fr-FR"/>
              </w:rPr>
            </w:pPr>
          </w:p>
          <w:p w14:paraId="09D30F6E" w14:textId="77777777" w:rsidR="00AD78D9" w:rsidRPr="00CA44AE" w:rsidRDefault="00AD78D9" w:rsidP="00CA44AE">
            <w:pPr>
              <w:spacing w:before="0" w:after="0"/>
              <w:jc w:val="left"/>
              <w:rPr>
                <w:iCs/>
                <w:sz w:val="20"/>
                <w:szCs w:val="20"/>
                <w:lang w:val="fr-FR"/>
              </w:rPr>
            </w:pPr>
            <w:r w:rsidRPr="00CA44AE">
              <w:rPr>
                <w:sz w:val="20"/>
                <w:szCs w:val="20"/>
                <w:lang w:val="fr-FR"/>
              </w:rPr>
              <w:t xml:space="preserve">(b) Taux de règlement des conflits </w:t>
            </w:r>
          </w:p>
          <w:p w14:paraId="04A666EA" w14:textId="6C17CD3A" w:rsidR="00AD78D9" w:rsidRPr="00CA44AE" w:rsidRDefault="00AD78D9" w:rsidP="00CA44AE">
            <w:pPr>
              <w:spacing w:before="0" w:after="0"/>
              <w:jc w:val="left"/>
              <w:rPr>
                <w:i/>
                <w:color w:val="FF0000"/>
                <w:sz w:val="20"/>
                <w:szCs w:val="20"/>
                <w:lang w:val="fr-FR"/>
              </w:rPr>
            </w:pPr>
            <w:r w:rsidRPr="00CA44AE">
              <w:rPr>
                <w:sz w:val="20"/>
                <w:szCs w:val="20"/>
                <w:lang w:val="fr-FR"/>
              </w:rPr>
              <w:t xml:space="preserve">Mise en œuvre du suivi écologique participative </w:t>
            </w:r>
          </w:p>
        </w:tc>
        <w:tc>
          <w:tcPr>
            <w:tcW w:w="2410" w:type="dxa"/>
          </w:tcPr>
          <w:p w14:paraId="7EC6CB70" w14:textId="77777777"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 xml:space="preserve">(a) Une évaluation des capacités des </w:t>
            </w:r>
            <w:r w:rsidRPr="00CA44AE">
              <w:rPr>
                <w:sz w:val="20"/>
                <w:szCs w:val="20"/>
                <w:lang w:val="fr-FR"/>
              </w:rPr>
              <w:t xml:space="preserve">communautés et des </w:t>
            </w:r>
            <w:r w:rsidRPr="00CA44AE">
              <w:rPr>
                <w:rFonts w:eastAsia="SimSun"/>
                <w:sz w:val="20"/>
                <w:szCs w:val="20"/>
                <w:lang w:val="fr-FR" w:eastAsia="zh-CN"/>
              </w:rPr>
              <w:t>communautés de base sera réalisée</w:t>
            </w:r>
          </w:p>
          <w:p w14:paraId="2B778860" w14:textId="77777777" w:rsidR="00AD78D9" w:rsidRPr="00CA44AE" w:rsidRDefault="00AD78D9" w:rsidP="00CA44AE">
            <w:pPr>
              <w:spacing w:before="0" w:after="0"/>
              <w:jc w:val="left"/>
              <w:rPr>
                <w:rFonts w:eastAsia="SimSun"/>
                <w:sz w:val="20"/>
                <w:szCs w:val="20"/>
                <w:lang w:val="fr-FR" w:eastAsia="zh-CN"/>
              </w:rPr>
            </w:pPr>
          </w:p>
          <w:p w14:paraId="23B788B1" w14:textId="77777777" w:rsidR="00AD78D9" w:rsidRPr="00CA44AE" w:rsidRDefault="00AD78D9" w:rsidP="00CA44AE">
            <w:pPr>
              <w:spacing w:before="0" w:after="0"/>
              <w:jc w:val="left"/>
              <w:rPr>
                <w:color w:val="FF0000"/>
                <w:sz w:val="20"/>
                <w:szCs w:val="20"/>
                <w:lang w:val="fr-FR"/>
              </w:rPr>
            </w:pPr>
            <w:r w:rsidRPr="00CA44AE">
              <w:rPr>
                <w:rFonts w:eastAsia="SimSun"/>
                <w:sz w:val="20"/>
                <w:szCs w:val="20"/>
                <w:lang w:val="fr-FR" w:eastAsia="zh-CN"/>
              </w:rPr>
              <w:t xml:space="preserve">(b) Gestion des évaluations des TDG et des Dinas existantes grâce aux composantes </w:t>
            </w:r>
            <w:proofErr w:type="gramStart"/>
            <w:r w:rsidRPr="00CA44AE">
              <w:rPr>
                <w:rFonts w:eastAsia="SimSun"/>
                <w:sz w:val="20"/>
                <w:szCs w:val="20"/>
                <w:lang w:val="fr-FR" w:eastAsia="zh-CN"/>
              </w:rPr>
              <w:t>biodiversité lancées</w:t>
            </w:r>
            <w:proofErr w:type="gramEnd"/>
            <w:r w:rsidRPr="00CA44AE">
              <w:rPr>
                <w:rFonts w:eastAsia="SimSun"/>
                <w:sz w:val="20"/>
                <w:szCs w:val="20"/>
                <w:lang w:val="fr-FR" w:eastAsia="zh-CN"/>
              </w:rPr>
              <w:t xml:space="preserve"> au début du projet </w:t>
            </w:r>
          </w:p>
        </w:tc>
        <w:tc>
          <w:tcPr>
            <w:tcW w:w="3260" w:type="dxa"/>
          </w:tcPr>
          <w:p w14:paraId="5303C285" w14:textId="77777777" w:rsidR="00AD78D9" w:rsidRPr="00CA44AE" w:rsidRDefault="00AD78D9" w:rsidP="00CA44AE">
            <w:pPr>
              <w:spacing w:before="0" w:after="0"/>
              <w:jc w:val="left"/>
              <w:rPr>
                <w:rFonts w:eastAsia="SimSun"/>
                <w:sz w:val="20"/>
                <w:szCs w:val="20"/>
                <w:lang w:val="fr-FR" w:eastAsia="zh-CN"/>
              </w:rPr>
            </w:pPr>
            <w:r w:rsidRPr="00CA44AE">
              <w:rPr>
                <w:rFonts w:eastAsia="SimSun"/>
                <w:sz w:val="20"/>
                <w:szCs w:val="20"/>
                <w:lang w:val="fr-FR" w:eastAsia="zh-CN"/>
              </w:rPr>
              <w:t xml:space="preserve">(a) 90% des contrats TDG sont gérés efficacement </w:t>
            </w:r>
          </w:p>
          <w:p w14:paraId="524A4873" w14:textId="77777777" w:rsidR="00AD78D9" w:rsidRPr="00CA44AE" w:rsidRDefault="00AD78D9" w:rsidP="00CA44AE">
            <w:pPr>
              <w:keepLines/>
              <w:spacing w:before="0" w:after="0"/>
              <w:jc w:val="left"/>
              <w:rPr>
                <w:rFonts w:eastAsia="SimSun"/>
                <w:sz w:val="20"/>
                <w:szCs w:val="20"/>
                <w:lang w:val="fr-FR" w:eastAsia="zh-CN"/>
              </w:rPr>
            </w:pPr>
          </w:p>
          <w:p w14:paraId="06CA3F58" w14:textId="77777777" w:rsidR="00AD78D9" w:rsidRPr="00CA44AE" w:rsidRDefault="00AD78D9" w:rsidP="00CA44AE">
            <w:pPr>
              <w:keepLines/>
              <w:spacing w:before="0" w:after="0"/>
              <w:jc w:val="left"/>
              <w:rPr>
                <w:rFonts w:eastAsia="SimSun"/>
                <w:sz w:val="20"/>
                <w:szCs w:val="20"/>
                <w:lang w:val="fr-FR" w:eastAsia="zh-CN"/>
              </w:rPr>
            </w:pPr>
          </w:p>
          <w:p w14:paraId="17ECC519" w14:textId="77777777" w:rsidR="00AD78D9" w:rsidRPr="00CA44AE" w:rsidRDefault="00AD78D9" w:rsidP="00CA44AE">
            <w:pPr>
              <w:keepLines/>
              <w:spacing w:before="0" w:after="0"/>
              <w:jc w:val="left"/>
              <w:rPr>
                <w:color w:val="FF0000"/>
                <w:sz w:val="20"/>
                <w:szCs w:val="20"/>
                <w:lang w:val="fr-FR"/>
              </w:rPr>
            </w:pPr>
            <w:r w:rsidRPr="00CA44AE">
              <w:rPr>
                <w:rFonts w:eastAsia="SimSun"/>
                <w:sz w:val="20"/>
                <w:szCs w:val="20"/>
                <w:lang w:val="fr-FR" w:eastAsia="zh-CN"/>
              </w:rPr>
              <w:t>(b) 100% du suivi écologique communautaire est fonctionnel</w:t>
            </w:r>
          </w:p>
        </w:tc>
        <w:tc>
          <w:tcPr>
            <w:tcW w:w="4678" w:type="dxa"/>
          </w:tcPr>
          <w:p w14:paraId="3DFBC5BB" w14:textId="77777777" w:rsidR="00AD78D9" w:rsidRPr="008F47A6" w:rsidRDefault="00AD78D9" w:rsidP="00AD78D9">
            <w:pPr>
              <w:spacing w:before="0" w:after="0"/>
              <w:rPr>
                <w:sz w:val="20"/>
                <w:szCs w:val="20"/>
                <w:lang w:val="fr-FR"/>
              </w:rPr>
            </w:pPr>
            <w:r w:rsidRPr="00D84524">
              <w:rPr>
                <w:sz w:val="20"/>
                <w:szCs w:val="20"/>
                <w:lang w:val="fr-FR"/>
              </w:rPr>
              <w:t xml:space="preserve">Indicateur 13 </w:t>
            </w:r>
          </w:p>
          <w:p w14:paraId="7EDD77D0" w14:textId="50BB04F8" w:rsidR="00AD78D9" w:rsidRPr="008F47A6" w:rsidRDefault="00AD78D9" w:rsidP="00AD78D9">
            <w:pPr>
              <w:spacing w:before="0" w:after="0"/>
              <w:rPr>
                <w:sz w:val="20"/>
                <w:szCs w:val="20"/>
                <w:lang w:val="fr-FR"/>
              </w:rPr>
            </w:pPr>
            <w:r w:rsidRPr="00D84524">
              <w:rPr>
                <w:sz w:val="20"/>
                <w:szCs w:val="20"/>
                <w:lang w:val="fr-FR"/>
              </w:rPr>
              <w:t>« </w:t>
            </w:r>
            <w:r w:rsidRPr="008F47A6">
              <w:rPr>
                <w:sz w:val="20"/>
                <w:szCs w:val="20"/>
                <w:lang w:val="fr-FR"/>
              </w:rPr>
              <w:t xml:space="preserve">(a) Surveiller la mise en œuvre des plans </w:t>
            </w:r>
            <w:r w:rsidR="008801E8">
              <w:rPr>
                <w:sz w:val="20"/>
                <w:szCs w:val="20"/>
                <w:lang w:val="fr-FR"/>
              </w:rPr>
              <w:t xml:space="preserve">d’aménagement et </w:t>
            </w:r>
            <w:r w:rsidRPr="008F47A6">
              <w:rPr>
                <w:sz w:val="20"/>
                <w:szCs w:val="20"/>
                <w:lang w:val="fr-FR"/>
              </w:rPr>
              <w:t>gestion communautaires figurant dans les TDG</w:t>
            </w:r>
          </w:p>
          <w:p w14:paraId="18476364" w14:textId="7AE5FE4C" w:rsidR="008801E8" w:rsidRPr="00346FE6" w:rsidRDefault="00AD78D9" w:rsidP="00CA44AE">
            <w:pPr>
              <w:spacing w:before="0" w:after="0"/>
              <w:rPr>
                <w:sz w:val="20"/>
                <w:szCs w:val="20"/>
                <w:lang w:val="fr-FR"/>
              </w:rPr>
            </w:pPr>
            <w:r w:rsidRPr="008F47A6">
              <w:rPr>
                <w:sz w:val="20"/>
                <w:szCs w:val="20"/>
                <w:lang w:val="fr-FR"/>
              </w:rPr>
              <w:t>(</w:t>
            </w:r>
            <w:proofErr w:type="gramStart"/>
            <w:r w:rsidRPr="008F47A6">
              <w:rPr>
                <w:sz w:val="20"/>
                <w:szCs w:val="20"/>
                <w:lang w:val="fr-FR"/>
              </w:rPr>
              <w:t>b</w:t>
            </w:r>
            <w:proofErr w:type="gramEnd"/>
            <w:r w:rsidR="008801E8">
              <w:rPr>
                <w:sz w:val="20"/>
                <w:szCs w:val="20"/>
                <w:lang w:val="fr-FR"/>
              </w:rPr>
              <w:t>1</w:t>
            </w:r>
            <w:r w:rsidRPr="008F47A6">
              <w:rPr>
                <w:sz w:val="20"/>
                <w:szCs w:val="20"/>
                <w:lang w:val="fr-FR"/>
              </w:rPr>
              <w:t xml:space="preserve">) </w:t>
            </w:r>
            <w:r w:rsidR="008801E8" w:rsidRPr="00346FE6">
              <w:rPr>
                <w:sz w:val="20"/>
                <w:szCs w:val="20"/>
                <w:lang w:val="fr-FR"/>
              </w:rPr>
              <w:t>nombre des patrouilles / surveillance effectué</w:t>
            </w:r>
          </w:p>
          <w:p w14:paraId="3270EF03" w14:textId="7A92FA27" w:rsidR="00AD78D9" w:rsidRPr="00346FE6" w:rsidRDefault="008801E8" w:rsidP="00CA44AE">
            <w:pPr>
              <w:spacing w:before="0" w:after="0"/>
              <w:rPr>
                <w:sz w:val="20"/>
                <w:szCs w:val="20"/>
                <w:lang w:val="fr-FR"/>
              </w:rPr>
            </w:pPr>
            <w:r w:rsidRPr="00346FE6">
              <w:rPr>
                <w:sz w:val="20"/>
                <w:szCs w:val="20"/>
                <w:lang w:val="fr-FR"/>
              </w:rPr>
              <w:t>(</w:t>
            </w:r>
            <w:proofErr w:type="gramStart"/>
            <w:r w:rsidRPr="00346FE6">
              <w:rPr>
                <w:sz w:val="20"/>
                <w:szCs w:val="20"/>
                <w:lang w:val="fr-FR"/>
              </w:rPr>
              <w:t>b</w:t>
            </w:r>
            <w:proofErr w:type="gramEnd"/>
            <w:r w:rsidRPr="00346FE6">
              <w:rPr>
                <w:sz w:val="20"/>
                <w:szCs w:val="20"/>
                <w:lang w:val="fr-FR"/>
              </w:rPr>
              <w:t>2) taux d’application de « Dina » ou « conflit réglé »</w:t>
            </w:r>
          </w:p>
          <w:p w14:paraId="29CCA50B" w14:textId="329ABB2D" w:rsidR="008801E8" w:rsidRPr="00CA44AE" w:rsidRDefault="008801E8" w:rsidP="00CA44AE">
            <w:pPr>
              <w:spacing w:before="0" w:after="0"/>
              <w:rPr>
                <w:sz w:val="20"/>
                <w:szCs w:val="20"/>
                <w:lang w:val="fr-FR"/>
              </w:rPr>
            </w:pPr>
            <w:r w:rsidRPr="00346FE6">
              <w:rPr>
                <w:sz w:val="20"/>
                <w:szCs w:val="20"/>
                <w:lang w:val="fr-FR"/>
              </w:rPr>
              <w:t>(c) nombre des suivie écologiques participatives effectué (mesuré par le nombre des rapport respectives).</w:t>
            </w:r>
          </w:p>
        </w:tc>
      </w:tr>
      <w:tr w:rsidR="001715ED" w:rsidRPr="00BE1549" w14:paraId="5015CE2C" w14:textId="2AE4672C" w:rsidTr="00CA44AE">
        <w:trPr>
          <w:gridAfter w:val="1"/>
          <w:wAfter w:w="507" w:type="dxa"/>
        </w:trPr>
        <w:tc>
          <w:tcPr>
            <w:tcW w:w="737" w:type="dxa"/>
          </w:tcPr>
          <w:p w14:paraId="0DB30B9B" w14:textId="77777777" w:rsidR="00AD78D9" w:rsidRPr="00CA44AE" w:rsidRDefault="00AD78D9" w:rsidP="00CA44AE">
            <w:pPr>
              <w:spacing w:before="0" w:after="0"/>
              <w:jc w:val="left"/>
              <w:rPr>
                <w:sz w:val="20"/>
                <w:szCs w:val="20"/>
              </w:rPr>
            </w:pPr>
            <w:r w:rsidRPr="00CA44AE">
              <w:rPr>
                <w:sz w:val="20"/>
                <w:szCs w:val="20"/>
              </w:rPr>
              <w:lastRenderedPageBreak/>
              <w:t>15</w:t>
            </w:r>
          </w:p>
        </w:tc>
        <w:tc>
          <w:tcPr>
            <w:tcW w:w="3374" w:type="dxa"/>
          </w:tcPr>
          <w:p w14:paraId="28D1043D" w14:textId="77777777" w:rsidR="00AD78D9" w:rsidRPr="00CA44AE" w:rsidRDefault="00AD78D9" w:rsidP="00CA44AE">
            <w:pPr>
              <w:spacing w:before="0" w:after="0"/>
              <w:jc w:val="left"/>
              <w:rPr>
                <w:sz w:val="20"/>
                <w:szCs w:val="20"/>
                <w:lang w:val="fr-FR"/>
              </w:rPr>
            </w:pPr>
            <w:r w:rsidRPr="00CA44AE">
              <w:rPr>
                <w:sz w:val="20"/>
                <w:szCs w:val="20"/>
                <w:lang w:val="fr-FR"/>
              </w:rPr>
              <w:t>Améliorer le niveau de vie de de la population rurale</w:t>
            </w:r>
          </w:p>
          <w:p w14:paraId="759C6436" w14:textId="77777777" w:rsidR="00AD78D9" w:rsidRPr="00CA44AE" w:rsidRDefault="00AD78D9" w:rsidP="00CA44AE">
            <w:pPr>
              <w:spacing w:before="0" w:after="0"/>
              <w:jc w:val="left"/>
              <w:rPr>
                <w:sz w:val="20"/>
                <w:szCs w:val="20"/>
                <w:lang w:val="fr-FR"/>
              </w:rPr>
            </w:pPr>
          </w:p>
          <w:p w14:paraId="0BBD5379" w14:textId="77777777" w:rsidR="00AD78D9" w:rsidRPr="00CA44AE" w:rsidRDefault="00AD78D9" w:rsidP="00CA44AE">
            <w:pPr>
              <w:spacing w:before="0" w:after="0"/>
              <w:jc w:val="left"/>
              <w:rPr>
                <w:i/>
                <w:sz w:val="20"/>
                <w:szCs w:val="20"/>
                <w:lang w:val="fr-FR"/>
              </w:rPr>
            </w:pPr>
            <w:r w:rsidRPr="00CA44AE">
              <w:rPr>
                <w:i/>
                <w:sz w:val="20"/>
                <w:szCs w:val="20"/>
                <w:lang w:val="fr-FR"/>
              </w:rPr>
              <w:t>[Les indicateurs exacts concernant les moyens de subsistance seront contrôlés, ils devront être déterminés au lancement du projet]</w:t>
            </w:r>
          </w:p>
        </w:tc>
        <w:tc>
          <w:tcPr>
            <w:tcW w:w="2410" w:type="dxa"/>
          </w:tcPr>
          <w:p w14:paraId="7937F323" w14:textId="77777777" w:rsidR="00AD78D9" w:rsidRPr="00CA44AE" w:rsidRDefault="00AD78D9" w:rsidP="00CA44AE">
            <w:pPr>
              <w:spacing w:before="0" w:after="0"/>
              <w:jc w:val="left"/>
              <w:rPr>
                <w:sz w:val="20"/>
                <w:szCs w:val="20"/>
                <w:lang w:val="fr-FR"/>
              </w:rPr>
            </w:pPr>
            <w:r w:rsidRPr="00CA44AE">
              <w:rPr>
                <w:i/>
                <w:sz w:val="20"/>
                <w:szCs w:val="20"/>
                <w:lang w:val="fr-FR"/>
              </w:rPr>
              <w:t>[Les valeurs de départ devront être déterminées au lancement du projet]</w:t>
            </w:r>
          </w:p>
        </w:tc>
        <w:tc>
          <w:tcPr>
            <w:tcW w:w="3260" w:type="dxa"/>
          </w:tcPr>
          <w:p w14:paraId="72779008" w14:textId="77777777" w:rsidR="00AD78D9" w:rsidRPr="00CA44AE" w:rsidRDefault="00AD78D9" w:rsidP="00CA44AE">
            <w:pPr>
              <w:spacing w:before="0" w:after="0"/>
              <w:jc w:val="left"/>
              <w:rPr>
                <w:i/>
                <w:sz w:val="20"/>
                <w:szCs w:val="20"/>
                <w:lang w:val="fr-FR"/>
              </w:rPr>
            </w:pPr>
            <w:r w:rsidRPr="00CA44AE">
              <w:rPr>
                <w:i/>
                <w:sz w:val="20"/>
                <w:szCs w:val="20"/>
                <w:lang w:val="fr-FR"/>
              </w:rPr>
              <w:t>[Proposé à titre indicatif]</w:t>
            </w:r>
          </w:p>
          <w:p w14:paraId="6FDD68BB" w14:textId="77777777" w:rsidR="00AD78D9" w:rsidRPr="00CA44AE" w:rsidRDefault="00AD78D9" w:rsidP="00CA44AE">
            <w:pPr>
              <w:spacing w:before="0" w:after="0"/>
              <w:jc w:val="left"/>
              <w:rPr>
                <w:i/>
                <w:sz w:val="20"/>
                <w:szCs w:val="20"/>
                <w:lang w:val="fr-FR"/>
              </w:rPr>
            </w:pPr>
          </w:p>
          <w:p w14:paraId="71A1704A" w14:textId="0A98BB99" w:rsidR="00AD78D9" w:rsidRPr="00CA44AE" w:rsidRDefault="00AD78D9" w:rsidP="00CA44AE">
            <w:pPr>
              <w:spacing w:before="0" w:after="0"/>
              <w:jc w:val="left"/>
              <w:rPr>
                <w:sz w:val="20"/>
                <w:szCs w:val="20"/>
                <w:lang w:val="fr-FR"/>
              </w:rPr>
            </w:pPr>
            <w:r w:rsidRPr="00CA44AE">
              <w:rPr>
                <w:sz w:val="20"/>
                <w:szCs w:val="20"/>
                <w:lang w:val="fr-FR"/>
              </w:rPr>
              <w:t>15% de croissance des indicateurs concernant les moyens de subsistance essentiels tels que le revenu réel, le pouvoir d’achat des ménages et les modes de consommation spécifiques des ménages qui renseignent sur le niveau de vie</w:t>
            </w:r>
          </w:p>
        </w:tc>
        <w:tc>
          <w:tcPr>
            <w:tcW w:w="4678" w:type="dxa"/>
          </w:tcPr>
          <w:p w14:paraId="41D29287" w14:textId="4D5EADCA" w:rsidR="00AD78D9" w:rsidRPr="008F47A6" w:rsidRDefault="00AD78D9" w:rsidP="00AD78D9">
            <w:pPr>
              <w:spacing w:before="0" w:after="0"/>
              <w:rPr>
                <w:sz w:val="20"/>
                <w:szCs w:val="20"/>
                <w:lang w:val="fr-FR"/>
              </w:rPr>
            </w:pPr>
            <w:r>
              <w:rPr>
                <w:sz w:val="20"/>
                <w:szCs w:val="20"/>
                <w:lang w:val="fr-FR"/>
              </w:rPr>
              <w:t>La</w:t>
            </w:r>
            <w:r w:rsidRPr="008F47A6">
              <w:rPr>
                <w:sz w:val="20"/>
                <w:szCs w:val="20"/>
                <w:lang w:val="fr-FR"/>
              </w:rPr>
              <w:t xml:space="preserve"> </w:t>
            </w:r>
            <w:proofErr w:type="spellStart"/>
            <w:r w:rsidRPr="008F47A6">
              <w:rPr>
                <w:sz w:val="20"/>
                <w:szCs w:val="20"/>
                <w:lang w:val="fr-FR"/>
              </w:rPr>
              <w:t>baseline</w:t>
            </w:r>
            <w:proofErr w:type="spellEnd"/>
            <w:r w:rsidRPr="008F47A6">
              <w:rPr>
                <w:sz w:val="20"/>
                <w:szCs w:val="20"/>
                <w:lang w:val="fr-FR"/>
              </w:rPr>
              <w:t xml:space="preserve"> aurait dû être précisée au démarrage du projet</w:t>
            </w:r>
            <w:r w:rsidR="00EA4420">
              <w:rPr>
                <w:sz w:val="20"/>
                <w:szCs w:val="20"/>
                <w:lang w:val="fr-FR"/>
              </w:rPr>
              <w:t xml:space="preserve">. C’est planifié dans le PTRA 2020. </w:t>
            </w:r>
          </w:p>
          <w:p w14:paraId="1756C41A" w14:textId="159C61F5" w:rsidR="00AD78D9" w:rsidRPr="00CA44AE" w:rsidRDefault="00AD78D9" w:rsidP="00AD78D9">
            <w:pPr>
              <w:keepNext/>
              <w:keepLines/>
              <w:spacing w:before="0" w:after="0" w:line="276" w:lineRule="auto"/>
              <w:jc w:val="left"/>
              <w:outlineLvl w:val="5"/>
              <w:rPr>
                <w:sz w:val="20"/>
                <w:szCs w:val="20"/>
                <w:lang w:val="fr-FR"/>
              </w:rPr>
            </w:pPr>
            <w:r w:rsidRPr="0019231F">
              <w:rPr>
                <w:sz w:val="20"/>
                <w:szCs w:val="20"/>
                <w:lang w:val="fr-FR"/>
              </w:rPr>
              <w:t>De plus il y a une erreur de numérotation de l’indicateur qui devrait être n°14</w:t>
            </w:r>
          </w:p>
        </w:tc>
      </w:tr>
      <w:bookmarkEnd w:id="15"/>
    </w:tbl>
    <w:p w14:paraId="6D742EC9" w14:textId="77777777" w:rsidR="005167A6" w:rsidRDefault="005167A6">
      <w:pPr>
        <w:spacing w:before="0" w:after="200"/>
        <w:jc w:val="left"/>
        <w:rPr>
          <w:lang w:val="fr-FR"/>
        </w:rPr>
        <w:sectPr w:rsidR="005167A6" w:rsidSect="00CA44AE">
          <w:pgSz w:w="16838" w:h="11906" w:orient="landscape" w:code="9"/>
          <w:pgMar w:top="1440" w:right="1440" w:bottom="1440" w:left="1440" w:header="576" w:footer="432" w:gutter="0"/>
          <w:cols w:space="720"/>
          <w:docGrid w:linePitch="360"/>
        </w:sectPr>
      </w:pPr>
    </w:p>
    <w:p w14:paraId="16E6921F" w14:textId="4B29AFC5" w:rsidR="00C72320" w:rsidRDefault="00FD1CE3" w:rsidP="00CD052B">
      <w:pPr>
        <w:rPr>
          <w:lang w:val="fr-FR"/>
        </w:rPr>
      </w:pPr>
      <w:r>
        <w:rPr>
          <w:lang w:val="fr-FR"/>
        </w:rPr>
        <w:lastRenderedPageBreak/>
        <w:t xml:space="preserve">Le cadre logique initial du projet comporte un objectif général renseigné par une série de 5 indicateurs et 6 sous-indicateurs. Ce nombre élevé d’indicateurs traduit la complexité de l’objectif principal. </w:t>
      </w:r>
      <w:r w:rsidR="00245016" w:rsidRPr="008F47A6">
        <w:rPr>
          <w:lang w:val="fr-FR"/>
        </w:rPr>
        <w:t>La mission a</w:t>
      </w:r>
      <w:r>
        <w:rPr>
          <w:lang w:val="fr-FR"/>
        </w:rPr>
        <w:t xml:space="preserve"> d’ailleurs</w:t>
      </w:r>
      <w:r w:rsidR="00245016" w:rsidRPr="008F47A6">
        <w:rPr>
          <w:lang w:val="fr-FR"/>
        </w:rPr>
        <w:t xml:space="preserve"> montré que pour certains acteurs clés du projet tels que le MEDD, le DREDD ainsi que d’autres acteurs gouvernementaux, les objectifs et la justification du projet ne sont pas clairement compris. Bien souvent les aspects clés qui justifient l</w:t>
      </w:r>
      <w:r w:rsidR="00C72320">
        <w:rPr>
          <w:lang w:val="fr-FR"/>
        </w:rPr>
        <w:t xml:space="preserve">es </w:t>
      </w:r>
      <w:r w:rsidR="00245016" w:rsidRPr="008F47A6">
        <w:rPr>
          <w:lang w:val="fr-FR"/>
        </w:rPr>
        <w:t>action</w:t>
      </w:r>
      <w:r w:rsidR="00C72320">
        <w:rPr>
          <w:lang w:val="fr-FR"/>
        </w:rPr>
        <w:t>s</w:t>
      </w:r>
      <w:r w:rsidR="00245016" w:rsidRPr="008F47A6">
        <w:rPr>
          <w:lang w:val="fr-FR"/>
        </w:rPr>
        <w:t xml:space="preserve"> du projet</w:t>
      </w:r>
      <w:r w:rsidR="00C72320">
        <w:rPr>
          <w:lang w:val="fr-FR"/>
        </w:rPr>
        <w:t>, surtout sur la composante 1,</w:t>
      </w:r>
      <w:r w:rsidR="00245016" w:rsidRPr="008F47A6">
        <w:rPr>
          <w:lang w:val="fr-FR"/>
        </w:rPr>
        <w:t xml:space="preserve"> n’étaient pas mentionnés par les acteurs</w:t>
      </w:r>
      <w:r w:rsidR="00245016" w:rsidRPr="008E3E90">
        <w:rPr>
          <w:lang w:val="fr-FR"/>
        </w:rPr>
        <w:t xml:space="preserve">. </w:t>
      </w:r>
      <w:r w:rsidR="00C72320">
        <w:rPr>
          <w:lang w:val="fr-FR"/>
        </w:rPr>
        <w:t>Ceci fai</w:t>
      </w:r>
      <w:r w:rsidR="007A563F">
        <w:rPr>
          <w:lang w:val="fr-FR"/>
        </w:rPr>
        <w:t>t</w:t>
      </w:r>
      <w:r w:rsidR="00C72320">
        <w:rPr>
          <w:lang w:val="fr-FR"/>
        </w:rPr>
        <w:t xml:space="preserve"> encore référence </w:t>
      </w:r>
      <w:r w:rsidR="007A563F">
        <w:rPr>
          <w:lang w:val="fr-FR"/>
        </w:rPr>
        <w:t>à</w:t>
      </w:r>
      <w:r w:rsidR="00C72320">
        <w:rPr>
          <w:lang w:val="fr-FR"/>
        </w:rPr>
        <w:t xml:space="preserve"> l’absence des arbres de problèmes et solutions. </w:t>
      </w:r>
    </w:p>
    <w:p w14:paraId="7BE33F7C" w14:textId="4A2BA32F" w:rsidR="00E51476" w:rsidRPr="008F47A6" w:rsidRDefault="00FD1CE3" w:rsidP="00CD052B">
      <w:pPr>
        <w:rPr>
          <w:lang w:val="fr-FR"/>
        </w:rPr>
      </w:pPr>
      <w:r>
        <w:rPr>
          <w:lang w:val="fr-FR"/>
        </w:rPr>
        <w:t xml:space="preserve">Il convient de noter que dans la version de cadre logique utilisé dans le rapport annuel PNUD de 2018, l’objectif principal est subdivisé en 5 effets, chacun renseigné par un indicateur, ce qui facilite la compréhension des objectifs du projet. </w:t>
      </w:r>
      <w:r w:rsidR="005167A6">
        <w:rPr>
          <w:lang w:val="fr-FR"/>
        </w:rPr>
        <w:t>L</w:t>
      </w:r>
      <w:r w:rsidR="00273DC0" w:rsidRPr="008F47A6">
        <w:rPr>
          <w:lang w:val="fr-FR"/>
        </w:rPr>
        <w:t xml:space="preserve">e cadre logique </w:t>
      </w:r>
      <w:r w:rsidR="005167A6">
        <w:rPr>
          <w:lang w:val="fr-FR"/>
        </w:rPr>
        <w:t xml:space="preserve">initial </w:t>
      </w:r>
      <w:r w:rsidR="00273DC0" w:rsidRPr="008F47A6">
        <w:rPr>
          <w:lang w:val="fr-FR"/>
        </w:rPr>
        <w:t>comprend</w:t>
      </w:r>
      <w:r w:rsidR="005167A6">
        <w:rPr>
          <w:lang w:val="fr-FR"/>
        </w:rPr>
        <w:t xml:space="preserve"> donc un objectif, deux résultats,</w:t>
      </w:r>
      <w:r w:rsidR="00CD052B" w:rsidRPr="008F47A6">
        <w:rPr>
          <w:lang w:val="fr-FR"/>
        </w:rPr>
        <w:t xml:space="preserve"> des indicateurs, une situation de référence, </w:t>
      </w:r>
      <w:r w:rsidR="00273DC0" w:rsidRPr="008F47A6">
        <w:rPr>
          <w:lang w:val="fr-FR"/>
        </w:rPr>
        <w:t>des cibles de fin de projet</w:t>
      </w:r>
      <w:r w:rsidR="00CD052B" w:rsidRPr="008F47A6">
        <w:rPr>
          <w:lang w:val="fr-FR"/>
        </w:rPr>
        <w:t>, des sources d’informations</w:t>
      </w:r>
      <w:r w:rsidR="00273DC0" w:rsidRPr="008F47A6">
        <w:rPr>
          <w:lang w:val="fr-FR"/>
        </w:rPr>
        <w:t xml:space="preserve"> et des moyens de vérification. </w:t>
      </w:r>
      <w:r w:rsidR="005167A6">
        <w:rPr>
          <w:lang w:val="fr-FR"/>
        </w:rPr>
        <w:t xml:space="preserve">Ce cadre logique manque globalement de spécificité et de précision. Certains indicateurs, comme le montre le tableau 1, ne sont pas mesurable (Indicateur 1a), certaines cibles ne sont pas assez spécifiques voire pas du spécifiées (2a ; 8a ;8b ;8c ; 12), certaines situations de référence sont à définir au lancement (12 et 14). Par ailleurs, on constate que la numérotation des indicateurs est erronée et que certaines informations concernant l’appellation ACC et la publication du SRAT sont à réviser. </w:t>
      </w:r>
    </w:p>
    <w:p w14:paraId="62C49F57" w14:textId="4495512D" w:rsidR="00A46A10" w:rsidRPr="008F47A6" w:rsidRDefault="00B22F9F" w:rsidP="00AB4B90">
      <w:pPr>
        <w:rPr>
          <w:lang w:val="fr-FR"/>
        </w:rPr>
      </w:pPr>
      <w:r w:rsidRPr="00CA44AE">
        <w:rPr>
          <w:lang w:val="fr-FR"/>
        </w:rPr>
        <w:t>E</w:t>
      </w:r>
      <w:r w:rsidR="008E1F7E" w:rsidRPr="008F47A6">
        <w:rPr>
          <w:lang w:val="fr-FR"/>
        </w:rPr>
        <w:t xml:space="preserve">n juillet 2018, le </w:t>
      </w:r>
      <w:proofErr w:type="spellStart"/>
      <w:r w:rsidR="008E1F7E" w:rsidRPr="008F47A6">
        <w:rPr>
          <w:lang w:val="fr-FR"/>
        </w:rPr>
        <w:t>CoPil</w:t>
      </w:r>
      <w:proofErr w:type="spellEnd"/>
      <w:r w:rsidR="008E1F7E" w:rsidRPr="008F47A6">
        <w:rPr>
          <w:lang w:val="fr-FR"/>
        </w:rPr>
        <w:t xml:space="preserve"> approuve un plan de suivi-évaluation révisé qui</w:t>
      </w:r>
      <w:r>
        <w:rPr>
          <w:lang w:val="fr-FR"/>
        </w:rPr>
        <w:t xml:space="preserve"> </w:t>
      </w:r>
      <w:r w:rsidR="00851659">
        <w:rPr>
          <w:lang w:val="fr-FR"/>
        </w:rPr>
        <w:t>redéfini largement les indicateurs. Au total ce ne sont pas moins de 18 nouveaux indicateurs qui sont inclus et 4 indicateurs qui sont reformulés de façon plus mesurable</w:t>
      </w:r>
      <w:r>
        <w:rPr>
          <w:lang w:val="fr-FR"/>
        </w:rPr>
        <w:t>.</w:t>
      </w:r>
      <w:r w:rsidR="00851659">
        <w:rPr>
          <w:lang w:val="fr-FR"/>
        </w:rPr>
        <w:t xml:space="preserve"> Seulement 6 indicateurs restent identiques à la version originale.</w:t>
      </w:r>
      <w:r>
        <w:rPr>
          <w:lang w:val="fr-FR"/>
        </w:rPr>
        <w:t xml:space="preserve"> </w:t>
      </w:r>
      <w:r w:rsidR="00851659">
        <w:rPr>
          <w:lang w:val="fr-FR"/>
        </w:rPr>
        <w:t>La révision</w:t>
      </w:r>
      <w:r w:rsidR="008E1F7E" w:rsidRPr="008F47A6">
        <w:rPr>
          <w:lang w:val="fr-FR"/>
        </w:rPr>
        <w:t xml:space="preserve"> intègre</w:t>
      </w:r>
      <w:r w:rsidR="00851659">
        <w:rPr>
          <w:lang w:val="fr-FR"/>
        </w:rPr>
        <w:t xml:space="preserve"> notamment</w:t>
      </w:r>
      <w:r w:rsidR="008E1F7E" w:rsidRPr="008F47A6">
        <w:rPr>
          <w:lang w:val="fr-FR"/>
        </w:rPr>
        <w:t xml:space="preserve"> l’indicateur de programme pays sur les emplois verts</w:t>
      </w:r>
      <w:r w:rsidR="009C4202" w:rsidRPr="008F47A6">
        <w:rPr>
          <w:lang w:val="fr-FR"/>
        </w:rPr>
        <w:t xml:space="preserve"> et définis de nouveaux indicateurs accompagnés d’informations précises sur leur interprétation</w:t>
      </w:r>
      <w:r w:rsidR="008E1F7E" w:rsidRPr="008F47A6">
        <w:rPr>
          <w:lang w:val="fr-FR"/>
        </w:rPr>
        <w:t>.</w:t>
      </w:r>
      <w:r w:rsidR="00A46A10" w:rsidRPr="008F47A6">
        <w:rPr>
          <w:lang w:val="fr-FR"/>
        </w:rPr>
        <w:t xml:space="preserve"> Cette dernière version corrige le terme de Aire de Conservation Communautaire </w:t>
      </w:r>
      <w:r w:rsidR="00C72320">
        <w:rPr>
          <w:lang w:val="fr-FR"/>
        </w:rPr>
        <w:t xml:space="preserve">(ACC) </w:t>
      </w:r>
      <w:r w:rsidR="00A46A10" w:rsidRPr="008F47A6">
        <w:rPr>
          <w:lang w:val="fr-FR"/>
        </w:rPr>
        <w:t xml:space="preserve">par celui d’APC, l’alignant ainsi sur la terminologie utilisée par le COAP. On note </w:t>
      </w:r>
      <w:r w:rsidR="00A46A10" w:rsidRPr="008E3E90">
        <w:rPr>
          <w:lang w:val="fr-FR"/>
        </w:rPr>
        <w:t xml:space="preserve">que certains indicateurs </w:t>
      </w:r>
      <w:r w:rsidR="00A46A10" w:rsidRPr="005C1CF2">
        <w:rPr>
          <w:lang w:val="fr-FR"/>
        </w:rPr>
        <w:t>de programme tel que l</w:t>
      </w:r>
      <w:r w:rsidR="00A46A10" w:rsidRPr="00582B5D">
        <w:rPr>
          <w:lang w:val="fr-FR"/>
        </w:rPr>
        <w:t>’i</w:t>
      </w:r>
      <w:r w:rsidR="00A46A10" w:rsidRPr="008F47A6">
        <w:rPr>
          <w:lang w:val="fr-FR"/>
        </w:rPr>
        <w:t>ndicateur 4.2, lié au nombre d’emplois verts créé par le projet</w:t>
      </w:r>
      <w:r w:rsidR="00AB4B90">
        <w:rPr>
          <w:lang w:val="fr-FR"/>
        </w:rPr>
        <w:t xml:space="preserve"> ainsi qu’à la superficie couverte par le système de gestion intégrant la biodiversité,</w:t>
      </w:r>
      <w:r w:rsidR="00A46A10" w:rsidRPr="008F47A6">
        <w:rPr>
          <w:lang w:val="fr-FR"/>
        </w:rPr>
        <w:t xml:space="preserve"> sont définis et intégrés dans le plan de S&amp;E.</w:t>
      </w:r>
      <w:r w:rsidR="00B6674E">
        <w:rPr>
          <w:lang w:val="fr-FR"/>
        </w:rPr>
        <w:t xml:space="preserve"> </w:t>
      </w:r>
      <w:r w:rsidR="00AB4B90">
        <w:rPr>
          <w:lang w:val="fr-FR"/>
        </w:rPr>
        <w:t>En ce qui concerne les cibles</w:t>
      </w:r>
      <w:r w:rsidR="00803365">
        <w:rPr>
          <w:lang w:val="fr-FR"/>
        </w:rPr>
        <w:t xml:space="preserve"> et les valeurs de référence, elles sont presque toutes indiquées de manière précise. A l’exception de trois indicateurs qui ne disposent pas encore de valeur de référence (Indicateur (b) d’objectif ; Indicateur (c) de résultat 1 ; et indicateur (h)</w:t>
      </w:r>
      <w:r w:rsidR="00AB4B90">
        <w:rPr>
          <w:lang w:val="fr-FR"/>
        </w:rPr>
        <w:t xml:space="preserve"> </w:t>
      </w:r>
      <w:r w:rsidR="00803365">
        <w:rPr>
          <w:lang w:val="fr-FR"/>
        </w:rPr>
        <w:t>de résultat 2) et donc, dont les cibles sont invalides.</w:t>
      </w:r>
      <w:r w:rsidR="00A46A10" w:rsidRPr="008F47A6">
        <w:rPr>
          <w:lang w:val="fr-FR"/>
        </w:rPr>
        <w:t xml:space="preserve"> </w:t>
      </w:r>
      <w:r w:rsidR="00803365">
        <w:rPr>
          <w:lang w:val="fr-FR"/>
        </w:rPr>
        <w:t xml:space="preserve">Le plan révisé inclus également un troisième résultat lié à la gestion de projet, pourvu d’indicateurs et de cibles. </w:t>
      </w:r>
      <w:r w:rsidR="00A46A10" w:rsidRPr="008F47A6">
        <w:rPr>
          <w:lang w:val="fr-FR"/>
        </w:rPr>
        <w:t xml:space="preserve"> </w:t>
      </w:r>
    </w:p>
    <w:p w14:paraId="267DC074" w14:textId="77777777" w:rsidR="00803365" w:rsidRDefault="00AB4B90" w:rsidP="00A46A10">
      <w:pPr>
        <w:rPr>
          <w:lang w:val="fr-FR"/>
        </w:rPr>
      </w:pPr>
      <w:r>
        <w:rPr>
          <w:lang w:val="fr-FR"/>
        </w:rPr>
        <w:t xml:space="preserve">Globalement </w:t>
      </w:r>
      <w:r w:rsidRPr="008F47A6">
        <w:rPr>
          <w:lang w:val="fr-FR"/>
        </w:rPr>
        <w:t>un effort</w:t>
      </w:r>
      <w:r>
        <w:rPr>
          <w:lang w:val="fr-FR"/>
        </w:rPr>
        <w:t xml:space="preserve"> important</w:t>
      </w:r>
      <w:r w:rsidRPr="008F47A6">
        <w:rPr>
          <w:lang w:val="fr-FR"/>
        </w:rPr>
        <w:t xml:space="preserve"> a été fait pour rendre </w:t>
      </w:r>
      <w:r w:rsidR="00803365">
        <w:rPr>
          <w:lang w:val="fr-FR"/>
        </w:rPr>
        <w:t xml:space="preserve">les indicateurs et les cibles </w:t>
      </w:r>
      <w:r w:rsidRPr="008F47A6">
        <w:rPr>
          <w:lang w:val="fr-FR"/>
        </w:rPr>
        <w:t>plus SMART</w:t>
      </w:r>
      <w:r w:rsidRPr="008E3E90">
        <w:rPr>
          <w:rStyle w:val="Appelnotedebasdep"/>
          <w:lang w:val="fr-FR"/>
        </w:rPr>
        <w:footnoteReference w:id="17"/>
      </w:r>
      <w:r>
        <w:rPr>
          <w:lang w:val="fr-FR"/>
        </w:rPr>
        <w:t xml:space="preserve">, en particulier plus précis, plus concis et plus </w:t>
      </w:r>
      <w:r w:rsidR="00803365">
        <w:rPr>
          <w:lang w:val="fr-FR"/>
        </w:rPr>
        <w:t xml:space="preserve">facilement </w:t>
      </w:r>
      <w:r>
        <w:rPr>
          <w:lang w:val="fr-FR"/>
        </w:rPr>
        <w:t>mesurable</w:t>
      </w:r>
      <w:r w:rsidR="00803365">
        <w:rPr>
          <w:lang w:val="fr-FR"/>
        </w:rPr>
        <w:t>s</w:t>
      </w:r>
      <w:r>
        <w:rPr>
          <w:lang w:val="fr-FR"/>
        </w:rPr>
        <w:t>. Ainsi la plupart des indicateurs d’objectif deviennent clairement quantitatifs (« Superficie appliquant un système de gestion améliorée de la biodiversité », « Taux de réduction des empiètements des investissem</w:t>
      </w:r>
      <w:r w:rsidR="00803365">
        <w:rPr>
          <w:lang w:val="fr-FR"/>
        </w:rPr>
        <w:t>e</w:t>
      </w:r>
      <w:r>
        <w:rPr>
          <w:lang w:val="fr-FR"/>
        </w:rPr>
        <w:t>nt</w:t>
      </w:r>
      <w:r w:rsidR="00803365">
        <w:rPr>
          <w:lang w:val="fr-FR"/>
        </w:rPr>
        <w:t>s</w:t>
      </w:r>
      <w:r>
        <w:rPr>
          <w:lang w:val="fr-FR"/>
        </w:rPr>
        <w:t xml:space="preserve"> économiques à l’intérieur des AP et APC ») </w:t>
      </w:r>
      <w:r w:rsidR="00803365">
        <w:rPr>
          <w:lang w:val="fr-FR"/>
        </w:rPr>
        <w:t xml:space="preserve">là où avant ils étaient plus imprécis « utilisation de l’outil de planification territoriale aux fins de l’intégration de la biodiversité »). </w:t>
      </w:r>
    </w:p>
    <w:p w14:paraId="1566E1C2" w14:textId="3359AD5E" w:rsidR="008B3850" w:rsidRPr="008F47A6" w:rsidRDefault="00803365" w:rsidP="008B3850">
      <w:pPr>
        <w:rPr>
          <w:lang w:val="fr-FR"/>
        </w:rPr>
      </w:pPr>
      <w:r>
        <w:rPr>
          <w:lang w:val="fr-FR"/>
        </w:rPr>
        <w:t>Toutefois, le plan révisé prévoit</w:t>
      </w:r>
      <w:r w:rsidR="0010057A">
        <w:rPr>
          <w:lang w:val="fr-FR"/>
        </w:rPr>
        <w:t xml:space="preserve"> un nombre élevé d’</w:t>
      </w:r>
      <w:r>
        <w:rPr>
          <w:lang w:val="fr-FR"/>
        </w:rPr>
        <w:t xml:space="preserve">indicateurs </w:t>
      </w:r>
      <w:r w:rsidR="0010057A">
        <w:rPr>
          <w:lang w:val="fr-FR"/>
        </w:rPr>
        <w:t xml:space="preserve">par </w:t>
      </w:r>
      <w:r>
        <w:rPr>
          <w:lang w:val="fr-FR"/>
        </w:rPr>
        <w:t>objectif et résultat</w:t>
      </w:r>
      <w:r w:rsidR="0010057A">
        <w:rPr>
          <w:lang w:val="fr-FR"/>
        </w:rPr>
        <w:t xml:space="preserve"> (entre 7 et 9) ce qui ne facilite pas la compréhension de la stratégie. </w:t>
      </w:r>
      <w:r w:rsidR="009E1897">
        <w:rPr>
          <w:lang w:val="fr-FR"/>
        </w:rPr>
        <w:t>P</w:t>
      </w:r>
      <w:r w:rsidR="009E1897" w:rsidRPr="008E3E90">
        <w:rPr>
          <w:lang w:val="fr-FR"/>
        </w:rPr>
        <w:t>armi</w:t>
      </w:r>
      <w:r w:rsidR="009E1897" w:rsidRPr="005C1CF2">
        <w:rPr>
          <w:lang w:val="fr-FR"/>
        </w:rPr>
        <w:t xml:space="preserve"> </w:t>
      </w:r>
      <w:r w:rsidR="009E1897">
        <w:rPr>
          <w:lang w:val="fr-FR"/>
        </w:rPr>
        <w:t>les parties prenantes</w:t>
      </w:r>
      <w:r w:rsidR="009E1897" w:rsidRPr="00582B5D">
        <w:rPr>
          <w:lang w:val="fr-FR"/>
        </w:rPr>
        <w:t xml:space="preserve"> qui connaissa</w:t>
      </w:r>
      <w:r w:rsidR="009E1897" w:rsidRPr="008F47A6">
        <w:rPr>
          <w:lang w:val="fr-FR"/>
        </w:rPr>
        <w:t xml:space="preserve">ient </w:t>
      </w:r>
      <w:r w:rsidR="009E1897" w:rsidRPr="008F47A6">
        <w:rPr>
          <w:lang w:val="fr-FR"/>
        </w:rPr>
        <w:lastRenderedPageBreak/>
        <w:t>précisément les objectifs du projet, certains ont émis des doutes sur le fait qu’ils soient réalistes aux vus des moyens humains et financiers ainsi que du temps alloué.</w:t>
      </w:r>
      <w:r w:rsidR="009E1897">
        <w:rPr>
          <w:lang w:val="fr-FR"/>
        </w:rPr>
        <w:t xml:space="preserve"> </w:t>
      </w:r>
      <w:r w:rsidR="009313B0" w:rsidRPr="009313B0">
        <w:rPr>
          <w:lang w:val="fr-FR"/>
        </w:rPr>
        <w:t>Certains autres aspects devraient être ajustés</w:t>
      </w:r>
      <w:r w:rsidR="009313B0">
        <w:rPr>
          <w:lang w:val="fr-FR"/>
        </w:rPr>
        <w:t>,</w:t>
      </w:r>
      <w:r w:rsidR="009313B0" w:rsidRPr="009313B0">
        <w:rPr>
          <w:lang w:val="fr-FR"/>
        </w:rPr>
        <w:t xml:space="preserve"> comme la portée de l'indicateur 3 b, qui devrait prendre en compte le nombre de personnes bénéficiant directement du projet dans les fokontanys ciblés et non pas seulement la population totale dans les fokontanys ciblés (soit 27 000 personnes). L'indicateur b pour le résultat 1 devrait également être révisé, car la méthodologie METT ne peut être appliquée qu'aux AP et aux APC et non aux communes</w:t>
      </w:r>
      <w:r w:rsidR="009313B0">
        <w:rPr>
          <w:lang w:val="fr-FR"/>
        </w:rPr>
        <w:t xml:space="preserve">. </w:t>
      </w:r>
      <w:r w:rsidR="0010057A">
        <w:rPr>
          <w:lang w:val="fr-FR"/>
        </w:rPr>
        <w:t xml:space="preserve">Par ailleurs, il ne définit pas d’indicateur pour les extrants ni de cible à mi-parcours. </w:t>
      </w:r>
      <w:r w:rsidR="009E1897" w:rsidRPr="008F47A6">
        <w:rPr>
          <w:lang w:val="fr-FR"/>
        </w:rPr>
        <w:t xml:space="preserve"> </w:t>
      </w:r>
      <w:r w:rsidR="009E1897">
        <w:rPr>
          <w:lang w:val="fr-FR"/>
        </w:rPr>
        <w:t>Les</w:t>
      </w:r>
      <w:r w:rsidR="009E1897" w:rsidRPr="008F47A6">
        <w:rPr>
          <w:lang w:val="fr-FR"/>
        </w:rPr>
        <w:t xml:space="preserve"> indications sexo-spécifiques</w:t>
      </w:r>
      <w:r w:rsidR="009E1897">
        <w:rPr>
          <w:lang w:val="fr-FR"/>
        </w:rPr>
        <w:t xml:space="preserve"> nécessaires pour informer l’ATLAS du PNUD restent absentes du cadre logique révisé</w:t>
      </w:r>
      <w:r w:rsidR="009E1897" w:rsidRPr="008F47A6">
        <w:rPr>
          <w:lang w:val="fr-FR"/>
        </w:rPr>
        <w:t xml:space="preserve">. </w:t>
      </w:r>
      <w:r w:rsidR="009E1897">
        <w:rPr>
          <w:lang w:val="fr-FR"/>
        </w:rPr>
        <w:t xml:space="preserve">De plus, </w:t>
      </w:r>
      <w:r w:rsidR="009E1897" w:rsidRPr="008F47A6">
        <w:rPr>
          <w:lang w:val="fr-FR"/>
        </w:rPr>
        <w:t xml:space="preserve">de nouveaux éléments de projet comme le </w:t>
      </w:r>
      <w:r w:rsidR="009E1897">
        <w:rPr>
          <w:lang w:val="fr-FR"/>
        </w:rPr>
        <w:t>travail en matière des</w:t>
      </w:r>
      <w:r w:rsidR="009E1897" w:rsidRPr="008F47A6">
        <w:rPr>
          <w:lang w:val="fr-FR"/>
        </w:rPr>
        <w:t xml:space="preserve"> villes écologiques devraient être intégrés dans un cadre des résultats actualisé</w:t>
      </w:r>
      <w:r w:rsidR="009E1897">
        <w:rPr>
          <w:lang w:val="fr-FR"/>
        </w:rPr>
        <w:t xml:space="preserve">. </w:t>
      </w:r>
      <w:r w:rsidR="008B3850">
        <w:rPr>
          <w:lang w:val="fr-FR"/>
        </w:rPr>
        <w:t>De manière plus préoccupante, il convient de mentionner qu’à ce jour le cadre logique révisé n’est pas utilisé, puisqu’aucun des rapports récent</w:t>
      </w:r>
      <w:r w:rsidR="00D84524">
        <w:rPr>
          <w:lang w:val="fr-FR"/>
        </w:rPr>
        <w:t>s</w:t>
      </w:r>
      <w:r w:rsidR="008B3850">
        <w:rPr>
          <w:lang w:val="fr-FR"/>
        </w:rPr>
        <w:t xml:space="preserve"> mis à disposition de l’équipe d’évaluation ne se basait sur celui-ci. </w:t>
      </w:r>
    </w:p>
    <w:p w14:paraId="22DBFB79" w14:textId="6C4B185C" w:rsidR="00490585" w:rsidRPr="008F47A6" w:rsidRDefault="00490585" w:rsidP="008F47A6">
      <w:pPr>
        <w:rPr>
          <w:b/>
          <w:bCs/>
          <w:color w:val="00B050"/>
          <w:sz w:val="20"/>
          <w:lang w:val="fr-FR"/>
        </w:rPr>
      </w:pPr>
    </w:p>
    <w:p w14:paraId="26EF5E37" w14:textId="50055C3B" w:rsidR="00490585" w:rsidRPr="00486C46" w:rsidRDefault="00490585" w:rsidP="00490585">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
          <w:color w:val="2F5496"/>
          <w:u w:val="single"/>
          <w:lang w:val="fr-FR"/>
        </w:rPr>
      </w:pPr>
      <w:r w:rsidRPr="00486C46">
        <w:rPr>
          <w:b/>
          <w:color w:val="2F5496"/>
          <w:u w:val="single"/>
          <w:lang w:val="fr-FR"/>
        </w:rPr>
        <w:t xml:space="preserve">Conclusion question évaluative </w:t>
      </w:r>
      <w:r>
        <w:rPr>
          <w:b/>
          <w:color w:val="2F5496"/>
          <w:u w:val="single"/>
          <w:lang w:val="fr-FR"/>
        </w:rPr>
        <w:t>1</w:t>
      </w:r>
      <w:r w:rsidRPr="00486C46">
        <w:rPr>
          <w:b/>
          <w:color w:val="2F5496"/>
          <w:u w:val="single"/>
          <w:lang w:val="fr-FR"/>
        </w:rPr>
        <w:t> :</w:t>
      </w:r>
    </w:p>
    <w:p w14:paraId="1AD67D1B" w14:textId="091460A6" w:rsidR="00053BB9" w:rsidRPr="008F47A6" w:rsidRDefault="00A70257" w:rsidP="00490585">
      <w:pPr>
        <w:pStyle w:val="Corpsdetexte3"/>
        <w:pBdr>
          <w:top w:val="single" w:sz="4" w:space="1" w:color="auto"/>
          <w:left w:val="single" w:sz="4" w:space="4" w:color="auto"/>
          <w:bottom w:val="single" w:sz="4" w:space="0" w:color="auto"/>
          <w:right w:val="single" w:sz="4" w:space="4" w:color="auto"/>
        </w:pBdr>
        <w:shd w:val="clear" w:color="auto" w:fill="F2F2F2" w:themeFill="background1" w:themeFillShade="F2"/>
        <w:spacing w:line="240" w:lineRule="auto"/>
        <w:rPr>
          <w:color w:val="2F5496"/>
          <w:sz w:val="22"/>
          <w:szCs w:val="22"/>
          <w:lang w:val="fr-FR"/>
        </w:rPr>
      </w:pPr>
      <w:bookmarkStart w:id="16" w:name="_Hlk499495813"/>
      <w:r>
        <w:rPr>
          <w:color w:val="2F5496"/>
          <w:sz w:val="22"/>
          <w:szCs w:val="22"/>
          <w:lang w:val="fr-FR"/>
        </w:rPr>
        <w:t>Globalement, l</w:t>
      </w:r>
      <w:r w:rsidR="00490585" w:rsidRPr="008F47A6">
        <w:rPr>
          <w:color w:val="2F5496"/>
          <w:sz w:val="22"/>
          <w:szCs w:val="22"/>
          <w:lang w:val="fr-FR"/>
        </w:rPr>
        <w:t xml:space="preserve">e document de projet est considéré de </w:t>
      </w:r>
      <w:r w:rsidR="00053BB9" w:rsidRPr="008F47A6">
        <w:rPr>
          <w:color w:val="2F5496"/>
          <w:sz w:val="22"/>
          <w:szCs w:val="22"/>
          <w:lang w:val="fr-FR"/>
        </w:rPr>
        <w:t xml:space="preserve">bonne </w:t>
      </w:r>
      <w:r w:rsidR="00490585" w:rsidRPr="008F47A6">
        <w:rPr>
          <w:color w:val="2F5496"/>
          <w:sz w:val="22"/>
          <w:szCs w:val="22"/>
          <w:lang w:val="fr-FR"/>
        </w:rPr>
        <w:t>qualité</w:t>
      </w:r>
      <w:r w:rsidR="00053BB9" w:rsidRPr="008F47A6">
        <w:rPr>
          <w:color w:val="2F5496"/>
          <w:sz w:val="22"/>
          <w:szCs w:val="22"/>
          <w:lang w:val="fr-FR"/>
        </w:rPr>
        <w:t xml:space="preserve"> même s’il manque d’une représentation graphique des problèmes et solutions et d’une théorie du changement</w:t>
      </w:r>
      <w:r w:rsidR="00ED5A1F" w:rsidRPr="008F47A6">
        <w:rPr>
          <w:color w:val="2F5496"/>
          <w:sz w:val="22"/>
          <w:szCs w:val="22"/>
          <w:lang w:val="fr-FR"/>
        </w:rPr>
        <w:t>, ce qui limite de façon importante la compréhension qu’ont les parties prenantes du projet dans son ensemble</w:t>
      </w:r>
      <w:r w:rsidR="00490585" w:rsidRPr="008F47A6">
        <w:rPr>
          <w:color w:val="2F5496"/>
          <w:sz w:val="22"/>
          <w:szCs w:val="22"/>
          <w:lang w:val="fr-FR"/>
        </w:rPr>
        <w:t>.</w:t>
      </w:r>
      <w:r w:rsidR="00053BB9" w:rsidRPr="008F47A6">
        <w:rPr>
          <w:color w:val="2F5496"/>
          <w:sz w:val="22"/>
          <w:szCs w:val="22"/>
          <w:lang w:val="fr-FR"/>
        </w:rPr>
        <w:t xml:space="preserve"> Le problème auquel il s’attaque est très pertinent et la stratégie adoptée est convaincante. Il est tou</w:t>
      </w:r>
      <w:r w:rsidR="00ED5A1F" w:rsidRPr="008F47A6">
        <w:rPr>
          <w:color w:val="2F5496"/>
          <w:sz w:val="22"/>
          <w:szCs w:val="22"/>
          <w:lang w:val="fr-FR"/>
        </w:rPr>
        <w:t>t</w:t>
      </w:r>
      <w:r w:rsidR="00053BB9" w:rsidRPr="008F47A6">
        <w:rPr>
          <w:color w:val="2F5496"/>
          <w:sz w:val="22"/>
          <w:szCs w:val="22"/>
          <w:lang w:val="fr-FR"/>
        </w:rPr>
        <w:t>efois regrettable que cette stratégie n’intègre pas mieux la dimension nationale</w:t>
      </w:r>
      <w:r>
        <w:rPr>
          <w:color w:val="2F5496"/>
          <w:sz w:val="22"/>
          <w:szCs w:val="22"/>
          <w:lang w:val="fr-FR"/>
        </w:rPr>
        <w:t>, surtout, mais pas seulement pour la composante 1</w:t>
      </w:r>
      <w:r w:rsidR="00053BB9" w:rsidRPr="008F47A6">
        <w:rPr>
          <w:color w:val="2F5496"/>
          <w:sz w:val="22"/>
          <w:szCs w:val="22"/>
          <w:lang w:val="fr-FR"/>
        </w:rPr>
        <w:t xml:space="preserve">. </w:t>
      </w:r>
    </w:p>
    <w:p w14:paraId="4E6E7AAB" w14:textId="30A0F325" w:rsidR="00C556E1" w:rsidRPr="008F47A6" w:rsidRDefault="00490585" w:rsidP="00490585">
      <w:pPr>
        <w:pStyle w:val="Corpsdetexte3"/>
        <w:pBdr>
          <w:top w:val="single" w:sz="4" w:space="1" w:color="auto"/>
          <w:left w:val="single" w:sz="4" w:space="4" w:color="auto"/>
          <w:bottom w:val="single" w:sz="4" w:space="0" w:color="auto"/>
          <w:right w:val="single" w:sz="4" w:space="4" w:color="auto"/>
        </w:pBdr>
        <w:shd w:val="clear" w:color="auto" w:fill="F2F2F2" w:themeFill="background1" w:themeFillShade="F2"/>
        <w:spacing w:line="240" w:lineRule="auto"/>
        <w:rPr>
          <w:color w:val="2F5496"/>
          <w:sz w:val="22"/>
          <w:szCs w:val="22"/>
          <w:lang w:val="fr-FR"/>
        </w:rPr>
      </w:pPr>
      <w:r w:rsidRPr="008F47A6">
        <w:rPr>
          <w:color w:val="2F5496"/>
          <w:sz w:val="22"/>
          <w:szCs w:val="22"/>
          <w:lang w:val="fr-FR"/>
        </w:rPr>
        <w:t xml:space="preserve">Le processus de formulation a été réalisé de manière consultative et inclusive. </w:t>
      </w:r>
      <w:r w:rsidR="00ED5A1F" w:rsidRPr="008F47A6">
        <w:rPr>
          <w:color w:val="2F5496"/>
          <w:sz w:val="22"/>
          <w:szCs w:val="22"/>
          <w:lang w:val="fr-FR"/>
        </w:rPr>
        <w:t>Les indicateurs du cadre logique initial n’étaient pas tous SMART, mais la révision</w:t>
      </w:r>
      <w:r w:rsidR="00C556E1">
        <w:rPr>
          <w:color w:val="2F5496"/>
          <w:sz w:val="22"/>
          <w:szCs w:val="22"/>
          <w:lang w:val="fr-FR"/>
        </w:rPr>
        <w:t xml:space="preserve"> de juillet 2018</w:t>
      </w:r>
      <w:r w:rsidR="00ED5A1F" w:rsidRPr="008F47A6">
        <w:rPr>
          <w:color w:val="2F5496"/>
          <w:sz w:val="22"/>
          <w:szCs w:val="22"/>
          <w:lang w:val="fr-FR"/>
        </w:rPr>
        <w:t xml:space="preserve"> a permis d’améliorer </w:t>
      </w:r>
      <w:r w:rsidR="001C23BE">
        <w:rPr>
          <w:color w:val="2F5496"/>
          <w:sz w:val="22"/>
          <w:szCs w:val="22"/>
          <w:lang w:val="fr-FR"/>
        </w:rPr>
        <w:t>la définition précise et mesurable des indicateurs et les valeurs ont toutes sauf à une exception été déterminées</w:t>
      </w:r>
      <w:r w:rsidR="00ED5A1F" w:rsidRPr="008F47A6">
        <w:rPr>
          <w:color w:val="2F5496"/>
          <w:sz w:val="22"/>
          <w:szCs w:val="22"/>
          <w:lang w:val="fr-FR"/>
        </w:rPr>
        <w:t xml:space="preserve">, de sorte qu’il est maintenant </w:t>
      </w:r>
      <w:r w:rsidR="009313B0">
        <w:rPr>
          <w:color w:val="2F5496"/>
          <w:sz w:val="22"/>
          <w:szCs w:val="22"/>
          <w:lang w:val="fr-FR"/>
        </w:rPr>
        <w:t xml:space="preserve">plus </w:t>
      </w:r>
      <w:r w:rsidR="00ED5A1F" w:rsidRPr="008F47A6">
        <w:rPr>
          <w:color w:val="2F5496"/>
          <w:sz w:val="22"/>
          <w:szCs w:val="22"/>
          <w:lang w:val="fr-FR"/>
        </w:rPr>
        <w:t>approprié</w:t>
      </w:r>
      <w:r w:rsidR="0010057A">
        <w:rPr>
          <w:color w:val="2F5496"/>
          <w:sz w:val="22"/>
          <w:szCs w:val="22"/>
          <w:lang w:val="fr-FR"/>
        </w:rPr>
        <w:t xml:space="preserve"> même s’il est urgent de définir précisément les valeur</w:t>
      </w:r>
      <w:r w:rsidR="008B3850">
        <w:rPr>
          <w:color w:val="2F5496"/>
          <w:sz w:val="22"/>
          <w:szCs w:val="22"/>
          <w:lang w:val="fr-FR"/>
        </w:rPr>
        <w:t>s</w:t>
      </w:r>
      <w:r w:rsidR="0010057A">
        <w:rPr>
          <w:color w:val="2F5496"/>
          <w:sz w:val="22"/>
          <w:szCs w:val="22"/>
          <w:lang w:val="fr-FR"/>
        </w:rPr>
        <w:t xml:space="preserve"> initiale</w:t>
      </w:r>
      <w:r w:rsidR="008B3850">
        <w:rPr>
          <w:color w:val="2F5496"/>
          <w:sz w:val="22"/>
          <w:szCs w:val="22"/>
          <w:lang w:val="fr-FR"/>
        </w:rPr>
        <w:t>s</w:t>
      </w:r>
      <w:r w:rsidR="0010057A">
        <w:rPr>
          <w:color w:val="2F5496"/>
          <w:sz w:val="22"/>
          <w:szCs w:val="22"/>
          <w:lang w:val="fr-FR"/>
        </w:rPr>
        <w:t xml:space="preserve"> des indicateurs </w:t>
      </w:r>
      <w:r w:rsidR="0010057A" w:rsidRPr="0010057A">
        <w:rPr>
          <w:color w:val="2F5496"/>
          <w:sz w:val="22"/>
          <w:szCs w:val="22"/>
          <w:lang w:val="fr-FR"/>
        </w:rPr>
        <w:t>(b) d</w:t>
      </w:r>
      <w:r w:rsidR="0010057A">
        <w:rPr>
          <w:color w:val="2F5496"/>
          <w:sz w:val="22"/>
          <w:szCs w:val="22"/>
          <w:lang w:val="fr-FR"/>
        </w:rPr>
        <w:t xml:space="preserve">e </w:t>
      </w:r>
      <w:proofErr w:type="gramStart"/>
      <w:r w:rsidR="0010057A">
        <w:rPr>
          <w:color w:val="2F5496"/>
          <w:sz w:val="22"/>
          <w:szCs w:val="22"/>
          <w:lang w:val="fr-FR"/>
        </w:rPr>
        <w:t>l’</w:t>
      </w:r>
      <w:r w:rsidR="0010057A" w:rsidRPr="0010057A">
        <w:rPr>
          <w:color w:val="2F5496"/>
          <w:sz w:val="22"/>
          <w:szCs w:val="22"/>
          <w:lang w:val="fr-FR"/>
        </w:rPr>
        <w:t>objectif;</w:t>
      </w:r>
      <w:proofErr w:type="gramEnd"/>
      <w:r w:rsidR="0010057A" w:rsidRPr="0010057A">
        <w:rPr>
          <w:color w:val="2F5496"/>
          <w:sz w:val="22"/>
          <w:szCs w:val="22"/>
          <w:lang w:val="fr-FR"/>
        </w:rPr>
        <w:t xml:space="preserve"> (c) de résultat 1; et (h) de résultat 2)</w:t>
      </w:r>
      <w:r w:rsidR="009313B0">
        <w:rPr>
          <w:color w:val="2F5496"/>
          <w:sz w:val="22"/>
          <w:szCs w:val="22"/>
          <w:lang w:val="fr-FR"/>
        </w:rPr>
        <w:t xml:space="preserve"> et d’en ajuster d’autres. Il est également urgent </w:t>
      </w:r>
      <w:r w:rsidR="008B3850">
        <w:rPr>
          <w:color w:val="2F5496"/>
          <w:sz w:val="22"/>
          <w:szCs w:val="22"/>
          <w:lang w:val="fr-FR"/>
        </w:rPr>
        <w:t>de systématiser son utilisation dans le suivi de projet</w:t>
      </w:r>
      <w:r w:rsidR="00ED5A1F" w:rsidRPr="008F47A6">
        <w:rPr>
          <w:color w:val="2F5496"/>
          <w:sz w:val="22"/>
          <w:szCs w:val="22"/>
          <w:lang w:val="fr-FR"/>
        </w:rPr>
        <w:t>.</w:t>
      </w:r>
      <w:r w:rsidR="00C556E1">
        <w:rPr>
          <w:color w:val="2F5496"/>
          <w:sz w:val="22"/>
          <w:szCs w:val="22"/>
          <w:lang w:val="fr-FR"/>
        </w:rPr>
        <w:t xml:space="preserve"> Dès lors la conception du projet et le cadre de résultats sont jugés pertinents</w:t>
      </w:r>
      <w:r w:rsidR="009313B0">
        <w:rPr>
          <w:color w:val="2F5496"/>
          <w:sz w:val="22"/>
          <w:szCs w:val="22"/>
          <w:lang w:val="fr-FR"/>
        </w:rPr>
        <w:t>,</w:t>
      </w:r>
      <w:r w:rsidR="009313B0" w:rsidRPr="002B677E">
        <w:rPr>
          <w:lang w:val="fr-FR"/>
        </w:rPr>
        <w:t xml:space="preserve"> </w:t>
      </w:r>
      <w:r w:rsidR="009313B0" w:rsidRPr="009313B0">
        <w:rPr>
          <w:color w:val="2F5496"/>
          <w:sz w:val="22"/>
          <w:szCs w:val="22"/>
          <w:lang w:val="fr-FR"/>
        </w:rPr>
        <w:t>avec une certaine marge d'amélioration, en particulier dans ce dernier</w:t>
      </w:r>
      <w:r w:rsidR="00C556E1">
        <w:rPr>
          <w:color w:val="2F5496"/>
          <w:sz w:val="22"/>
          <w:szCs w:val="22"/>
          <w:lang w:val="fr-FR"/>
        </w:rPr>
        <w:t xml:space="preserve">.  </w:t>
      </w:r>
    </w:p>
    <w:p w14:paraId="3BD9534B" w14:textId="77777777" w:rsidR="007800ED" w:rsidRDefault="007800ED">
      <w:pPr>
        <w:spacing w:before="0" w:after="200"/>
        <w:jc w:val="left"/>
        <w:rPr>
          <w:rFonts w:eastAsiaTheme="majorEastAsia" w:cstheme="majorBidi"/>
          <w:b/>
          <w:color w:val="2F5496"/>
          <w:highlight w:val="lightGray"/>
          <w:lang w:val="fr-FR"/>
        </w:rPr>
      </w:pPr>
      <w:r>
        <w:rPr>
          <w:highlight w:val="lightGray"/>
          <w:lang w:val="fr-FR"/>
        </w:rPr>
        <w:br w:type="page"/>
      </w:r>
    </w:p>
    <w:p w14:paraId="3D89E56A" w14:textId="212E18CC" w:rsidR="005C550F" w:rsidRDefault="005C550F" w:rsidP="005C550F">
      <w:pPr>
        <w:pStyle w:val="Titre2"/>
        <w:rPr>
          <w:lang w:val="fr-FR"/>
        </w:rPr>
      </w:pPr>
      <w:bookmarkStart w:id="17" w:name="_Toc26213971"/>
      <w:bookmarkStart w:id="18" w:name="_Toc26213972"/>
      <w:bookmarkStart w:id="19" w:name="_Toc26213973"/>
      <w:bookmarkStart w:id="20" w:name="_Toc31122558"/>
      <w:bookmarkEnd w:id="16"/>
      <w:bookmarkEnd w:id="17"/>
      <w:bookmarkEnd w:id="18"/>
      <w:bookmarkEnd w:id="19"/>
      <w:r w:rsidRPr="005C550F">
        <w:rPr>
          <w:lang w:val="fr-FR"/>
        </w:rPr>
        <w:lastRenderedPageBreak/>
        <w:t>Progrès accomplis vers la réalisation des résultats</w:t>
      </w:r>
      <w:bookmarkEnd w:id="20"/>
      <w:r w:rsidRPr="005C550F">
        <w:rPr>
          <w:lang w:val="fr-FR"/>
        </w:rPr>
        <w:t xml:space="preserve"> </w:t>
      </w:r>
    </w:p>
    <w:p w14:paraId="007A0AA0" w14:textId="6EE4A3EB" w:rsidR="00490585" w:rsidRPr="008E3E90" w:rsidRDefault="00490585" w:rsidP="00490585">
      <w:pPr>
        <w:rPr>
          <w:b/>
          <w:bCs/>
          <w:lang w:val="fr-FR"/>
        </w:rPr>
      </w:pPr>
      <w:r w:rsidRPr="008E3E90">
        <w:rPr>
          <w:b/>
          <w:bCs/>
          <w:lang w:val="fr-FR"/>
        </w:rPr>
        <w:t>Q</w:t>
      </w:r>
      <w:r w:rsidR="00D85DDD" w:rsidRPr="008E3E90">
        <w:rPr>
          <w:b/>
          <w:bCs/>
          <w:lang w:val="fr-FR"/>
        </w:rPr>
        <w:t xml:space="preserve">2 : </w:t>
      </w:r>
      <w:r w:rsidR="00D85DDD" w:rsidRPr="008F47A6">
        <w:rPr>
          <w:b/>
          <w:bCs/>
          <w:lang w:val="fr-FR"/>
        </w:rPr>
        <w:t>Dans quelle mesure les résultats attendus et les objectifs du projet ont-ils été atteints jusqu'à présent</w:t>
      </w:r>
      <w:r w:rsidR="00D91893" w:rsidRPr="008F47A6">
        <w:rPr>
          <w:b/>
          <w:bCs/>
          <w:lang w:val="fr-FR"/>
        </w:rPr>
        <w:t xml:space="preserve"> </w:t>
      </w:r>
      <w:r w:rsidR="00D85DDD" w:rsidRPr="008F47A6">
        <w:rPr>
          <w:b/>
          <w:bCs/>
          <w:lang w:val="fr-FR"/>
        </w:rPr>
        <w:t>?</w:t>
      </w:r>
    </w:p>
    <w:p w14:paraId="6E32FA62" w14:textId="0D2F25A5" w:rsidR="005C550F" w:rsidRDefault="005C550F" w:rsidP="005C550F">
      <w:pPr>
        <w:pStyle w:val="Titre3"/>
        <w:rPr>
          <w:lang w:val="fr-FR"/>
        </w:rPr>
      </w:pPr>
      <w:r w:rsidRPr="005C550F">
        <w:rPr>
          <w:lang w:val="fr-FR"/>
        </w:rPr>
        <w:t xml:space="preserve">Analyse des progrès accomplis vers les réalisations </w:t>
      </w:r>
    </w:p>
    <w:p w14:paraId="58693A15" w14:textId="0C2EEA5E" w:rsidR="00D85DDD" w:rsidRPr="008F47A6" w:rsidRDefault="00D85DDD" w:rsidP="00D85DDD">
      <w:pPr>
        <w:rPr>
          <w:i/>
          <w:iCs/>
          <w:szCs w:val="24"/>
          <w:lang w:val="fr-FR"/>
        </w:rPr>
      </w:pPr>
      <w:r w:rsidRPr="008F47A6">
        <w:rPr>
          <w:i/>
          <w:iCs/>
          <w:szCs w:val="24"/>
          <w:lang w:val="fr-FR"/>
        </w:rPr>
        <w:t>Q : Dans quelle mesure les produits, résultats et objectifs attendus du projet ont-ils été atteints jusqu'à présent ? Dans la situation actuelle du projet, quels résultats risquent de ne pas être atteints, et quels devraient être les actions de redressement à prendre ?</w:t>
      </w:r>
    </w:p>
    <w:p w14:paraId="346BDE5C" w14:textId="0188A3B9" w:rsidR="008B3850" w:rsidRDefault="008B3850" w:rsidP="00884F11">
      <w:pPr>
        <w:widowControl w:val="0"/>
        <w:autoSpaceDE w:val="0"/>
        <w:autoSpaceDN w:val="0"/>
        <w:adjustRightInd w:val="0"/>
        <w:spacing w:before="0" w:after="0"/>
        <w:rPr>
          <w:rFonts w:cs="Calibri"/>
          <w:lang w:val="fr-FR"/>
        </w:rPr>
      </w:pPr>
      <w:r w:rsidRPr="00CA44AE">
        <w:rPr>
          <w:rFonts w:cs="Calibri"/>
          <w:lang w:val="fr-FR"/>
        </w:rPr>
        <w:t xml:space="preserve">Le cadre de résultats de ce projet comprend </w:t>
      </w:r>
      <w:r w:rsidR="00106B69">
        <w:rPr>
          <w:rFonts w:cs="Calibri"/>
          <w:lang w:val="fr-FR"/>
        </w:rPr>
        <w:t>5</w:t>
      </w:r>
      <w:r w:rsidRPr="00CA44AE">
        <w:rPr>
          <w:rFonts w:cs="Calibri"/>
          <w:lang w:val="fr-FR"/>
        </w:rPr>
        <w:t xml:space="preserve"> indicateurs de niveau objectif</w:t>
      </w:r>
      <w:r>
        <w:rPr>
          <w:rFonts w:cs="Calibri"/>
          <w:lang w:val="fr-FR"/>
        </w:rPr>
        <w:t xml:space="preserve"> </w:t>
      </w:r>
      <w:r w:rsidRPr="00CA44AE">
        <w:rPr>
          <w:rFonts w:cs="Calibri"/>
          <w:lang w:val="fr-FR"/>
        </w:rPr>
        <w:t xml:space="preserve">et </w:t>
      </w:r>
      <w:r w:rsidR="00B254CD">
        <w:rPr>
          <w:rFonts w:cs="Calibri"/>
          <w:lang w:val="fr-FR"/>
        </w:rPr>
        <w:t>9</w:t>
      </w:r>
      <w:r w:rsidRPr="00CA44AE">
        <w:rPr>
          <w:rFonts w:cs="Calibri"/>
          <w:lang w:val="fr-FR"/>
        </w:rPr>
        <w:t xml:space="preserve"> indicateurs de niveau résultat</w:t>
      </w:r>
      <w:r w:rsidR="00106B69">
        <w:rPr>
          <w:rFonts w:cs="Calibri"/>
          <w:lang w:val="fr-FR"/>
        </w:rPr>
        <w:t>s</w:t>
      </w:r>
      <w:r w:rsidRPr="00CA44AE">
        <w:rPr>
          <w:rFonts w:cs="Calibri"/>
          <w:lang w:val="fr-FR"/>
        </w:rPr>
        <w:t>.</w:t>
      </w:r>
      <w:r>
        <w:rPr>
          <w:rFonts w:cs="Calibri"/>
          <w:lang w:val="fr-FR"/>
        </w:rPr>
        <w:t xml:space="preserve"> Les indicateurs sont parfois décomposés en 2 sous indicateurs. </w:t>
      </w:r>
      <w:r w:rsidRPr="00CA44AE">
        <w:rPr>
          <w:rFonts w:cs="Calibri"/>
          <w:lang w:val="fr-FR"/>
        </w:rPr>
        <w:t xml:space="preserve">Comme indiqué à la section </w:t>
      </w:r>
      <w:r>
        <w:rPr>
          <w:rFonts w:cs="Calibri"/>
          <w:lang w:val="fr-FR"/>
        </w:rPr>
        <w:t>3.1.2 sur le cadre logique</w:t>
      </w:r>
      <w:r w:rsidRPr="00CA44AE">
        <w:rPr>
          <w:rFonts w:cs="Calibri"/>
          <w:lang w:val="fr-FR"/>
        </w:rPr>
        <w:t>, certains de ces indicateurs posent problème</w:t>
      </w:r>
      <w:r w:rsidR="000166B9">
        <w:rPr>
          <w:rFonts w:cs="Calibri"/>
          <w:lang w:val="fr-FR"/>
        </w:rPr>
        <w:t>s</w:t>
      </w:r>
      <w:r w:rsidRPr="00CA44AE">
        <w:rPr>
          <w:rFonts w:cs="Calibri"/>
          <w:lang w:val="fr-FR"/>
        </w:rPr>
        <w:t xml:space="preserve">. À compter du 15 novembre 2019, les progrès accomplis dans la réalisation de </w:t>
      </w:r>
      <w:r w:rsidR="006548F1">
        <w:rPr>
          <w:rFonts w:cs="Calibri"/>
          <w:lang w:val="fr-FR"/>
        </w:rPr>
        <w:t>5</w:t>
      </w:r>
      <w:r w:rsidRPr="00CA44AE">
        <w:rPr>
          <w:rFonts w:cs="Calibri"/>
          <w:lang w:val="fr-FR"/>
        </w:rPr>
        <w:t xml:space="preserve"> indicateurs de niveau objectif sont satisfaisants. Plus spécifiquement, les progrès ont été très satisfaisants pour </w:t>
      </w:r>
      <w:r w:rsidR="00106B69">
        <w:rPr>
          <w:rFonts w:cs="Calibri"/>
          <w:lang w:val="fr-FR"/>
        </w:rPr>
        <w:t>l</w:t>
      </w:r>
      <w:r w:rsidR="006548F1">
        <w:rPr>
          <w:rFonts w:cs="Calibri"/>
          <w:lang w:val="fr-FR"/>
        </w:rPr>
        <w:t xml:space="preserve">es </w:t>
      </w:r>
      <w:r w:rsidRPr="00CA44AE">
        <w:rPr>
          <w:rFonts w:cs="Calibri"/>
          <w:lang w:val="fr-FR"/>
        </w:rPr>
        <w:t>indicateur</w:t>
      </w:r>
      <w:r w:rsidR="006548F1">
        <w:rPr>
          <w:rFonts w:cs="Calibri"/>
          <w:lang w:val="fr-FR"/>
        </w:rPr>
        <w:t>s</w:t>
      </w:r>
      <w:r w:rsidRPr="00CA44AE">
        <w:rPr>
          <w:rFonts w:cs="Calibri"/>
          <w:lang w:val="fr-FR"/>
        </w:rPr>
        <w:t xml:space="preserve"> </w:t>
      </w:r>
      <w:r w:rsidR="00106B69">
        <w:rPr>
          <w:rFonts w:cs="Calibri"/>
          <w:lang w:val="fr-FR"/>
        </w:rPr>
        <w:t>3</w:t>
      </w:r>
      <w:r w:rsidR="006548F1">
        <w:rPr>
          <w:rFonts w:cs="Calibri"/>
          <w:lang w:val="fr-FR"/>
        </w:rPr>
        <w:t xml:space="preserve"> et 5</w:t>
      </w:r>
      <w:r w:rsidRPr="00CA44AE">
        <w:rPr>
          <w:rFonts w:cs="Calibri"/>
          <w:lang w:val="fr-FR"/>
        </w:rPr>
        <w:t xml:space="preserve">, satisfaisants pour les indicateurs </w:t>
      </w:r>
      <w:r w:rsidR="00106B69">
        <w:rPr>
          <w:rFonts w:cs="Calibri"/>
          <w:lang w:val="fr-FR"/>
        </w:rPr>
        <w:t>1 et 4</w:t>
      </w:r>
      <w:r w:rsidRPr="00CA44AE">
        <w:rPr>
          <w:rFonts w:cs="Calibri"/>
          <w:lang w:val="fr-FR"/>
        </w:rPr>
        <w:t xml:space="preserve">, </w:t>
      </w:r>
      <w:r w:rsidR="006548F1">
        <w:rPr>
          <w:rFonts w:cs="Calibri"/>
          <w:lang w:val="fr-FR"/>
        </w:rPr>
        <w:t xml:space="preserve">et </w:t>
      </w:r>
      <w:r w:rsidRPr="00CA44AE">
        <w:rPr>
          <w:rFonts w:cs="Calibri"/>
          <w:lang w:val="fr-FR"/>
        </w:rPr>
        <w:t>moyennement satisfaisants pour l</w:t>
      </w:r>
      <w:r w:rsidR="005F0EBE">
        <w:rPr>
          <w:rFonts w:cs="Calibri"/>
          <w:lang w:val="fr-FR"/>
        </w:rPr>
        <w:t>’</w:t>
      </w:r>
      <w:r w:rsidRPr="00CA44AE">
        <w:rPr>
          <w:rFonts w:cs="Calibri"/>
          <w:lang w:val="fr-FR"/>
        </w:rPr>
        <w:t>indicateur</w:t>
      </w:r>
      <w:r w:rsidR="005F0EBE">
        <w:rPr>
          <w:rFonts w:cs="Calibri"/>
          <w:lang w:val="fr-FR"/>
        </w:rPr>
        <w:t xml:space="preserve"> 2</w:t>
      </w:r>
      <w:r w:rsidRPr="00CA44AE">
        <w:rPr>
          <w:rFonts w:cs="Calibri"/>
          <w:lang w:val="fr-FR"/>
        </w:rPr>
        <w:t>.</w:t>
      </w:r>
    </w:p>
    <w:p w14:paraId="539C1762" w14:textId="77777777" w:rsidR="008B3850" w:rsidRDefault="008B3850" w:rsidP="00884F11">
      <w:pPr>
        <w:widowControl w:val="0"/>
        <w:autoSpaceDE w:val="0"/>
        <w:autoSpaceDN w:val="0"/>
        <w:adjustRightInd w:val="0"/>
        <w:spacing w:before="0" w:after="0"/>
        <w:rPr>
          <w:rFonts w:cs="Calibri"/>
          <w:lang w:val="fr-FR"/>
        </w:rPr>
      </w:pPr>
    </w:p>
    <w:p w14:paraId="1792E114" w14:textId="71FD92AC" w:rsidR="008B3850" w:rsidRPr="008B3850" w:rsidRDefault="008B3850" w:rsidP="008B3850">
      <w:pPr>
        <w:widowControl w:val="0"/>
        <w:autoSpaceDE w:val="0"/>
        <w:autoSpaceDN w:val="0"/>
        <w:adjustRightInd w:val="0"/>
        <w:spacing w:before="0" w:after="0"/>
        <w:rPr>
          <w:rFonts w:cs="Calibri"/>
          <w:lang w:val="fr-FR"/>
        </w:rPr>
      </w:pPr>
      <w:r w:rsidRPr="008B3850">
        <w:rPr>
          <w:rFonts w:cs="Calibri"/>
          <w:lang w:val="fr-FR"/>
        </w:rPr>
        <w:t xml:space="preserve">Au niveau des résultats, les progrès ne peuvent pas être évalués avec </w:t>
      </w:r>
      <w:r w:rsidR="00B254CD">
        <w:rPr>
          <w:rFonts w:cs="Calibri"/>
          <w:lang w:val="fr-FR"/>
        </w:rPr>
        <w:t>2</w:t>
      </w:r>
      <w:r w:rsidRPr="008B3850">
        <w:rPr>
          <w:rFonts w:cs="Calibri"/>
          <w:lang w:val="fr-FR"/>
        </w:rPr>
        <w:t xml:space="preserve"> indicateurs</w:t>
      </w:r>
      <w:r w:rsidR="00986C0F">
        <w:rPr>
          <w:rFonts w:cs="Calibri"/>
          <w:lang w:val="fr-FR"/>
        </w:rPr>
        <w:t xml:space="preserve"> (9 et 14)</w:t>
      </w:r>
      <w:r w:rsidRPr="008B3850">
        <w:rPr>
          <w:rFonts w:cs="Calibri"/>
          <w:lang w:val="fr-FR"/>
        </w:rPr>
        <w:t xml:space="preserve">. Parmi les </w:t>
      </w:r>
      <w:r w:rsidR="00B254CD">
        <w:rPr>
          <w:rFonts w:cs="Calibri"/>
          <w:lang w:val="fr-FR"/>
        </w:rPr>
        <w:t xml:space="preserve">7 </w:t>
      </w:r>
      <w:r w:rsidRPr="008B3850">
        <w:rPr>
          <w:rFonts w:cs="Calibri"/>
          <w:lang w:val="fr-FR"/>
        </w:rPr>
        <w:t xml:space="preserve">autres indicateurs, les progrès </w:t>
      </w:r>
      <w:r w:rsidR="00B254CD">
        <w:rPr>
          <w:rFonts w:cs="Calibri"/>
          <w:lang w:val="fr-FR"/>
        </w:rPr>
        <w:t>s</w:t>
      </w:r>
      <w:r w:rsidRPr="008B3850">
        <w:rPr>
          <w:rFonts w:cs="Calibri"/>
          <w:lang w:val="fr-FR"/>
        </w:rPr>
        <w:t>ont satisfaisants</w:t>
      </w:r>
      <w:r w:rsidR="00B254CD">
        <w:rPr>
          <w:rFonts w:cs="Calibri"/>
          <w:lang w:val="fr-FR"/>
        </w:rPr>
        <w:t xml:space="preserve"> (ou mieux) </w:t>
      </w:r>
      <w:r w:rsidRPr="008B3850">
        <w:rPr>
          <w:rFonts w:cs="Calibri"/>
          <w:lang w:val="fr-FR"/>
        </w:rPr>
        <w:t xml:space="preserve">pour </w:t>
      </w:r>
      <w:r w:rsidR="00B254CD">
        <w:rPr>
          <w:rFonts w:cs="Calibri"/>
          <w:lang w:val="fr-FR"/>
        </w:rPr>
        <w:t>5</w:t>
      </w:r>
      <w:r w:rsidRPr="008B3850">
        <w:rPr>
          <w:rFonts w:cs="Calibri"/>
          <w:lang w:val="fr-FR"/>
        </w:rPr>
        <w:t xml:space="preserve"> indicateurs et insatisfaisants pour </w:t>
      </w:r>
      <w:r w:rsidR="00B254CD">
        <w:rPr>
          <w:rFonts w:cs="Calibri"/>
          <w:lang w:val="fr-FR"/>
        </w:rPr>
        <w:t>2</w:t>
      </w:r>
      <w:r w:rsidRPr="008B3850">
        <w:rPr>
          <w:rFonts w:cs="Calibri"/>
          <w:lang w:val="fr-FR"/>
        </w:rPr>
        <w:t xml:space="preserve"> indicateurs. Plus spécifiquement, les progrès ont été très satisfaisants pour l</w:t>
      </w:r>
      <w:r w:rsidR="00B254CD">
        <w:rPr>
          <w:rFonts w:cs="Calibri"/>
          <w:lang w:val="fr-FR"/>
        </w:rPr>
        <w:t>’</w:t>
      </w:r>
      <w:r w:rsidRPr="008B3850">
        <w:rPr>
          <w:rFonts w:cs="Calibri"/>
          <w:lang w:val="fr-FR"/>
        </w:rPr>
        <w:t xml:space="preserve">indicateur </w:t>
      </w:r>
      <w:r w:rsidR="00B254CD">
        <w:rPr>
          <w:rFonts w:cs="Calibri"/>
          <w:lang w:val="fr-FR"/>
        </w:rPr>
        <w:t>10</w:t>
      </w:r>
      <w:r w:rsidRPr="008B3850">
        <w:rPr>
          <w:rFonts w:cs="Calibri"/>
          <w:lang w:val="fr-FR"/>
        </w:rPr>
        <w:t xml:space="preserve">, satisfaisants pour les indicateurs </w:t>
      </w:r>
      <w:r w:rsidR="00B254CD">
        <w:rPr>
          <w:rFonts w:cs="Calibri"/>
          <w:lang w:val="fr-FR"/>
        </w:rPr>
        <w:t>6 et 13</w:t>
      </w:r>
      <w:r w:rsidRPr="008B3850">
        <w:rPr>
          <w:rFonts w:cs="Calibri"/>
          <w:lang w:val="fr-FR"/>
        </w:rPr>
        <w:t xml:space="preserve">, </w:t>
      </w:r>
      <w:r w:rsidR="00986C0F">
        <w:rPr>
          <w:rFonts w:cs="Calibri"/>
          <w:lang w:val="fr-FR"/>
        </w:rPr>
        <w:t xml:space="preserve">moyennement </w:t>
      </w:r>
      <w:r w:rsidR="00986C0F" w:rsidRPr="008B3850">
        <w:rPr>
          <w:rFonts w:cs="Calibri"/>
          <w:lang w:val="fr-FR"/>
        </w:rPr>
        <w:t>satisfaisants pour les indicateurs</w:t>
      </w:r>
      <w:r w:rsidR="00986C0F">
        <w:rPr>
          <w:rFonts w:cs="Calibri"/>
          <w:lang w:val="fr-FR"/>
        </w:rPr>
        <w:t xml:space="preserve"> 7 et 11, et </w:t>
      </w:r>
      <w:r w:rsidRPr="008B3850">
        <w:rPr>
          <w:rFonts w:cs="Calibri"/>
          <w:lang w:val="fr-FR"/>
        </w:rPr>
        <w:t xml:space="preserve">moyennement insatisfaisants pour les indicateurs </w:t>
      </w:r>
      <w:r w:rsidR="00B254CD">
        <w:rPr>
          <w:rFonts w:cs="Calibri"/>
          <w:lang w:val="fr-FR"/>
        </w:rPr>
        <w:t>12 et 8</w:t>
      </w:r>
      <w:r w:rsidRPr="008B3850">
        <w:rPr>
          <w:rFonts w:cs="Calibri"/>
          <w:lang w:val="fr-FR"/>
        </w:rPr>
        <w:t xml:space="preserve"> En termes de composant</w:t>
      </w:r>
      <w:r>
        <w:rPr>
          <w:rFonts w:cs="Calibri"/>
          <w:lang w:val="fr-FR"/>
        </w:rPr>
        <w:t>e</w:t>
      </w:r>
      <w:r w:rsidRPr="008B3850">
        <w:rPr>
          <w:rFonts w:cs="Calibri"/>
          <w:lang w:val="fr-FR"/>
        </w:rPr>
        <w:t xml:space="preserve">, la composante 1 a </w:t>
      </w:r>
      <w:r w:rsidR="00B254CD">
        <w:rPr>
          <w:rFonts w:cs="Calibri"/>
          <w:lang w:val="fr-FR"/>
        </w:rPr>
        <w:t>davantage progressé que la</w:t>
      </w:r>
      <w:r w:rsidRPr="008B3850">
        <w:rPr>
          <w:rFonts w:cs="Calibri"/>
          <w:lang w:val="fr-FR"/>
        </w:rPr>
        <w:t xml:space="preserve"> composante 2</w:t>
      </w:r>
      <w:r w:rsidR="00F631D1">
        <w:rPr>
          <w:rFonts w:cs="Calibri"/>
          <w:lang w:val="fr-FR"/>
        </w:rPr>
        <w:t>.</w:t>
      </w:r>
    </w:p>
    <w:p w14:paraId="78D17E6D" w14:textId="77777777" w:rsidR="008B3850" w:rsidRPr="008B3850" w:rsidRDefault="008B3850" w:rsidP="008B3850">
      <w:pPr>
        <w:widowControl w:val="0"/>
        <w:autoSpaceDE w:val="0"/>
        <w:autoSpaceDN w:val="0"/>
        <w:adjustRightInd w:val="0"/>
        <w:spacing w:before="0" w:after="0"/>
        <w:rPr>
          <w:rFonts w:cs="Calibri"/>
          <w:lang w:val="fr-FR"/>
        </w:rPr>
      </w:pPr>
    </w:p>
    <w:p w14:paraId="155470AF" w14:textId="07F94714" w:rsidR="00E42D7F" w:rsidRPr="00CA44AE" w:rsidRDefault="008B3850" w:rsidP="00884F11">
      <w:pPr>
        <w:widowControl w:val="0"/>
        <w:autoSpaceDE w:val="0"/>
        <w:autoSpaceDN w:val="0"/>
        <w:adjustRightInd w:val="0"/>
        <w:spacing w:before="0" w:after="0"/>
        <w:rPr>
          <w:rFonts w:cs="Calibri"/>
          <w:lang w:val="fr-FR"/>
        </w:rPr>
      </w:pPr>
      <w:r w:rsidRPr="008B3850">
        <w:rPr>
          <w:rFonts w:cs="Calibri"/>
          <w:lang w:val="fr-FR"/>
        </w:rPr>
        <w:t xml:space="preserve">Le tableau </w:t>
      </w:r>
      <w:r w:rsidR="00B254CD">
        <w:rPr>
          <w:rFonts w:cs="Calibri"/>
          <w:lang w:val="fr-FR"/>
        </w:rPr>
        <w:t>2 ci-dessous</w:t>
      </w:r>
      <w:r w:rsidRPr="008B3850">
        <w:rPr>
          <w:rFonts w:cs="Calibri"/>
          <w:lang w:val="fr-FR"/>
        </w:rPr>
        <w:t xml:space="preserve"> fournit les détails</w:t>
      </w:r>
      <w:r w:rsidR="00B254CD">
        <w:rPr>
          <w:rFonts w:cs="Calibri"/>
          <w:lang w:val="fr-FR"/>
        </w:rPr>
        <w:t xml:space="preserve"> des réalisations à date</w:t>
      </w:r>
      <w:r w:rsidRPr="008B3850">
        <w:rPr>
          <w:rFonts w:cs="Calibri"/>
          <w:lang w:val="fr-FR"/>
        </w:rPr>
        <w:t xml:space="preserve">, y compris la justification des notations. Globalement, ce projet est </w:t>
      </w:r>
      <w:r w:rsidR="005F0EBE">
        <w:rPr>
          <w:rFonts w:cs="Calibri"/>
          <w:lang w:val="fr-FR"/>
        </w:rPr>
        <w:t>en bonne voie</w:t>
      </w:r>
      <w:r w:rsidRPr="008B3850">
        <w:rPr>
          <w:rFonts w:cs="Calibri"/>
          <w:lang w:val="fr-FR"/>
        </w:rPr>
        <w:t xml:space="preserve"> d'atteindre les objectifs planifiés</w:t>
      </w:r>
      <w:r w:rsidR="003270CB">
        <w:rPr>
          <w:rFonts w:cs="Calibri"/>
          <w:lang w:val="fr-FR"/>
        </w:rPr>
        <w:t xml:space="preserve">, même si des efforts restent à faire concernant les </w:t>
      </w:r>
      <w:r w:rsidR="00F631D1">
        <w:rPr>
          <w:lang w:val="fr-FR"/>
        </w:rPr>
        <w:t>l’Evaluation d’Impact Environnemental</w:t>
      </w:r>
      <w:r w:rsidR="00F631D1">
        <w:rPr>
          <w:rFonts w:cs="Calibri"/>
          <w:lang w:val="fr-FR"/>
        </w:rPr>
        <w:t xml:space="preserve"> (</w:t>
      </w:r>
      <w:r w:rsidR="003270CB">
        <w:rPr>
          <w:rFonts w:cs="Calibri"/>
          <w:lang w:val="fr-FR"/>
        </w:rPr>
        <w:t>EIE</w:t>
      </w:r>
      <w:r w:rsidR="00F631D1">
        <w:rPr>
          <w:rFonts w:cs="Calibri"/>
          <w:lang w:val="fr-FR"/>
        </w:rPr>
        <w:t>)</w:t>
      </w:r>
      <w:r w:rsidR="003270CB">
        <w:rPr>
          <w:rFonts w:cs="Calibri"/>
          <w:lang w:val="fr-FR"/>
        </w:rPr>
        <w:t xml:space="preserve"> et la formalisation des statuts d’APC. </w:t>
      </w:r>
    </w:p>
    <w:p w14:paraId="596FC70C" w14:textId="0F7BE463" w:rsidR="00A31B41" w:rsidRPr="008F47A6" w:rsidRDefault="003270CB" w:rsidP="007074B6">
      <w:pPr>
        <w:rPr>
          <w:lang w:val="fr-FR"/>
        </w:rPr>
      </w:pPr>
      <w:r>
        <w:rPr>
          <w:lang w:val="fr-FR"/>
        </w:rPr>
        <w:t>En effet, l</w:t>
      </w:r>
      <w:r w:rsidR="001D6055" w:rsidRPr="008F47A6">
        <w:rPr>
          <w:lang w:val="fr-FR"/>
        </w:rPr>
        <w:t xml:space="preserve">e </w:t>
      </w:r>
      <w:r w:rsidR="007D47E6" w:rsidRPr="008F47A6">
        <w:rPr>
          <w:lang w:val="fr-FR"/>
        </w:rPr>
        <w:t xml:space="preserve">projet </w:t>
      </w:r>
      <w:r w:rsidR="007074B6" w:rsidRPr="008F47A6">
        <w:rPr>
          <w:lang w:val="fr-FR"/>
        </w:rPr>
        <w:t>a fait des progrès significatifs sur la première composante où la plupart des résultats attendus sont bien avancés voire en voie d’achèvement. En particulier</w:t>
      </w:r>
      <w:r w:rsidR="00D91893" w:rsidRPr="008F47A6">
        <w:rPr>
          <w:lang w:val="fr-FR"/>
        </w:rPr>
        <w:t>,</w:t>
      </w:r>
      <w:r w:rsidR="007074B6" w:rsidRPr="008F47A6">
        <w:rPr>
          <w:lang w:val="fr-FR"/>
        </w:rPr>
        <w:t xml:space="preserve"> le projet a bien avancé sur les outils de planification tels que</w:t>
      </w:r>
      <w:r w:rsidR="00A31B41" w:rsidRPr="008F47A6">
        <w:rPr>
          <w:lang w:val="fr-FR"/>
        </w:rPr>
        <w:t xml:space="preserve"> : </w:t>
      </w:r>
    </w:p>
    <w:p w14:paraId="198A260F" w14:textId="7A4F7D07" w:rsidR="00A31B41" w:rsidRPr="008F47A6" w:rsidRDefault="007074B6" w:rsidP="00A31B41">
      <w:pPr>
        <w:pStyle w:val="Paragraphedeliste"/>
        <w:numPr>
          <w:ilvl w:val="0"/>
          <w:numId w:val="14"/>
        </w:numPr>
        <w:rPr>
          <w:color w:val="4F81BD" w:themeColor="accent1"/>
          <w:lang w:val="fr-FR"/>
        </w:rPr>
      </w:pPr>
      <w:proofErr w:type="gramStart"/>
      <w:r w:rsidRPr="008F47A6">
        <w:rPr>
          <w:lang w:val="fr-FR"/>
        </w:rPr>
        <w:t>l’OPT</w:t>
      </w:r>
      <w:proofErr w:type="gramEnd"/>
      <w:r w:rsidRPr="008F47A6">
        <w:rPr>
          <w:lang w:val="fr-FR"/>
        </w:rPr>
        <w:t xml:space="preserve"> BD (en </w:t>
      </w:r>
      <w:r w:rsidR="00D765CD" w:rsidRPr="008F47A6">
        <w:rPr>
          <w:lang w:val="fr-FR"/>
        </w:rPr>
        <w:t>p</w:t>
      </w:r>
      <w:r w:rsidRPr="008F47A6">
        <w:rPr>
          <w:lang w:val="fr-FR"/>
        </w:rPr>
        <w:t>hase de test)</w:t>
      </w:r>
      <w:r w:rsidR="00A31B41">
        <w:rPr>
          <w:lang w:val="fr-FR"/>
        </w:rPr>
        <w:t> </w:t>
      </w:r>
      <w:r w:rsidR="00D91893">
        <w:rPr>
          <w:lang w:val="fr-FR"/>
        </w:rPr>
        <w:t>qui</w:t>
      </w:r>
      <w:r w:rsidR="00A31B41">
        <w:rPr>
          <w:lang w:val="fr-FR"/>
        </w:rPr>
        <w:t xml:space="preserve"> intègre les cartes du SRAT et le PROSC</w:t>
      </w:r>
      <w:r w:rsidR="003270CB">
        <w:rPr>
          <w:lang w:val="fr-FR"/>
        </w:rPr>
        <w:t>B</w:t>
      </w:r>
      <w:r w:rsidR="00A31B41">
        <w:rPr>
          <w:lang w:val="fr-FR"/>
        </w:rPr>
        <w:t xml:space="preserve">. Il convient de noter que comme le SRAT a été publié avant l’OPT BD, celui n’intègre pas la composante PROSCB de l’OPT </w:t>
      </w:r>
      <w:proofErr w:type="gramStart"/>
      <w:r w:rsidR="00A31B41">
        <w:rPr>
          <w:lang w:val="fr-FR"/>
        </w:rPr>
        <w:t>BD;</w:t>
      </w:r>
      <w:proofErr w:type="gramEnd"/>
      <w:r w:rsidR="00A31B41">
        <w:rPr>
          <w:lang w:val="fr-FR"/>
        </w:rPr>
        <w:t xml:space="preserve"> </w:t>
      </w:r>
    </w:p>
    <w:p w14:paraId="34377A58" w14:textId="6B0A042F" w:rsidR="00A31B41" w:rsidRPr="008F47A6" w:rsidRDefault="007074B6" w:rsidP="00A31B41">
      <w:pPr>
        <w:pStyle w:val="Paragraphedeliste"/>
        <w:numPr>
          <w:ilvl w:val="0"/>
          <w:numId w:val="14"/>
        </w:numPr>
        <w:rPr>
          <w:color w:val="4F81BD" w:themeColor="accent1"/>
          <w:lang w:val="fr-FR"/>
        </w:rPr>
      </w:pPr>
      <w:proofErr w:type="gramStart"/>
      <w:r w:rsidRPr="008F47A6">
        <w:rPr>
          <w:lang w:val="fr-FR"/>
        </w:rPr>
        <w:t>le</w:t>
      </w:r>
      <w:proofErr w:type="gramEnd"/>
      <w:r w:rsidRPr="008F47A6">
        <w:rPr>
          <w:lang w:val="fr-FR"/>
        </w:rPr>
        <w:t xml:space="preserve"> PROSC</w:t>
      </w:r>
      <w:r w:rsidR="003270CB">
        <w:rPr>
          <w:lang w:val="fr-FR"/>
        </w:rPr>
        <w:t>B</w:t>
      </w:r>
      <w:r w:rsidRPr="008F47A6">
        <w:rPr>
          <w:lang w:val="fr-FR"/>
        </w:rPr>
        <w:t xml:space="preserve"> (en phase de validation)</w:t>
      </w:r>
      <w:r w:rsidR="00A31B41">
        <w:rPr>
          <w:lang w:val="fr-FR"/>
        </w:rPr>
        <w:t xml:space="preserve"> ; </w:t>
      </w:r>
    </w:p>
    <w:p w14:paraId="338E47CE" w14:textId="2DD91162" w:rsidR="00A31B41" w:rsidRPr="008F47A6" w:rsidRDefault="007074B6" w:rsidP="00FF4E1E">
      <w:pPr>
        <w:pStyle w:val="Paragraphedeliste"/>
        <w:numPr>
          <w:ilvl w:val="0"/>
          <w:numId w:val="14"/>
        </w:numPr>
        <w:rPr>
          <w:color w:val="4F81BD" w:themeColor="accent1"/>
          <w:lang w:val="fr-FR"/>
        </w:rPr>
      </w:pPr>
      <w:proofErr w:type="gramStart"/>
      <w:r w:rsidRPr="008F47A6">
        <w:rPr>
          <w:lang w:val="fr-FR"/>
        </w:rPr>
        <w:t>le</w:t>
      </w:r>
      <w:proofErr w:type="gramEnd"/>
      <w:r w:rsidRPr="008F47A6">
        <w:rPr>
          <w:lang w:val="fr-FR"/>
        </w:rPr>
        <w:t xml:space="preserve"> DOGME</w:t>
      </w:r>
      <w:r w:rsidR="00D765CD" w:rsidRPr="008F47A6">
        <w:rPr>
          <w:lang w:val="fr-FR"/>
        </w:rPr>
        <w:t xml:space="preserve"> (finalisé</w:t>
      </w:r>
      <w:r w:rsidR="00FF4E1E">
        <w:rPr>
          <w:lang w:val="fr-FR"/>
        </w:rPr>
        <w:t>)</w:t>
      </w:r>
      <w:r w:rsidR="00EF14CA">
        <w:rPr>
          <w:lang w:val="fr-FR"/>
        </w:rPr>
        <w:t>, toutefois si les parties classification (chapitre II) et gestion des menaces (chapitre III)</w:t>
      </w:r>
      <w:r w:rsidR="003270CB">
        <w:rPr>
          <w:lang w:val="fr-FR"/>
        </w:rPr>
        <w:t xml:space="preserve"> sont bien développées</w:t>
      </w:r>
      <w:r w:rsidR="00EF14CA">
        <w:rPr>
          <w:lang w:val="fr-FR"/>
        </w:rPr>
        <w:t>, il est regrettable que</w:t>
      </w:r>
      <w:r w:rsidR="008C5AF3">
        <w:rPr>
          <w:lang w:val="fr-FR"/>
        </w:rPr>
        <w:t xml:space="preserve"> au moment de la rédaction</w:t>
      </w:r>
      <w:r w:rsidR="00EF14CA">
        <w:rPr>
          <w:lang w:val="fr-FR"/>
        </w:rPr>
        <w:t xml:space="preserve"> les orientations sectorielles proposées soient si synthétiques</w:t>
      </w:r>
      <w:r w:rsidR="00A31B41" w:rsidRPr="00A31B41">
        <w:rPr>
          <w:lang w:val="fr-FR"/>
        </w:rPr>
        <w:t> </w:t>
      </w:r>
      <w:r w:rsidR="008C5AF3">
        <w:rPr>
          <w:lang w:val="fr-FR"/>
        </w:rPr>
        <w:t xml:space="preserve"> -</w:t>
      </w:r>
      <w:r w:rsidR="00346FE6">
        <w:rPr>
          <w:lang w:val="fr-FR"/>
        </w:rPr>
        <w:t xml:space="preserve"> </w:t>
      </w:r>
      <w:r w:rsidR="008C5AF3" w:rsidRPr="002C66CE">
        <w:rPr>
          <w:lang w:val="fr-FR"/>
        </w:rPr>
        <w:t>Les orientations sectorielles (agriculture, m</w:t>
      </w:r>
      <w:r w:rsidR="008C5AF3">
        <w:rPr>
          <w:lang w:val="fr-FR"/>
        </w:rPr>
        <w:t xml:space="preserve">ines, tourisme, élevage) sont planifiées dans le PTA 2020 ; </w:t>
      </w:r>
      <w:r w:rsidR="00A31B41" w:rsidRPr="00A31B41">
        <w:rPr>
          <w:lang w:val="fr-FR"/>
        </w:rPr>
        <w:t xml:space="preserve"> </w:t>
      </w:r>
    </w:p>
    <w:p w14:paraId="70FF4811" w14:textId="4D168318" w:rsidR="007D47E6" w:rsidRPr="008F47A6" w:rsidRDefault="00A31B41" w:rsidP="00FF4E1E">
      <w:pPr>
        <w:pStyle w:val="Paragraphedeliste"/>
        <w:numPr>
          <w:ilvl w:val="0"/>
          <w:numId w:val="14"/>
        </w:numPr>
        <w:rPr>
          <w:color w:val="4F81BD" w:themeColor="accent1"/>
          <w:lang w:val="fr-FR"/>
        </w:rPr>
      </w:pPr>
      <w:proofErr w:type="gramStart"/>
      <w:r>
        <w:rPr>
          <w:lang w:val="fr-FR"/>
        </w:rPr>
        <w:t>a</w:t>
      </w:r>
      <w:r w:rsidR="00D765CD" w:rsidRPr="008F47A6">
        <w:rPr>
          <w:lang w:val="fr-FR"/>
        </w:rPr>
        <w:t>u</w:t>
      </w:r>
      <w:proofErr w:type="gramEnd"/>
      <w:r w:rsidR="00D765CD" w:rsidRPr="008F47A6">
        <w:rPr>
          <w:lang w:val="fr-FR"/>
        </w:rPr>
        <w:t xml:space="preserve"> niveau régional, le </w:t>
      </w:r>
      <w:r w:rsidR="000E0C43">
        <w:rPr>
          <w:lang w:val="fr-FR"/>
        </w:rPr>
        <w:t>PRD</w:t>
      </w:r>
      <w:r w:rsidR="00D765CD" w:rsidRPr="008F47A6">
        <w:rPr>
          <w:lang w:val="fr-FR"/>
        </w:rPr>
        <w:t xml:space="preserve"> intègre l’OPT BD. </w:t>
      </w:r>
    </w:p>
    <w:p w14:paraId="2597B59B" w14:textId="0B1CF635" w:rsidR="00A31B41" w:rsidRDefault="000E0C43" w:rsidP="00A31B41">
      <w:pPr>
        <w:rPr>
          <w:lang w:val="fr-FR"/>
        </w:rPr>
      </w:pPr>
      <w:r>
        <w:rPr>
          <w:lang w:val="fr-FR"/>
        </w:rPr>
        <w:lastRenderedPageBreak/>
        <w:t xml:space="preserve">Le projet a fait des efforts importants pour le renforcement de capacités. Il a </w:t>
      </w:r>
      <w:r w:rsidR="0000299B">
        <w:rPr>
          <w:lang w:val="fr-FR"/>
        </w:rPr>
        <w:t>renforcé</w:t>
      </w:r>
      <w:r>
        <w:rPr>
          <w:lang w:val="fr-FR"/>
        </w:rPr>
        <w:t xml:space="preserve"> les capacités de l’</w:t>
      </w:r>
      <w:r w:rsidR="00A31B41" w:rsidRPr="008F47A6">
        <w:rPr>
          <w:lang w:val="fr-FR"/>
        </w:rPr>
        <w:t>Equi</w:t>
      </w:r>
      <w:r w:rsidR="00D725D8">
        <w:rPr>
          <w:lang w:val="fr-FR"/>
        </w:rPr>
        <w:t>p</w:t>
      </w:r>
      <w:r w:rsidR="00A31B41" w:rsidRPr="008F47A6">
        <w:rPr>
          <w:lang w:val="fr-FR"/>
        </w:rPr>
        <w:t xml:space="preserve">e Technique Restreinte (ETR) </w:t>
      </w:r>
      <w:r>
        <w:rPr>
          <w:lang w:val="fr-FR"/>
        </w:rPr>
        <w:t xml:space="preserve">qui </w:t>
      </w:r>
      <w:r w:rsidR="00A31B41" w:rsidRPr="008F47A6">
        <w:rPr>
          <w:lang w:val="fr-FR"/>
        </w:rPr>
        <w:t>a été formée</w:t>
      </w:r>
      <w:r w:rsidR="003A623B" w:rsidRPr="008F47A6">
        <w:rPr>
          <w:lang w:val="fr-FR"/>
        </w:rPr>
        <w:t xml:space="preserve"> en appui à la création de l’OPT BD et pour valide</w:t>
      </w:r>
      <w:r w:rsidR="00D91893">
        <w:rPr>
          <w:lang w:val="fr-FR"/>
        </w:rPr>
        <w:t>r</w:t>
      </w:r>
      <w:r w:rsidR="003A623B" w:rsidRPr="008F47A6">
        <w:rPr>
          <w:lang w:val="fr-FR"/>
        </w:rPr>
        <w:t xml:space="preserve"> les différents rapports émis par les consultants sur l’OPT BD. </w:t>
      </w:r>
      <w:r w:rsidR="003270CB">
        <w:rPr>
          <w:lang w:val="fr-FR"/>
        </w:rPr>
        <w:t>L’ETR</w:t>
      </w:r>
      <w:r w:rsidR="00F631D1">
        <w:rPr>
          <w:lang w:val="fr-FR"/>
        </w:rPr>
        <w:t>,</w:t>
      </w:r>
      <w:r w:rsidR="003270CB">
        <w:rPr>
          <w:lang w:val="fr-FR"/>
        </w:rPr>
        <w:t xml:space="preserve"> qui comprend </w:t>
      </w:r>
      <w:r w:rsidR="003270CB" w:rsidRPr="00CA44AE">
        <w:rPr>
          <w:lang w:val="fr-FR"/>
        </w:rPr>
        <w:t>différentes institutions directement impactées par l’élaboration de cet outil</w:t>
      </w:r>
      <w:r w:rsidR="003270CB">
        <w:rPr>
          <w:rStyle w:val="Appelnotedebasdep"/>
          <w:lang w:val="fr-FR"/>
        </w:rPr>
        <w:footnoteReference w:id="18"/>
      </w:r>
      <w:r w:rsidR="003270CB">
        <w:rPr>
          <w:lang w:val="fr-FR"/>
        </w:rPr>
        <w:t xml:space="preserve">, </w:t>
      </w:r>
      <w:r w:rsidR="003A623B" w:rsidRPr="008F47A6">
        <w:rPr>
          <w:lang w:val="fr-FR"/>
        </w:rPr>
        <w:t xml:space="preserve">a fait l’objet d’un programme de renforcement de capacités afin de garantir le contrôle qualité des outils informatiques selon les normes et standards existants. </w:t>
      </w:r>
    </w:p>
    <w:p w14:paraId="33326869" w14:textId="2758D6A5" w:rsidR="0091282F" w:rsidRPr="008F47A6" w:rsidRDefault="0091282F" w:rsidP="00A31B41">
      <w:pPr>
        <w:rPr>
          <w:lang w:val="fr-FR"/>
        </w:rPr>
      </w:pPr>
      <w:r>
        <w:rPr>
          <w:lang w:val="fr-FR"/>
        </w:rPr>
        <w:t xml:space="preserve">Plusieurs </w:t>
      </w:r>
      <w:r w:rsidRPr="00EE5295">
        <w:rPr>
          <w:lang w:val="fr-FR"/>
        </w:rPr>
        <w:t xml:space="preserve">ateliers de renforcement de </w:t>
      </w:r>
      <w:r w:rsidR="001D6055" w:rsidRPr="00EE5295">
        <w:rPr>
          <w:lang w:val="fr-FR"/>
        </w:rPr>
        <w:t>capacités</w:t>
      </w:r>
      <w:r w:rsidRPr="009F61AF">
        <w:rPr>
          <w:lang w:val="fr-FR"/>
        </w:rPr>
        <w:t xml:space="preserve"> ont été conduits en direction des techniciens du ME</w:t>
      </w:r>
      <w:r w:rsidR="00D91893">
        <w:rPr>
          <w:lang w:val="fr-FR"/>
        </w:rPr>
        <w:t>DD</w:t>
      </w:r>
      <w:r w:rsidRPr="009F61AF">
        <w:rPr>
          <w:lang w:val="fr-FR"/>
        </w:rPr>
        <w:t xml:space="preserve"> / DRE</w:t>
      </w:r>
      <w:r w:rsidR="00D91893">
        <w:rPr>
          <w:lang w:val="fr-FR"/>
        </w:rPr>
        <w:t>DD</w:t>
      </w:r>
      <w:r w:rsidR="001D6055" w:rsidRPr="009F61AF">
        <w:rPr>
          <w:lang w:val="fr-FR"/>
        </w:rPr>
        <w:t xml:space="preserve">, qui ont reçu </w:t>
      </w:r>
      <w:r w:rsidR="00FB2F65">
        <w:rPr>
          <w:lang w:val="fr-FR"/>
        </w:rPr>
        <w:t>diverses</w:t>
      </w:r>
      <w:r w:rsidR="001D6055" w:rsidRPr="009F61AF">
        <w:rPr>
          <w:lang w:val="fr-FR"/>
        </w:rPr>
        <w:t xml:space="preserve"> formations</w:t>
      </w:r>
      <w:r w:rsidR="00FB2F65">
        <w:rPr>
          <w:lang w:val="fr-FR"/>
        </w:rPr>
        <w:t>, notamment</w:t>
      </w:r>
      <w:r w:rsidR="009F61AF" w:rsidRPr="008F47A6">
        <w:rPr>
          <w:lang w:val="fr-FR"/>
        </w:rPr>
        <w:t xml:space="preserve"> </w:t>
      </w:r>
      <w:r w:rsidR="001D6055" w:rsidRPr="00EE5295">
        <w:rPr>
          <w:lang w:val="fr-FR"/>
        </w:rPr>
        <w:t>sur</w:t>
      </w:r>
      <w:r w:rsidR="009F61AF" w:rsidRPr="00EE5295">
        <w:rPr>
          <w:lang w:val="fr-FR"/>
        </w:rPr>
        <w:t xml:space="preserve"> l</w:t>
      </w:r>
      <w:r w:rsidR="009F61AF" w:rsidRPr="009F61AF">
        <w:rPr>
          <w:lang w:val="fr-FR"/>
        </w:rPr>
        <w:t>a gestion des menaces autour du DOGME et sur le</w:t>
      </w:r>
      <w:r w:rsidR="00D84524">
        <w:rPr>
          <w:lang w:val="fr-FR"/>
        </w:rPr>
        <w:t xml:space="preserve"> Système d’Information Géographique</w:t>
      </w:r>
      <w:r w:rsidR="009F61AF" w:rsidRPr="009F61AF">
        <w:rPr>
          <w:lang w:val="fr-FR"/>
        </w:rPr>
        <w:t xml:space="preserve"> </w:t>
      </w:r>
      <w:r w:rsidR="00D84524">
        <w:rPr>
          <w:lang w:val="fr-FR"/>
        </w:rPr>
        <w:t>(</w:t>
      </w:r>
      <w:r w:rsidR="009F61AF" w:rsidRPr="009F61AF">
        <w:rPr>
          <w:lang w:val="fr-FR"/>
        </w:rPr>
        <w:t>SIG</w:t>
      </w:r>
      <w:r w:rsidR="00D84524">
        <w:rPr>
          <w:lang w:val="fr-FR"/>
        </w:rPr>
        <w:t>)</w:t>
      </w:r>
      <w:r w:rsidR="009F61AF" w:rsidRPr="009F61AF">
        <w:rPr>
          <w:lang w:val="fr-FR"/>
        </w:rPr>
        <w:t>.</w:t>
      </w:r>
      <w:r w:rsidR="009F61AF">
        <w:rPr>
          <w:lang w:val="fr-FR"/>
        </w:rPr>
        <w:t xml:space="preserve"> </w:t>
      </w:r>
    </w:p>
    <w:p w14:paraId="35292788" w14:textId="0D7E1F0A" w:rsidR="003A623B" w:rsidRDefault="00262E85" w:rsidP="00A31B41">
      <w:pPr>
        <w:rPr>
          <w:lang w:val="fr-FR"/>
        </w:rPr>
      </w:pPr>
      <w:r w:rsidRPr="008F47A6">
        <w:rPr>
          <w:lang w:val="fr-FR"/>
        </w:rPr>
        <w:t xml:space="preserve">En outre </w:t>
      </w:r>
      <w:r w:rsidR="000E0C43">
        <w:rPr>
          <w:lang w:val="fr-FR"/>
        </w:rPr>
        <w:t xml:space="preserve">le projet a renforcé la capacité de </w:t>
      </w:r>
      <w:r w:rsidRPr="008F47A6">
        <w:rPr>
          <w:lang w:val="fr-FR"/>
        </w:rPr>
        <w:t>la Cellule Environnementale Régionale</w:t>
      </w:r>
      <w:r w:rsidR="000E0C43">
        <w:rPr>
          <w:lang w:val="fr-FR"/>
        </w:rPr>
        <w:t>. La CER</w:t>
      </w:r>
      <w:r w:rsidRPr="008F47A6">
        <w:rPr>
          <w:lang w:val="fr-FR"/>
        </w:rPr>
        <w:t xml:space="preserve"> est une structure regroupant les acteurs étatiques </w:t>
      </w:r>
      <w:r w:rsidR="00FB2F65">
        <w:rPr>
          <w:lang w:val="fr-FR"/>
        </w:rPr>
        <w:t xml:space="preserve">comme </w:t>
      </w:r>
      <w:r w:rsidRPr="008F47A6">
        <w:rPr>
          <w:lang w:val="fr-FR"/>
        </w:rPr>
        <w:t xml:space="preserve">les </w:t>
      </w:r>
      <w:r w:rsidR="002D7FAB">
        <w:rPr>
          <w:lang w:val="fr-FR"/>
        </w:rPr>
        <w:t>s</w:t>
      </w:r>
      <w:r w:rsidRPr="008F47A6">
        <w:rPr>
          <w:lang w:val="fr-FR"/>
        </w:rPr>
        <w:t xml:space="preserve">ervices </w:t>
      </w:r>
      <w:r w:rsidR="002D7FAB">
        <w:rPr>
          <w:lang w:val="fr-FR"/>
        </w:rPr>
        <w:t>t</w:t>
      </w:r>
      <w:r w:rsidRPr="008F47A6">
        <w:rPr>
          <w:lang w:val="fr-FR"/>
        </w:rPr>
        <w:t xml:space="preserve">echniques </w:t>
      </w:r>
      <w:r w:rsidR="002D7FAB">
        <w:rPr>
          <w:lang w:val="fr-FR"/>
        </w:rPr>
        <w:t>d</w:t>
      </w:r>
      <w:r w:rsidRPr="008F47A6">
        <w:rPr>
          <w:lang w:val="fr-FR"/>
        </w:rPr>
        <w:t xml:space="preserve">éconcentrés au niveau de différents secteurs étatiques, les collectivités </w:t>
      </w:r>
      <w:r w:rsidR="002D7FAB">
        <w:rPr>
          <w:lang w:val="fr-FR"/>
        </w:rPr>
        <w:t>t</w:t>
      </w:r>
      <w:r w:rsidRPr="008F47A6">
        <w:rPr>
          <w:lang w:val="fr-FR"/>
        </w:rPr>
        <w:t xml:space="preserve">erritoriales </w:t>
      </w:r>
      <w:r w:rsidR="002D7FAB">
        <w:rPr>
          <w:lang w:val="fr-FR"/>
        </w:rPr>
        <w:t>d</w:t>
      </w:r>
      <w:r w:rsidRPr="008F47A6">
        <w:rPr>
          <w:lang w:val="fr-FR"/>
        </w:rPr>
        <w:t>écentralisée</w:t>
      </w:r>
      <w:r w:rsidR="002D7FAB">
        <w:rPr>
          <w:lang w:val="fr-FR"/>
        </w:rPr>
        <w:t>s</w:t>
      </w:r>
      <w:r w:rsidRPr="008F47A6">
        <w:rPr>
          <w:lang w:val="fr-FR"/>
        </w:rPr>
        <w:t xml:space="preserve"> et les organismes rattachés</w:t>
      </w:r>
      <w:r w:rsidR="00FB2F65">
        <w:rPr>
          <w:lang w:val="fr-FR"/>
        </w:rPr>
        <w:t xml:space="preserve">, </w:t>
      </w:r>
      <w:r w:rsidRPr="008F47A6">
        <w:rPr>
          <w:lang w:val="fr-FR"/>
        </w:rPr>
        <w:t xml:space="preserve">et les acteurs non étatiques </w:t>
      </w:r>
      <w:r w:rsidR="00FB2F65">
        <w:rPr>
          <w:lang w:val="fr-FR"/>
        </w:rPr>
        <w:t>comme la société civile</w:t>
      </w:r>
      <w:r w:rsidRPr="008F47A6">
        <w:rPr>
          <w:lang w:val="fr-FR"/>
        </w:rPr>
        <w:t xml:space="preserve">, </w:t>
      </w:r>
      <w:r w:rsidR="00FB2F65">
        <w:rPr>
          <w:lang w:val="fr-FR"/>
        </w:rPr>
        <w:t>les ONG</w:t>
      </w:r>
      <w:r w:rsidRPr="008F47A6">
        <w:rPr>
          <w:lang w:val="fr-FR"/>
        </w:rPr>
        <w:t xml:space="preserve"> et associations, coopératives, </w:t>
      </w:r>
      <w:r w:rsidR="002D7FAB">
        <w:rPr>
          <w:lang w:val="fr-FR"/>
        </w:rPr>
        <w:t xml:space="preserve">et </w:t>
      </w:r>
      <w:r w:rsidRPr="008F47A6">
        <w:rPr>
          <w:lang w:val="fr-FR"/>
        </w:rPr>
        <w:t xml:space="preserve">le </w:t>
      </w:r>
      <w:r w:rsidR="002D7FAB">
        <w:rPr>
          <w:lang w:val="fr-FR"/>
        </w:rPr>
        <w:t>s</w:t>
      </w:r>
      <w:r w:rsidRPr="008F47A6">
        <w:rPr>
          <w:lang w:val="fr-FR"/>
        </w:rPr>
        <w:t xml:space="preserve">ecteur </w:t>
      </w:r>
      <w:r w:rsidR="002D7FAB">
        <w:rPr>
          <w:lang w:val="fr-FR"/>
        </w:rPr>
        <w:t>p</w:t>
      </w:r>
      <w:r w:rsidRPr="008F47A6">
        <w:rPr>
          <w:lang w:val="fr-FR"/>
        </w:rPr>
        <w:t>rivé</w:t>
      </w:r>
      <w:r w:rsidR="000E0C43">
        <w:rPr>
          <w:lang w:val="fr-FR"/>
        </w:rPr>
        <w:t>. Elle</w:t>
      </w:r>
      <w:r w:rsidR="00FB2F65">
        <w:rPr>
          <w:lang w:val="fr-FR"/>
        </w:rPr>
        <w:t xml:space="preserve"> </w:t>
      </w:r>
      <w:r w:rsidRPr="008F47A6">
        <w:rPr>
          <w:lang w:val="fr-FR"/>
        </w:rPr>
        <w:t xml:space="preserve">se charge de l’intégration de la dimension environnementale au niveau de la </w:t>
      </w:r>
      <w:r w:rsidR="002D7FAB">
        <w:rPr>
          <w:lang w:val="fr-FR"/>
        </w:rPr>
        <w:t>r</w:t>
      </w:r>
      <w:r w:rsidRPr="008F47A6">
        <w:rPr>
          <w:lang w:val="fr-FR"/>
        </w:rPr>
        <w:t>égion</w:t>
      </w:r>
      <w:r w:rsidR="00FB2F65">
        <w:rPr>
          <w:lang w:val="fr-FR"/>
        </w:rPr>
        <w:t>. P</w:t>
      </w:r>
      <w:r>
        <w:rPr>
          <w:lang w:val="fr-FR"/>
        </w:rPr>
        <w:t xml:space="preserve">lus particulièrement la fraction de la cellule qui suit le projet APAA (CER-APAA) a bénéficié d’un </w:t>
      </w:r>
      <w:r w:rsidRPr="00262E85">
        <w:rPr>
          <w:lang w:val="fr-FR"/>
        </w:rPr>
        <w:t>renforcement de capacité est focalisé sur la législation environnementale et les textes réglementaires jugés pertinent</w:t>
      </w:r>
      <w:r w:rsidR="0091282F">
        <w:rPr>
          <w:lang w:val="fr-FR"/>
        </w:rPr>
        <w:t xml:space="preserve">s. </w:t>
      </w:r>
      <w:r>
        <w:rPr>
          <w:lang w:val="fr-FR"/>
        </w:rPr>
        <w:t xml:space="preserve"> </w:t>
      </w:r>
    </w:p>
    <w:p w14:paraId="00E2B7DF" w14:textId="3A7972BD" w:rsidR="00EB06ED" w:rsidRDefault="00EB06ED" w:rsidP="00A31B41">
      <w:pPr>
        <w:rPr>
          <w:lang w:val="fr-FR"/>
        </w:rPr>
      </w:pPr>
      <w:r>
        <w:rPr>
          <w:lang w:val="fr-FR"/>
        </w:rPr>
        <w:t>Concernant la planification à l’échelle des paysages, l</w:t>
      </w:r>
      <w:r w:rsidRPr="008F47A6">
        <w:rPr>
          <w:lang w:val="fr-FR"/>
        </w:rPr>
        <w:t xml:space="preserve">’atelier de validation des </w:t>
      </w:r>
      <w:proofErr w:type="spellStart"/>
      <w:r>
        <w:rPr>
          <w:lang w:val="fr-FR"/>
        </w:rPr>
        <w:t>TdR</w:t>
      </w:r>
      <w:proofErr w:type="spellEnd"/>
      <w:r w:rsidRPr="008F47A6">
        <w:rPr>
          <w:lang w:val="fr-FR"/>
        </w:rPr>
        <w:t xml:space="preserve"> incluant l’orientation méthodologique pour l’Evaluation Environnementale Stratégique </w:t>
      </w:r>
      <w:r>
        <w:rPr>
          <w:lang w:val="fr-FR"/>
        </w:rPr>
        <w:t>(</w:t>
      </w:r>
      <w:r w:rsidRPr="008F47A6">
        <w:rPr>
          <w:lang w:val="fr-FR"/>
        </w:rPr>
        <w:t>EES</w:t>
      </w:r>
      <w:r>
        <w:rPr>
          <w:lang w:val="fr-FR"/>
        </w:rPr>
        <w:t>)</w:t>
      </w:r>
      <w:r w:rsidRPr="008F47A6">
        <w:rPr>
          <w:lang w:val="fr-FR"/>
        </w:rPr>
        <w:t xml:space="preserve"> </w:t>
      </w:r>
      <w:r w:rsidR="002D7FAB" w:rsidRPr="008F47A6">
        <w:rPr>
          <w:lang w:val="fr-FR"/>
        </w:rPr>
        <w:t>»</w:t>
      </w:r>
      <w:r w:rsidR="002D7FAB">
        <w:rPr>
          <w:lang w:val="fr-FR"/>
        </w:rPr>
        <w:t xml:space="preserve"> </w:t>
      </w:r>
      <w:r w:rsidRPr="008F47A6">
        <w:rPr>
          <w:lang w:val="fr-FR"/>
        </w:rPr>
        <w:t>s’est déroulé durant la semaine du 03 novembre</w:t>
      </w:r>
      <w:r>
        <w:rPr>
          <w:lang w:val="fr-FR"/>
        </w:rPr>
        <w:t xml:space="preserve"> 2019. Il est prévu que l’EES soit achevée en 2022. </w:t>
      </w:r>
    </w:p>
    <w:p w14:paraId="1CCDE9D7" w14:textId="033D23F5" w:rsidR="00B04BFD" w:rsidRDefault="00B04BFD" w:rsidP="00A31B41">
      <w:pPr>
        <w:rPr>
          <w:lang w:val="fr-FR"/>
        </w:rPr>
      </w:pPr>
      <w:r>
        <w:rPr>
          <w:lang w:val="fr-FR"/>
        </w:rPr>
        <w:t xml:space="preserve">En revanche il convient de noter que l’équipe du projet n’a à ce jour pas complété sur EIE à réaliser, pas plus que le partenariat public-privé pour le programme pilote. De plus, le DOGME s’il est aujourd’hui prêt, n’est pas encore mis en œuvre. </w:t>
      </w:r>
    </w:p>
    <w:p w14:paraId="363BFEE9" w14:textId="3CFC74B6" w:rsidR="00B04BFD" w:rsidRDefault="00B04BFD" w:rsidP="00A31B41">
      <w:pPr>
        <w:rPr>
          <w:lang w:val="fr-FR"/>
        </w:rPr>
      </w:pPr>
      <w:r>
        <w:rPr>
          <w:lang w:val="fr-FR"/>
        </w:rPr>
        <w:t>La composante 1 est donc bien avancée en termes d’élaboration des outils de planification et de renforcement de capacités de gestion des menaces</w:t>
      </w:r>
      <w:r w:rsidR="00D03907">
        <w:rPr>
          <w:lang w:val="fr-FR"/>
        </w:rPr>
        <w:t xml:space="preserve">, même si le projet </w:t>
      </w:r>
      <w:r w:rsidR="00D03907">
        <w:rPr>
          <w:rFonts w:cstheme="minorHAnsi"/>
          <w:lang w:val="fr-FR"/>
        </w:rPr>
        <w:t>doit encore renforcer les capacités des membres de la plateforme régionale intersectorielle</w:t>
      </w:r>
      <w:r w:rsidR="00D03907">
        <w:rPr>
          <w:rStyle w:val="Appelnotedebasdep"/>
          <w:rFonts w:cstheme="minorHAnsi"/>
          <w:lang w:val="fr-FR"/>
        </w:rPr>
        <w:footnoteReference w:id="19"/>
      </w:r>
      <w:r w:rsidR="006548F1">
        <w:rPr>
          <w:rFonts w:cstheme="minorHAnsi"/>
          <w:lang w:val="fr-FR"/>
        </w:rPr>
        <w:t xml:space="preserve">, </w:t>
      </w:r>
      <w:r w:rsidR="00D03907">
        <w:rPr>
          <w:lang w:val="fr-FR"/>
        </w:rPr>
        <w:t xml:space="preserve"> </w:t>
      </w:r>
      <w:r>
        <w:rPr>
          <w:lang w:val="fr-FR"/>
        </w:rPr>
        <w:t>préparer l</w:t>
      </w:r>
      <w:r w:rsidR="00D03907">
        <w:rPr>
          <w:lang w:val="fr-FR"/>
        </w:rPr>
        <w:t>a</w:t>
      </w:r>
      <w:r>
        <w:rPr>
          <w:lang w:val="fr-FR"/>
        </w:rPr>
        <w:t xml:space="preserve"> mise en œuvre </w:t>
      </w:r>
      <w:r w:rsidR="00D03907">
        <w:rPr>
          <w:lang w:val="fr-FR"/>
        </w:rPr>
        <w:t xml:space="preserve">des outils </w:t>
      </w:r>
      <w:r>
        <w:rPr>
          <w:lang w:val="fr-FR"/>
        </w:rPr>
        <w:t xml:space="preserve">dans le cadre du projet pilote et </w:t>
      </w:r>
      <w:r w:rsidR="00D03907">
        <w:rPr>
          <w:lang w:val="fr-FR"/>
        </w:rPr>
        <w:t xml:space="preserve">formaliser la création de l’Observatoire. </w:t>
      </w:r>
    </w:p>
    <w:p w14:paraId="5AFF5A68" w14:textId="5E6A1881" w:rsidR="001D6055" w:rsidRDefault="00D03907">
      <w:pPr>
        <w:rPr>
          <w:lang w:val="fr-FR"/>
        </w:rPr>
      </w:pPr>
      <w:r>
        <w:rPr>
          <w:lang w:val="fr-FR"/>
        </w:rPr>
        <w:t>En ce qui concerne la composante 2</w:t>
      </w:r>
      <w:r w:rsidR="00FB2F65">
        <w:rPr>
          <w:lang w:val="fr-FR"/>
        </w:rPr>
        <w:t>,</w:t>
      </w:r>
      <w:r w:rsidR="001D6055">
        <w:rPr>
          <w:lang w:val="fr-FR"/>
        </w:rPr>
        <w:t xml:space="preserve"> les </w:t>
      </w:r>
      <w:r w:rsidR="001D6055" w:rsidRPr="008F47A6">
        <w:rPr>
          <w:lang w:val="fr-FR"/>
        </w:rPr>
        <w:t xml:space="preserve">capacités des gestionnaires des AP sur le zonage des AP/APC, l’intégration des AP dans la planification territoriale ou encore l’utilisation et le remplissage de l’outil </w:t>
      </w:r>
      <w:r w:rsidR="00D84524" w:rsidRPr="00346FE6">
        <w:rPr>
          <w:lang w:val="fr-FR"/>
        </w:rPr>
        <w:t xml:space="preserve">Management </w:t>
      </w:r>
      <w:proofErr w:type="spellStart"/>
      <w:r w:rsidR="00D84524" w:rsidRPr="00346FE6">
        <w:rPr>
          <w:lang w:val="fr-FR"/>
        </w:rPr>
        <w:t>Effectiveness</w:t>
      </w:r>
      <w:proofErr w:type="spellEnd"/>
      <w:r w:rsidR="00D84524" w:rsidRPr="00346FE6">
        <w:rPr>
          <w:lang w:val="fr-FR"/>
        </w:rPr>
        <w:t xml:space="preserve"> </w:t>
      </w:r>
      <w:proofErr w:type="spellStart"/>
      <w:r w:rsidR="00D84524" w:rsidRPr="00346FE6">
        <w:rPr>
          <w:lang w:val="fr-FR"/>
        </w:rPr>
        <w:t>Tracking</w:t>
      </w:r>
      <w:proofErr w:type="spellEnd"/>
      <w:r w:rsidR="00D84524" w:rsidRPr="00346FE6">
        <w:rPr>
          <w:lang w:val="fr-FR"/>
        </w:rPr>
        <w:t xml:space="preserve"> Tool</w:t>
      </w:r>
      <w:r w:rsidR="00D84524" w:rsidRPr="008F47A6">
        <w:rPr>
          <w:lang w:val="fr-FR"/>
        </w:rPr>
        <w:t xml:space="preserve"> </w:t>
      </w:r>
      <w:r w:rsidR="00D84524">
        <w:rPr>
          <w:lang w:val="fr-FR"/>
        </w:rPr>
        <w:t>(</w:t>
      </w:r>
      <w:r w:rsidR="001D6055" w:rsidRPr="008F47A6">
        <w:rPr>
          <w:lang w:val="fr-FR"/>
        </w:rPr>
        <w:t>METT</w:t>
      </w:r>
      <w:r w:rsidR="00D84524">
        <w:rPr>
          <w:lang w:val="fr-FR"/>
        </w:rPr>
        <w:t>)</w:t>
      </w:r>
      <w:r w:rsidR="001D6055" w:rsidRPr="008F47A6">
        <w:rPr>
          <w:lang w:val="fr-FR"/>
        </w:rPr>
        <w:t xml:space="preserve">, ont été renforcées. </w:t>
      </w:r>
      <w:r w:rsidR="00BD608F">
        <w:rPr>
          <w:lang w:val="fr-FR"/>
        </w:rPr>
        <w:t>Les pages du METT sont par ailleurs intégrées dans l’OPT BD</w:t>
      </w:r>
      <w:r w:rsidR="00EE5295">
        <w:rPr>
          <w:lang w:val="fr-FR"/>
        </w:rPr>
        <w:t xml:space="preserve"> et utilisés dans </w:t>
      </w:r>
      <w:r w:rsidR="00EB06ED">
        <w:rPr>
          <w:lang w:val="fr-FR"/>
        </w:rPr>
        <w:t xml:space="preserve">9 APC déjà opérationnelles. </w:t>
      </w:r>
      <w:r w:rsidR="002D7FAB">
        <w:rPr>
          <w:lang w:val="fr-FR"/>
        </w:rPr>
        <w:t>Pourtant, i</w:t>
      </w:r>
      <w:r w:rsidR="00801010">
        <w:rPr>
          <w:lang w:val="fr-FR"/>
        </w:rPr>
        <w:t>l</w:t>
      </w:r>
      <w:r w:rsidR="002D7FAB">
        <w:rPr>
          <w:lang w:val="fr-FR"/>
        </w:rPr>
        <w:t xml:space="preserve"> faut noter que l</w:t>
      </w:r>
      <w:r w:rsidR="00EB06ED" w:rsidRPr="008F47A6">
        <w:rPr>
          <w:lang w:val="fr-FR"/>
        </w:rPr>
        <w:t>e METT ne sera appliqué</w:t>
      </w:r>
      <w:r w:rsidR="00EB06ED">
        <w:rPr>
          <w:lang w:val="fr-FR"/>
        </w:rPr>
        <w:t xml:space="preserve"> dans les APC identifiées dans le cadre de la composante 2 que</w:t>
      </w:r>
      <w:r w:rsidR="00EB06ED" w:rsidRPr="008F47A6">
        <w:rPr>
          <w:lang w:val="fr-FR"/>
        </w:rPr>
        <w:t xml:space="preserve"> pour l’année fiscale juillet 2020 – Juin 2021 </w:t>
      </w:r>
      <w:r w:rsidR="00EB06ED">
        <w:rPr>
          <w:lang w:val="fr-FR"/>
        </w:rPr>
        <w:t>car ces dernières</w:t>
      </w:r>
      <w:r w:rsidR="00EB06ED" w:rsidRPr="008F47A6">
        <w:rPr>
          <w:lang w:val="fr-FR"/>
        </w:rPr>
        <w:t xml:space="preserve"> n’ont pas encore leur statut de mise </w:t>
      </w:r>
      <w:r w:rsidR="00EB06ED">
        <w:rPr>
          <w:lang w:val="fr-FR"/>
        </w:rPr>
        <w:t>e</w:t>
      </w:r>
      <w:r w:rsidR="00EB06ED" w:rsidRPr="008F47A6">
        <w:rPr>
          <w:lang w:val="fr-FR"/>
        </w:rPr>
        <w:t>n protection temporaire (prévu au premier semestre 2020 dans la planification).</w:t>
      </w:r>
      <w:r w:rsidR="00EB06ED">
        <w:rPr>
          <w:lang w:val="fr-FR"/>
        </w:rPr>
        <w:t xml:space="preserve"> </w:t>
      </w:r>
    </w:p>
    <w:p w14:paraId="0D0E3971" w14:textId="6ADC9567" w:rsidR="001A23B9" w:rsidRPr="008F47A6" w:rsidRDefault="00BD608F" w:rsidP="00CA44AE">
      <w:pPr>
        <w:pStyle w:val="Paragraphedeliste"/>
        <w:numPr>
          <w:ilvl w:val="0"/>
          <w:numId w:val="0"/>
        </w:numPr>
        <w:rPr>
          <w:rFonts w:cstheme="minorHAnsi"/>
        </w:rPr>
      </w:pPr>
      <w:r w:rsidRPr="00C85023">
        <w:rPr>
          <w:lang w:val="fr-FR"/>
        </w:rPr>
        <w:t>En ce qui concerne le résultat 2, 7 sites potentiels d’APC ont été identifiées</w:t>
      </w:r>
      <w:r w:rsidR="00F04CAF" w:rsidRPr="00C85023">
        <w:rPr>
          <w:lang w:val="fr-FR"/>
        </w:rPr>
        <w:t xml:space="preserve">. Actuellement </w:t>
      </w:r>
      <w:proofErr w:type="spellStart"/>
      <w:r w:rsidR="00F04CAF" w:rsidRPr="00C85023">
        <w:rPr>
          <w:lang w:val="fr-FR"/>
        </w:rPr>
        <w:t>Tany</w:t>
      </w:r>
      <w:proofErr w:type="spellEnd"/>
      <w:r w:rsidR="00F04CAF" w:rsidRPr="00C85023">
        <w:rPr>
          <w:lang w:val="fr-FR"/>
        </w:rPr>
        <w:t xml:space="preserve"> </w:t>
      </w:r>
      <w:proofErr w:type="spellStart"/>
      <w:r w:rsidR="00F04CAF" w:rsidRPr="00C85023">
        <w:rPr>
          <w:lang w:val="fr-FR"/>
        </w:rPr>
        <w:t>Meva</w:t>
      </w:r>
      <w:proofErr w:type="spellEnd"/>
      <w:r w:rsidR="00F04CAF" w:rsidRPr="00C85023">
        <w:rPr>
          <w:lang w:val="fr-FR"/>
        </w:rPr>
        <w:t xml:space="preserve"> met en œuvre les activités du projet dans 3 futures APC</w:t>
      </w:r>
      <w:r w:rsidR="00C85023" w:rsidRPr="00C85023">
        <w:rPr>
          <w:lang w:val="fr-FR"/>
        </w:rPr>
        <w:t xml:space="preserve"> (</w:t>
      </w:r>
      <w:r w:rsidR="00C85023" w:rsidRPr="00C85023">
        <w:rPr>
          <w:rFonts w:cstheme="minorHAnsi"/>
          <w:lang w:val="fr-FR"/>
        </w:rPr>
        <w:t xml:space="preserve">APC </w:t>
      </w:r>
      <w:proofErr w:type="spellStart"/>
      <w:r w:rsidR="00C85023" w:rsidRPr="00C85023">
        <w:rPr>
          <w:rFonts w:cstheme="minorHAnsi"/>
          <w:lang w:val="fr-FR"/>
        </w:rPr>
        <w:t>Analamaitso</w:t>
      </w:r>
      <w:proofErr w:type="spellEnd"/>
      <w:r w:rsidR="00C85023" w:rsidRPr="00C85023">
        <w:rPr>
          <w:rFonts w:cstheme="minorHAnsi"/>
          <w:lang w:val="fr-FR"/>
        </w:rPr>
        <w:t xml:space="preserve"> ; APC </w:t>
      </w:r>
      <w:proofErr w:type="spellStart"/>
      <w:r w:rsidR="00C85023" w:rsidRPr="00C85023">
        <w:rPr>
          <w:rFonts w:cstheme="minorHAnsi"/>
          <w:lang w:val="fr-FR"/>
        </w:rPr>
        <w:t>Lovasoa</w:t>
      </w:r>
      <w:proofErr w:type="spellEnd"/>
      <w:r w:rsidR="00C85023" w:rsidRPr="00C85023">
        <w:rPr>
          <w:rFonts w:cstheme="minorHAnsi"/>
          <w:lang w:val="fr-FR"/>
        </w:rPr>
        <w:t xml:space="preserve"> ; APC Miary) </w:t>
      </w:r>
      <w:r w:rsidR="00D76344" w:rsidRPr="00C85023">
        <w:rPr>
          <w:lang w:val="fr-FR"/>
        </w:rPr>
        <w:t>alors que</w:t>
      </w:r>
      <w:r w:rsidR="00F04CAF" w:rsidRPr="00C85023">
        <w:rPr>
          <w:lang w:val="fr-FR"/>
        </w:rPr>
        <w:t xml:space="preserve"> </w:t>
      </w:r>
      <w:r w:rsidR="00FB2F65">
        <w:rPr>
          <w:lang w:val="fr-FR"/>
        </w:rPr>
        <w:t xml:space="preserve">l’association </w:t>
      </w:r>
      <w:r w:rsidR="00F04CAF" w:rsidRPr="00C85023">
        <w:rPr>
          <w:lang w:val="fr-FR"/>
        </w:rPr>
        <w:t xml:space="preserve">SAGE </w:t>
      </w:r>
      <w:r w:rsidR="00D76344" w:rsidRPr="00C85023">
        <w:rPr>
          <w:lang w:val="fr-FR"/>
        </w:rPr>
        <w:t>est responsable de</w:t>
      </w:r>
      <w:r w:rsidR="00F04CAF" w:rsidRPr="00C85023">
        <w:rPr>
          <w:lang w:val="fr-FR"/>
        </w:rPr>
        <w:t xml:space="preserve"> 4</w:t>
      </w:r>
      <w:r w:rsidR="00D76344" w:rsidRPr="00C85023">
        <w:rPr>
          <w:lang w:val="fr-FR"/>
        </w:rPr>
        <w:t xml:space="preserve"> futures APC</w:t>
      </w:r>
      <w:r w:rsidR="00C85023" w:rsidRPr="00C85023">
        <w:rPr>
          <w:lang w:val="fr-FR"/>
        </w:rPr>
        <w:t xml:space="preserve"> (</w:t>
      </w:r>
      <w:r w:rsidR="00C85023" w:rsidRPr="00C85023">
        <w:rPr>
          <w:rFonts w:cstheme="minorHAnsi"/>
          <w:lang w:val="fr-FR"/>
        </w:rPr>
        <w:t xml:space="preserve">APC </w:t>
      </w:r>
      <w:proofErr w:type="spellStart"/>
      <w:r w:rsidR="00C85023" w:rsidRPr="00C85023">
        <w:rPr>
          <w:rFonts w:cstheme="minorHAnsi"/>
          <w:lang w:val="fr-FR"/>
        </w:rPr>
        <w:t>Loharano</w:t>
      </w:r>
      <w:proofErr w:type="spellEnd"/>
      <w:r w:rsidR="00C85023" w:rsidRPr="00C85023">
        <w:rPr>
          <w:rFonts w:cstheme="minorHAnsi"/>
          <w:lang w:val="fr-FR"/>
        </w:rPr>
        <w:t xml:space="preserve"> ; APC </w:t>
      </w:r>
      <w:proofErr w:type="spellStart"/>
      <w:r w:rsidR="00C85023" w:rsidRPr="00C85023">
        <w:rPr>
          <w:rFonts w:cstheme="minorHAnsi"/>
          <w:lang w:val="fr-FR"/>
        </w:rPr>
        <w:t>Mikea</w:t>
      </w:r>
      <w:proofErr w:type="spellEnd"/>
      <w:r w:rsidR="00C85023" w:rsidRPr="00C85023">
        <w:rPr>
          <w:rFonts w:cstheme="minorHAnsi"/>
          <w:lang w:val="fr-FR"/>
        </w:rPr>
        <w:t xml:space="preserve"> </w:t>
      </w:r>
      <w:proofErr w:type="spellStart"/>
      <w:r w:rsidR="00C85023" w:rsidRPr="00C85023">
        <w:rPr>
          <w:rFonts w:cstheme="minorHAnsi"/>
          <w:lang w:val="fr-FR"/>
        </w:rPr>
        <w:lastRenderedPageBreak/>
        <w:t>mitambatra</w:t>
      </w:r>
      <w:proofErr w:type="spellEnd"/>
      <w:r w:rsidR="00C85023" w:rsidRPr="00C85023">
        <w:rPr>
          <w:rFonts w:cstheme="minorHAnsi"/>
          <w:lang w:val="fr-FR"/>
        </w:rPr>
        <w:t xml:space="preserve"> ; APC </w:t>
      </w:r>
      <w:proofErr w:type="spellStart"/>
      <w:r w:rsidR="00C85023" w:rsidRPr="00C85023">
        <w:rPr>
          <w:rFonts w:cstheme="minorHAnsi"/>
          <w:lang w:val="fr-FR"/>
        </w:rPr>
        <w:t>Analamahasoa</w:t>
      </w:r>
      <w:proofErr w:type="spellEnd"/>
      <w:r w:rsidR="00C85023" w:rsidRPr="00C85023">
        <w:rPr>
          <w:rFonts w:cstheme="minorHAnsi"/>
          <w:lang w:val="fr-FR"/>
        </w:rPr>
        <w:t xml:space="preserve"> ; </w:t>
      </w:r>
      <w:r w:rsidR="00C85023" w:rsidRPr="008F47A6">
        <w:rPr>
          <w:rFonts w:cstheme="minorHAnsi"/>
          <w:lang w:val="fr-FR"/>
        </w:rPr>
        <w:t xml:space="preserve">APC </w:t>
      </w:r>
      <w:proofErr w:type="spellStart"/>
      <w:r w:rsidR="00971B89" w:rsidRPr="008F47A6">
        <w:rPr>
          <w:rFonts w:cstheme="minorHAnsi"/>
          <w:lang w:val="fr-FR"/>
        </w:rPr>
        <w:t>Vezo</w:t>
      </w:r>
      <w:proofErr w:type="spellEnd"/>
      <w:r w:rsidR="00971B89" w:rsidRPr="008F47A6">
        <w:rPr>
          <w:rFonts w:cstheme="minorHAnsi"/>
          <w:lang w:val="fr-FR"/>
        </w:rPr>
        <w:t>)</w:t>
      </w:r>
      <w:r w:rsidR="00C85023">
        <w:rPr>
          <w:rFonts w:cstheme="minorHAnsi"/>
          <w:lang w:val="fr-FR"/>
        </w:rPr>
        <w:t xml:space="preserve">. </w:t>
      </w:r>
      <w:r w:rsidR="00F64A29">
        <w:rPr>
          <w:rFonts w:cstheme="minorHAnsi"/>
          <w:lang w:val="fr-FR"/>
        </w:rPr>
        <w:t xml:space="preserve">Ces 7 sites </w:t>
      </w:r>
      <w:r w:rsidR="00801010">
        <w:rPr>
          <w:rFonts w:cstheme="minorHAnsi"/>
          <w:lang w:val="fr-FR"/>
        </w:rPr>
        <w:t xml:space="preserve">prévoient de couvrir </w:t>
      </w:r>
      <w:r w:rsidR="00F64A29">
        <w:rPr>
          <w:rFonts w:cstheme="minorHAnsi"/>
          <w:lang w:val="fr-FR"/>
        </w:rPr>
        <w:t xml:space="preserve">129 791 ha alors que le nombre d’hectares minimum ciblés par le projet est de 100 000ha. </w:t>
      </w:r>
      <w:r w:rsidR="00801010" w:rsidRPr="00801010">
        <w:rPr>
          <w:rFonts w:cstheme="minorHAnsi"/>
          <w:lang w:val="fr-FR"/>
        </w:rPr>
        <w:t>Le</w:t>
      </w:r>
      <w:r w:rsidR="00801010" w:rsidRPr="00CA44AE">
        <w:rPr>
          <w:rFonts w:cstheme="minorHAnsi"/>
          <w:lang w:val="fr-FR"/>
        </w:rPr>
        <w:t xml:space="preserve"> nombre d’hectares couverts est provisoire car les aires pourraient avoir besoin d’être redéfinies pour exclure certaines zones. </w:t>
      </w:r>
      <w:r w:rsidR="00FC5178">
        <w:rPr>
          <w:rFonts w:cstheme="minorHAnsi"/>
          <w:lang w:val="fr-FR"/>
        </w:rPr>
        <w:t xml:space="preserve">Des activités de sensibilisation et de communication sur les APC et la loi COAP ont été menées. </w:t>
      </w:r>
      <w:r w:rsidR="00C85023">
        <w:rPr>
          <w:rFonts w:cstheme="minorHAnsi"/>
          <w:lang w:val="fr-FR"/>
        </w:rPr>
        <w:t>Un 8</w:t>
      </w:r>
      <w:r w:rsidR="00C85023" w:rsidRPr="008F47A6">
        <w:rPr>
          <w:rFonts w:cstheme="minorHAnsi"/>
          <w:vertAlign w:val="superscript"/>
          <w:lang w:val="fr-FR"/>
        </w:rPr>
        <w:t>e</w:t>
      </w:r>
      <w:r w:rsidR="00C85023">
        <w:rPr>
          <w:rFonts w:cstheme="minorHAnsi"/>
          <w:lang w:val="fr-FR"/>
        </w:rPr>
        <w:t xml:space="preserve"> site potentiel d’APC est en cours d’évaluation</w:t>
      </w:r>
      <w:r w:rsidR="0000299B">
        <w:rPr>
          <w:rFonts w:cstheme="minorHAnsi"/>
          <w:lang w:val="fr-FR"/>
        </w:rPr>
        <w:t>. S</w:t>
      </w:r>
      <w:r w:rsidR="00FC5178">
        <w:rPr>
          <w:rFonts w:cstheme="minorHAnsi"/>
          <w:lang w:val="fr-FR"/>
        </w:rPr>
        <w:t xml:space="preserve">elon le </w:t>
      </w:r>
      <w:proofErr w:type="spellStart"/>
      <w:r w:rsidR="00FC5178">
        <w:rPr>
          <w:rFonts w:cstheme="minorHAnsi"/>
          <w:lang w:val="fr-FR"/>
        </w:rPr>
        <w:t>CoPil</w:t>
      </w:r>
      <w:proofErr w:type="spellEnd"/>
      <w:r w:rsidR="00FC5178">
        <w:rPr>
          <w:rFonts w:cstheme="minorHAnsi"/>
          <w:lang w:val="fr-FR"/>
        </w:rPr>
        <w:t xml:space="preserve">, </w:t>
      </w:r>
      <w:r w:rsidR="0000299B">
        <w:rPr>
          <w:rFonts w:cstheme="minorHAnsi"/>
          <w:lang w:val="fr-FR"/>
        </w:rPr>
        <w:t xml:space="preserve">ce site </w:t>
      </w:r>
      <w:r w:rsidR="00FC5178">
        <w:rPr>
          <w:rFonts w:cstheme="minorHAnsi"/>
          <w:lang w:val="fr-FR"/>
        </w:rPr>
        <w:t xml:space="preserve">devrait faire l’objet d’un TGRN car </w:t>
      </w:r>
      <w:r w:rsidR="0000299B">
        <w:rPr>
          <w:rFonts w:cstheme="minorHAnsi"/>
          <w:lang w:val="fr-FR"/>
        </w:rPr>
        <w:t xml:space="preserve">il </w:t>
      </w:r>
      <w:r w:rsidR="00FC5178">
        <w:rPr>
          <w:rFonts w:cstheme="minorHAnsi"/>
          <w:lang w:val="fr-FR"/>
        </w:rPr>
        <w:t xml:space="preserve">fait déjà partie de l’Aire Protégée </w:t>
      </w:r>
      <w:r w:rsidR="001A23B9">
        <w:rPr>
          <w:rFonts w:cstheme="minorHAnsi"/>
          <w:lang w:val="fr-FR"/>
        </w:rPr>
        <w:t xml:space="preserve">de PK32 </w:t>
      </w:r>
      <w:proofErr w:type="spellStart"/>
      <w:r w:rsidR="001A23B9">
        <w:rPr>
          <w:rFonts w:cstheme="minorHAnsi"/>
          <w:lang w:val="fr-FR"/>
        </w:rPr>
        <w:t>Ranobé</w:t>
      </w:r>
      <w:proofErr w:type="spellEnd"/>
      <w:r w:rsidR="00C85023">
        <w:rPr>
          <w:rFonts w:cstheme="minorHAnsi"/>
          <w:lang w:val="fr-FR"/>
        </w:rPr>
        <w:t xml:space="preserve">. </w:t>
      </w:r>
      <w:r w:rsidR="001A23B9" w:rsidRPr="008F47A6">
        <w:t>En</w:t>
      </w:r>
      <w:r w:rsidR="001A23B9">
        <w:t xml:space="preserve"> </w:t>
      </w:r>
      <w:r w:rsidR="001A23B9" w:rsidRPr="008F47A6">
        <w:t>ce qui concerne l</w:t>
      </w:r>
      <w:r w:rsidR="001A23B9">
        <w:t xml:space="preserve">es APC sous la gestion de SAGE, </w:t>
      </w:r>
      <w:r w:rsidR="001A23B9">
        <w:rPr>
          <w:rFonts w:cstheme="minorHAnsi"/>
        </w:rPr>
        <w:t xml:space="preserve">les autorités régionales ont signé une déclaration d’engagement dans le processus d’obtention de statut temporaire d’APC. </w:t>
      </w:r>
    </w:p>
    <w:p w14:paraId="26ACDB3C" w14:textId="20806DD4" w:rsidR="00247803" w:rsidRDefault="00BF1B21" w:rsidP="001A23B9">
      <w:pPr>
        <w:rPr>
          <w:rFonts w:cstheme="minorHAnsi"/>
          <w:lang w:val="fr-FR"/>
        </w:rPr>
      </w:pPr>
      <w:r w:rsidRPr="00BF1B21">
        <w:rPr>
          <w:rFonts w:cstheme="minorHAnsi"/>
          <w:lang w:val="fr-FR"/>
        </w:rPr>
        <w:t>Les S</w:t>
      </w:r>
      <w:r w:rsidRPr="008F47A6">
        <w:rPr>
          <w:rFonts w:cstheme="minorHAnsi"/>
          <w:lang w:val="fr-FR"/>
        </w:rPr>
        <w:t xml:space="preserve">chémas d’Aménagement Communaux </w:t>
      </w:r>
      <w:r>
        <w:rPr>
          <w:rFonts w:cstheme="minorHAnsi"/>
          <w:lang w:val="fr-FR"/>
        </w:rPr>
        <w:t xml:space="preserve">(SAC) </w:t>
      </w:r>
      <w:r w:rsidRPr="008F47A6">
        <w:rPr>
          <w:rFonts w:cstheme="minorHAnsi"/>
          <w:lang w:val="fr-FR"/>
        </w:rPr>
        <w:t>s</w:t>
      </w:r>
      <w:r>
        <w:rPr>
          <w:rFonts w:cstheme="minorHAnsi"/>
          <w:lang w:val="fr-FR"/>
        </w:rPr>
        <w:t>ont en cours d’élaboration dans les</w:t>
      </w:r>
      <w:r w:rsidR="00FB2F65">
        <w:rPr>
          <w:rFonts w:cstheme="minorHAnsi"/>
          <w:lang w:val="fr-FR"/>
        </w:rPr>
        <w:t xml:space="preserve"> 4</w:t>
      </w:r>
      <w:r>
        <w:rPr>
          <w:rFonts w:cstheme="minorHAnsi"/>
          <w:lang w:val="fr-FR"/>
        </w:rPr>
        <w:t xml:space="preserve"> APC gérées par SAGE où une équipe technique communale a été mise en place pour travailler sur la démarche d’élaboration de SAC</w:t>
      </w:r>
      <w:r w:rsidRPr="008F47A6">
        <w:rPr>
          <w:lang w:val="fr-FR"/>
        </w:rPr>
        <w:t xml:space="preserve"> </w:t>
      </w:r>
      <w:r w:rsidRPr="00BF1B21">
        <w:rPr>
          <w:rFonts w:cstheme="minorHAnsi"/>
          <w:lang w:val="fr-FR"/>
        </w:rPr>
        <w:t xml:space="preserve">en partenariat avec la Direction </w:t>
      </w:r>
      <w:r w:rsidR="00D03907">
        <w:rPr>
          <w:rFonts w:cstheme="minorHAnsi"/>
          <w:lang w:val="fr-FR"/>
        </w:rPr>
        <w:t xml:space="preserve">Régionale </w:t>
      </w:r>
      <w:r w:rsidRPr="00BF1B21">
        <w:rPr>
          <w:rFonts w:cstheme="minorHAnsi"/>
          <w:lang w:val="fr-FR"/>
        </w:rPr>
        <w:t>de l’Aménagement de Territoire</w:t>
      </w:r>
      <w:r>
        <w:rPr>
          <w:rFonts w:cstheme="minorHAnsi"/>
          <w:lang w:val="fr-FR"/>
        </w:rPr>
        <w:t xml:space="preserve">. Les SAC sont attendus pour la fin de l’année 2019 pour SAGE, et plutôt pour le premier trimestre 2020 pour </w:t>
      </w:r>
      <w:proofErr w:type="spellStart"/>
      <w:r>
        <w:rPr>
          <w:rFonts w:cstheme="minorHAnsi"/>
          <w:lang w:val="fr-FR"/>
        </w:rPr>
        <w:t>Tany</w:t>
      </w:r>
      <w:proofErr w:type="spellEnd"/>
      <w:r>
        <w:rPr>
          <w:rFonts w:cstheme="minorHAnsi"/>
          <w:lang w:val="fr-FR"/>
        </w:rPr>
        <w:t xml:space="preserve"> </w:t>
      </w:r>
      <w:proofErr w:type="spellStart"/>
      <w:r>
        <w:rPr>
          <w:rFonts w:cstheme="minorHAnsi"/>
          <w:lang w:val="fr-FR"/>
        </w:rPr>
        <w:t>Meva</w:t>
      </w:r>
      <w:proofErr w:type="spellEnd"/>
      <w:r>
        <w:rPr>
          <w:rFonts w:cstheme="minorHAnsi"/>
          <w:lang w:val="fr-FR"/>
        </w:rPr>
        <w:t>. Selon le rapport PIR</w:t>
      </w:r>
      <w:r w:rsidR="00247803">
        <w:rPr>
          <w:rFonts w:cstheme="minorHAnsi"/>
          <w:lang w:val="fr-FR"/>
        </w:rPr>
        <w:t xml:space="preserve"> </w:t>
      </w:r>
      <w:r w:rsidR="0000299B">
        <w:rPr>
          <w:rFonts w:cstheme="minorHAnsi"/>
          <w:lang w:val="fr-FR"/>
        </w:rPr>
        <w:t xml:space="preserve">de 2019 </w:t>
      </w:r>
      <w:r w:rsidR="00247803">
        <w:rPr>
          <w:rFonts w:cstheme="minorHAnsi"/>
          <w:lang w:val="fr-FR"/>
        </w:rPr>
        <w:t xml:space="preserve">et </w:t>
      </w:r>
      <w:r w:rsidR="0000299B">
        <w:rPr>
          <w:rFonts w:cstheme="minorHAnsi"/>
          <w:lang w:val="fr-FR"/>
        </w:rPr>
        <w:t xml:space="preserve">le </w:t>
      </w:r>
      <w:r w:rsidR="00247803">
        <w:rPr>
          <w:rFonts w:cstheme="minorHAnsi"/>
          <w:lang w:val="fr-FR"/>
        </w:rPr>
        <w:t>rapport annuel PNUD</w:t>
      </w:r>
      <w:r w:rsidR="0000299B">
        <w:rPr>
          <w:rFonts w:cstheme="minorHAnsi"/>
          <w:lang w:val="fr-FR"/>
        </w:rPr>
        <w:t xml:space="preserve"> de 2019</w:t>
      </w:r>
      <w:r>
        <w:rPr>
          <w:rFonts w:cstheme="minorHAnsi"/>
          <w:lang w:val="fr-FR"/>
        </w:rPr>
        <w:t xml:space="preserve">, </w:t>
      </w:r>
      <w:r w:rsidR="00247803">
        <w:rPr>
          <w:rFonts w:cstheme="minorHAnsi"/>
          <w:lang w:val="fr-FR"/>
        </w:rPr>
        <w:t xml:space="preserve">13 dinas et </w:t>
      </w:r>
      <w:r>
        <w:rPr>
          <w:rFonts w:cstheme="minorHAnsi"/>
          <w:lang w:val="fr-FR"/>
        </w:rPr>
        <w:t>6 conventions sociales</w:t>
      </w:r>
      <w:r w:rsidR="00247803">
        <w:rPr>
          <w:rFonts w:cstheme="minorHAnsi"/>
          <w:lang w:val="fr-FR"/>
        </w:rPr>
        <w:t xml:space="preserve"> ont été analysées, renforcées et partagées avec les futures APC. </w:t>
      </w:r>
      <w:r w:rsidR="00247803" w:rsidRPr="00247803">
        <w:rPr>
          <w:rFonts w:cstheme="minorHAnsi"/>
          <w:lang w:val="fr-FR"/>
        </w:rPr>
        <w:t>L’évaluation n’a</w:t>
      </w:r>
      <w:r w:rsidR="00247803" w:rsidRPr="008F47A6">
        <w:rPr>
          <w:rFonts w:cstheme="minorHAnsi"/>
          <w:lang w:val="fr-FR"/>
        </w:rPr>
        <w:t xml:space="preserve"> toutefois pas permis d’avoir plus d’information à c</w:t>
      </w:r>
      <w:r w:rsidR="00247803">
        <w:rPr>
          <w:rFonts w:cstheme="minorHAnsi"/>
          <w:lang w:val="fr-FR"/>
        </w:rPr>
        <w:t xml:space="preserve">e sujet car les rapports d’activités de </w:t>
      </w:r>
      <w:proofErr w:type="spellStart"/>
      <w:r w:rsidR="00247803">
        <w:rPr>
          <w:rFonts w:cstheme="minorHAnsi"/>
          <w:lang w:val="fr-FR"/>
        </w:rPr>
        <w:t>Tany</w:t>
      </w:r>
      <w:proofErr w:type="spellEnd"/>
      <w:r w:rsidR="00247803">
        <w:rPr>
          <w:rFonts w:cstheme="minorHAnsi"/>
          <w:lang w:val="fr-FR"/>
        </w:rPr>
        <w:t xml:space="preserve"> </w:t>
      </w:r>
      <w:proofErr w:type="spellStart"/>
      <w:r w:rsidR="00247803">
        <w:rPr>
          <w:rFonts w:cstheme="minorHAnsi"/>
          <w:lang w:val="fr-FR"/>
        </w:rPr>
        <w:t>Meva</w:t>
      </w:r>
      <w:proofErr w:type="spellEnd"/>
      <w:r w:rsidR="00247803">
        <w:rPr>
          <w:rFonts w:cstheme="minorHAnsi"/>
          <w:lang w:val="fr-FR"/>
        </w:rPr>
        <w:t xml:space="preserve"> et de SAGE ne sont pas disponibles. </w:t>
      </w:r>
    </w:p>
    <w:p w14:paraId="19A8475A" w14:textId="1E7B39A3" w:rsidR="00EC4B77" w:rsidRDefault="00052DA1" w:rsidP="00052DA1">
      <w:pPr>
        <w:rPr>
          <w:rFonts w:cstheme="minorHAnsi"/>
          <w:lang w:val="fr-FR"/>
        </w:rPr>
      </w:pPr>
      <w:r>
        <w:rPr>
          <w:rFonts w:cstheme="minorHAnsi"/>
          <w:lang w:val="fr-FR"/>
        </w:rPr>
        <w:t xml:space="preserve">En termes de gestion d’APC, des </w:t>
      </w:r>
      <w:r w:rsidR="00EC4B77">
        <w:rPr>
          <w:rFonts w:cstheme="minorHAnsi"/>
          <w:lang w:val="fr-FR"/>
        </w:rPr>
        <w:t>sous-comités</w:t>
      </w:r>
      <w:r>
        <w:rPr>
          <w:rFonts w:cstheme="minorHAnsi"/>
          <w:lang w:val="fr-FR"/>
        </w:rPr>
        <w:t xml:space="preserve"> de pilotage ont été cré</w:t>
      </w:r>
      <w:r w:rsidR="00FB2F65">
        <w:rPr>
          <w:rFonts w:cstheme="minorHAnsi"/>
          <w:lang w:val="fr-FR"/>
        </w:rPr>
        <w:t>é</w:t>
      </w:r>
      <w:r>
        <w:rPr>
          <w:rFonts w:cstheme="minorHAnsi"/>
          <w:lang w:val="fr-FR"/>
        </w:rPr>
        <w:t>s au niveau des APC</w:t>
      </w:r>
      <w:r w:rsidR="00EC4B77">
        <w:rPr>
          <w:rFonts w:cstheme="minorHAnsi"/>
          <w:lang w:val="fr-FR"/>
        </w:rPr>
        <w:t>.</w:t>
      </w:r>
      <w:r w:rsidR="00FB2F65">
        <w:rPr>
          <w:rFonts w:cstheme="minorHAnsi"/>
          <w:lang w:val="fr-FR"/>
        </w:rPr>
        <w:t xml:space="preserve"> Toutefois, l’évaluateur n’a pas eu accès aux rapports d’activités de ces sous-comités.</w:t>
      </w:r>
      <w:r w:rsidR="00EC4B77">
        <w:rPr>
          <w:rFonts w:cstheme="minorHAnsi"/>
          <w:lang w:val="fr-FR"/>
        </w:rPr>
        <w:t xml:space="preserve"> </w:t>
      </w:r>
    </w:p>
    <w:p w14:paraId="4DEB9E2C" w14:textId="4BD6ADDF" w:rsidR="00D5733A" w:rsidRPr="008F47A6" w:rsidRDefault="00FB2F65" w:rsidP="00E33926">
      <w:pPr>
        <w:rPr>
          <w:rFonts w:cstheme="minorHAnsi"/>
          <w:lang w:val="fr-FR"/>
        </w:rPr>
      </w:pPr>
      <w:r>
        <w:rPr>
          <w:rFonts w:cstheme="minorHAnsi"/>
          <w:lang w:val="fr-FR"/>
        </w:rPr>
        <w:t>En général,</w:t>
      </w:r>
      <w:r w:rsidR="00D5733A">
        <w:rPr>
          <w:rFonts w:cstheme="minorHAnsi"/>
          <w:lang w:val="fr-FR"/>
        </w:rPr>
        <w:t xml:space="preserve"> l</w:t>
      </w:r>
      <w:r w:rsidR="00E33926">
        <w:rPr>
          <w:rFonts w:cstheme="minorHAnsi"/>
          <w:lang w:val="fr-FR"/>
        </w:rPr>
        <w:t xml:space="preserve">es progrès de la </w:t>
      </w:r>
      <w:r w:rsidR="00E33926" w:rsidRPr="008F47A6">
        <w:rPr>
          <w:rFonts w:cstheme="minorHAnsi"/>
          <w:lang w:val="fr-FR"/>
        </w:rPr>
        <w:t xml:space="preserve">composante 2 du projet ont </w:t>
      </w:r>
      <w:r w:rsidR="00D5733A" w:rsidRPr="008F47A6">
        <w:rPr>
          <w:rFonts w:cstheme="minorHAnsi"/>
          <w:lang w:val="fr-FR"/>
        </w:rPr>
        <w:t>beaucoup</w:t>
      </w:r>
      <w:r w:rsidR="00E33926" w:rsidRPr="008F47A6">
        <w:rPr>
          <w:rFonts w:cstheme="minorHAnsi"/>
          <w:lang w:val="fr-FR"/>
        </w:rPr>
        <w:t xml:space="preserve"> porté sur les activités de sensibilisation, </w:t>
      </w:r>
      <w:r w:rsidR="004229C4">
        <w:rPr>
          <w:rFonts w:cstheme="minorHAnsi"/>
          <w:lang w:val="fr-FR"/>
        </w:rPr>
        <w:t xml:space="preserve">de </w:t>
      </w:r>
      <w:r w:rsidR="00E33926" w:rsidRPr="008F47A6">
        <w:rPr>
          <w:rFonts w:cstheme="minorHAnsi"/>
          <w:lang w:val="fr-FR"/>
        </w:rPr>
        <w:t xml:space="preserve">renforcement </w:t>
      </w:r>
      <w:r w:rsidR="004229C4">
        <w:rPr>
          <w:rFonts w:cstheme="minorHAnsi"/>
          <w:lang w:val="fr-FR"/>
        </w:rPr>
        <w:t xml:space="preserve">de </w:t>
      </w:r>
      <w:r w:rsidR="00E33926" w:rsidRPr="008F47A6">
        <w:rPr>
          <w:rFonts w:cstheme="minorHAnsi"/>
          <w:lang w:val="fr-FR"/>
        </w:rPr>
        <w:t xml:space="preserve">capacités et des structures. </w:t>
      </w:r>
      <w:r w:rsidR="004B2E47">
        <w:rPr>
          <w:rFonts w:cstheme="minorHAnsi"/>
          <w:lang w:val="fr-FR"/>
        </w:rPr>
        <w:t xml:space="preserve">Ces activités sont importantes. </w:t>
      </w:r>
      <w:r w:rsidR="004229C4">
        <w:rPr>
          <w:rFonts w:cstheme="minorHAnsi"/>
          <w:lang w:val="fr-FR"/>
        </w:rPr>
        <w:t xml:space="preserve">Toutefois, </w:t>
      </w:r>
      <w:r w:rsidR="008C5AF3">
        <w:rPr>
          <w:lang w:val="fr-FR"/>
        </w:rPr>
        <w:t>les 07 APC n’ont pas encore le statut d’APC temporaire. Dans la planification, c’est durant le 1</w:t>
      </w:r>
      <w:r w:rsidR="008C5AF3" w:rsidRPr="00950605">
        <w:rPr>
          <w:vertAlign w:val="superscript"/>
          <w:lang w:val="fr-FR"/>
        </w:rPr>
        <w:t>er</w:t>
      </w:r>
      <w:r w:rsidR="008C5AF3">
        <w:rPr>
          <w:lang w:val="fr-FR"/>
        </w:rPr>
        <w:t xml:space="preserve"> semestre 2020 que les arrêtés de mise en protection temporaires des 07 APC seront obtenus</w:t>
      </w:r>
      <w:r w:rsidR="00E33926" w:rsidRPr="008F47A6">
        <w:rPr>
          <w:rFonts w:cstheme="minorHAnsi"/>
          <w:lang w:val="fr-FR"/>
        </w:rPr>
        <w:t>. Les études préliminaires (inventaires</w:t>
      </w:r>
      <w:r w:rsidR="00091B53">
        <w:rPr>
          <w:rFonts w:cstheme="minorHAnsi"/>
          <w:lang w:val="fr-FR"/>
        </w:rPr>
        <w:t xml:space="preserve"> écologiques</w:t>
      </w:r>
      <w:r w:rsidR="00E33926" w:rsidRPr="008F47A6">
        <w:rPr>
          <w:rFonts w:cstheme="minorHAnsi"/>
          <w:lang w:val="fr-FR"/>
        </w:rPr>
        <w:t xml:space="preserve">, </w:t>
      </w:r>
      <w:r w:rsidR="00091B53">
        <w:rPr>
          <w:rFonts w:cstheme="minorHAnsi"/>
          <w:lang w:val="fr-FR"/>
        </w:rPr>
        <w:t xml:space="preserve">études </w:t>
      </w:r>
      <w:r w:rsidR="00E33926" w:rsidRPr="008F47A6">
        <w:rPr>
          <w:rFonts w:cstheme="minorHAnsi"/>
          <w:lang w:val="fr-FR"/>
        </w:rPr>
        <w:t xml:space="preserve">socio-économique) ne sont pas encore finalisées. </w:t>
      </w:r>
      <w:r w:rsidR="00B57C51">
        <w:rPr>
          <w:rFonts w:cstheme="minorHAnsi"/>
          <w:lang w:val="fr-FR"/>
        </w:rPr>
        <w:t xml:space="preserve">En particulier, </w:t>
      </w:r>
      <w:proofErr w:type="spellStart"/>
      <w:r w:rsidR="00B57C51">
        <w:rPr>
          <w:rFonts w:cstheme="minorHAnsi"/>
          <w:lang w:val="fr-FR"/>
        </w:rPr>
        <w:t>Tany</w:t>
      </w:r>
      <w:proofErr w:type="spellEnd"/>
      <w:r w:rsidR="00B57C51">
        <w:rPr>
          <w:rFonts w:cstheme="minorHAnsi"/>
          <w:lang w:val="fr-FR"/>
        </w:rPr>
        <w:t xml:space="preserve"> </w:t>
      </w:r>
      <w:proofErr w:type="spellStart"/>
      <w:r w:rsidR="00B57C51">
        <w:rPr>
          <w:rFonts w:cstheme="minorHAnsi"/>
          <w:lang w:val="fr-FR"/>
        </w:rPr>
        <w:t>Meva</w:t>
      </w:r>
      <w:proofErr w:type="spellEnd"/>
      <w:r w:rsidR="00B57C51">
        <w:rPr>
          <w:rFonts w:cstheme="minorHAnsi"/>
          <w:lang w:val="fr-FR"/>
        </w:rPr>
        <w:t xml:space="preserve"> a pris du retard dans la réalisation des inventaires</w:t>
      </w:r>
      <w:r w:rsidR="003A41BA">
        <w:rPr>
          <w:rFonts w:cstheme="minorHAnsi"/>
          <w:lang w:val="fr-FR"/>
        </w:rPr>
        <w:t xml:space="preserve"> (apparemment délégué à un prestataire)</w:t>
      </w:r>
      <w:r w:rsidR="00B57C51">
        <w:rPr>
          <w:rFonts w:cstheme="minorHAnsi"/>
          <w:lang w:val="fr-FR"/>
        </w:rPr>
        <w:t xml:space="preserve">. </w:t>
      </w:r>
      <w:r w:rsidR="00E33926" w:rsidRPr="008F47A6">
        <w:rPr>
          <w:rFonts w:cstheme="minorHAnsi"/>
          <w:lang w:val="fr-FR"/>
        </w:rPr>
        <w:t xml:space="preserve">En ce qui concerne </w:t>
      </w:r>
      <w:r w:rsidR="00D5733A" w:rsidRPr="008F47A6">
        <w:rPr>
          <w:rFonts w:cstheme="minorHAnsi"/>
          <w:lang w:val="fr-FR"/>
        </w:rPr>
        <w:t xml:space="preserve">les </w:t>
      </w:r>
      <w:r w:rsidR="00E33926" w:rsidRPr="008F47A6">
        <w:rPr>
          <w:rFonts w:cstheme="minorHAnsi"/>
          <w:lang w:val="fr-FR"/>
        </w:rPr>
        <w:t xml:space="preserve">activités </w:t>
      </w:r>
      <w:r w:rsidR="00D5733A" w:rsidRPr="008F47A6">
        <w:rPr>
          <w:rFonts w:cstheme="minorHAnsi"/>
          <w:lang w:val="fr-FR"/>
        </w:rPr>
        <w:t>génératrices de revenu</w:t>
      </w:r>
      <w:r w:rsidR="00D03907">
        <w:rPr>
          <w:rFonts w:cstheme="minorHAnsi"/>
          <w:lang w:val="fr-FR"/>
        </w:rPr>
        <w:t xml:space="preserve"> et l’accès à la microfinance</w:t>
      </w:r>
      <w:r w:rsidR="00D5733A" w:rsidRPr="008F47A6">
        <w:rPr>
          <w:rFonts w:cstheme="minorHAnsi"/>
          <w:lang w:val="fr-FR"/>
        </w:rPr>
        <w:t>, le projet n’a pas encore avancé sur ces questions.</w:t>
      </w:r>
      <w:r w:rsidR="004229C4">
        <w:rPr>
          <w:rFonts w:cstheme="minorHAnsi"/>
          <w:lang w:val="fr-FR"/>
        </w:rPr>
        <w:t xml:space="preserve"> </w:t>
      </w:r>
    </w:p>
    <w:p w14:paraId="33D5A0E7" w14:textId="77777777" w:rsidR="00E33926" w:rsidRPr="004229C4" w:rsidRDefault="00E33926" w:rsidP="00201A8A">
      <w:pPr>
        <w:rPr>
          <w:rFonts w:cstheme="minorHAnsi"/>
          <w:lang w:val="fr-FR"/>
        </w:rPr>
      </w:pPr>
    </w:p>
    <w:p w14:paraId="29F5F1B4" w14:textId="77777777" w:rsidR="00E33926" w:rsidRPr="008F47A6" w:rsidRDefault="00E33926">
      <w:pPr>
        <w:rPr>
          <w:rFonts w:cstheme="minorHAnsi"/>
          <w:lang w:val="fr-FR"/>
        </w:rPr>
      </w:pPr>
    </w:p>
    <w:p w14:paraId="56768382" w14:textId="200042DB" w:rsidR="00201A8A" w:rsidRPr="008F47A6" w:rsidRDefault="00201A8A">
      <w:pPr>
        <w:rPr>
          <w:lang w:val="fr-FR"/>
        </w:rPr>
      </w:pPr>
      <w:r w:rsidRPr="008F47A6">
        <w:rPr>
          <w:lang w:val="fr-FR"/>
        </w:rPr>
        <w:t xml:space="preserve"> </w:t>
      </w:r>
    </w:p>
    <w:p w14:paraId="5CDF78F3" w14:textId="042FDED1" w:rsidR="005C08B1" w:rsidRDefault="005C08B1" w:rsidP="00365580">
      <w:pPr>
        <w:autoSpaceDE w:val="0"/>
        <w:autoSpaceDN w:val="0"/>
        <w:adjustRightInd w:val="0"/>
        <w:spacing w:before="0" w:after="0" w:line="240" w:lineRule="auto"/>
        <w:jc w:val="left"/>
        <w:rPr>
          <w:lang w:val="fr-FR"/>
        </w:rPr>
      </w:pPr>
    </w:p>
    <w:p w14:paraId="01C6BEA7" w14:textId="74DA9F67" w:rsidR="00B727DB" w:rsidRDefault="00B727DB" w:rsidP="005C08B1">
      <w:pPr>
        <w:autoSpaceDE w:val="0"/>
        <w:autoSpaceDN w:val="0"/>
        <w:adjustRightInd w:val="0"/>
        <w:spacing w:before="0" w:after="0" w:line="240" w:lineRule="auto"/>
        <w:jc w:val="left"/>
        <w:rPr>
          <w:lang w:val="fr-FR"/>
        </w:rPr>
        <w:sectPr w:rsidR="00B727DB" w:rsidSect="00F66085">
          <w:pgSz w:w="11906" w:h="16838" w:code="9"/>
          <w:pgMar w:top="1440" w:right="1440" w:bottom="1440" w:left="1440" w:header="576" w:footer="432" w:gutter="0"/>
          <w:cols w:space="720"/>
          <w:docGrid w:linePitch="360"/>
        </w:sectPr>
      </w:pPr>
    </w:p>
    <w:tbl>
      <w:tblPr>
        <w:tblStyle w:val="TableBaastel"/>
        <w:tblW w:w="19335" w:type="dxa"/>
        <w:tblLayout w:type="fixed"/>
        <w:tblLook w:val="04A0" w:firstRow="1" w:lastRow="0" w:firstColumn="1" w:lastColumn="0" w:noHBand="0" w:noVBand="1"/>
      </w:tblPr>
      <w:tblGrid>
        <w:gridCol w:w="567"/>
        <w:gridCol w:w="3686"/>
        <w:gridCol w:w="3402"/>
        <w:gridCol w:w="3118"/>
        <w:gridCol w:w="2977"/>
        <w:gridCol w:w="1134"/>
        <w:gridCol w:w="142"/>
        <w:gridCol w:w="4309"/>
      </w:tblGrid>
      <w:tr w:rsidR="00F56F56" w:rsidRPr="008F5A64" w14:paraId="05B58526" w14:textId="68790CBE" w:rsidTr="00CA44AE">
        <w:trPr>
          <w:gridAfter w:val="2"/>
          <w:cnfStyle w:val="100000000000" w:firstRow="1" w:lastRow="0" w:firstColumn="0" w:lastColumn="0" w:oddVBand="0" w:evenVBand="0" w:oddHBand="0" w:evenHBand="0" w:firstRowFirstColumn="0" w:firstRowLastColumn="0" w:lastRowFirstColumn="0" w:lastRowLastColumn="0"/>
          <w:wAfter w:w="4451" w:type="dxa"/>
        </w:trPr>
        <w:tc>
          <w:tcPr>
            <w:tcW w:w="0" w:type="dxa"/>
          </w:tcPr>
          <w:p w14:paraId="4FE009EE" w14:textId="77777777" w:rsidR="00F56F56" w:rsidRPr="008F5A64" w:rsidRDefault="00F56F56" w:rsidP="00C30657">
            <w:pPr>
              <w:spacing w:before="0" w:after="0"/>
              <w:jc w:val="center"/>
              <w:rPr>
                <w:b w:val="0"/>
                <w:sz w:val="20"/>
                <w:szCs w:val="20"/>
              </w:rPr>
            </w:pPr>
            <w:r w:rsidRPr="008F5A64">
              <w:rPr>
                <w:sz w:val="20"/>
                <w:szCs w:val="20"/>
              </w:rPr>
              <w:lastRenderedPageBreak/>
              <w:t>#</w:t>
            </w:r>
          </w:p>
        </w:tc>
        <w:tc>
          <w:tcPr>
            <w:tcW w:w="0" w:type="dxa"/>
          </w:tcPr>
          <w:p w14:paraId="60E9C9D3" w14:textId="77777777" w:rsidR="00F56F56" w:rsidRPr="008F5A64" w:rsidRDefault="00F56F56" w:rsidP="00C30657">
            <w:pPr>
              <w:spacing w:before="0" w:after="0"/>
              <w:jc w:val="center"/>
              <w:rPr>
                <w:b w:val="0"/>
                <w:sz w:val="20"/>
                <w:szCs w:val="20"/>
              </w:rPr>
            </w:pPr>
            <w:proofErr w:type="spellStart"/>
            <w:r w:rsidRPr="008F5A64">
              <w:rPr>
                <w:sz w:val="20"/>
                <w:szCs w:val="20"/>
              </w:rPr>
              <w:t>Indicateur</w:t>
            </w:r>
            <w:proofErr w:type="spellEnd"/>
            <w:r w:rsidRPr="008F5A64">
              <w:rPr>
                <w:sz w:val="20"/>
                <w:szCs w:val="20"/>
              </w:rPr>
              <w:t xml:space="preserve">* </w:t>
            </w:r>
          </w:p>
        </w:tc>
        <w:tc>
          <w:tcPr>
            <w:tcW w:w="0" w:type="dxa"/>
          </w:tcPr>
          <w:p w14:paraId="03F07FBE" w14:textId="77777777" w:rsidR="00F56F56" w:rsidRPr="008F5A64" w:rsidRDefault="00F56F56" w:rsidP="00C30657">
            <w:pPr>
              <w:spacing w:before="0" w:after="0"/>
              <w:jc w:val="center"/>
              <w:rPr>
                <w:b w:val="0"/>
                <w:sz w:val="20"/>
                <w:szCs w:val="20"/>
              </w:rPr>
            </w:pPr>
            <w:r w:rsidRPr="008F5A64">
              <w:rPr>
                <w:sz w:val="20"/>
                <w:szCs w:val="20"/>
              </w:rPr>
              <w:t xml:space="preserve">Point de </w:t>
            </w:r>
            <w:proofErr w:type="spellStart"/>
            <w:r w:rsidRPr="008F5A64">
              <w:rPr>
                <w:sz w:val="20"/>
                <w:szCs w:val="20"/>
              </w:rPr>
              <w:t>départ</w:t>
            </w:r>
            <w:proofErr w:type="spellEnd"/>
          </w:p>
        </w:tc>
        <w:tc>
          <w:tcPr>
            <w:tcW w:w="0" w:type="dxa"/>
          </w:tcPr>
          <w:p w14:paraId="3C615891" w14:textId="77777777" w:rsidR="00F56F56" w:rsidRPr="008F5A64" w:rsidRDefault="00F56F56" w:rsidP="00C30657">
            <w:pPr>
              <w:keepLines/>
              <w:spacing w:before="0" w:after="0"/>
              <w:jc w:val="center"/>
              <w:rPr>
                <w:b w:val="0"/>
                <w:sz w:val="20"/>
                <w:szCs w:val="20"/>
                <w:lang w:val="fr-FR"/>
              </w:rPr>
            </w:pPr>
            <w:r w:rsidRPr="008F5A64">
              <w:rPr>
                <w:sz w:val="20"/>
                <w:szCs w:val="20"/>
                <w:lang w:val="fr-FR"/>
              </w:rPr>
              <w:t>Cibles d’ici la fin du projet</w:t>
            </w:r>
          </w:p>
        </w:tc>
        <w:tc>
          <w:tcPr>
            <w:tcW w:w="2977" w:type="dxa"/>
          </w:tcPr>
          <w:p w14:paraId="7D8F8385" w14:textId="16348D08" w:rsidR="00F56F56" w:rsidRPr="008F5A64" w:rsidRDefault="00F56F56" w:rsidP="00C30657">
            <w:pPr>
              <w:keepLines/>
              <w:spacing w:before="0" w:after="0"/>
              <w:jc w:val="center"/>
              <w:rPr>
                <w:bCs/>
                <w:sz w:val="20"/>
                <w:szCs w:val="20"/>
                <w:lang w:val="fr-FR"/>
              </w:rPr>
            </w:pPr>
            <w:r>
              <w:rPr>
                <w:bCs/>
                <w:sz w:val="20"/>
                <w:szCs w:val="20"/>
                <w:lang w:val="fr-FR"/>
              </w:rPr>
              <w:t>Réalisations à date</w:t>
            </w:r>
            <w:r w:rsidRPr="008F5A64">
              <w:rPr>
                <w:bCs/>
                <w:sz w:val="20"/>
                <w:szCs w:val="20"/>
                <w:lang w:val="fr-FR"/>
              </w:rPr>
              <w:t xml:space="preserve"> </w:t>
            </w:r>
            <w:r w:rsidR="006548F1">
              <w:rPr>
                <w:bCs/>
                <w:sz w:val="20"/>
                <w:szCs w:val="20"/>
                <w:lang w:val="fr-FR"/>
              </w:rPr>
              <w:t xml:space="preserve">                   </w:t>
            </w:r>
            <w:proofErr w:type="gramStart"/>
            <w:r w:rsidR="006548F1">
              <w:rPr>
                <w:bCs/>
                <w:sz w:val="20"/>
                <w:szCs w:val="20"/>
                <w:lang w:val="fr-FR"/>
              </w:rPr>
              <w:t xml:space="preserve">   (</w:t>
            </w:r>
            <w:proofErr w:type="gramEnd"/>
            <w:r w:rsidR="006548F1">
              <w:rPr>
                <w:bCs/>
                <w:sz w:val="20"/>
                <w:szCs w:val="20"/>
                <w:lang w:val="fr-FR"/>
              </w:rPr>
              <w:t>15 Novembre 2019)</w:t>
            </w:r>
          </w:p>
        </w:tc>
        <w:tc>
          <w:tcPr>
            <w:tcW w:w="1134" w:type="dxa"/>
          </w:tcPr>
          <w:p w14:paraId="06EAC006" w14:textId="2DDFF907" w:rsidR="00F56F56" w:rsidRDefault="00F56F56" w:rsidP="00C30657">
            <w:pPr>
              <w:keepLines/>
              <w:spacing w:before="0" w:after="0"/>
              <w:jc w:val="center"/>
              <w:rPr>
                <w:bCs/>
                <w:sz w:val="20"/>
                <w:szCs w:val="20"/>
                <w:lang w:val="fr-FR"/>
              </w:rPr>
            </w:pPr>
            <w:r>
              <w:rPr>
                <w:bCs/>
                <w:sz w:val="20"/>
                <w:szCs w:val="20"/>
                <w:lang w:val="fr-FR"/>
              </w:rPr>
              <w:t>Note</w:t>
            </w:r>
          </w:p>
        </w:tc>
      </w:tr>
      <w:tr w:rsidR="00F56F56" w:rsidRPr="00BE1549" w14:paraId="22D33ED8" w14:textId="76D56857" w:rsidTr="00C30657">
        <w:trPr>
          <w:gridAfter w:val="2"/>
          <w:wAfter w:w="4451" w:type="dxa"/>
        </w:trPr>
        <w:tc>
          <w:tcPr>
            <w:tcW w:w="567" w:type="dxa"/>
          </w:tcPr>
          <w:p w14:paraId="1FC1B1C9" w14:textId="77777777" w:rsidR="00F56F56" w:rsidRPr="008F5A64" w:rsidRDefault="00F56F56" w:rsidP="00C30657">
            <w:pPr>
              <w:spacing w:before="0" w:after="0"/>
              <w:jc w:val="left"/>
              <w:rPr>
                <w:sz w:val="20"/>
                <w:szCs w:val="20"/>
              </w:rPr>
            </w:pPr>
          </w:p>
        </w:tc>
        <w:tc>
          <w:tcPr>
            <w:tcW w:w="14317" w:type="dxa"/>
            <w:gridSpan w:val="5"/>
          </w:tcPr>
          <w:p w14:paraId="7410BA5A" w14:textId="13137335" w:rsidR="00F56F56" w:rsidRPr="008F47A6" w:rsidRDefault="00F56F56" w:rsidP="00C30657">
            <w:pPr>
              <w:spacing w:before="0" w:after="0"/>
              <w:contextualSpacing/>
              <w:jc w:val="left"/>
              <w:rPr>
                <w:sz w:val="20"/>
                <w:szCs w:val="20"/>
                <w:lang w:val="fr-FR"/>
              </w:rPr>
            </w:pPr>
            <w:r w:rsidRPr="008F5A64">
              <w:rPr>
                <w:b/>
                <w:lang w:val="fr-FR"/>
              </w:rPr>
              <w:t>Objectif du projet : Protéger la biodiversité dans la région de l’Atsimo-Andrefana afin de combattre les menaces actuelles et émergentes et l’utiliser durablement en mettant en œuvre un cadre de gouvernance axé sur la collaboration aux fins de l’intégration sectorielle et de la gestion décentralisée des ressources naturelles</w:t>
            </w:r>
          </w:p>
        </w:tc>
      </w:tr>
      <w:tr w:rsidR="00F56F56" w:rsidRPr="00D65F8E" w14:paraId="2D9FA370" w14:textId="40CA0C80" w:rsidTr="00CC02B8">
        <w:trPr>
          <w:gridAfter w:val="2"/>
          <w:wAfter w:w="4451" w:type="dxa"/>
        </w:trPr>
        <w:tc>
          <w:tcPr>
            <w:tcW w:w="0" w:type="dxa"/>
          </w:tcPr>
          <w:p w14:paraId="1D1E9D57" w14:textId="77777777" w:rsidR="00F56F56" w:rsidRPr="008F5A64" w:rsidDel="00A556D4" w:rsidRDefault="00F56F56" w:rsidP="00C30657">
            <w:pPr>
              <w:spacing w:before="0" w:after="0"/>
              <w:jc w:val="left"/>
              <w:rPr>
                <w:sz w:val="20"/>
                <w:szCs w:val="20"/>
              </w:rPr>
            </w:pPr>
            <w:r w:rsidRPr="008F5A64">
              <w:rPr>
                <w:sz w:val="20"/>
                <w:szCs w:val="20"/>
              </w:rPr>
              <w:t>1</w:t>
            </w:r>
          </w:p>
        </w:tc>
        <w:tc>
          <w:tcPr>
            <w:tcW w:w="0" w:type="dxa"/>
          </w:tcPr>
          <w:p w14:paraId="3A86E746" w14:textId="77777777" w:rsidR="00F56F56" w:rsidRPr="008F5A64" w:rsidRDefault="00F56F56" w:rsidP="00C30657">
            <w:pPr>
              <w:spacing w:before="0" w:after="0"/>
              <w:jc w:val="left"/>
              <w:rPr>
                <w:sz w:val="20"/>
                <w:szCs w:val="20"/>
                <w:lang w:val="fr-FR"/>
              </w:rPr>
            </w:pPr>
            <w:r w:rsidRPr="008F5A64">
              <w:rPr>
                <w:sz w:val="20"/>
                <w:szCs w:val="20"/>
                <w:lang w:val="fr-FR"/>
              </w:rPr>
              <w:t>Utilisation de l’outil de planification territoriale aux fins de l’intégration de la biodiversité :</w:t>
            </w:r>
          </w:p>
          <w:p w14:paraId="64634C02" w14:textId="77777777" w:rsidR="00F56F56" w:rsidRPr="008F5A64" w:rsidRDefault="00F56F56" w:rsidP="00C30657">
            <w:pPr>
              <w:spacing w:before="0" w:after="0"/>
              <w:jc w:val="left"/>
              <w:rPr>
                <w:sz w:val="20"/>
                <w:szCs w:val="20"/>
                <w:lang w:val="fr-FR"/>
              </w:rPr>
            </w:pPr>
          </w:p>
          <w:p w14:paraId="5067D1ED" w14:textId="77777777" w:rsidR="00F56F56" w:rsidRPr="008F5A64" w:rsidRDefault="00F56F56" w:rsidP="00C30657">
            <w:pPr>
              <w:spacing w:before="0" w:after="0"/>
              <w:jc w:val="left"/>
              <w:rPr>
                <w:sz w:val="20"/>
                <w:szCs w:val="20"/>
                <w:lang w:val="fr-FR"/>
              </w:rPr>
            </w:pPr>
            <w:r w:rsidRPr="008F5A64">
              <w:rPr>
                <w:sz w:val="20"/>
                <w:szCs w:val="20"/>
                <w:lang w:val="fr-FR"/>
              </w:rPr>
              <w:t xml:space="preserve">(a) Mise en œuvre des recommandations prescrites dans le PROSCB– grâce à une analyse réalisée par l’OPT BD à l’échelle des paysages </w:t>
            </w:r>
          </w:p>
          <w:p w14:paraId="39ED4BD6" w14:textId="77777777" w:rsidR="00F56F56" w:rsidRPr="008F5A64" w:rsidRDefault="00F56F56" w:rsidP="00C30657">
            <w:pPr>
              <w:spacing w:before="0" w:after="0"/>
              <w:jc w:val="left"/>
              <w:rPr>
                <w:sz w:val="20"/>
                <w:szCs w:val="20"/>
                <w:lang w:val="fr-FR"/>
              </w:rPr>
            </w:pPr>
          </w:p>
          <w:p w14:paraId="5F83294E" w14:textId="77777777" w:rsidR="00F56F56" w:rsidRPr="008F5A64" w:rsidRDefault="00F56F56" w:rsidP="00C30657">
            <w:pPr>
              <w:spacing w:before="0" w:after="0"/>
              <w:contextualSpacing/>
              <w:jc w:val="left"/>
              <w:rPr>
                <w:sz w:val="20"/>
                <w:szCs w:val="20"/>
                <w:lang w:val="fr-FR"/>
              </w:rPr>
            </w:pPr>
            <w:r w:rsidRPr="008F5A64">
              <w:rPr>
                <w:sz w:val="20"/>
                <w:szCs w:val="20"/>
                <w:lang w:val="fr-FR"/>
              </w:rPr>
              <w:t xml:space="preserve">(b) Le Plan de gestion, de zonage, les cartes des AP (élaborés par la composante OPT BD - PROSCB) sont </w:t>
            </w:r>
            <w:proofErr w:type="gramStart"/>
            <w:r w:rsidRPr="008F5A64">
              <w:rPr>
                <w:sz w:val="20"/>
                <w:szCs w:val="20"/>
                <w:lang w:val="fr-FR"/>
              </w:rPr>
              <w:t>intégrés</w:t>
            </w:r>
            <w:proofErr w:type="gramEnd"/>
            <w:r w:rsidRPr="008F5A64">
              <w:rPr>
                <w:sz w:val="20"/>
                <w:szCs w:val="20"/>
                <w:lang w:val="fr-FR"/>
              </w:rPr>
              <w:t xml:space="preserve"> dans le SRAT et le PRD</w:t>
            </w:r>
          </w:p>
        </w:tc>
        <w:tc>
          <w:tcPr>
            <w:tcW w:w="0" w:type="dxa"/>
          </w:tcPr>
          <w:p w14:paraId="45D48A00" w14:textId="48245FA8" w:rsidR="00F56F56" w:rsidRPr="008F5A64" w:rsidRDefault="00F56F56" w:rsidP="00C30657">
            <w:pPr>
              <w:spacing w:before="0" w:after="0"/>
              <w:jc w:val="left"/>
              <w:rPr>
                <w:sz w:val="20"/>
                <w:szCs w:val="20"/>
                <w:lang w:val="fr-FR"/>
              </w:rPr>
            </w:pPr>
            <w:r w:rsidRPr="008F5A64">
              <w:rPr>
                <w:sz w:val="20"/>
                <w:szCs w:val="20"/>
                <w:lang w:val="fr-FR"/>
              </w:rPr>
              <w:t>(a) Le système OPT BD n’est pas encore élaboré. Le contrôle de la mise en œuvre du PROSCB se fera à partir de la deuxième année d’existence du projet lorsque le système OPT BD sera lancé et définira les recommandations pour le SRAT et le PRD</w:t>
            </w:r>
          </w:p>
          <w:p w14:paraId="05BEF4BA" w14:textId="77777777" w:rsidR="00F56F56" w:rsidRPr="008F5A64" w:rsidRDefault="00F56F56" w:rsidP="00C30657">
            <w:pPr>
              <w:spacing w:before="0" w:after="0"/>
              <w:jc w:val="left"/>
              <w:rPr>
                <w:sz w:val="20"/>
                <w:szCs w:val="20"/>
                <w:lang w:val="fr-FR"/>
              </w:rPr>
            </w:pPr>
          </w:p>
          <w:p w14:paraId="09BF2511" w14:textId="77777777" w:rsidR="00F56F56" w:rsidRPr="008F5A64" w:rsidRDefault="00F56F56" w:rsidP="00C30657">
            <w:pPr>
              <w:tabs>
                <w:tab w:val="left" w:pos="240"/>
              </w:tabs>
              <w:spacing w:before="0" w:after="0"/>
              <w:jc w:val="left"/>
              <w:rPr>
                <w:sz w:val="20"/>
                <w:szCs w:val="20"/>
                <w:lang w:val="fr-FR"/>
              </w:rPr>
            </w:pPr>
            <w:r w:rsidRPr="008F5A64">
              <w:rPr>
                <w:sz w:val="20"/>
                <w:szCs w:val="20"/>
                <w:lang w:val="fr-FR"/>
              </w:rPr>
              <w:t>(b) Le SRAT sans le PROSCB (OPT BD) et le PRD sans l’OPT BD</w:t>
            </w:r>
          </w:p>
        </w:tc>
        <w:tc>
          <w:tcPr>
            <w:tcW w:w="0" w:type="dxa"/>
          </w:tcPr>
          <w:p w14:paraId="04FDB813" w14:textId="77777777" w:rsidR="00F56F56" w:rsidRPr="008F5A64" w:rsidRDefault="00F56F56" w:rsidP="00C30657">
            <w:pPr>
              <w:spacing w:before="0" w:after="0"/>
              <w:contextualSpacing/>
              <w:jc w:val="left"/>
              <w:rPr>
                <w:sz w:val="20"/>
                <w:szCs w:val="20"/>
                <w:lang w:val="fr-FR"/>
              </w:rPr>
            </w:pPr>
            <w:r w:rsidRPr="008F5A64">
              <w:rPr>
                <w:sz w:val="20"/>
                <w:szCs w:val="20"/>
                <w:lang w:val="fr-FR"/>
              </w:rPr>
              <w:t>(a) Le SRAT avec l’annexe OPT BD</w:t>
            </w:r>
          </w:p>
          <w:p w14:paraId="148B5B8A" w14:textId="77777777" w:rsidR="00F56F56" w:rsidRPr="008F5A64" w:rsidRDefault="00F56F56" w:rsidP="00C30657">
            <w:pPr>
              <w:spacing w:before="0" w:after="0"/>
              <w:contextualSpacing/>
              <w:jc w:val="left"/>
              <w:rPr>
                <w:sz w:val="20"/>
                <w:szCs w:val="20"/>
                <w:lang w:val="fr-FR"/>
              </w:rPr>
            </w:pPr>
          </w:p>
          <w:p w14:paraId="41437E2C" w14:textId="77777777" w:rsidR="00F56F56" w:rsidRPr="008F5A64" w:rsidRDefault="00F56F56" w:rsidP="00C30657">
            <w:pPr>
              <w:spacing w:before="0" w:after="0"/>
              <w:contextualSpacing/>
              <w:jc w:val="left"/>
              <w:rPr>
                <w:sz w:val="20"/>
                <w:szCs w:val="20"/>
                <w:lang w:val="fr-FR"/>
              </w:rPr>
            </w:pPr>
          </w:p>
          <w:p w14:paraId="554C2AEF" w14:textId="77777777" w:rsidR="00F56F56" w:rsidRPr="008F5A64" w:rsidRDefault="00F56F56" w:rsidP="00C30657">
            <w:pPr>
              <w:spacing w:before="0" w:after="0"/>
              <w:contextualSpacing/>
              <w:jc w:val="left"/>
              <w:rPr>
                <w:sz w:val="20"/>
                <w:szCs w:val="20"/>
                <w:lang w:val="fr-FR"/>
              </w:rPr>
            </w:pPr>
          </w:p>
          <w:p w14:paraId="66180191" w14:textId="77777777" w:rsidR="00F56F56" w:rsidRPr="008F5A64" w:rsidRDefault="00F56F56" w:rsidP="00C30657">
            <w:pPr>
              <w:spacing w:before="0" w:after="0"/>
              <w:contextualSpacing/>
              <w:jc w:val="left"/>
              <w:rPr>
                <w:sz w:val="20"/>
                <w:szCs w:val="20"/>
                <w:lang w:val="fr-FR"/>
              </w:rPr>
            </w:pPr>
          </w:p>
          <w:p w14:paraId="42010359" w14:textId="77777777" w:rsidR="00F56F56" w:rsidRPr="008F5A64" w:rsidRDefault="00F56F56" w:rsidP="00C30657">
            <w:pPr>
              <w:spacing w:before="0" w:after="0"/>
              <w:contextualSpacing/>
              <w:jc w:val="left"/>
              <w:rPr>
                <w:sz w:val="20"/>
                <w:szCs w:val="20"/>
                <w:lang w:val="fr-FR"/>
              </w:rPr>
            </w:pPr>
          </w:p>
          <w:p w14:paraId="3BEA47D9" w14:textId="77777777" w:rsidR="00F56F56" w:rsidRPr="008F5A64" w:rsidRDefault="00F56F56" w:rsidP="00C30657">
            <w:pPr>
              <w:keepLines/>
              <w:tabs>
                <w:tab w:val="left" w:pos="240"/>
              </w:tabs>
              <w:spacing w:before="0" w:after="0"/>
              <w:jc w:val="left"/>
              <w:rPr>
                <w:sz w:val="20"/>
                <w:szCs w:val="20"/>
                <w:lang w:val="fr-FR"/>
              </w:rPr>
            </w:pPr>
            <w:r w:rsidRPr="008F5A64">
              <w:rPr>
                <w:sz w:val="20"/>
                <w:szCs w:val="20"/>
                <w:lang w:val="fr-FR"/>
              </w:rPr>
              <w:t>(b) 100% du contenu du PRD relatif à la planification sont conformes aux orientations du PROSCB (OPT BD) annexes au SRAT</w:t>
            </w:r>
          </w:p>
        </w:tc>
        <w:tc>
          <w:tcPr>
            <w:tcW w:w="2977" w:type="dxa"/>
          </w:tcPr>
          <w:p w14:paraId="29047BF6" w14:textId="42013D77" w:rsidR="00F56F56" w:rsidRDefault="00C53645" w:rsidP="00CA44AE">
            <w:pPr>
              <w:spacing w:before="0" w:after="0"/>
              <w:contextualSpacing/>
              <w:rPr>
                <w:color w:val="auto"/>
                <w:sz w:val="20"/>
                <w:szCs w:val="20"/>
                <w:lang w:val="fr-FR"/>
              </w:rPr>
            </w:pPr>
            <w:r>
              <w:rPr>
                <w:sz w:val="20"/>
                <w:szCs w:val="20"/>
                <w:lang w:val="fr-FR"/>
              </w:rPr>
              <w:t xml:space="preserve">a) </w:t>
            </w:r>
            <w:r w:rsidR="00F819B8">
              <w:rPr>
                <w:sz w:val="20"/>
                <w:szCs w:val="20"/>
                <w:lang w:val="fr-FR"/>
              </w:rPr>
              <w:t xml:space="preserve">Le SRAT a été publié avant l’OPT BD et le PROSCB, donc n’inclus pas ces outils. Toutefois, l’OPT BD incorpore le PROSCB </w:t>
            </w:r>
            <w:r w:rsidR="00F819B8" w:rsidRPr="00F819B8">
              <w:rPr>
                <w:sz w:val="20"/>
                <w:szCs w:val="20"/>
                <w:lang w:val="fr-FR"/>
              </w:rPr>
              <w:t>sous forme d’une carte dynamique, qui montrera l’ensemble des activités souhaitables pour le</w:t>
            </w:r>
            <w:r w:rsidR="00F819B8">
              <w:rPr>
                <w:sz w:val="20"/>
                <w:szCs w:val="20"/>
                <w:lang w:val="fr-FR"/>
              </w:rPr>
              <w:t xml:space="preserve"> </w:t>
            </w:r>
            <w:r w:rsidR="00F819B8" w:rsidRPr="00F819B8">
              <w:rPr>
                <w:sz w:val="20"/>
                <w:szCs w:val="20"/>
                <w:lang w:val="fr-FR"/>
              </w:rPr>
              <w:t>changement de l’Occupation du Sol</w:t>
            </w:r>
            <w:r w:rsidR="00F819B8">
              <w:rPr>
                <w:sz w:val="20"/>
                <w:szCs w:val="20"/>
                <w:lang w:val="fr-FR"/>
              </w:rPr>
              <w:t xml:space="preserve">. Il est prévu que les utilisateurs puissent obtenir une évaluation </w:t>
            </w:r>
            <w:r w:rsidR="00F819B8" w:rsidRPr="00F819B8">
              <w:rPr>
                <w:sz w:val="20"/>
                <w:szCs w:val="20"/>
                <w:lang w:val="fr-FR"/>
              </w:rPr>
              <w:t xml:space="preserve">rapide </w:t>
            </w:r>
            <w:r w:rsidR="00F819B8">
              <w:rPr>
                <w:sz w:val="20"/>
                <w:szCs w:val="20"/>
                <w:lang w:val="fr-FR"/>
              </w:rPr>
              <w:t xml:space="preserve">de </w:t>
            </w:r>
            <w:r w:rsidR="00F819B8" w:rsidRPr="00F819B8">
              <w:rPr>
                <w:sz w:val="20"/>
                <w:szCs w:val="20"/>
                <w:lang w:val="fr-FR"/>
              </w:rPr>
              <w:t>la</w:t>
            </w:r>
            <w:r w:rsidR="00F819B8">
              <w:rPr>
                <w:sz w:val="20"/>
                <w:szCs w:val="20"/>
                <w:lang w:val="fr-FR"/>
              </w:rPr>
              <w:t xml:space="preserve"> </w:t>
            </w:r>
            <w:r w:rsidR="00F819B8" w:rsidRPr="00F819B8">
              <w:rPr>
                <w:sz w:val="20"/>
                <w:szCs w:val="20"/>
                <w:lang w:val="fr-FR"/>
              </w:rPr>
              <w:t>faisabilité de l’action selon les recommandations du PROSCB</w:t>
            </w:r>
            <w:r w:rsidR="00F819B8">
              <w:rPr>
                <w:sz w:val="20"/>
                <w:szCs w:val="20"/>
                <w:lang w:val="fr-FR"/>
              </w:rPr>
              <w:t xml:space="preserve">. </w:t>
            </w:r>
          </w:p>
          <w:p w14:paraId="25D3137F" w14:textId="279D17BF" w:rsidR="00F819B8" w:rsidRPr="00D65F8E" w:rsidRDefault="00C53645" w:rsidP="00CA44AE">
            <w:pPr>
              <w:spacing w:after="120"/>
              <w:rPr>
                <w:color w:val="auto"/>
                <w:sz w:val="20"/>
                <w:szCs w:val="20"/>
                <w:lang w:val="fr-FR"/>
              </w:rPr>
            </w:pPr>
            <w:r>
              <w:rPr>
                <w:sz w:val="20"/>
                <w:szCs w:val="20"/>
                <w:lang w:val="fr-FR"/>
              </w:rPr>
              <w:t xml:space="preserve">b) </w:t>
            </w:r>
            <w:r w:rsidR="00F819B8">
              <w:rPr>
                <w:sz w:val="20"/>
                <w:szCs w:val="20"/>
                <w:lang w:val="fr-FR"/>
              </w:rPr>
              <w:t xml:space="preserve">La version d’août 2019 du PRD </w:t>
            </w:r>
            <w:r>
              <w:rPr>
                <w:sz w:val="20"/>
                <w:szCs w:val="20"/>
                <w:lang w:val="fr-FR"/>
              </w:rPr>
              <w:t>fait de l’occupation du sol et de l’environnement des points thématiques clés. La préservation et restauration d</w:t>
            </w:r>
            <w:r w:rsidRPr="00CA44AE">
              <w:rPr>
                <w:sz w:val="20"/>
                <w:szCs w:val="20"/>
                <w:lang w:val="fr-FR"/>
              </w:rPr>
              <w:t>es écosystèmes terrestres et marins</w:t>
            </w:r>
            <w:r>
              <w:rPr>
                <w:sz w:val="20"/>
                <w:szCs w:val="20"/>
                <w:lang w:val="fr-FR"/>
              </w:rPr>
              <w:t xml:space="preserve"> constituent un objectif stratégique, et il prévoit de valoriser l’OPT BD.</w:t>
            </w:r>
          </w:p>
        </w:tc>
        <w:tc>
          <w:tcPr>
            <w:tcW w:w="1134" w:type="dxa"/>
            <w:shd w:val="clear" w:color="auto" w:fill="76923C" w:themeFill="accent3" w:themeFillShade="BF"/>
          </w:tcPr>
          <w:p w14:paraId="224E6371" w14:textId="3A25ABA1" w:rsidR="00F56F56" w:rsidRPr="00D65F8E" w:rsidRDefault="00C53645" w:rsidP="00C30657">
            <w:pPr>
              <w:spacing w:before="0" w:after="0"/>
              <w:contextualSpacing/>
              <w:jc w:val="left"/>
              <w:rPr>
                <w:sz w:val="20"/>
                <w:szCs w:val="20"/>
                <w:lang w:val="fr-FR"/>
              </w:rPr>
            </w:pPr>
            <w:r>
              <w:rPr>
                <w:sz w:val="20"/>
                <w:szCs w:val="20"/>
                <w:lang w:val="fr-FR"/>
              </w:rPr>
              <w:t>S</w:t>
            </w:r>
          </w:p>
        </w:tc>
      </w:tr>
      <w:tr w:rsidR="00F56F56" w:rsidRPr="00D65F8E" w14:paraId="2415AC66" w14:textId="3449B0D5" w:rsidTr="00CC02B8">
        <w:trPr>
          <w:gridAfter w:val="2"/>
          <w:wAfter w:w="4451" w:type="dxa"/>
        </w:trPr>
        <w:tc>
          <w:tcPr>
            <w:tcW w:w="0" w:type="dxa"/>
          </w:tcPr>
          <w:p w14:paraId="604DD148" w14:textId="77777777" w:rsidR="00F56F56" w:rsidRPr="008F5A64" w:rsidRDefault="00F56F56" w:rsidP="00C30657">
            <w:pPr>
              <w:spacing w:before="0" w:after="0"/>
              <w:jc w:val="left"/>
              <w:rPr>
                <w:sz w:val="20"/>
                <w:szCs w:val="20"/>
              </w:rPr>
            </w:pPr>
            <w:r w:rsidRPr="008F5A64">
              <w:rPr>
                <w:sz w:val="20"/>
                <w:szCs w:val="20"/>
              </w:rPr>
              <w:t>2</w:t>
            </w:r>
          </w:p>
        </w:tc>
        <w:tc>
          <w:tcPr>
            <w:tcW w:w="0" w:type="dxa"/>
          </w:tcPr>
          <w:p w14:paraId="2462AFF1" w14:textId="77777777" w:rsidR="00F56F56" w:rsidRPr="008F5A64" w:rsidRDefault="00F56F56" w:rsidP="00C30657">
            <w:pPr>
              <w:spacing w:before="0" w:after="0"/>
              <w:contextualSpacing/>
              <w:jc w:val="left"/>
              <w:rPr>
                <w:sz w:val="20"/>
                <w:szCs w:val="20"/>
                <w:lang w:val="fr-FR"/>
              </w:rPr>
            </w:pPr>
            <w:r w:rsidRPr="008F5A64">
              <w:rPr>
                <w:sz w:val="20"/>
                <w:szCs w:val="20"/>
                <w:lang w:val="fr-FR"/>
              </w:rPr>
              <w:t>Les réponses du SO2 TT de la partie III concernant les “pratiques de gestion” (consulter le Tableau 8 dans l’Annexe 3) :</w:t>
            </w:r>
          </w:p>
          <w:p w14:paraId="790482E5" w14:textId="77777777" w:rsidR="00F56F56" w:rsidRPr="008F5A64" w:rsidRDefault="00F56F56" w:rsidP="00C30657">
            <w:pPr>
              <w:spacing w:before="0" w:after="0"/>
              <w:contextualSpacing/>
              <w:jc w:val="left"/>
              <w:rPr>
                <w:sz w:val="20"/>
                <w:szCs w:val="20"/>
                <w:lang w:val="fr-FR"/>
              </w:rPr>
            </w:pPr>
          </w:p>
          <w:p w14:paraId="3D1E7CEF" w14:textId="5C091F71" w:rsidR="00F56F56" w:rsidRPr="008F5A64" w:rsidRDefault="00F56F56" w:rsidP="00C30657">
            <w:pPr>
              <w:spacing w:before="0" w:after="0"/>
              <w:contextualSpacing/>
              <w:jc w:val="left"/>
              <w:rPr>
                <w:sz w:val="20"/>
                <w:szCs w:val="20"/>
                <w:lang w:val="fr-FR"/>
              </w:rPr>
            </w:pPr>
            <w:r w:rsidRPr="008F5A64">
              <w:rPr>
                <w:sz w:val="20"/>
                <w:szCs w:val="20"/>
                <w:lang w:val="fr-FR"/>
              </w:rPr>
              <w:t>(a) Le résultat de</w:t>
            </w:r>
            <w:r w:rsidR="00C53645">
              <w:rPr>
                <w:sz w:val="20"/>
                <w:szCs w:val="20"/>
                <w:lang w:val="fr-FR"/>
              </w:rPr>
              <w:t>s</w:t>
            </w:r>
            <w:r w:rsidRPr="008F5A64">
              <w:rPr>
                <w:sz w:val="20"/>
                <w:szCs w:val="20"/>
                <w:lang w:val="fr-FR"/>
              </w:rPr>
              <w:t xml:space="preserve"> efforts d’intégration :  une surface qui bénéficie d’une gestion de la biodiversité améliorée </w:t>
            </w:r>
          </w:p>
          <w:p w14:paraId="55ABAC79" w14:textId="77777777" w:rsidR="00F56F56" w:rsidRPr="008F5A64" w:rsidRDefault="00F56F56" w:rsidP="00C30657">
            <w:pPr>
              <w:spacing w:before="0" w:after="0"/>
              <w:contextualSpacing/>
              <w:jc w:val="left"/>
              <w:rPr>
                <w:sz w:val="20"/>
                <w:szCs w:val="20"/>
                <w:lang w:val="fr-FR"/>
              </w:rPr>
            </w:pPr>
          </w:p>
          <w:p w14:paraId="36047B05" w14:textId="77777777" w:rsidR="00F56F56" w:rsidRPr="008F5A64" w:rsidRDefault="00F56F56" w:rsidP="00C30657">
            <w:pPr>
              <w:spacing w:before="0" w:after="0"/>
              <w:contextualSpacing/>
              <w:jc w:val="left"/>
              <w:rPr>
                <w:sz w:val="20"/>
                <w:szCs w:val="20"/>
                <w:lang w:val="fr-FR"/>
              </w:rPr>
            </w:pPr>
            <w:r w:rsidRPr="008F5A64">
              <w:rPr>
                <w:sz w:val="20"/>
                <w:szCs w:val="20"/>
                <w:lang w:val="fr-FR"/>
              </w:rPr>
              <w:t xml:space="preserve">(b) État d’avancement des “mesures d’atténuation” à l’échelle des </w:t>
            </w:r>
            <w:proofErr w:type="gramStart"/>
            <w:r w:rsidRPr="008F5A64">
              <w:rPr>
                <w:sz w:val="20"/>
                <w:szCs w:val="20"/>
                <w:lang w:val="fr-FR"/>
              </w:rPr>
              <w:t>paysages  (</w:t>
            </w:r>
            <w:proofErr w:type="gramEnd"/>
            <w:r w:rsidRPr="008F5A64">
              <w:rPr>
                <w:sz w:val="20"/>
                <w:szCs w:val="20"/>
                <w:lang w:val="fr-FR"/>
              </w:rPr>
              <w:t xml:space="preserve">dans le cadre de la partie III du SO2 TT “Pratiques de gestion”) </w:t>
            </w:r>
          </w:p>
        </w:tc>
        <w:tc>
          <w:tcPr>
            <w:tcW w:w="0" w:type="dxa"/>
          </w:tcPr>
          <w:p w14:paraId="64F03938" w14:textId="77777777" w:rsidR="00F56F56" w:rsidRPr="008F5A64" w:rsidRDefault="00F56F56" w:rsidP="00C30657">
            <w:pPr>
              <w:tabs>
                <w:tab w:val="left" w:pos="240"/>
              </w:tabs>
              <w:spacing w:before="0" w:after="0"/>
              <w:jc w:val="left"/>
              <w:rPr>
                <w:sz w:val="20"/>
                <w:szCs w:val="20"/>
                <w:lang w:val="fr-FR"/>
              </w:rPr>
            </w:pPr>
            <w:r w:rsidRPr="008F5A64">
              <w:rPr>
                <w:sz w:val="20"/>
                <w:szCs w:val="20"/>
                <w:lang w:val="fr-FR"/>
              </w:rPr>
              <w:lastRenderedPageBreak/>
              <w:t>(a) 0 hectare</w:t>
            </w:r>
          </w:p>
          <w:p w14:paraId="6ED00157" w14:textId="77777777" w:rsidR="00F56F56" w:rsidRPr="008F5A64" w:rsidRDefault="00F56F56" w:rsidP="00C30657">
            <w:pPr>
              <w:tabs>
                <w:tab w:val="left" w:pos="240"/>
              </w:tabs>
              <w:spacing w:before="0" w:after="0"/>
              <w:jc w:val="left"/>
              <w:rPr>
                <w:sz w:val="20"/>
                <w:szCs w:val="20"/>
                <w:lang w:val="fr-FR"/>
              </w:rPr>
            </w:pPr>
          </w:p>
          <w:p w14:paraId="3CD06B4E" w14:textId="77777777" w:rsidR="00F56F56" w:rsidRPr="008F5A64" w:rsidRDefault="00F56F56" w:rsidP="00C30657">
            <w:pPr>
              <w:tabs>
                <w:tab w:val="left" w:pos="240"/>
              </w:tabs>
              <w:spacing w:before="0" w:after="0"/>
              <w:jc w:val="left"/>
              <w:rPr>
                <w:sz w:val="20"/>
                <w:szCs w:val="20"/>
                <w:lang w:val="fr-FR"/>
              </w:rPr>
            </w:pPr>
            <w:r w:rsidRPr="008F5A64">
              <w:rPr>
                <w:sz w:val="20"/>
                <w:szCs w:val="20"/>
                <w:lang w:val="fr-FR"/>
              </w:rPr>
              <w:t xml:space="preserve">(b) La mise en œuvre des “mesures d’atténuation” n’a pas été systématiquement tentée dans la région de l’Atsimo-Andrefana en tant </w:t>
            </w:r>
            <w:r w:rsidRPr="008F5A64">
              <w:rPr>
                <w:sz w:val="20"/>
                <w:szCs w:val="20"/>
                <w:lang w:val="fr-FR"/>
              </w:rPr>
              <w:lastRenderedPageBreak/>
              <w:t>que pratique de gestion de la biodiversité</w:t>
            </w:r>
          </w:p>
        </w:tc>
        <w:tc>
          <w:tcPr>
            <w:tcW w:w="0" w:type="dxa"/>
          </w:tcPr>
          <w:p w14:paraId="22B15D30" w14:textId="77777777" w:rsidR="00F56F56" w:rsidRPr="008F5A64" w:rsidRDefault="00F56F56" w:rsidP="00C30657">
            <w:pPr>
              <w:keepLines/>
              <w:tabs>
                <w:tab w:val="left" w:pos="240"/>
              </w:tabs>
              <w:spacing w:before="0" w:after="0"/>
              <w:jc w:val="left"/>
              <w:rPr>
                <w:sz w:val="20"/>
                <w:szCs w:val="20"/>
                <w:lang w:val="fr-FR"/>
              </w:rPr>
            </w:pPr>
            <w:r w:rsidRPr="008F5A64">
              <w:rPr>
                <w:sz w:val="20"/>
                <w:szCs w:val="20"/>
                <w:lang w:val="fr-FR"/>
              </w:rPr>
              <w:lastRenderedPageBreak/>
              <w:t>(a) 2 400 000 hectares</w:t>
            </w:r>
          </w:p>
          <w:p w14:paraId="0950C9B7" w14:textId="77777777" w:rsidR="00F56F56" w:rsidRPr="008F5A64" w:rsidRDefault="00F56F56" w:rsidP="00C30657">
            <w:pPr>
              <w:keepLines/>
              <w:tabs>
                <w:tab w:val="left" w:pos="240"/>
              </w:tabs>
              <w:spacing w:before="0" w:after="0"/>
              <w:jc w:val="left"/>
              <w:rPr>
                <w:sz w:val="20"/>
                <w:szCs w:val="20"/>
                <w:lang w:val="fr-FR"/>
              </w:rPr>
            </w:pPr>
          </w:p>
          <w:p w14:paraId="7B572BB2" w14:textId="14200F3F" w:rsidR="00F56F56" w:rsidRPr="008F5A64" w:rsidRDefault="00F56F56" w:rsidP="00C30657">
            <w:pPr>
              <w:keepLines/>
              <w:tabs>
                <w:tab w:val="left" w:pos="240"/>
              </w:tabs>
              <w:spacing w:before="0" w:after="0"/>
              <w:jc w:val="left"/>
              <w:rPr>
                <w:sz w:val="20"/>
                <w:szCs w:val="20"/>
                <w:lang w:val="fr-FR"/>
              </w:rPr>
            </w:pPr>
            <w:r w:rsidRPr="008F5A64">
              <w:rPr>
                <w:sz w:val="20"/>
                <w:szCs w:val="20"/>
                <w:lang w:val="fr-FR"/>
              </w:rPr>
              <w:lastRenderedPageBreak/>
              <w:t xml:space="preserve">(b) Une mise en œuvre plus systématique des mesures d’atténuation a lieu à l’échelle des paysages lorsqu’il y a des décisions importantes concernant l’agriculture extractive et à grande échelle qui peuvent affecter la </w:t>
            </w:r>
            <w:r w:rsidR="00971B89" w:rsidRPr="008F5A64">
              <w:rPr>
                <w:sz w:val="20"/>
                <w:szCs w:val="20"/>
                <w:lang w:val="fr-FR"/>
              </w:rPr>
              <w:t>biodiversité (</w:t>
            </w:r>
            <w:r w:rsidRPr="008F5A64">
              <w:rPr>
                <w:sz w:val="20"/>
                <w:szCs w:val="20"/>
                <w:lang w:val="fr-FR"/>
              </w:rPr>
              <w:t>la cible doit être validée indépendamment)</w:t>
            </w:r>
          </w:p>
        </w:tc>
        <w:tc>
          <w:tcPr>
            <w:tcW w:w="2977" w:type="dxa"/>
          </w:tcPr>
          <w:p w14:paraId="154C519A" w14:textId="77777777" w:rsidR="00F56F56" w:rsidRDefault="00C53645" w:rsidP="00C30657">
            <w:pPr>
              <w:keepLines/>
              <w:tabs>
                <w:tab w:val="left" w:pos="240"/>
              </w:tabs>
              <w:spacing w:before="0" w:after="0"/>
              <w:jc w:val="left"/>
              <w:rPr>
                <w:sz w:val="20"/>
                <w:szCs w:val="20"/>
                <w:lang w:val="fr-FR"/>
              </w:rPr>
            </w:pPr>
            <w:r>
              <w:rPr>
                <w:sz w:val="20"/>
                <w:szCs w:val="20"/>
                <w:lang w:val="fr-FR"/>
              </w:rPr>
              <w:lastRenderedPageBreak/>
              <w:t xml:space="preserve">a) La surface bénéficiant du système de gestion améliorée correspond à l’ensemble de la région d’Atsimo Andrefana, donc supérieure à la cible prévue. </w:t>
            </w:r>
          </w:p>
          <w:p w14:paraId="5A345109" w14:textId="7CAC11B7" w:rsidR="00C53645" w:rsidRPr="00D65F8E" w:rsidRDefault="00C53645" w:rsidP="00C30657">
            <w:pPr>
              <w:keepLines/>
              <w:tabs>
                <w:tab w:val="left" w:pos="240"/>
              </w:tabs>
              <w:spacing w:before="0" w:after="0"/>
              <w:jc w:val="left"/>
              <w:rPr>
                <w:sz w:val="20"/>
                <w:szCs w:val="20"/>
                <w:lang w:val="fr-FR"/>
              </w:rPr>
            </w:pPr>
            <w:r>
              <w:rPr>
                <w:sz w:val="20"/>
                <w:szCs w:val="20"/>
                <w:lang w:val="fr-FR"/>
              </w:rPr>
              <w:lastRenderedPageBreak/>
              <w:t xml:space="preserve">b) Le DOGME inclus des mesures d’atténuation qui toutefois ne sont pas encore mise en </w:t>
            </w:r>
            <w:r w:rsidR="005F0EBE">
              <w:rPr>
                <w:sz w:val="20"/>
                <w:szCs w:val="20"/>
                <w:lang w:val="fr-FR"/>
              </w:rPr>
              <w:t>œuvre</w:t>
            </w:r>
          </w:p>
        </w:tc>
        <w:tc>
          <w:tcPr>
            <w:tcW w:w="1134" w:type="dxa"/>
            <w:shd w:val="clear" w:color="auto" w:fill="FFFF00"/>
          </w:tcPr>
          <w:p w14:paraId="0A119980" w14:textId="0072E911" w:rsidR="00F56F56" w:rsidRPr="00D65F8E" w:rsidRDefault="00C53645" w:rsidP="00C30657">
            <w:pPr>
              <w:keepLines/>
              <w:tabs>
                <w:tab w:val="left" w:pos="240"/>
              </w:tabs>
              <w:spacing w:before="0" w:after="0"/>
              <w:jc w:val="left"/>
              <w:rPr>
                <w:sz w:val="20"/>
                <w:szCs w:val="20"/>
                <w:lang w:val="fr-FR"/>
              </w:rPr>
            </w:pPr>
            <w:r>
              <w:rPr>
                <w:sz w:val="20"/>
                <w:szCs w:val="20"/>
                <w:lang w:val="fr-FR"/>
              </w:rPr>
              <w:lastRenderedPageBreak/>
              <w:t>MS</w:t>
            </w:r>
          </w:p>
        </w:tc>
      </w:tr>
      <w:tr w:rsidR="00F56F56" w:rsidRPr="00D65F8E" w14:paraId="28A31814" w14:textId="603A66DD" w:rsidTr="00CC02B8">
        <w:trPr>
          <w:gridAfter w:val="2"/>
          <w:wAfter w:w="4451" w:type="dxa"/>
        </w:trPr>
        <w:tc>
          <w:tcPr>
            <w:tcW w:w="0" w:type="dxa"/>
          </w:tcPr>
          <w:p w14:paraId="6E838EA2" w14:textId="77777777" w:rsidR="00F56F56" w:rsidRPr="008F5A64" w:rsidDel="00A556D4" w:rsidRDefault="00F56F56" w:rsidP="00C30657">
            <w:pPr>
              <w:spacing w:before="0" w:after="0"/>
              <w:jc w:val="left"/>
              <w:rPr>
                <w:sz w:val="20"/>
                <w:szCs w:val="20"/>
              </w:rPr>
            </w:pPr>
            <w:r w:rsidRPr="008F5A64">
              <w:rPr>
                <w:sz w:val="20"/>
                <w:szCs w:val="20"/>
              </w:rPr>
              <w:t>3</w:t>
            </w:r>
          </w:p>
        </w:tc>
        <w:tc>
          <w:tcPr>
            <w:tcW w:w="0" w:type="dxa"/>
          </w:tcPr>
          <w:p w14:paraId="4803C4ED" w14:textId="77777777" w:rsidR="00F56F56" w:rsidRPr="008F5A64" w:rsidRDefault="00F56F56" w:rsidP="00C30657">
            <w:pPr>
              <w:spacing w:before="0" w:after="0"/>
              <w:jc w:val="left"/>
              <w:rPr>
                <w:sz w:val="20"/>
                <w:szCs w:val="20"/>
                <w:lang w:val="fr-FR"/>
              </w:rPr>
            </w:pPr>
            <w:r w:rsidRPr="008F5A64">
              <w:rPr>
                <w:sz w:val="20"/>
                <w:szCs w:val="20"/>
                <w:lang w:val="fr-FR"/>
              </w:rPr>
              <w:t>Bénéficiaires des activités de la Composante 2 du projet, appui et financement :</w:t>
            </w:r>
          </w:p>
          <w:p w14:paraId="39F421F2" w14:textId="77777777" w:rsidR="00F56F56" w:rsidRPr="008F5A64" w:rsidRDefault="00F56F56" w:rsidP="00C30657">
            <w:pPr>
              <w:spacing w:before="0" w:after="0"/>
              <w:jc w:val="left"/>
              <w:rPr>
                <w:sz w:val="20"/>
                <w:szCs w:val="20"/>
                <w:lang w:val="fr-FR"/>
              </w:rPr>
            </w:pPr>
            <w:r w:rsidRPr="008F5A64">
              <w:rPr>
                <w:sz w:val="20"/>
                <w:szCs w:val="20"/>
                <w:lang w:val="fr-FR"/>
              </w:rPr>
              <w:t xml:space="preserve">(a) Nombre de </w:t>
            </w:r>
            <w:r w:rsidRPr="008F5A64">
              <w:rPr>
                <w:i/>
                <w:sz w:val="20"/>
                <w:szCs w:val="20"/>
                <w:lang w:val="fr-FR"/>
              </w:rPr>
              <w:t>fokontanys</w:t>
            </w:r>
            <w:r w:rsidRPr="008F5A64">
              <w:rPr>
                <w:sz w:val="20"/>
                <w:szCs w:val="20"/>
                <w:lang w:val="fr-FR"/>
              </w:rPr>
              <w:t xml:space="preserve"> </w:t>
            </w:r>
          </w:p>
          <w:p w14:paraId="65C70579" w14:textId="77777777" w:rsidR="00F56F56" w:rsidRPr="008F5A64" w:rsidRDefault="00F56F56" w:rsidP="00C30657">
            <w:pPr>
              <w:spacing w:before="0" w:after="0"/>
              <w:contextualSpacing/>
              <w:jc w:val="left"/>
              <w:rPr>
                <w:sz w:val="20"/>
                <w:szCs w:val="20"/>
                <w:lang w:val="fr-FR"/>
              </w:rPr>
            </w:pPr>
            <w:r w:rsidRPr="008F5A64">
              <w:rPr>
                <w:sz w:val="20"/>
                <w:szCs w:val="20"/>
                <w:lang w:val="fr-FR"/>
              </w:rPr>
              <w:t xml:space="preserve">(b) Population dans ces </w:t>
            </w:r>
            <w:r w:rsidRPr="008F5A64">
              <w:rPr>
                <w:i/>
                <w:sz w:val="20"/>
                <w:szCs w:val="20"/>
                <w:lang w:val="fr-FR"/>
              </w:rPr>
              <w:t>fokontanys</w:t>
            </w:r>
          </w:p>
        </w:tc>
        <w:tc>
          <w:tcPr>
            <w:tcW w:w="0" w:type="dxa"/>
          </w:tcPr>
          <w:p w14:paraId="1F29D484" w14:textId="77777777" w:rsidR="00F56F56" w:rsidRPr="008F5A64" w:rsidRDefault="00F56F56" w:rsidP="00C30657">
            <w:pPr>
              <w:spacing w:before="0" w:after="0"/>
              <w:jc w:val="left"/>
              <w:rPr>
                <w:sz w:val="20"/>
                <w:szCs w:val="20"/>
                <w:lang w:val="fr-FR"/>
              </w:rPr>
            </w:pPr>
          </w:p>
          <w:p w14:paraId="22CA9276" w14:textId="77777777" w:rsidR="00F56F56" w:rsidRPr="008F5A64" w:rsidRDefault="00F56F56" w:rsidP="00C30657">
            <w:pPr>
              <w:spacing w:before="0" w:after="0"/>
              <w:jc w:val="left"/>
              <w:rPr>
                <w:sz w:val="20"/>
                <w:szCs w:val="20"/>
              </w:rPr>
            </w:pPr>
            <w:r w:rsidRPr="008F5A64">
              <w:rPr>
                <w:sz w:val="20"/>
                <w:szCs w:val="20"/>
              </w:rPr>
              <w:t>(a) 0</w:t>
            </w:r>
          </w:p>
          <w:p w14:paraId="50618FC9" w14:textId="77777777" w:rsidR="00F56F56" w:rsidRPr="008F5A64" w:rsidRDefault="00F56F56" w:rsidP="00C30657">
            <w:pPr>
              <w:tabs>
                <w:tab w:val="left" w:pos="240"/>
              </w:tabs>
              <w:spacing w:before="0" w:after="0"/>
              <w:jc w:val="left"/>
              <w:rPr>
                <w:sz w:val="20"/>
                <w:szCs w:val="20"/>
              </w:rPr>
            </w:pPr>
            <w:r w:rsidRPr="008F5A64">
              <w:rPr>
                <w:sz w:val="20"/>
                <w:szCs w:val="20"/>
              </w:rPr>
              <w:t>(b) 0</w:t>
            </w:r>
          </w:p>
        </w:tc>
        <w:tc>
          <w:tcPr>
            <w:tcW w:w="0" w:type="dxa"/>
          </w:tcPr>
          <w:p w14:paraId="49D5E078" w14:textId="77777777" w:rsidR="00F56F56" w:rsidRPr="008F5A64" w:rsidRDefault="00F56F56" w:rsidP="00C30657">
            <w:pPr>
              <w:spacing w:before="0" w:after="0"/>
              <w:jc w:val="left"/>
              <w:rPr>
                <w:sz w:val="20"/>
                <w:szCs w:val="20"/>
                <w:lang w:val="fr-FR"/>
              </w:rPr>
            </w:pPr>
            <w:r w:rsidRPr="008F5A64">
              <w:rPr>
                <w:sz w:val="20"/>
                <w:szCs w:val="20"/>
                <w:lang w:val="fr-FR"/>
              </w:rPr>
              <w:t>(a) Au moins 12</w:t>
            </w:r>
          </w:p>
          <w:p w14:paraId="2D113C41" w14:textId="77777777" w:rsidR="00F56F56" w:rsidRPr="008F5A64" w:rsidRDefault="00F56F56" w:rsidP="00C30657">
            <w:pPr>
              <w:keepLines/>
              <w:tabs>
                <w:tab w:val="left" w:pos="240"/>
              </w:tabs>
              <w:spacing w:before="0" w:after="0"/>
              <w:jc w:val="left"/>
              <w:rPr>
                <w:sz w:val="20"/>
                <w:szCs w:val="20"/>
                <w:lang w:val="fr-FR"/>
              </w:rPr>
            </w:pPr>
            <w:r w:rsidRPr="008F5A64">
              <w:rPr>
                <w:sz w:val="20"/>
                <w:szCs w:val="20"/>
                <w:lang w:val="fr-FR"/>
              </w:rPr>
              <w:t>(b) [doivent être calculées sur la base de la liste finale du site qui sera compilée pendant l’évaluation du projet]</w:t>
            </w:r>
          </w:p>
        </w:tc>
        <w:tc>
          <w:tcPr>
            <w:tcW w:w="2977" w:type="dxa"/>
          </w:tcPr>
          <w:p w14:paraId="2902D89D" w14:textId="2CF59797" w:rsidR="00F56F56" w:rsidRDefault="00106B69" w:rsidP="00C30657">
            <w:pPr>
              <w:spacing w:before="0" w:after="0"/>
              <w:jc w:val="left"/>
              <w:rPr>
                <w:sz w:val="20"/>
                <w:szCs w:val="20"/>
                <w:lang w:val="fr-FR"/>
              </w:rPr>
            </w:pPr>
            <w:r>
              <w:rPr>
                <w:sz w:val="20"/>
                <w:szCs w:val="20"/>
                <w:lang w:val="fr-FR"/>
              </w:rPr>
              <w:t xml:space="preserve">25 fokontany </w:t>
            </w:r>
          </w:p>
          <w:p w14:paraId="0941493B" w14:textId="1BC2AB1D" w:rsidR="00106B69" w:rsidRPr="00D65F8E" w:rsidRDefault="00106B69" w:rsidP="00C30657">
            <w:pPr>
              <w:spacing w:before="0" w:after="0"/>
              <w:jc w:val="left"/>
              <w:rPr>
                <w:sz w:val="20"/>
                <w:szCs w:val="20"/>
                <w:lang w:val="fr-FR"/>
              </w:rPr>
            </w:pPr>
            <w:r>
              <w:rPr>
                <w:sz w:val="20"/>
                <w:szCs w:val="20"/>
                <w:lang w:val="fr-FR"/>
              </w:rPr>
              <w:t>27500 personnes dans ces fokontany</w:t>
            </w:r>
          </w:p>
        </w:tc>
        <w:tc>
          <w:tcPr>
            <w:tcW w:w="1134" w:type="dxa"/>
            <w:shd w:val="clear" w:color="auto" w:fill="76923C" w:themeFill="accent3" w:themeFillShade="BF"/>
          </w:tcPr>
          <w:p w14:paraId="3B89224C" w14:textId="059AD9A6" w:rsidR="00F56F56" w:rsidRPr="00D65F8E" w:rsidRDefault="00106B69" w:rsidP="00C30657">
            <w:pPr>
              <w:spacing w:before="0" w:after="0"/>
              <w:jc w:val="left"/>
              <w:rPr>
                <w:sz w:val="20"/>
                <w:szCs w:val="20"/>
                <w:lang w:val="fr-FR"/>
              </w:rPr>
            </w:pPr>
            <w:r>
              <w:rPr>
                <w:sz w:val="20"/>
                <w:szCs w:val="20"/>
                <w:lang w:val="fr-FR"/>
              </w:rPr>
              <w:t>TS</w:t>
            </w:r>
          </w:p>
        </w:tc>
      </w:tr>
      <w:tr w:rsidR="00F56F56" w:rsidRPr="00D65F8E" w14:paraId="2C7B753A" w14:textId="16F59AAC" w:rsidTr="00CC02B8">
        <w:trPr>
          <w:gridAfter w:val="2"/>
          <w:wAfter w:w="4451" w:type="dxa"/>
        </w:trPr>
        <w:tc>
          <w:tcPr>
            <w:tcW w:w="0" w:type="dxa"/>
          </w:tcPr>
          <w:p w14:paraId="13DF8139" w14:textId="77777777" w:rsidR="00F56F56" w:rsidRPr="008F5A64" w:rsidRDefault="00F56F56" w:rsidP="00C30657">
            <w:pPr>
              <w:spacing w:before="0" w:after="0"/>
              <w:jc w:val="left"/>
              <w:rPr>
                <w:sz w:val="20"/>
                <w:szCs w:val="20"/>
              </w:rPr>
            </w:pPr>
            <w:r w:rsidRPr="008F5A64">
              <w:rPr>
                <w:sz w:val="20"/>
                <w:szCs w:val="20"/>
              </w:rPr>
              <w:t>4</w:t>
            </w:r>
          </w:p>
        </w:tc>
        <w:tc>
          <w:tcPr>
            <w:tcW w:w="0" w:type="dxa"/>
          </w:tcPr>
          <w:p w14:paraId="006D25E7" w14:textId="77777777" w:rsidR="00F56F56" w:rsidRPr="008F5A64" w:rsidRDefault="00F56F56" w:rsidP="00C30657">
            <w:pPr>
              <w:spacing w:before="0" w:after="0"/>
              <w:contextualSpacing/>
              <w:jc w:val="left"/>
              <w:rPr>
                <w:sz w:val="20"/>
                <w:szCs w:val="20"/>
                <w:lang w:val="fr-FR"/>
              </w:rPr>
            </w:pPr>
            <w:r w:rsidRPr="008F5A64">
              <w:rPr>
                <w:sz w:val="20"/>
                <w:szCs w:val="20"/>
                <w:lang w:val="fr-FR"/>
              </w:rPr>
              <w:t xml:space="preserve">Les scores SO2 TT de la partie IV concernant les “cadres politiques et règlementaires” concernant les questions sur </w:t>
            </w:r>
            <w:proofErr w:type="gramStart"/>
            <w:r w:rsidRPr="008F5A64">
              <w:rPr>
                <w:sz w:val="20"/>
                <w:szCs w:val="20"/>
                <w:lang w:val="fr-FR"/>
              </w:rPr>
              <w:t>l’ «</w:t>
            </w:r>
            <w:proofErr w:type="gramEnd"/>
            <w:r w:rsidRPr="008F5A64">
              <w:rPr>
                <w:sz w:val="20"/>
                <w:szCs w:val="20"/>
                <w:lang w:val="fr-FR"/>
              </w:rPr>
              <w:t> </w:t>
            </w:r>
            <w:r w:rsidRPr="008F5A64">
              <w:rPr>
                <w:i/>
                <w:sz w:val="20"/>
                <w:szCs w:val="20"/>
                <w:u w:val="single"/>
                <w:lang w:val="fr-FR"/>
              </w:rPr>
              <w:t>Agriculture »</w:t>
            </w:r>
            <w:r w:rsidRPr="008F5A64">
              <w:rPr>
                <w:sz w:val="20"/>
                <w:szCs w:val="20"/>
                <w:lang w:val="fr-FR"/>
              </w:rPr>
              <w:t xml:space="preserve"> et l’ « </w:t>
            </w:r>
            <w:r w:rsidRPr="008F5A64">
              <w:rPr>
                <w:i/>
                <w:sz w:val="20"/>
                <w:szCs w:val="20"/>
                <w:lang w:val="fr-FR"/>
              </w:rPr>
              <w:t>exploitation minière</w:t>
            </w:r>
            <w:r w:rsidRPr="008F5A64">
              <w:rPr>
                <w:sz w:val="20"/>
                <w:szCs w:val="20"/>
                <w:lang w:val="fr-FR"/>
              </w:rPr>
              <w:t> » respectivement (consulter Tableau 9 dans l’Annexe 3)</w:t>
            </w:r>
          </w:p>
        </w:tc>
        <w:tc>
          <w:tcPr>
            <w:tcW w:w="0" w:type="dxa"/>
          </w:tcPr>
          <w:p w14:paraId="7653B940" w14:textId="77777777" w:rsidR="00F56F56" w:rsidRPr="008F5A64" w:rsidRDefault="00F56F56" w:rsidP="00C30657">
            <w:pPr>
              <w:tabs>
                <w:tab w:val="left" w:pos="240"/>
              </w:tabs>
              <w:spacing w:before="0" w:after="0"/>
              <w:jc w:val="left"/>
              <w:rPr>
                <w:sz w:val="20"/>
                <w:szCs w:val="20"/>
                <w:lang w:val="fr-FR"/>
              </w:rPr>
            </w:pPr>
            <w:r w:rsidRPr="008F5A64">
              <w:rPr>
                <w:sz w:val="20"/>
                <w:szCs w:val="20"/>
                <w:lang w:val="fr-FR"/>
              </w:rPr>
              <w:t xml:space="preserve">Nombre de points au total = 12 sur 24 points possibles </w:t>
            </w:r>
          </w:p>
          <w:p w14:paraId="04F6BE25" w14:textId="77777777" w:rsidR="00F56F56" w:rsidRPr="008F5A64" w:rsidRDefault="00F56F56" w:rsidP="00C30657">
            <w:pPr>
              <w:tabs>
                <w:tab w:val="left" w:pos="240"/>
              </w:tabs>
              <w:spacing w:before="0" w:after="0"/>
              <w:jc w:val="left"/>
              <w:rPr>
                <w:sz w:val="20"/>
                <w:szCs w:val="20"/>
                <w:lang w:val="fr-FR"/>
              </w:rPr>
            </w:pPr>
          </w:p>
          <w:p w14:paraId="08E9540E" w14:textId="77777777" w:rsidR="00F56F56" w:rsidRPr="008F5A64" w:rsidRDefault="00F56F56" w:rsidP="00C30657">
            <w:pPr>
              <w:tabs>
                <w:tab w:val="left" w:pos="240"/>
              </w:tabs>
              <w:spacing w:before="0" w:after="0"/>
              <w:jc w:val="left"/>
              <w:rPr>
                <w:sz w:val="20"/>
                <w:szCs w:val="20"/>
                <w:lang w:val="fr-FR"/>
              </w:rPr>
            </w:pPr>
          </w:p>
        </w:tc>
        <w:tc>
          <w:tcPr>
            <w:tcW w:w="0" w:type="dxa"/>
          </w:tcPr>
          <w:p w14:paraId="7A4A62EA" w14:textId="77777777" w:rsidR="00F56F56" w:rsidRPr="008F5A64" w:rsidRDefault="00F56F56" w:rsidP="00C30657">
            <w:pPr>
              <w:keepLines/>
              <w:tabs>
                <w:tab w:val="left" w:pos="240"/>
              </w:tabs>
              <w:spacing w:before="0" w:after="0"/>
              <w:jc w:val="left"/>
              <w:rPr>
                <w:sz w:val="20"/>
                <w:szCs w:val="20"/>
                <w:lang w:val="fr-FR"/>
              </w:rPr>
            </w:pPr>
            <w:r w:rsidRPr="008F5A64">
              <w:rPr>
                <w:sz w:val="20"/>
                <w:szCs w:val="20"/>
                <w:lang w:val="fr-FR"/>
              </w:rPr>
              <w:t>Scores au total = 15 sur 24 points possibles</w:t>
            </w:r>
          </w:p>
        </w:tc>
        <w:tc>
          <w:tcPr>
            <w:tcW w:w="2977" w:type="dxa"/>
          </w:tcPr>
          <w:p w14:paraId="12C1B64D" w14:textId="2BF3AC40" w:rsidR="00F56F56" w:rsidRPr="00D65F8E" w:rsidRDefault="00106B69" w:rsidP="00C30657">
            <w:pPr>
              <w:keepLines/>
              <w:tabs>
                <w:tab w:val="left" w:pos="240"/>
              </w:tabs>
              <w:spacing w:before="0" w:after="0"/>
              <w:jc w:val="left"/>
              <w:rPr>
                <w:sz w:val="20"/>
                <w:szCs w:val="20"/>
                <w:lang w:val="fr-FR"/>
              </w:rPr>
            </w:pPr>
            <w:r>
              <w:rPr>
                <w:sz w:val="20"/>
                <w:szCs w:val="20"/>
                <w:lang w:val="fr-FR"/>
              </w:rPr>
              <w:t>15</w:t>
            </w:r>
          </w:p>
        </w:tc>
        <w:tc>
          <w:tcPr>
            <w:tcW w:w="1134" w:type="dxa"/>
            <w:shd w:val="clear" w:color="auto" w:fill="76923C" w:themeFill="accent3" w:themeFillShade="BF"/>
          </w:tcPr>
          <w:p w14:paraId="673B82E3" w14:textId="3E23EAC4" w:rsidR="00F56F56" w:rsidRPr="00D65F8E" w:rsidRDefault="00106B69" w:rsidP="00C30657">
            <w:pPr>
              <w:keepLines/>
              <w:tabs>
                <w:tab w:val="left" w:pos="240"/>
              </w:tabs>
              <w:spacing w:before="0" w:after="0"/>
              <w:jc w:val="left"/>
              <w:rPr>
                <w:sz w:val="20"/>
                <w:szCs w:val="20"/>
                <w:lang w:val="fr-FR"/>
              </w:rPr>
            </w:pPr>
            <w:r>
              <w:rPr>
                <w:sz w:val="20"/>
                <w:szCs w:val="20"/>
                <w:lang w:val="fr-FR"/>
              </w:rPr>
              <w:t>S</w:t>
            </w:r>
          </w:p>
        </w:tc>
      </w:tr>
      <w:tr w:rsidR="00F56F56" w:rsidRPr="00D65F8E" w14:paraId="4E24EDFB" w14:textId="71192676" w:rsidTr="00CC02B8">
        <w:trPr>
          <w:gridAfter w:val="2"/>
          <w:wAfter w:w="4451" w:type="dxa"/>
        </w:trPr>
        <w:tc>
          <w:tcPr>
            <w:tcW w:w="0" w:type="dxa"/>
          </w:tcPr>
          <w:p w14:paraId="174CEFF7" w14:textId="77777777" w:rsidR="00F56F56" w:rsidRPr="00CA44AE" w:rsidRDefault="00F56F56" w:rsidP="00C30657">
            <w:pPr>
              <w:keepNext/>
              <w:keepLines/>
              <w:spacing w:before="0" w:after="0" w:line="276" w:lineRule="auto"/>
              <w:jc w:val="left"/>
              <w:outlineLvl w:val="5"/>
              <w:rPr>
                <w:sz w:val="20"/>
                <w:szCs w:val="20"/>
                <w:highlight w:val="yellow"/>
              </w:rPr>
            </w:pPr>
            <w:r w:rsidRPr="006548F1">
              <w:rPr>
                <w:sz w:val="20"/>
                <w:szCs w:val="20"/>
              </w:rPr>
              <w:t>5</w:t>
            </w:r>
          </w:p>
        </w:tc>
        <w:tc>
          <w:tcPr>
            <w:tcW w:w="0" w:type="dxa"/>
          </w:tcPr>
          <w:p w14:paraId="7D9E8B8D" w14:textId="77777777" w:rsidR="00F56F56" w:rsidRPr="00CC02B8" w:rsidRDefault="00F56F56" w:rsidP="00C30657">
            <w:pPr>
              <w:keepNext/>
              <w:keepLines/>
              <w:spacing w:before="0" w:after="0" w:line="276" w:lineRule="auto"/>
              <w:jc w:val="left"/>
              <w:outlineLvl w:val="5"/>
              <w:rPr>
                <w:sz w:val="20"/>
                <w:szCs w:val="20"/>
                <w:lang w:val="fr-FR"/>
              </w:rPr>
            </w:pPr>
            <w:r w:rsidRPr="00CC02B8">
              <w:rPr>
                <w:sz w:val="20"/>
                <w:szCs w:val="20"/>
                <w:lang w:val="fr-FR"/>
              </w:rPr>
              <w:t>Total des scores faibles (&lt;2) pour les “30 questions clefs METT” concernant la gestion des AP pour les quatre AP évaluées (consulter Tableau 11 dans l’Annexe 3)</w:t>
            </w:r>
          </w:p>
          <w:p w14:paraId="465CA299" w14:textId="77777777" w:rsidR="00F56F56" w:rsidRPr="00CC02B8" w:rsidDel="00A556D4" w:rsidRDefault="00F56F56" w:rsidP="00C30657">
            <w:pPr>
              <w:keepNext/>
              <w:keepLines/>
              <w:spacing w:before="0" w:after="0" w:line="276" w:lineRule="auto"/>
              <w:jc w:val="left"/>
              <w:outlineLvl w:val="5"/>
              <w:rPr>
                <w:sz w:val="20"/>
                <w:szCs w:val="20"/>
                <w:lang w:val="fr-FR"/>
              </w:rPr>
            </w:pPr>
            <w:r w:rsidRPr="00CC02B8">
              <w:rPr>
                <w:sz w:val="20"/>
                <w:szCs w:val="20"/>
                <w:lang w:val="fr-FR"/>
              </w:rPr>
              <w:t>[Note : SO1 TT n’est pas une exigence du FEM dans le cadre de ce projet, les résultats sont donc contrôlés pour le bénéfice des directeurs des AP seulement et pour surveiller les indicateurs de suivi de 5 à 10.]</w:t>
            </w:r>
          </w:p>
        </w:tc>
        <w:tc>
          <w:tcPr>
            <w:tcW w:w="0" w:type="dxa"/>
          </w:tcPr>
          <w:p w14:paraId="6AD6A384" w14:textId="77777777" w:rsidR="00F56F56" w:rsidRPr="00CC02B8" w:rsidRDefault="00F56F56" w:rsidP="00C30657">
            <w:pPr>
              <w:keepNext/>
              <w:keepLines/>
              <w:spacing w:before="0" w:after="0" w:line="276" w:lineRule="auto"/>
              <w:jc w:val="left"/>
              <w:outlineLvl w:val="5"/>
              <w:rPr>
                <w:sz w:val="20"/>
                <w:szCs w:val="20"/>
              </w:rPr>
            </w:pPr>
            <w:r w:rsidRPr="00CC02B8">
              <w:rPr>
                <w:sz w:val="20"/>
                <w:szCs w:val="20"/>
              </w:rPr>
              <w:t>Total = 19</w:t>
            </w:r>
          </w:p>
        </w:tc>
        <w:tc>
          <w:tcPr>
            <w:tcW w:w="0" w:type="dxa"/>
          </w:tcPr>
          <w:p w14:paraId="474BFA49" w14:textId="77777777" w:rsidR="00F56F56" w:rsidRPr="00CC02B8" w:rsidRDefault="00F56F56" w:rsidP="00C30657">
            <w:pPr>
              <w:keepNext/>
              <w:keepLines/>
              <w:spacing w:before="0" w:after="0" w:line="276" w:lineRule="auto"/>
              <w:jc w:val="left"/>
              <w:outlineLvl w:val="5"/>
              <w:rPr>
                <w:sz w:val="20"/>
                <w:szCs w:val="20"/>
                <w:lang w:val="fr-FR"/>
              </w:rPr>
            </w:pPr>
            <w:r w:rsidRPr="00CC02B8">
              <w:rPr>
                <w:sz w:val="20"/>
                <w:szCs w:val="20"/>
                <w:lang w:val="fr-FR"/>
              </w:rPr>
              <w:t>Scores au total pour les mêmes questions = au moins 24</w:t>
            </w:r>
          </w:p>
          <w:p w14:paraId="48CD9BC2" w14:textId="77777777" w:rsidR="00F56F56" w:rsidRPr="00CC02B8" w:rsidRDefault="00F56F56" w:rsidP="00C30657">
            <w:pPr>
              <w:keepLines/>
              <w:spacing w:before="0" w:after="0" w:line="276" w:lineRule="auto"/>
              <w:jc w:val="left"/>
              <w:rPr>
                <w:sz w:val="20"/>
                <w:szCs w:val="20"/>
                <w:lang w:val="fr-FR"/>
              </w:rPr>
            </w:pPr>
          </w:p>
        </w:tc>
        <w:tc>
          <w:tcPr>
            <w:tcW w:w="2977" w:type="dxa"/>
          </w:tcPr>
          <w:p w14:paraId="12DD4822" w14:textId="22B5DC53" w:rsidR="00F56F56" w:rsidRPr="00CC02B8" w:rsidRDefault="00106B69" w:rsidP="00C30657">
            <w:pPr>
              <w:keepLines/>
              <w:spacing w:before="0" w:after="0"/>
              <w:jc w:val="left"/>
              <w:rPr>
                <w:sz w:val="20"/>
                <w:szCs w:val="20"/>
                <w:lang w:val="fr-FR"/>
              </w:rPr>
            </w:pPr>
            <w:r w:rsidRPr="00CC02B8">
              <w:rPr>
                <w:sz w:val="20"/>
                <w:szCs w:val="20"/>
                <w:lang w:val="fr-FR"/>
              </w:rPr>
              <w:t>23</w:t>
            </w:r>
          </w:p>
        </w:tc>
        <w:tc>
          <w:tcPr>
            <w:tcW w:w="1134" w:type="dxa"/>
            <w:shd w:val="clear" w:color="auto" w:fill="76923C" w:themeFill="accent3" w:themeFillShade="BF"/>
          </w:tcPr>
          <w:p w14:paraId="6CE58190" w14:textId="49F20A12" w:rsidR="00F56F56" w:rsidRPr="00D65F8E" w:rsidRDefault="006548F1" w:rsidP="00C30657">
            <w:pPr>
              <w:keepLines/>
              <w:spacing w:before="0" w:after="0"/>
              <w:jc w:val="left"/>
              <w:rPr>
                <w:sz w:val="20"/>
                <w:szCs w:val="20"/>
                <w:lang w:val="fr-FR"/>
              </w:rPr>
            </w:pPr>
            <w:r>
              <w:rPr>
                <w:sz w:val="20"/>
                <w:szCs w:val="20"/>
                <w:lang w:val="fr-FR"/>
              </w:rPr>
              <w:t>TS</w:t>
            </w:r>
          </w:p>
        </w:tc>
      </w:tr>
      <w:tr w:rsidR="00F56F56" w:rsidRPr="00BE1549" w14:paraId="0A1AEBF2" w14:textId="3BA86587" w:rsidTr="00C30657">
        <w:tc>
          <w:tcPr>
            <w:tcW w:w="567" w:type="dxa"/>
          </w:tcPr>
          <w:p w14:paraId="79CAA7C6" w14:textId="77777777" w:rsidR="00F56F56" w:rsidRPr="00CA44AE" w:rsidRDefault="00F56F56" w:rsidP="00C30657">
            <w:pPr>
              <w:spacing w:before="0" w:after="0" w:line="276" w:lineRule="auto"/>
              <w:jc w:val="left"/>
              <w:rPr>
                <w:rFonts w:eastAsia="SimSun" w:cs="Angsana New"/>
                <w:sz w:val="20"/>
                <w:szCs w:val="20"/>
                <w:lang w:val="fr-FR" w:eastAsia="zh-CN"/>
              </w:rPr>
            </w:pPr>
          </w:p>
        </w:tc>
        <w:tc>
          <w:tcPr>
            <w:tcW w:w="14459" w:type="dxa"/>
            <w:gridSpan w:val="6"/>
          </w:tcPr>
          <w:p w14:paraId="21DF2F01" w14:textId="2B3D677E" w:rsidR="00F56F56" w:rsidRPr="00D65F8E" w:rsidRDefault="00F56F56" w:rsidP="00C30657">
            <w:pPr>
              <w:keepLines/>
              <w:spacing w:before="0" w:after="0"/>
              <w:rPr>
                <w:sz w:val="20"/>
                <w:szCs w:val="20"/>
                <w:lang w:val="fr-FR"/>
              </w:rPr>
            </w:pPr>
            <w:r>
              <w:rPr>
                <w:b/>
                <w:lang w:val="fr-FR"/>
              </w:rPr>
              <w:t>Résultat</w:t>
            </w:r>
            <w:r w:rsidRPr="008F5A64">
              <w:rPr>
                <w:b/>
                <w:lang w:val="fr-FR"/>
              </w:rPr>
              <w:t xml:space="preserve"> 1 : L’appui à la planification à l’échelle des paysages et à l’analyse économique favorisent l’intégration de la biodiversité dans la gestion de la région de l’Atsimo-Andrefana, ce qui représente trois districts et une surface approximative de 24 millions d’hectares</w:t>
            </w:r>
          </w:p>
        </w:tc>
        <w:tc>
          <w:tcPr>
            <w:tcW w:w="4309" w:type="dxa"/>
          </w:tcPr>
          <w:p w14:paraId="464BBB64" w14:textId="77777777" w:rsidR="00F56F56" w:rsidRPr="00D65F8E" w:rsidRDefault="00F56F56" w:rsidP="00C30657">
            <w:pPr>
              <w:keepLines/>
              <w:spacing w:before="0" w:after="0"/>
              <w:rPr>
                <w:sz w:val="20"/>
                <w:szCs w:val="20"/>
                <w:lang w:val="fr-FR"/>
              </w:rPr>
            </w:pPr>
          </w:p>
        </w:tc>
      </w:tr>
      <w:tr w:rsidR="00F56F56" w:rsidRPr="00D65F8E" w14:paraId="0ABE57F3" w14:textId="6260D2E1" w:rsidTr="00CC02B8">
        <w:trPr>
          <w:gridAfter w:val="2"/>
          <w:wAfter w:w="4451" w:type="dxa"/>
        </w:trPr>
        <w:tc>
          <w:tcPr>
            <w:tcW w:w="0" w:type="dxa"/>
          </w:tcPr>
          <w:p w14:paraId="45DA4754" w14:textId="77777777" w:rsidR="00F56F56" w:rsidRPr="008F5A64" w:rsidDel="00A556D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lastRenderedPageBreak/>
              <w:t>6</w:t>
            </w:r>
          </w:p>
        </w:tc>
        <w:tc>
          <w:tcPr>
            <w:tcW w:w="0" w:type="dxa"/>
          </w:tcPr>
          <w:p w14:paraId="61EF45FE" w14:textId="77777777" w:rsidR="00F56F56" w:rsidRPr="008F5A64" w:rsidRDefault="00F56F56" w:rsidP="00F56F56">
            <w:pPr>
              <w:spacing w:before="0" w:after="0"/>
              <w:jc w:val="left"/>
              <w:rPr>
                <w:rFonts w:eastAsia="SimSun" w:cs="Angsana New"/>
                <w:color w:val="FF0000"/>
                <w:sz w:val="20"/>
                <w:szCs w:val="20"/>
                <w:lang w:val="fr-FR" w:eastAsia="zh-CN"/>
              </w:rPr>
            </w:pPr>
            <w:r w:rsidRPr="008F5A64">
              <w:rPr>
                <w:rFonts w:eastAsia="SimSun" w:cs="Angsana New"/>
                <w:sz w:val="20"/>
                <w:szCs w:val="20"/>
                <w:lang w:val="fr-FR" w:eastAsia="zh-CN"/>
              </w:rPr>
              <w:t>Le système OPT BD est élaboré, disponible pour la planification territoriale</w:t>
            </w:r>
          </w:p>
        </w:tc>
        <w:tc>
          <w:tcPr>
            <w:tcW w:w="0" w:type="dxa"/>
          </w:tcPr>
          <w:p w14:paraId="335D115E" w14:textId="77777777" w:rsidR="00F56F56" w:rsidRPr="008F5A64" w:rsidRDefault="00F56F56" w:rsidP="00F56F56">
            <w:pPr>
              <w:spacing w:before="0" w:after="0"/>
              <w:jc w:val="left"/>
              <w:rPr>
                <w:rFonts w:eastAsia="SimSun" w:cs="Angsana New"/>
                <w:color w:val="FF0000"/>
                <w:sz w:val="20"/>
                <w:szCs w:val="20"/>
                <w:lang w:val="fr-FR" w:eastAsia="zh-CN"/>
              </w:rPr>
            </w:pPr>
            <w:r w:rsidRPr="008F5A64">
              <w:rPr>
                <w:sz w:val="20"/>
                <w:szCs w:val="20"/>
                <w:lang w:val="fr-FR"/>
              </w:rPr>
              <w:t>Le système OPT BD n’est pas encore élaboré</w:t>
            </w:r>
          </w:p>
        </w:tc>
        <w:tc>
          <w:tcPr>
            <w:tcW w:w="0" w:type="dxa"/>
          </w:tcPr>
          <w:p w14:paraId="147012CD" w14:textId="77777777" w:rsidR="00F56F56" w:rsidRPr="008F5A64" w:rsidRDefault="00F56F56" w:rsidP="00F56F56">
            <w:pPr>
              <w:keepLines/>
              <w:spacing w:before="0" w:after="0"/>
              <w:rPr>
                <w:sz w:val="20"/>
                <w:szCs w:val="20"/>
                <w:lang w:val="fr-FR"/>
              </w:rPr>
            </w:pPr>
            <w:r w:rsidRPr="008F5A64">
              <w:rPr>
                <w:sz w:val="20"/>
                <w:szCs w:val="20"/>
                <w:lang w:val="fr-FR"/>
              </w:rPr>
              <w:t>Le système OPT BD est disponible</w:t>
            </w:r>
          </w:p>
          <w:p w14:paraId="2A8DF92C" w14:textId="64C53C11" w:rsidR="00F56F56" w:rsidRPr="008F5A64" w:rsidRDefault="00F56F56" w:rsidP="00F56F56">
            <w:pPr>
              <w:pStyle w:val="ColorfulList-Accent11"/>
              <w:numPr>
                <w:ilvl w:val="0"/>
                <w:numId w:val="25"/>
              </w:numPr>
              <w:ind w:left="292" w:hanging="218"/>
              <w:contextualSpacing/>
              <w:jc w:val="left"/>
              <w:rPr>
                <w:rFonts w:ascii="Corbel" w:hAnsi="Corbel"/>
                <w:sz w:val="20"/>
                <w:szCs w:val="20"/>
                <w:lang w:val="fr-FR"/>
              </w:rPr>
            </w:pPr>
            <w:r w:rsidRPr="008F5A64">
              <w:rPr>
                <w:rFonts w:ascii="Corbel" w:hAnsi="Corbel"/>
                <w:sz w:val="20"/>
                <w:szCs w:val="20"/>
                <w:lang w:val="fr-FR"/>
              </w:rPr>
              <w:t xml:space="preserve">Des couches </w:t>
            </w:r>
            <w:r w:rsidR="00971B89" w:rsidRPr="008F5A64">
              <w:rPr>
                <w:rFonts w:ascii="Corbel" w:hAnsi="Corbel"/>
                <w:sz w:val="20"/>
                <w:szCs w:val="20"/>
                <w:lang w:val="fr-FR"/>
              </w:rPr>
              <w:t>géospatiales</w:t>
            </w:r>
            <w:r w:rsidRPr="008F5A64">
              <w:rPr>
                <w:rFonts w:ascii="Corbel" w:hAnsi="Corbel"/>
                <w:sz w:val="20"/>
                <w:szCs w:val="20"/>
                <w:lang w:val="fr-FR"/>
              </w:rPr>
              <w:t xml:space="preserve"> </w:t>
            </w:r>
            <w:proofErr w:type="gramStart"/>
            <w:r w:rsidRPr="008F5A64">
              <w:rPr>
                <w:rFonts w:ascii="Corbel" w:hAnsi="Corbel"/>
                <w:sz w:val="20"/>
                <w:szCs w:val="20"/>
                <w:lang w:val="fr-FR"/>
              </w:rPr>
              <w:t>synthétiques  sont</w:t>
            </w:r>
            <w:proofErr w:type="gramEnd"/>
            <w:r w:rsidRPr="008F5A64">
              <w:rPr>
                <w:rFonts w:ascii="Corbel" w:hAnsi="Corbel"/>
                <w:sz w:val="20"/>
                <w:szCs w:val="20"/>
                <w:lang w:val="fr-FR"/>
              </w:rPr>
              <w:t xml:space="preserve"> disponibles pour compiler le PROSCB et son dûment incorporées ;</w:t>
            </w:r>
          </w:p>
          <w:p w14:paraId="239CD764" w14:textId="7D9E4B90" w:rsidR="00F56F56" w:rsidRPr="008F5A64" w:rsidRDefault="00F56F56" w:rsidP="00F56F56">
            <w:pPr>
              <w:pStyle w:val="ColorfulList-Accent11"/>
              <w:numPr>
                <w:ilvl w:val="0"/>
                <w:numId w:val="25"/>
              </w:numPr>
              <w:ind w:left="292" w:hanging="218"/>
              <w:contextualSpacing/>
              <w:jc w:val="left"/>
              <w:rPr>
                <w:rFonts w:ascii="Corbel" w:hAnsi="Corbel"/>
                <w:sz w:val="20"/>
                <w:szCs w:val="20"/>
                <w:lang w:val="fr-FR"/>
              </w:rPr>
            </w:pPr>
            <w:r w:rsidRPr="008F5A64">
              <w:rPr>
                <w:rFonts w:ascii="Corbel" w:hAnsi="Corbel"/>
                <w:sz w:val="20"/>
                <w:szCs w:val="20"/>
                <w:lang w:val="fr-FR"/>
              </w:rPr>
              <w:t xml:space="preserve">Le portail </w:t>
            </w:r>
            <w:r w:rsidR="00971B89" w:rsidRPr="008F5A64">
              <w:rPr>
                <w:rFonts w:ascii="Corbel" w:hAnsi="Corbel"/>
                <w:sz w:val="20"/>
                <w:szCs w:val="20"/>
                <w:lang w:val="fr-FR"/>
              </w:rPr>
              <w:t>géospatial</w:t>
            </w:r>
            <w:r w:rsidRPr="008F5A64">
              <w:rPr>
                <w:rFonts w:ascii="Corbel" w:hAnsi="Corbel"/>
                <w:sz w:val="20"/>
                <w:szCs w:val="20"/>
                <w:lang w:val="fr-FR"/>
              </w:rPr>
              <w:t xml:space="preserve"> OPT BD est en ligne et doté d’un accès libre ;</w:t>
            </w:r>
          </w:p>
          <w:p w14:paraId="52FFD8F7" w14:textId="77777777" w:rsidR="00F56F56" w:rsidRPr="008F5A64" w:rsidRDefault="00F56F56" w:rsidP="00F56F56">
            <w:pPr>
              <w:pStyle w:val="ColorfulList-Accent11"/>
              <w:numPr>
                <w:ilvl w:val="0"/>
                <w:numId w:val="25"/>
              </w:numPr>
              <w:ind w:left="292" w:hanging="218"/>
              <w:contextualSpacing/>
              <w:jc w:val="left"/>
              <w:rPr>
                <w:rFonts w:ascii="Corbel" w:hAnsi="Corbel"/>
                <w:sz w:val="20"/>
                <w:szCs w:val="20"/>
                <w:lang w:val="fr-FR"/>
              </w:rPr>
            </w:pPr>
            <w:r w:rsidRPr="008F5A64">
              <w:rPr>
                <w:rFonts w:ascii="Corbel" w:hAnsi="Corbel"/>
                <w:sz w:val="20"/>
                <w:szCs w:val="20"/>
                <w:lang w:val="fr-FR"/>
              </w:rPr>
              <w:t xml:space="preserve">L’Observatoire de la biodiversité régionale et des </w:t>
            </w:r>
            <w:proofErr w:type="gramStart"/>
            <w:r w:rsidRPr="008F5A64">
              <w:rPr>
                <w:rFonts w:ascii="Corbel" w:hAnsi="Corbel"/>
                <w:sz w:val="20"/>
                <w:szCs w:val="20"/>
                <w:lang w:val="fr-FR"/>
              </w:rPr>
              <w:t>écosystèmes  (</w:t>
            </w:r>
            <w:proofErr w:type="gramEnd"/>
            <w:r w:rsidRPr="008F5A64">
              <w:rPr>
                <w:rFonts w:ascii="Corbel" w:hAnsi="Corbel"/>
                <w:sz w:val="20"/>
                <w:szCs w:val="20"/>
                <w:lang w:val="fr-FR"/>
              </w:rPr>
              <w:t xml:space="preserve">ORBE) est en activité ; et </w:t>
            </w:r>
          </w:p>
          <w:p w14:paraId="3C335A11" w14:textId="77777777" w:rsidR="00F56F56" w:rsidRPr="008F5A64" w:rsidRDefault="00F56F56" w:rsidP="00F56F56">
            <w:pPr>
              <w:pStyle w:val="ColorfulList-Accent11"/>
              <w:numPr>
                <w:ilvl w:val="0"/>
                <w:numId w:val="25"/>
              </w:numPr>
              <w:ind w:left="292" w:hanging="218"/>
              <w:contextualSpacing/>
              <w:jc w:val="left"/>
              <w:rPr>
                <w:rFonts w:ascii="Corbel" w:hAnsi="Corbel"/>
                <w:sz w:val="20"/>
                <w:szCs w:val="20"/>
                <w:lang w:val="fr-FR"/>
              </w:rPr>
            </w:pPr>
            <w:r w:rsidRPr="008F5A64">
              <w:rPr>
                <w:rFonts w:ascii="Corbel" w:hAnsi="Corbel"/>
                <w:sz w:val="20"/>
                <w:szCs w:val="20"/>
                <w:lang w:val="fr-FR"/>
              </w:rPr>
              <w:t>Le système d’alarme fonctionne et est largement utilisé.</w:t>
            </w:r>
          </w:p>
        </w:tc>
        <w:tc>
          <w:tcPr>
            <w:tcW w:w="2977" w:type="dxa"/>
            <w:vAlign w:val="top"/>
          </w:tcPr>
          <w:p w14:paraId="19130BF4" w14:textId="62D6B0B9" w:rsidR="00F56F56" w:rsidRPr="00D65F8E" w:rsidRDefault="00F56F56" w:rsidP="00F56F56">
            <w:pPr>
              <w:keepLines/>
              <w:spacing w:before="0" w:after="0"/>
              <w:rPr>
                <w:sz w:val="20"/>
                <w:szCs w:val="20"/>
                <w:lang w:val="fr-FR"/>
              </w:rPr>
            </w:pPr>
            <w:r w:rsidRPr="008F47A6">
              <w:rPr>
                <w:rFonts w:eastAsia="Times New Roman" w:cstheme="minorHAnsi"/>
                <w:i/>
                <w:color w:val="000000"/>
                <w:sz w:val="20"/>
                <w:szCs w:val="20"/>
                <w:lang w:val="fr-BE" w:eastAsia="fr-FR"/>
              </w:rPr>
              <w:t>Système OPT-BD en cours (phase de finalisation de l’élaboration et début de la phase de test).</w:t>
            </w:r>
          </w:p>
        </w:tc>
        <w:tc>
          <w:tcPr>
            <w:tcW w:w="1134" w:type="dxa"/>
            <w:shd w:val="clear" w:color="auto" w:fill="76923C" w:themeFill="accent3" w:themeFillShade="BF"/>
          </w:tcPr>
          <w:p w14:paraId="3786DCA1" w14:textId="0950E5A0" w:rsidR="00F56F56" w:rsidRPr="008F47A6" w:rsidRDefault="00F56F56" w:rsidP="00F56F56">
            <w:pPr>
              <w:keepLines/>
              <w:spacing w:before="0" w:after="0"/>
              <w:rPr>
                <w:rFonts w:eastAsia="Times New Roman" w:cstheme="minorHAnsi"/>
                <w:i/>
                <w:color w:val="000000"/>
                <w:sz w:val="20"/>
                <w:szCs w:val="20"/>
                <w:lang w:val="fr-BE" w:eastAsia="fr-FR"/>
              </w:rPr>
            </w:pPr>
            <w:r>
              <w:rPr>
                <w:rFonts w:eastAsia="Times New Roman" w:cstheme="minorHAnsi"/>
                <w:i/>
                <w:color w:val="000000"/>
                <w:sz w:val="20"/>
                <w:szCs w:val="20"/>
                <w:lang w:val="fr-BE" w:eastAsia="fr-FR"/>
              </w:rPr>
              <w:t>S</w:t>
            </w:r>
          </w:p>
        </w:tc>
      </w:tr>
      <w:tr w:rsidR="00F56F56" w:rsidRPr="00D65F8E" w14:paraId="27F0264B" w14:textId="4BCACCA0" w:rsidTr="00CC02B8">
        <w:trPr>
          <w:gridAfter w:val="2"/>
          <w:wAfter w:w="4451" w:type="dxa"/>
        </w:trPr>
        <w:tc>
          <w:tcPr>
            <w:tcW w:w="0" w:type="dxa"/>
          </w:tcPr>
          <w:p w14:paraId="4340C39E"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7</w:t>
            </w:r>
          </w:p>
        </w:tc>
        <w:tc>
          <w:tcPr>
            <w:tcW w:w="0" w:type="dxa"/>
          </w:tcPr>
          <w:p w14:paraId="269D6309" w14:textId="77777777" w:rsidR="00F56F56" w:rsidRPr="008F5A64" w:rsidRDefault="00F56F56" w:rsidP="00F56F56">
            <w:pPr>
              <w:spacing w:before="0" w:after="0"/>
              <w:jc w:val="left"/>
              <w:rPr>
                <w:rFonts w:eastAsia="SimSun" w:cs="Angsana New"/>
                <w:color w:val="FF0000"/>
                <w:sz w:val="20"/>
                <w:szCs w:val="20"/>
                <w:lang w:val="fr-FR" w:eastAsia="zh-CN"/>
              </w:rPr>
            </w:pPr>
            <w:r w:rsidRPr="008F5A64">
              <w:rPr>
                <w:rFonts w:eastAsia="SimSun"/>
                <w:sz w:val="20"/>
                <w:szCs w:val="20"/>
                <w:lang w:val="fr-FR" w:eastAsia="zh-CN"/>
              </w:rPr>
              <w:t>La composante PROSCB de l’OPT BD est incluse dans le SRAT et adoptée avec la charte pour l’engagement du SRAT</w:t>
            </w:r>
          </w:p>
        </w:tc>
        <w:tc>
          <w:tcPr>
            <w:tcW w:w="0" w:type="dxa"/>
          </w:tcPr>
          <w:p w14:paraId="7EED138D" w14:textId="77777777" w:rsidR="00F56F56" w:rsidRPr="008F5A64" w:rsidRDefault="00F56F56" w:rsidP="00F56F56">
            <w:pPr>
              <w:spacing w:before="0" w:after="0"/>
              <w:jc w:val="left"/>
              <w:rPr>
                <w:color w:val="FF0000"/>
                <w:sz w:val="20"/>
                <w:szCs w:val="20"/>
                <w:lang w:val="fr-FR"/>
              </w:rPr>
            </w:pPr>
            <w:r w:rsidRPr="008F5A64">
              <w:rPr>
                <w:rFonts w:eastAsia="SimSun"/>
                <w:sz w:val="20"/>
                <w:szCs w:val="20"/>
                <w:lang w:val="fr-FR" w:eastAsia="zh-CN"/>
              </w:rPr>
              <w:t>Actuellement, le SRAT n’a pas encore de PROSCB</w:t>
            </w:r>
          </w:p>
        </w:tc>
        <w:tc>
          <w:tcPr>
            <w:tcW w:w="0" w:type="dxa"/>
          </w:tcPr>
          <w:p w14:paraId="68140CC5" w14:textId="77777777" w:rsidR="00F56F56" w:rsidRPr="008F5A64" w:rsidRDefault="00F56F56" w:rsidP="00F56F56">
            <w:pPr>
              <w:keepLines/>
              <w:spacing w:before="0" w:after="0"/>
              <w:jc w:val="left"/>
              <w:rPr>
                <w:rFonts w:eastAsia="SimSun"/>
                <w:sz w:val="20"/>
                <w:szCs w:val="20"/>
                <w:lang w:val="fr-FR" w:eastAsia="zh-CN"/>
              </w:rPr>
            </w:pPr>
            <w:r w:rsidRPr="008F5A64">
              <w:rPr>
                <w:rFonts w:eastAsia="SimSun"/>
                <w:sz w:val="20"/>
                <w:szCs w:val="20"/>
                <w:lang w:val="fr-FR" w:eastAsia="zh-CN"/>
              </w:rPr>
              <w:t>OPT BD / PROSCB annexés au SRAT</w:t>
            </w:r>
          </w:p>
          <w:p w14:paraId="643AC7D7" w14:textId="77777777" w:rsidR="00F56F56" w:rsidRPr="008F5A64" w:rsidRDefault="00F56F56" w:rsidP="00F56F56">
            <w:pPr>
              <w:keepLines/>
              <w:spacing w:before="0" w:after="0"/>
              <w:jc w:val="left"/>
              <w:rPr>
                <w:rFonts w:eastAsia="SimSun"/>
                <w:sz w:val="20"/>
                <w:szCs w:val="20"/>
                <w:lang w:val="fr-FR" w:eastAsia="zh-CN"/>
              </w:rPr>
            </w:pPr>
            <w:r w:rsidRPr="008F5A64">
              <w:rPr>
                <w:rFonts w:eastAsia="SimSun"/>
                <w:sz w:val="20"/>
                <w:szCs w:val="20"/>
                <w:lang w:val="fr-FR" w:eastAsia="zh-CN"/>
              </w:rPr>
              <w:t>OPT BD / PROSCB enregistrés dans la Charte pour l’adoption du SRAT</w:t>
            </w:r>
          </w:p>
          <w:p w14:paraId="3E1180FC" w14:textId="77777777" w:rsidR="00F56F56" w:rsidRPr="008F5A64" w:rsidRDefault="00F56F56" w:rsidP="00F56F56">
            <w:pPr>
              <w:keepLines/>
              <w:spacing w:before="0" w:after="0"/>
              <w:jc w:val="left"/>
              <w:rPr>
                <w:i/>
                <w:color w:val="FF0000"/>
                <w:sz w:val="20"/>
                <w:szCs w:val="20"/>
                <w:lang w:val="fr-FR"/>
              </w:rPr>
            </w:pPr>
          </w:p>
        </w:tc>
        <w:tc>
          <w:tcPr>
            <w:tcW w:w="2977" w:type="dxa"/>
          </w:tcPr>
          <w:p w14:paraId="71E43D3F" w14:textId="77777777" w:rsidR="00F56F56" w:rsidRPr="008F47A6" w:rsidRDefault="00F56F56" w:rsidP="00F56F56">
            <w:pPr>
              <w:spacing w:before="0" w:after="0"/>
              <w:rPr>
                <w:rFonts w:eastAsia="Times New Roman" w:cstheme="minorHAnsi"/>
                <w:i/>
                <w:color w:val="000000"/>
                <w:sz w:val="20"/>
                <w:szCs w:val="20"/>
                <w:lang w:val="fr-BE" w:eastAsia="fr-FR"/>
              </w:rPr>
            </w:pPr>
            <w:r w:rsidRPr="008F47A6">
              <w:rPr>
                <w:rFonts w:eastAsia="Times New Roman" w:cstheme="minorHAnsi"/>
                <w:i/>
                <w:color w:val="000000"/>
                <w:sz w:val="20"/>
                <w:szCs w:val="20"/>
                <w:lang w:val="fr-BE" w:eastAsia="fr-FR"/>
              </w:rPr>
              <w:t>PROSCB en cours de validation </w:t>
            </w:r>
          </w:p>
          <w:p w14:paraId="408E2361" w14:textId="74EC9991" w:rsidR="00F56F56" w:rsidRPr="00F56F56" w:rsidRDefault="00F56F56" w:rsidP="00F56F56">
            <w:pPr>
              <w:spacing w:before="0" w:after="0"/>
              <w:rPr>
                <w:rFonts w:eastAsia="SimSun"/>
                <w:sz w:val="20"/>
                <w:szCs w:val="20"/>
                <w:lang w:val="fr-FR" w:eastAsia="zh-CN"/>
              </w:rPr>
            </w:pPr>
            <w:r w:rsidRPr="008F47A6">
              <w:rPr>
                <w:rFonts w:eastAsia="Times New Roman" w:cstheme="minorHAnsi"/>
                <w:i/>
                <w:color w:val="000000"/>
                <w:sz w:val="20"/>
                <w:szCs w:val="20"/>
                <w:lang w:val="fr-BE" w:eastAsia="fr-FR"/>
              </w:rPr>
              <w:t xml:space="preserve">OPT BD utilise les cartes du SRAT comme référence </w:t>
            </w:r>
            <w:r w:rsidR="00D84524">
              <w:rPr>
                <w:rFonts w:eastAsia="Times New Roman" w:cstheme="minorHAnsi"/>
                <w:i/>
                <w:color w:val="000000"/>
                <w:sz w:val="20"/>
                <w:szCs w:val="20"/>
                <w:lang w:val="fr-BE" w:eastAsia="fr-FR"/>
              </w:rPr>
              <w:t>puisque</w:t>
            </w:r>
            <w:r w:rsidRPr="008F47A6">
              <w:rPr>
                <w:rFonts w:eastAsia="Times New Roman" w:cstheme="minorHAnsi"/>
                <w:i/>
                <w:color w:val="000000"/>
                <w:sz w:val="20"/>
                <w:szCs w:val="20"/>
                <w:lang w:val="fr-BE" w:eastAsia="fr-FR"/>
              </w:rPr>
              <w:t xml:space="preserve"> le SRAT a été publié avant l’OPT BD</w:t>
            </w:r>
          </w:p>
        </w:tc>
        <w:tc>
          <w:tcPr>
            <w:tcW w:w="1134" w:type="dxa"/>
            <w:shd w:val="clear" w:color="auto" w:fill="FFFF00"/>
          </w:tcPr>
          <w:p w14:paraId="3E19028C" w14:textId="597F7175" w:rsidR="00F56F56" w:rsidRPr="008F47A6" w:rsidRDefault="00F56F56" w:rsidP="00F56F56">
            <w:pPr>
              <w:spacing w:before="0" w:after="0"/>
              <w:rPr>
                <w:rFonts w:eastAsia="Times New Roman" w:cstheme="minorHAnsi"/>
                <w:i/>
                <w:color w:val="000000"/>
                <w:sz w:val="20"/>
                <w:szCs w:val="20"/>
                <w:lang w:val="fr-BE" w:eastAsia="fr-FR"/>
              </w:rPr>
            </w:pPr>
            <w:r>
              <w:rPr>
                <w:rFonts w:eastAsia="Times New Roman" w:cstheme="minorHAnsi"/>
                <w:i/>
                <w:color w:val="000000"/>
                <w:sz w:val="20"/>
                <w:szCs w:val="20"/>
                <w:lang w:val="fr-BE" w:eastAsia="fr-FR"/>
              </w:rPr>
              <w:t>M</w:t>
            </w:r>
            <w:r w:rsidR="00B254CD">
              <w:rPr>
                <w:rFonts w:eastAsia="Times New Roman" w:cstheme="minorHAnsi"/>
                <w:i/>
                <w:color w:val="000000"/>
                <w:sz w:val="20"/>
                <w:szCs w:val="20"/>
                <w:lang w:val="fr-BE" w:eastAsia="fr-FR"/>
              </w:rPr>
              <w:t>S</w:t>
            </w:r>
          </w:p>
        </w:tc>
      </w:tr>
      <w:tr w:rsidR="00F56F56" w:rsidRPr="008F5A64" w14:paraId="41A99783" w14:textId="60838854" w:rsidTr="00C30657">
        <w:trPr>
          <w:gridAfter w:val="2"/>
          <w:wAfter w:w="4451" w:type="dxa"/>
        </w:trPr>
        <w:tc>
          <w:tcPr>
            <w:tcW w:w="567" w:type="dxa"/>
          </w:tcPr>
          <w:p w14:paraId="42F9CDDC"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8</w:t>
            </w:r>
          </w:p>
        </w:tc>
        <w:tc>
          <w:tcPr>
            <w:tcW w:w="3686" w:type="dxa"/>
          </w:tcPr>
          <w:p w14:paraId="045B36C2"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Les impacts possibles et existants des activités économiques intensives (exploitation minière, pétrolière, infrastructures, énergie, agriculture) sur les AP et les écosystèmes vulnérables sont maitrisés et atténués :</w:t>
            </w:r>
          </w:p>
          <w:p w14:paraId="3A506F0B" w14:textId="77777777" w:rsidR="00F56F56" w:rsidRPr="008F5A64" w:rsidRDefault="00F56F56" w:rsidP="00F56F56">
            <w:pPr>
              <w:spacing w:before="0" w:after="0"/>
              <w:jc w:val="left"/>
              <w:rPr>
                <w:rFonts w:eastAsia="SimSun"/>
                <w:sz w:val="20"/>
                <w:szCs w:val="20"/>
                <w:lang w:eastAsia="zh-CN"/>
              </w:rPr>
            </w:pPr>
            <w:r w:rsidRPr="008F5A64">
              <w:rPr>
                <w:rFonts w:eastAsia="SimSun"/>
                <w:i/>
                <w:sz w:val="20"/>
                <w:szCs w:val="20"/>
                <w:lang w:eastAsia="zh-CN"/>
              </w:rPr>
              <w:t>[</w:t>
            </w:r>
            <w:proofErr w:type="spellStart"/>
            <w:r w:rsidRPr="008F5A64">
              <w:rPr>
                <w:rFonts w:eastAsia="SimSun"/>
                <w:i/>
                <w:sz w:val="20"/>
                <w:szCs w:val="20"/>
                <w:lang w:eastAsia="zh-CN"/>
              </w:rPr>
              <w:t>énumérés</w:t>
            </w:r>
            <w:proofErr w:type="spellEnd"/>
            <w:r w:rsidRPr="008F5A64">
              <w:rPr>
                <w:rFonts w:eastAsia="SimSun"/>
                <w:i/>
                <w:sz w:val="20"/>
                <w:szCs w:val="20"/>
                <w:lang w:eastAsia="zh-CN"/>
              </w:rPr>
              <w:t xml:space="preserve"> ci-dessous]</w:t>
            </w:r>
          </w:p>
        </w:tc>
        <w:tc>
          <w:tcPr>
            <w:tcW w:w="3402" w:type="dxa"/>
          </w:tcPr>
          <w:p w14:paraId="3AC0C62C" w14:textId="77777777" w:rsidR="00F56F56" w:rsidRPr="008F5A64" w:rsidRDefault="00F56F56" w:rsidP="00F56F56">
            <w:pPr>
              <w:spacing w:before="0" w:after="0"/>
              <w:jc w:val="left"/>
              <w:rPr>
                <w:rFonts w:eastAsia="SimSun"/>
                <w:sz w:val="20"/>
                <w:szCs w:val="20"/>
                <w:lang w:eastAsia="zh-CN"/>
              </w:rPr>
            </w:pPr>
            <w:r w:rsidRPr="008F5A64">
              <w:rPr>
                <w:rFonts w:eastAsia="SimSun"/>
                <w:i/>
                <w:sz w:val="20"/>
                <w:szCs w:val="20"/>
                <w:lang w:eastAsia="zh-CN"/>
              </w:rPr>
              <w:t>[</w:t>
            </w:r>
            <w:proofErr w:type="spellStart"/>
            <w:r w:rsidRPr="008F5A64">
              <w:rPr>
                <w:rFonts w:eastAsia="SimSun"/>
                <w:i/>
                <w:sz w:val="20"/>
                <w:szCs w:val="20"/>
                <w:lang w:eastAsia="zh-CN"/>
              </w:rPr>
              <w:t>énumérés</w:t>
            </w:r>
            <w:proofErr w:type="spellEnd"/>
            <w:r w:rsidRPr="008F5A64">
              <w:rPr>
                <w:rFonts w:eastAsia="SimSun"/>
                <w:i/>
                <w:sz w:val="20"/>
                <w:szCs w:val="20"/>
                <w:lang w:eastAsia="zh-CN"/>
              </w:rPr>
              <w:t xml:space="preserve"> ci-dessous]</w:t>
            </w:r>
          </w:p>
        </w:tc>
        <w:tc>
          <w:tcPr>
            <w:tcW w:w="3118" w:type="dxa"/>
          </w:tcPr>
          <w:p w14:paraId="107F6346" w14:textId="77777777" w:rsidR="00F56F56" w:rsidRPr="008F5A64" w:rsidRDefault="00F56F56" w:rsidP="00F56F56">
            <w:pPr>
              <w:keepLines/>
              <w:spacing w:before="0" w:after="0"/>
              <w:jc w:val="left"/>
              <w:rPr>
                <w:rFonts w:eastAsia="SimSun"/>
                <w:sz w:val="20"/>
                <w:szCs w:val="20"/>
                <w:lang w:eastAsia="zh-CN"/>
              </w:rPr>
            </w:pPr>
            <w:r w:rsidRPr="008F5A64">
              <w:rPr>
                <w:rFonts w:eastAsia="SimSun"/>
                <w:i/>
                <w:sz w:val="20"/>
                <w:szCs w:val="20"/>
                <w:lang w:eastAsia="zh-CN"/>
              </w:rPr>
              <w:t>[</w:t>
            </w:r>
            <w:proofErr w:type="spellStart"/>
            <w:r w:rsidRPr="008F5A64">
              <w:rPr>
                <w:rFonts w:eastAsia="SimSun"/>
                <w:i/>
                <w:sz w:val="20"/>
                <w:szCs w:val="20"/>
                <w:lang w:eastAsia="zh-CN"/>
              </w:rPr>
              <w:t>énumérés</w:t>
            </w:r>
            <w:proofErr w:type="spellEnd"/>
            <w:r w:rsidRPr="008F5A64">
              <w:rPr>
                <w:rFonts w:eastAsia="SimSun"/>
                <w:i/>
                <w:sz w:val="20"/>
                <w:szCs w:val="20"/>
                <w:lang w:eastAsia="zh-CN"/>
              </w:rPr>
              <w:t xml:space="preserve"> ci-dessous]</w:t>
            </w:r>
          </w:p>
        </w:tc>
        <w:tc>
          <w:tcPr>
            <w:tcW w:w="2977" w:type="dxa"/>
            <w:vMerge w:val="restart"/>
          </w:tcPr>
          <w:p w14:paraId="1906F972" w14:textId="77777777" w:rsidR="005F0EBE" w:rsidRDefault="00F56F56" w:rsidP="00F56F56">
            <w:pPr>
              <w:spacing w:before="0" w:after="0"/>
              <w:rPr>
                <w:rFonts w:eastAsia="Times New Roman" w:cstheme="minorHAnsi"/>
                <w:i/>
                <w:color w:val="000000"/>
                <w:sz w:val="20"/>
                <w:szCs w:val="20"/>
                <w:lang w:val="fr-BE" w:eastAsia="fr-FR"/>
              </w:rPr>
            </w:pPr>
            <w:r w:rsidRPr="008F47A6">
              <w:rPr>
                <w:rFonts w:eastAsia="Times New Roman" w:cstheme="minorHAnsi"/>
                <w:i/>
                <w:color w:val="000000"/>
                <w:sz w:val="20"/>
                <w:szCs w:val="20"/>
                <w:lang w:val="fr-BE" w:eastAsia="fr-FR"/>
              </w:rPr>
              <w:t>Le DOGME est finalisé. Il aidera les utilisateurs à contrôler les mesures d’atténuation évoquées dans les différentes phases d’un cycle de projet, notamment des investissements privés productifs.</w:t>
            </w:r>
          </w:p>
          <w:p w14:paraId="02102D61" w14:textId="542795BA" w:rsidR="00F56F56" w:rsidRPr="008F5A64" w:rsidRDefault="005F0EBE" w:rsidP="00F56F56">
            <w:pPr>
              <w:spacing w:before="0" w:after="0"/>
              <w:rPr>
                <w:rFonts w:eastAsia="SimSun"/>
                <w:i/>
                <w:sz w:val="20"/>
                <w:szCs w:val="20"/>
                <w:lang w:val="fr-FR" w:eastAsia="zh-CN"/>
              </w:rPr>
            </w:pPr>
            <w:r>
              <w:rPr>
                <w:rFonts w:eastAsia="Times New Roman" w:cstheme="minorHAnsi"/>
                <w:i/>
                <w:color w:val="000000"/>
                <w:sz w:val="20"/>
                <w:szCs w:val="20"/>
                <w:lang w:val="fr-BE" w:eastAsia="fr-FR"/>
              </w:rPr>
              <w:t xml:space="preserve">Toutefois, l’EIE n’a pas été complétée. Aucune des recommandations </w:t>
            </w:r>
            <w:r w:rsidRPr="003270CB">
              <w:rPr>
                <w:rFonts w:eastAsia="Times New Roman" w:cstheme="minorHAnsi"/>
                <w:i/>
                <w:color w:val="000000"/>
                <w:sz w:val="20"/>
                <w:szCs w:val="20"/>
                <w:lang w:val="fr-BE" w:eastAsia="fr-FR"/>
              </w:rPr>
              <w:t>du</w:t>
            </w:r>
            <w:r w:rsidR="00F56F56" w:rsidRPr="003270CB">
              <w:rPr>
                <w:rFonts w:eastAsia="Times New Roman" w:cstheme="minorHAnsi"/>
                <w:i/>
                <w:color w:val="000000"/>
                <w:sz w:val="20"/>
                <w:szCs w:val="20"/>
                <w:lang w:val="fr-BE" w:eastAsia="fr-FR"/>
              </w:rPr>
              <w:t xml:space="preserve"> DOGME a été mis en </w:t>
            </w:r>
            <w:r w:rsidRPr="00CA44AE">
              <w:rPr>
                <w:rFonts w:eastAsia="Times New Roman" w:cstheme="minorHAnsi"/>
                <w:i/>
                <w:color w:val="000000"/>
                <w:sz w:val="20"/>
                <w:szCs w:val="20"/>
                <w:lang w:val="fr-BE" w:eastAsia="fr-FR"/>
              </w:rPr>
              <w:t>œuvre</w:t>
            </w:r>
            <w:r w:rsidR="00F56F56" w:rsidRPr="003270CB">
              <w:rPr>
                <w:rFonts w:eastAsia="Times New Roman" w:cstheme="minorHAnsi"/>
                <w:i/>
                <w:color w:val="000000"/>
                <w:sz w:val="20"/>
                <w:szCs w:val="20"/>
                <w:lang w:val="fr-BE" w:eastAsia="fr-FR"/>
              </w:rPr>
              <w:t xml:space="preserve"> et le programme pilote public-privé n’a pas encore été élaboré.</w:t>
            </w:r>
          </w:p>
        </w:tc>
        <w:tc>
          <w:tcPr>
            <w:tcW w:w="1134" w:type="dxa"/>
            <w:vMerge w:val="restart"/>
            <w:shd w:val="clear" w:color="auto" w:fill="FFFF00"/>
          </w:tcPr>
          <w:p w14:paraId="3111E5B1" w14:textId="79DA8260" w:rsidR="00F56F56" w:rsidRPr="008F47A6" w:rsidRDefault="00F56F56" w:rsidP="00F56F56">
            <w:pPr>
              <w:spacing w:before="0" w:after="0"/>
              <w:rPr>
                <w:rFonts w:eastAsia="Times New Roman" w:cstheme="minorHAnsi"/>
                <w:i/>
                <w:color w:val="000000"/>
                <w:sz w:val="20"/>
                <w:szCs w:val="20"/>
                <w:lang w:val="fr-BE" w:eastAsia="fr-FR"/>
              </w:rPr>
            </w:pPr>
            <w:r>
              <w:rPr>
                <w:rFonts w:eastAsia="Times New Roman" w:cstheme="minorHAnsi"/>
                <w:i/>
                <w:color w:val="000000"/>
                <w:sz w:val="20"/>
                <w:szCs w:val="20"/>
                <w:lang w:val="fr-BE" w:eastAsia="fr-FR"/>
              </w:rPr>
              <w:t>MU</w:t>
            </w:r>
          </w:p>
        </w:tc>
      </w:tr>
      <w:tr w:rsidR="00F56F56" w:rsidRPr="00BE1549" w14:paraId="77EEA11A" w14:textId="16A595B7" w:rsidTr="00C30657">
        <w:trPr>
          <w:gridAfter w:val="2"/>
          <w:wAfter w:w="4451" w:type="dxa"/>
        </w:trPr>
        <w:tc>
          <w:tcPr>
            <w:tcW w:w="567" w:type="dxa"/>
          </w:tcPr>
          <w:p w14:paraId="22265C0E"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8a</w:t>
            </w:r>
          </w:p>
        </w:tc>
        <w:tc>
          <w:tcPr>
            <w:tcW w:w="3686" w:type="dxa"/>
          </w:tcPr>
          <w:p w14:paraId="34A638F0" w14:textId="77777777" w:rsidR="00F56F56" w:rsidRPr="008F5A64" w:rsidRDefault="00F56F56" w:rsidP="00F56F56">
            <w:pPr>
              <w:spacing w:before="0" w:after="0"/>
              <w:contextualSpacing/>
              <w:jc w:val="left"/>
              <w:rPr>
                <w:rFonts w:eastAsia="SimSun"/>
                <w:sz w:val="20"/>
                <w:szCs w:val="20"/>
                <w:lang w:val="fr-FR" w:eastAsia="zh-CN"/>
              </w:rPr>
            </w:pPr>
            <w:r w:rsidRPr="008F5A64">
              <w:rPr>
                <w:rFonts w:eastAsia="SimSun"/>
                <w:sz w:val="20"/>
                <w:szCs w:val="20"/>
                <w:lang w:val="fr-FR" w:eastAsia="zh-CN"/>
              </w:rPr>
              <w:t xml:space="preserve">Le suivi et la mise en œuvre du contenu du cahier des charges </w:t>
            </w:r>
          </w:p>
        </w:tc>
        <w:tc>
          <w:tcPr>
            <w:tcW w:w="3402" w:type="dxa"/>
          </w:tcPr>
          <w:p w14:paraId="67E31D56"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Le suivi et l’analyse des activités citées dans l’EIE seront menés pour les activités en cours</w:t>
            </w:r>
          </w:p>
        </w:tc>
        <w:tc>
          <w:tcPr>
            <w:tcW w:w="3118" w:type="dxa"/>
          </w:tcPr>
          <w:p w14:paraId="0EE95765" w14:textId="77777777" w:rsidR="00F56F56" w:rsidRPr="008F5A64" w:rsidRDefault="00F56F56" w:rsidP="00F56F56">
            <w:pPr>
              <w:keepLines/>
              <w:spacing w:before="0" w:after="0"/>
              <w:jc w:val="left"/>
              <w:rPr>
                <w:rFonts w:eastAsia="SimSun"/>
                <w:sz w:val="20"/>
                <w:szCs w:val="20"/>
                <w:lang w:val="fr-FR" w:eastAsia="zh-CN"/>
              </w:rPr>
            </w:pPr>
            <w:r w:rsidRPr="008F5A64">
              <w:rPr>
                <w:rFonts w:eastAsia="SimSun"/>
                <w:sz w:val="20"/>
                <w:szCs w:val="20"/>
                <w:lang w:val="fr-FR" w:eastAsia="zh-CN"/>
              </w:rPr>
              <w:t xml:space="preserve">100% des recommandations figurant dans PGESS sont mises en œuvre </w:t>
            </w:r>
          </w:p>
        </w:tc>
        <w:tc>
          <w:tcPr>
            <w:tcW w:w="2977" w:type="dxa"/>
            <w:vMerge/>
          </w:tcPr>
          <w:p w14:paraId="28CA676E" w14:textId="77777777" w:rsidR="00F56F56" w:rsidRPr="00D65F8E" w:rsidRDefault="00F56F56" w:rsidP="00F56F56">
            <w:pPr>
              <w:keepLines/>
              <w:spacing w:before="0" w:after="0"/>
              <w:jc w:val="left"/>
              <w:rPr>
                <w:rFonts w:eastAsia="SimSun"/>
                <w:sz w:val="20"/>
                <w:szCs w:val="20"/>
                <w:lang w:val="fr-FR" w:eastAsia="zh-CN"/>
              </w:rPr>
            </w:pPr>
          </w:p>
        </w:tc>
        <w:tc>
          <w:tcPr>
            <w:tcW w:w="1134" w:type="dxa"/>
            <w:vMerge/>
          </w:tcPr>
          <w:p w14:paraId="696D3BDC" w14:textId="77777777" w:rsidR="00F56F56" w:rsidRPr="00D65F8E" w:rsidRDefault="00F56F56" w:rsidP="00F56F56">
            <w:pPr>
              <w:keepLines/>
              <w:spacing w:before="0" w:after="0"/>
              <w:jc w:val="left"/>
              <w:rPr>
                <w:rFonts w:eastAsia="SimSun"/>
                <w:sz w:val="20"/>
                <w:szCs w:val="20"/>
                <w:lang w:val="fr-FR" w:eastAsia="zh-CN"/>
              </w:rPr>
            </w:pPr>
          </w:p>
        </w:tc>
      </w:tr>
      <w:tr w:rsidR="00F56F56" w:rsidRPr="00BE1549" w14:paraId="5B04C9A8" w14:textId="1E9E5179" w:rsidTr="00C30657">
        <w:trPr>
          <w:gridAfter w:val="2"/>
          <w:wAfter w:w="4451" w:type="dxa"/>
        </w:trPr>
        <w:tc>
          <w:tcPr>
            <w:tcW w:w="567" w:type="dxa"/>
          </w:tcPr>
          <w:p w14:paraId="18A760DA"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8b</w:t>
            </w:r>
          </w:p>
        </w:tc>
        <w:tc>
          <w:tcPr>
            <w:tcW w:w="3686" w:type="dxa"/>
          </w:tcPr>
          <w:p w14:paraId="683B4F27" w14:textId="77777777" w:rsidR="00F56F56" w:rsidRPr="008F5A64" w:rsidRDefault="00F56F56" w:rsidP="00F56F56">
            <w:pPr>
              <w:spacing w:before="0" w:after="0"/>
              <w:contextualSpacing/>
              <w:jc w:val="left"/>
              <w:rPr>
                <w:rFonts w:eastAsia="SimSun"/>
                <w:sz w:val="20"/>
                <w:szCs w:val="20"/>
                <w:lang w:val="fr-FR" w:eastAsia="zh-CN"/>
              </w:rPr>
            </w:pPr>
            <w:r w:rsidRPr="008F5A64">
              <w:rPr>
                <w:rFonts w:eastAsia="SimSun"/>
                <w:sz w:val="20"/>
                <w:szCs w:val="20"/>
                <w:lang w:val="fr-FR" w:eastAsia="zh-CN"/>
              </w:rPr>
              <w:t>Taux des investissements des activités économiques intégrant les mesures d’atténuation dans les cycles de leurs projets (au-delà du contenu de l’EIE)</w:t>
            </w:r>
          </w:p>
        </w:tc>
        <w:tc>
          <w:tcPr>
            <w:tcW w:w="3402" w:type="dxa"/>
          </w:tcPr>
          <w:p w14:paraId="465881B4"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 xml:space="preserve">Une étude pour analyser le contenu environnemental dans les cycles des projets d’investissement des </w:t>
            </w:r>
            <w:r w:rsidRPr="008F5A64">
              <w:rPr>
                <w:rFonts w:eastAsia="SimSun"/>
                <w:sz w:val="20"/>
                <w:szCs w:val="20"/>
                <w:lang w:val="fr-FR" w:eastAsia="zh-CN"/>
              </w:rPr>
              <w:lastRenderedPageBreak/>
              <w:t xml:space="preserve">ministères sera achevée au début du projet  </w:t>
            </w:r>
          </w:p>
        </w:tc>
        <w:tc>
          <w:tcPr>
            <w:tcW w:w="3118" w:type="dxa"/>
          </w:tcPr>
          <w:p w14:paraId="4C74BDDE" w14:textId="77777777" w:rsidR="00F56F56" w:rsidRPr="008F5A64" w:rsidRDefault="00F56F56" w:rsidP="00F56F56">
            <w:pPr>
              <w:spacing w:before="0" w:after="0"/>
              <w:contextualSpacing/>
              <w:jc w:val="left"/>
              <w:rPr>
                <w:rFonts w:eastAsia="SimSun"/>
                <w:sz w:val="20"/>
                <w:szCs w:val="20"/>
                <w:lang w:val="fr-FR" w:eastAsia="zh-CN"/>
              </w:rPr>
            </w:pPr>
            <w:r w:rsidRPr="008F5A64">
              <w:rPr>
                <w:rFonts w:eastAsia="SimSun"/>
                <w:sz w:val="20"/>
                <w:szCs w:val="20"/>
                <w:lang w:val="fr-FR" w:eastAsia="zh-CN"/>
              </w:rPr>
              <w:lastRenderedPageBreak/>
              <w:t>70% des investissements publics prévoient un programme d’atténuation dans leurs cycles de projet</w:t>
            </w:r>
          </w:p>
          <w:p w14:paraId="35A4C192" w14:textId="77777777" w:rsidR="00F56F56" w:rsidRPr="008F5A64" w:rsidRDefault="00F56F56" w:rsidP="00F56F56">
            <w:pPr>
              <w:keepLines/>
              <w:spacing w:before="0" w:after="0"/>
              <w:jc w:val="left"/>
              <w:rPr>
                <w:rFonts w:eastAsia="SimSun"/>
                <w:sz w:val="20"/>
                <w:szCs w:val="20"/>
                <w:lang w:val="fr-FR" w:eastAsia="zh-CN"/>
              </w:rPr>
            </w:pPr>
          </w:p>
        </w:tc>
        <w:tc>
          <w:tcPr>
            <w:tcW w:w="2977" w:type="dxa"/>
            <w:vMerge/>
          </w:tcPr>
          <w:p w14:paraId="0CA2C24D" w14:textId="77777777" w:rsidR="00F56F56" w:rsidRPr="00D65F8E" w:rsidRDefault="00F56F56" w:rsidP="00F56F56">
            <w:pPr>
              <w:spacing w:before="0" w:after="0"/>
              <w:contextualSpacing/>
              <w:jc w:val="left"/>
              <w:rPr>
                <w:rFonts w:eastAsia="SimSun"/>
                <w:sz w:val="20"/>
                <w:szCs w:val="20"/>
                <w:lang w:val="fr-FR" w:eastAsia="zh-CN"/>
              </w:rPr>
            </w:pPr>
          </w:p>
        </w:tc>
        <w:tc>
          <w:tcPr>
            <w:tcW w:w="1134" w:type="dxa"/>
            <w:vMerge/>
          </w:tcPr>
          <w:p w14:paraId="3AA84DAC" w14:textId="77777777" w:rsidR="00F56F56" w:rsidRPr="00D65F8E" w:rsidRDefault="00F56F56" w:rsidP="00F56F56">
            <w:pPr>
              <w:spacing w:before="0" w:after="0"/>
              <w:contextualSpacing/>
              <w:jc w:val="left"/>
              <w:rPr>
                <w:rFonts w:eastAsia="SimSun"/>
                <w:sz w:val="20"/>
                <w:szCs w:val="20"/>
                <w:lang w:val="fr-FR" w:eastAsia="zh-CN"/>
              </w:rPr>
            </w:pPr>
          </w:p>
        </w:tc>
      </w:tr>
      <w:tr w:rsidR="00F56F56" w:rsidRPr="00BE1549" w14:paraId="2BC7C803" w14:textId="65B89A98" w:rsidTr="00C30657">
        <w:trPr>
          <w:gridAfter w:val="2"/>
          <w:wAfter w:w="4451" w:type="dxa"/>
        </w:trPr>
        <w:tc>
          <w:tcPr>
            <w:tcW w:w="567" w:type="dxa"/>
          </w:tcPr>
          <w:p w14:paraId="61B90905"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8c</w:t>
            </w:r>
          </w:p>
        </w:tc>
        <w:tc>
          <w:tcPr>
            <w:tcW w:w="3686" w:type="dxa"/>
          </w:tcPr>
          <w:p w14:paraId="129C009A"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 xml:space="preserve">Nombre d’accords de coopération signé entre les entreprises privées et </w:t>
            </w:r>
            <w:proofErr w:type="gramStart"/>
            <w:r w:rsidRPr="008F5A64">
              <w:rPr>
                <w:rFonts w:eastAsia="SimSun"/>
                <w:sz w:val="20"/>
                <w:szCs w:val="20"/>
                <w:lang w:val="fr-FR" w:eastAsia="zh-CN"/>
              </w:rPr>
              <w:t>la</w:t>
            </w:r>
            <w:proofErr w:type="gramEnd"/>
            <w:r w:rsidRPr="008F5A64">
              <w:rPr>
                <w:rFonts w:eastAsia="SimSun"/>
                <w:sz w:val="20"/>
                <w:szCs w:val="20"/>
                <w:lang w:val="fr-FR" w:eastAsia="zh-CN"/>
              </w:rPr>
              <w:t xml:space="preserve"> DREEF/ONE qui contiennent des programmes aux fins de la mise en œuvre des mesures d’atténuation dans le cycle de projet (au-delà du contenu de l’EIE)</w:t>
            </w:r>
          </w:p>
        </w:tc>
        <w:tc>
          <w:tcPr>
            <w:tcW w:w="3402" w:type="dxa"/>
          </w:tcPr>
          <w:p w14:paraId="05CFCA1F"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Aucun accord de collaboration signé (entreprises privées - DREEF/ONE)</w:t>
            </w:r>
          </w:p>
        </w:tc>
        <w:tc>
          <w:tcPr>
            <w:tcW w:w="3118" w:type="dxa"/>
          </w:tcPr>
          <w:p w14:paraId="0F89C741" w14:textId="77777777" w:rsidR="00F56F56" w:rsidRPr="008F5A64" w:rsidRDefault="00F56F56" w:rsidP="00F56F56">
            <w:pPr>
              <w:keepLines/>
              <w:spacing w:before="0" w:after="0"/>
              <w:jc w:val="left"/>
              <w:rPr>
                <w:rFonts w:eastAsia="SimSun"/>
                <w:sz w:val="20"/>
                <w:szCs w:val="20"/>
                <w:lang w:val="fr-FR" w:eastAsia="zh-CN"/>
              </w:rPr>
            </w:pPr>
            <w:r w:rsidRPr="008F5A64">
              <w:rPr>
                <w:rFonts w:eastAsia="SimSun"/>
                <w:sz w:val="20"/>
                <w:szCs w:val="20"/>
                <w:lang w:val="fr-FR" w:eastAsia="zh-CN"/>
              </w:rPr>
              <w:t>50% des investissements de production signent un accord de collaboration et intégrant un processus d’atténuation environnemental dans leur cycle de projet</w:t>
            </w:r>
          </w:p>
        </w:tc>
        <w:tc>
          <w:tcPr>
            <w:tcW w:w="2977" w:type="dxa"/>
            <w:vMerge/>
          </w:tcPr>
          <w:p w14:paraId="33ADC0BC" w14:textId="77777777" w:rsidR="00F56F56" w:rsidRPr="00D65F8E" w:rsidRDefault="00F56F56" w:rsidP="00F56F56">
            <w:pPr>
              <w:keepLines/>
              <w:spacing w:before="0" w:after="0"/>
              <w:jc w:val="left"/>
              <w:rPr>
                <w:rFonts w:eastAsia="SimSun"/>
                <w:sz w:val="20"/>
                <w:szCs w:val="20"/>
                <w:lang w:val="fr-FR" w:eastAsia="zh-CN"/>
              </w:rPr>
            </w:pPr>
          </w:p>
        </w:tc>
        <w:tc>
          <w:tcPr>
            <w:tcW w:w="1134" w:type="dxa"/>
            <w:vMerge/>
          </w:tcPr>
          <w:p w14:paraId="760FB49F" w14:textId="77777777" w:rsidR="00F56F56" w:rsidRPr="00D65F8E" w:rsidRDefault="00F56F56" w:rsidP="00F56F56">
            <w:pPr>
              <w:keepLines/>
              <w:spacing w:before="0" w:after="0"/>
              <w:jc w:val="left"/>
              <w:rPr>
                <w:rFonts w:eastAsia="SimSun"/>
                <w:sz w:val="20"/>
                <w:szCs w:val="20"/>
                <w:lang w:val="fr-FR" w:eastAsia="zh-CN"/>
              </w:rPr>
            </w:pPr>
          </w:p>
        </w:tc>
      </w:tr>
      <w:tr w:rsidR="00F56F56" w:rsidRPr="00F56F56" w14:paraId="0ACDFF6C" w14:textId="53913E2F" w:rsidTr="00CA44AE">
        <w:trPr>
          <w:gridAfter w:val="2"/>
          <w:wAfter w:w="4451" w:type="dxa"/>
        </w:trPr>
        <w:tc>
          <w:tcPr>
            <w:tcW w:w="0" w:type="dxa"/>
          </w:tcPr>
          <w:p w14:paraId="2A50DB28"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9</w:t>
            </w:r>
          </w:p>
        </w:tc>
        <w:tc>
          <w:tcPr>
            <w:tcW w:w="0" w:type="dxa"/>
          </w:tcPr>
          <w:p w14:paraId="7AF44C9E" w14:textId="77777777" w:rsidR="00F56F56" w:rsidRPr="008F5A64" w:rsidRDefault="00F56F56" w:rsidP="00F56F56">
            <w:pPr>
              <w:spacing w:before="0" w:after="0"/>
              <w:jc w:val="left"/>
              <w:rPr>
                <w:rFonts w:eastAsia="SimSun" w:cs="Angsana New"/>
                <w:color w:val="FF0000"/>
                <w:sz w:val="20"/>
                <w:szCs w:val="20"/>
                <w:lang w:val="fr-FR" w:eastAsia="zh-CN"/>
              </w:rPr>
            </w:pPr>
            <w:r w:rsidRPr="008F5A64">
              <w:rPr>
                <w:sz w:val="20"/>
                <w:szCs w:val="20"/>
                <w:lang w:val="fr-FR"/>
              </w:rPr>
              <w:t>La planification à l’échelle des paysages (PEP) est élaborée et approuvée</w:t>
            </w:r>
          </w:p>
        </w:tc>
        <w:tc>
          <w:tcPr>
            <w:tcW w:w="0" w:type="dxa"/>
          </w:tcPr>
          <w:p w14:paraId="092C475B" w14:textId="77777777" w:rsidR="00F56F56" w:rsidRPr="008F5A64" w:rsidRDefault="00F56F56" w:rsidP="00F56F56">
            <w:pPr>
              <w:spacing w:before="0" w:after="0"/>
              <w:jc w:val="left"/>
              <w:rPr>
                <w:sz w:val="20"/>
                <w:szCs w:val="20"/>
                <w:lang w:val="fr-FR"/>
              </w:rPr>
            </w:pPr>
            <w:r w:rsidRPr="008F5A64">
              <w:rPr>
                <w:sz w:val="20"/>
                <w:szCs w:val="20"/>
                <w:lang w:val="fr-FR"/>
              </w:rPr>
              <w:t xml:space="preserve">Aucune PEP pour le paysage ciblé (à l’exception du paysage </w:t>
            </w:r>
            <w:proofErr w:type="spellStart"/>
            <w:r w:rsidRPr="008F5A64">
              <w:rPr>
                <w:sz w:val="20"/>
                <w:szCs w:val="20"/>
                <w:lang w:val="fr-FR"/>
              </w:rPr>
              <w:t>Mahafaly</w:t>
            </w:r>
            <w:proofErr w:type="spellEnd"/>
            <w:r w:rsidRPr="008F5A64">
              <w:rPr>
                <w:sz w:val="20"/>
                <w:szCs w:val="20"/>
                <w:lang w:val="fr-FR"/>
              </w:rPr>
              <w:t>)</w:t>
            </w:r>
          </w:p>
        </w:tc>
        <w:tc>
          <w:tcPr>
            <w:tcW w:w="0" w:type="dxa"/>
          </w:tcPr>
          <w:p w14:paraId="02BA2E93" w14:textId="77777777" w:rsidR="00F56F56" w:rsidRPr="008F5A64" w:rsidRDefault="00F56F56" w:rsidP="00F56F56">
            <w:pPr>
              <w:keepLines/>
              <w:spacing w:before="0" w:after="0"/>
              <w:jc w:val="left"/>
              <w:rPr>
                <w:color w:val="FF0000"/>
                <w:sz w:val="20"/>
                <w:szCs w:val="20"/>
                <w:lang w:val="fr-FR"/>
              </w:rPr>
            </w:pPr>
            <w:r w:rsidRPr="008F5A64">
              <w:rPr>
                <w:sz w:val="20"/>
                <w:szCs w:val="20"/>
                <w:lang w:val="fr-FR"/>
              </w:rPr>
              <w:t xml:space="preserve">Évaluation environnementale stratégique du paysage ciblé achevé </w:t>
            </w:r>
          </w:p>
        </w:tc>
        <w:tc>
          <w:tcPr>
            <w:tcW w:w="2977" w:type="dxa"/>
          </w:tcPr>
          <w:p w14:paraId="6D6F82AE" w14:textId="5FD48834" w:rsidR="00E355D5" w:rsidRPr="00346FE6" w:rsidRDefault="00B04BFD" w:rsidP="00E355D5">
            <w:pPr>
              <w:pStyle w:val="Commentaire"/>
              <w:spacing w:after="0"/>
              <w:rPr>
                <w:rFonts w:eastAsia="Times New Roman" w:cstheme="minorHAnsi"/>
                <w:color w:val="000000"/>
                <w:lang w:val="fr-BE" w:eastAsia="fr-FR"/>
              </w:rPr>
            </w:pPr>
            <w:r>
              <w:rPr>
                <w:rFonts w:eastAsia="Times New Roman" w:cstheme="minorHAnsi"/>
                <w:color w:val="000000"/>
                <w:lang w:val="fr-BE" w:eastAsia="fr-FR"/>
              </w:rPr>
              <w:t>Orientation méthodologique faite</w:t>
            </w:r>
            <w:r w:rsidR="00071636">
              <w:rPr>
                <w:rFonts w:eastAsia="Times New Roman" w:cstheme="minorHAnsi"/>
                <w:color w:val="000000"/>
                <w:lang w:val="fr-BE" w:eastAsia="fr-FR"/>
              </w:rPr>
              <w:t>, mais n’a pas été mise à disposition de l’équipe d’évaluation</w:t>
            </w:r>
            <w:r>
              <w:rPr>
                <w:rFonts w:eastAsia="Times New Roman" w:cstheme="minorHAnsi"/>
                <w:color w:val="000000"/>
                <w:lang w:val="fr-BE" w:eastAsia="fr-FR"/>
              </w:rPr>
              <w:t xml:space="preserve">. </w:t>
            </w:r>
            <w:r w:rsidR="00E355D5">
              <w:rPr>
                <w:rFonts w:eastAsia="Times New Roman" w:cstheme="minorHAnsi"/>
                <w:color w:val="000000"/>
                <w:lang w:val="fr-BE" w:eastAsia="fr-FR"/>
              </w:rPr>
              <w:t>La r</w:t>
            </w:r>
            <w:r w:rsidR="00E355D5" w:rsidRPr="00346FE6">
              <w:rPr>
                <w:rFonts w:eastAsia="Times New Roman" w:cstheme="minorHAnsi"/>
                <w:color w:val="000000"/>
                <w:lang w:val="fr-BE" w:eastAsia="fr-FR"/>
              </w:rPr>
              <w:t>éalisation de l’EES planifiée en 2020 dans le PTP</w:t>
            </w:r>
            <w:r w:rsidR="00E355D5">
              <w:rPr>
                <w:rFonts w:eastAsia="Times New Roman" w:cstheme="minorHAnsi"/>
                <w:color w:val="000000"/>
                <w:lang w:val="fr-BE" w:eastAsia="fr-FR"/>
              </w:rPr>
              <w:t>.</w:t>
            </w:r>
          </w:p>
          <w:p w14:paraId="3B997FF0" w14:textId="4B2582D7" w:rsidR="00F56F56" w:rsidRPr="003270CB" w:rsidRDefault="005F0EBE" w:rsidP="003270CB">
            <w:pPr>
              <w:keepLines/>
              <w:spacing w:before="0" w:after="0"/>
              <w:jc w:val="left"/>
              <w:rPr>
                <w:sz w:val="20"/>
                <w:szCs w:val="20"/>
                <w:lang w:val="fr-FR"/>
              </w:rPr>
            </w:pPr>
            <w:r>
              <w:rPr>
                <w:rFonts w:eastAsia="Times New Roman" w:cstheme="minorHAnsi"/>
                <w:color w:val="000000"/>
                <w:sz w:val="20"/>
                <w:szCs w:val="20"/>
                <w:lang w:val="fr-BE" w:eastAsia="fr-FR"/>
              </w:rPr>
              <w:t>Toutefois, l</w:t>
            </w:r>
            <w:r w:rsidRPr="00CA44AE">
              <w:rPr>
                <w:rFonts w:eastAsia="Times New Roman" w:cstheme="minorHAnsi"/>
                <w:color w:val="000000"/>
                <w:sz w:val="20"/>
                <w:szCs w:val="20"/>
                <w:lang w:val="fr-BE" w:eastAsia="fr-FR"/>
              </w:rPr>
              <w:t>e progrès de cet indicateur ne peut être évalué car la méthodologie d’évaluation n’est pas claire.</w:t>
            </w:r>
            <w:r>
              <w:rPr>
                <w:rFonts w:eastAsia="Times New Roman" w:cstheme="minorHAnsi"/>
                <w:i/>
                <w:color w:val="000000"/>
                <w:sz w:val="20"/>
                <w:szCs w:val="20"/>
                <w:lang w:val="fr-FR" w:eastAsia="fr-FR"/>
              </w:rPr>
              <w:t xml:space="preserve"> </w:t>
            </w:r>
          </w:p>
        </w:tc>
        <w:tc>
          <w:tcPr>
            <w:tcW w:w="1134" w:type="dxa"/>
            <w:shd w:val="clear" w:color="auto" w:fill="D9D9D9" w:themeFill="background1" w:themeFillShade="D9"/>
          </w:tcPr>
          <w:p w14:paraId="060B65D2" w14:textId="19836627" w:rsidR="00F56F56" w:rsidRPr="00CA44AE" w:rsidRDefault="005F0EBE" w:rsidP="00F56F56">
            <w:pPr>
              <w:keepNext/>
              <w:keepLines/>
              <w:spacing w:before="0" w:after="0" w:line="276" w:lineRule="auto"/>
              <w:outlineLvl w:val="5"/>
              <w:rPr>
                <w:rFonts w:eastAsia="Times New Roman" w:cstheme="minorHAnsi"/>
                <w:i/>
                <w:color w:val="000000"/>
                <w:sz w:val="20"/>
                <w:szCs w:val="20"/>
                <w:highlight w:val="yellow"/>
                <w:lang w:val="en-US" w:eastAsia="fr-FR"/>
              </w:rPr>
            </w:pPr>
            <w:r w:rsidRPr="00CA44AE">
              <w:rPr>
                <w:rFonts w:eastAsia="Times New Roman" w:cstheme="minorHAnsi"/>
                <w:i/>
                <w:color w:val="000000"/>
                <w:sz w:val="20"/>
                <w:szCs w:val="20"/>
                <w:lang w:val="en-US" w:eastAsia="fr-FR"/>
              </w:rPr>
              <w:t>NA</w:t>
            </w:r>
          </w:p>
        </w:tc>
      </w:tr>
      <w:tr w:rsidR="00F56F56" w:rsidRPr="00D65F8E" w14:paraId="18D476B6" w14:textId="7E4DED78" w:rsidTr="00CC02B8">
        <w:trPr>
          <w:gridAfter w:val="2"/>
          <w:wAfter w:w="4451" w:type="dxa"/>
        </w:trPr>
        <w:tc>
          <w:tcPr>
            <w:tcW w:w="0" w:type="dxa"/>
          </w:tcPr>
          <w:p w14:paraId="1BCC8590" w14:textId="77777777" w:rsidR="00F56F56" w:rsidRPr="008F5A64" w:rsidRDefault="00F56F56" w:rsidP="00F56F56">
            <w:pPr>
              <w:spacing w:before="0" w:after="0"/>
              <w:jc w:val="left"/>
              <w:rPr>
                <w:rFonts w:eastAsia="SimSun" w:cs="Angsana New"/>
                <w:sz w:val="20"/>
                <w:szCs w:val="20"/>
                <w:lang w:eastAsia="zh-CN"/>
              </w:rPr>
            </w:pPr>
            <w:r w:rsidRPr="008F5A64">
              <w:rPr>
                <w:rFonts w:eastAsia="SimSun" w:cs="Angsana New"/>
                <w:sz w:val="20"/>
                <w:szCs w:val="20"/>
                <w:lang w:eastAsia="zh-CN"/>
              </w:rPr>
              <w:t>10</w:t>
            </w:r>
          </w:p>
        </w:tc>
        <w:tc>
          <w:tcPr>
            <w:tcW w:w="0" w:type="dxa"/>
          </w:tcPr>
          <w:p w14:paraId="102CA90D" w14:textId="77777777" w:rsidR="00F56F56" w:rsidRPr="008F5A64" w:rsidRDefault="00F56F56" w:rsidP="00F56F56">
            <w:pPr>
              <w:spacing w:before="0" w:after="0"/>
              <w:jc w:val="left"/>
              <w:rPr>
                <w:sz w:val="20"/>
                <w:szCs w:val="20"/>
                <w:lang w:val="fr-FR"/>
              </w:rPr>
            </w:pPr>
            <w:r w:rsidRPr="008F5A64">
              <w:rPr>
                <w:sz w:val="20"/>
                <w:szCs w:val="20"/>
                <w:lang w:val="fr-FR"/>
              </w:rPr>
              <w:t xml:space="preserve">Les outils suivi METT sont utilisés sur une base annuelle pour chaque AP </w:t>
            </w:r>
          </w:p>
          <w:p w14:paraId="1C5E12FE" w14:textId="77777777" w:rsidR="00F56F56" w:rsidRPr="008F5A64" w:rsidRDefault="00F56F56" w:rsidP="00F56F56">
            <w:pPr>
              <w:spacing w:before="0" w:after="0"/>
              <w:jc w:val="left"/>
              <w:rPr>
                <w:sz w:val="20"/>
                <w:szCs w:val="20"/>
                <w:lang w:val="fr-FR"/>
              </w:rPr>
            </w:pPr>
            <w:r w:rsidRPr="008F5A64">
              <w:rPr>
                <w:sz w:val="20"/>
                <w:szCs w:val="20"/>
                <w:lang w:val="fr-FR"/>
              </w:rPr>
              <w:t xml:space="preserve">[Note : SO1 TT n’est pas une exigence du FEM dans le cadre de ce projet, les résultats sont donc contrôlés par des directeurs des AP seulement et pour surveiller les indicateurs de suivi de 5 à 10.] </w:t>
            </w:r>
          </w:p>
        </w:tc>
        <w:tc>
          <w:tcPr>
            <w:tcW w:w="0" w:type="dxa"/>
          </w:tcPr>
          <w:p w14:paraId="600B67BF" w14:textId="77777777" w:rsidR="00F56F56" w:rsidRPr="008F5A64" w:rsidRDefault="00F56F56" w:rsidP="00F56F56">
            <w:pPr>
              <w:spacing w:before="0" w:after="0"/>
              <w:jc w:val="left"/>
              <w:rPr>
                <w:color w:val="FF0000"/>
                <w:sz w:val="20"/>
                <w:szCs w:val="20"/>
                <w:lang w:val="fr-FR"/>
              </w:rPr>
            </w:pPr>
            <w:r w:rsidRPr="008F5A64">
              <w:rPr>
                <w:sz w:val="20"/>
                <w:szCs w:val="20"/>
                <w:lang w:val="fr-FR"/>
              </w:rPr>
              <w:t xml:space="preserve">Les METT ont été utilisés dans 4 AP pendant la phase de développement du projet </w:t>
            </w:r>
          </w:p>
        </w:tc>
        <w:tc>
          <w:tcPr>
            <w:tcW w:w="0" w:type="dxa"/>
          </w:tcPr>
          <w:p w14:paraId="3098038C" w14:textId="77777777" w:rsidR="00F56F56" w:rsidRPr="008F5A64" w:rsidRDefault="00F56F56" w:rsidP="00F56F56">
            <w:pPr>
              <w:keepLines/>
              <w:spacing w:before="0" w:after="0"/>
              <w:jc w:val="left"/>
              <w:rPr>
                <w:rFonts w:eastAsia="SimSun" w:cs="Angsana New"/>
                <w:color w:val="FF0000"/>
                <w:sz w:val="20"/>
                <w:szCs w:val="20"/>
                <w:u w:val="single"/>
                <w:lang w:val="fr-FR" w:eastAsia="zh-CN"/>
              </w:rPr>
            </w:pPr>
            <w:r w:rsidRPr="008F5A64">
              <w:rPr>
                <w:sz w:val="20"/>
                <w:szCs w:val="20"/>
                <w:lang w:val="fr-FR"/>
              </w:rPr>
              <w:t>Les METT ont été utilisés dans toutes les sept AP dans la zone sur une base périodique</w:t>
            </w:r>
          </w:p>
        </w:tc>
        <w:tc>
          <w:tcPr>
            <w:tcW w:w="2977" w:type="dxa"/>
          </w:tcPr>
          <w:p w14:paraId="52CCE0AF" w14:textId="2FF61012" w:rsidR="00F56F56" w:rsidRPr="00F56F56" w:rsidRDefault="00F56F56" w:rsidP="00F56F56">
            <w:pPr>
              <w:keepLines/>
              <w:spacing w:before="0" w:after="0"/>
              <w:jc w:val="left"/>
              <w:rPr>
                <w:sz w:val="20"/>
                <w:szCs w:val="20"/>
                <w:lang w:val="fr-FR"/>
              </w:rPr>
            </w:pPr>
            <w:r w:rsidRPr="008F47A6">
              <w:rPr>
                <w:rFonts w:eastAsia="Times New Roman" w:cstheme="minorHAnsi"/>
                <w:color w:val="000000"/>
                <w:sz w:val="20"/>
                <w:szCs w:val="20"/>
                <w:lang w:val="fr-BE" w:eastAsia="fr-FR"/>
              </w:rPr>
              <w:t>Le METT a été appliqué aux 9 AP en 2019</w:t>
            </w:r>
            <w:r>
              <w:rPr>
                <w:rFonts w:eastAsia="Times New Roman" w:cstheme="minorHAnsi"/>
                <w:color w:val="000000"/>
                <w:sz w:val="20"/>
                <w:szCs w:val="20"/>
                <w:lang w:val="fr-BE" w:eastAsia="fr-FR"/>
              </w:rPr>
              <w:t xml:space="preserve"> (qui ne correspondent pas aux zones considérées pour la création des APC)</w:t>
            </w:r>
          </w:p>
        </w:tc>
        <w:tc>
          <w:tcPr>
            <w:tcW w:w="1134" w:type="dxa"/>
            <w:shd w:val="clear" w:color="auto" w:fill="76923C" w:themeFill="accent3" w:themeFillShade="BF"/>
          </w:tcPr>
          <w:p w14:paraId="0E9C200A" w14:textId="1472DBB5" w:rsidR="00F56F56" w:rsidRPr="008F47A6" w:rsidRDefault="00F56F56" w:rsidP="00F56F56">
            <w:pPr>
              <w:keepLines/>
              <w:spacing w:before="0" w:after="0"/>
              <w:jc w:val="left"/>
              <w:rPr>
                <w:rFonts w:eastAsia="Times New Roman" w:cstheme="minorHAnsi"/>
                <w:color w:val="000000"/>
                <w:sz w:val="20"/>
                <w:szCs w:val="20"/>
                <w:lang w:val="fr-BE" w:eastAsia="fr-FR"/>
              </w:rPr>
            </w:pPr>
            <w:r>
              <w:rPr>
                <w:rFonts w:eastAsia="Times New Roman" w:cstheme="minorHAnsi"/>
                <w:color w:val="000000"/>
                <w:sz w:val="20"/>
                <w:szCs w:val="20"/>
                <w:lang w:val="fr-BE" w:eastAsia="fr-FR"/>
              </w:rPr>
              <w:t>TS</w:t>
            </w:r>
          </w:p>
        </w:tc>
      </w:tr>
      <w:tr w:rsidR="00F56F56" w:rsidRPr="00BE1549" w14:paraId="161B327A" w14:textId="1685D476" w:rsidTr="00C30657">
        <w:trPr>
          <w:gridAfter w:val="2"/>
          <w:wAfter w:w="4451" w:type="dxa"/>
        </w:trPr>
        <w:tc>
          <w:tcPr>
            <w:tcW w:w="567" w:type="dxa"/>
            <w:shd w:val="clear" w:color="auto" w:fill="auto"/>
          </w:tcPr>
          <w:p w14:paraId="29DAF57E" w14:textId="77777777" w:rsidR="00F56F56" w:rsidRPr="00CA44AE" w:rsidRDefault="00F56F56" w:rsidP="00F56F56">
            <w:pPr>
              <w:spacing w:before="0" w:after="0" w:line="276" w:lineRule="auto"/>
              <w:jc w:val="left"/>
              <w:rPr>
                <w:rFonts w:eastAsia="SimSun" w:cs="Angsana New"/>
                <w:sz w:val="20"/>
                <w:szCs w:val="20"/>
                <w:lang w:val="fr-FR" w:eastAsia="zh-CN"/>
              </w:rPr>
            </w:pPr>
          </w:p>
        </w:tc>
        <w:tc>
          <w:tcPr>
            <w:tcW w:w="14317" w:type="dxa"/>
            <w:gridSpan w:val="5"/>
            <w:shd w:val="clear" w:color="auto" w:fill="auto"/>
          </w:tcPr>
          <w:p w14:paraId="27346885" w14:textId="1726B153" w:rsidR="00F56F56" w:rsidRPr="00D65F8E" w:rsidRDefault="00F56F56" w:rsidP="00F56F56">
            <w:pPr>
              <w:keepLines/>
              <w:spacing w:before="0" w:after="0"/>
              <w:jc w:val="left"/>
              <w:rPr>
                <w:sz w:val="20"/>
                <w:szCs w:val="20"/>
                <w:lang w:val="fr-FR"/>
              </w:rPr>
            </w:pPr>
            <w:r w:rsidRPr="008F5A64">
              <w:rPr>
                <w:b/>
                <w:lang w:val="fr-FR"/>
              </w:rPr>
              <w:t>Résultat 2 : Les activités liées à l’utilisation des ressources et à la production communautaire incorporent la conservation et l’utilisation durable de la biodiversité dans les pratiques de gestion dans au moins 100 000 ha de nouvelles ACC</w:t>
            </w:r>
          </w:p>
        </w:tc>
      </w:tr>
      <w:tr w:rsidR="00F56F56" w:rsidRPr="00F56F56" w14:paraId="01B6B2D5" w14:textId="209A6BE4" w:rsidTr="00CC02B8">
        <w:trPr>
          <w:gridAfter w:val="2"/>
          <w:wAfter w:w="4451" w:type="dxa"/>
        </w:trPr>
        <w:tc>
          <w:tcPr>
            <w:tcW w:w="0" w:type="dxa"/>
          </w:tcPr>
          <w:p w14:paraId="2C6C2619" w14:textId="77777777" w:rsidR="00F56F56" w:rsidRPr="008F5A64" w:rsidRDefault="00F56F56" w:rsidP="00F56F56">
            <w:pPr>
              <w:spacing w:before="0" w:after="0"/>
              <w:jc w:val="left"/>
              <w:rPr>
                <w:sz w:val="20"/>
                <w:szCs w:val="20"/>
              </w:rPr>
            </w:pPr>
            <w:r w:rsidRPr="008F5A64">
              <w:rPr>
                <w:sz w:val="20"/>
                <w:szCs w:val="20"/>
              </w:rPr>
              <w:t>11</w:t>
            </w:r>
          </w:p>
        </w:tc>
        <w:tc>
          <w:tcPr>
            <w:tcW w:w="0" w:type="dxa"/>
          </w:tcPr>
          <w:p w14:paraId="76F37D9B" w14:textId="644D741F"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 xml:space="preserve">(a) </w:t>
            </w:r>
            <w:r w:rsidRPr="00F56F56">
              <w:rPr>
                <w:rFonts w:eastAsia="SimSun"/>
                <w:sz w:val="20"/>
                <w:szCs w:val="20"/>
                <w:lang w:val="fr-FR" w:eastAsia="zh-CN"/>
              </w:rPr>
              <w:t>APC renforcées ou créées dans des écosystèmes vulnérables (autour des AP ou les corridors forestiers)</w:t>
            </w:r>
          </w:p>
          <w:p w14:paraId="76269965" w14:textId="05D91397" w:rsidR="00F56F56" w:rsidRPr="008F5A64" w:rsidRDefault="00F56F56" w:rsidP="00F56F56">
            <w:pPr>
              <w:spacing w:before="0" w:after="0"/>
              <w:jc w:val="left"/>
              <w:rPr>
                <w:color w:val="FF0000"/>
                <w:sz w:val="20"/>
                <w:szCs w:val="20"/>
                <w:lang w:val="fr-FR"/>
              </w:rPr>
            </w:pPr>
            <w:r w:rsidRPr="008F5A64">
              <w:rPr>
                <w:rFonts w:eastAsia="SimSun"/>
                <w:sz w:val="20"/>
                <w:szCs w:val="20"/>
                <w:lang w:val="fr-FR" w:eastAsia="zh-CN"/>
              </w:rPr>
              <w:t>(b) Les contrats de transfert de gestion (TDG) et « </w:t>
            </w:r>
            <w:r w:rsidRPr="008F5A64">
              <w:rPr>
                <w:rFonts w:eastAsia="SimSun"/>
                <w:i/>
                <w:sz w:val="20"/>
                <w:szCs w:val="20"/>
                <w:lang w:val="fr-FR" w:eastAsia="zh-CN"/>
              </w:rPr>
              <w:t>Dina</w:t>
            </w:r>
            <w:proofErr w:type="gramStart"/>
            <w:r w:rsidRPr="008F5A64">
              <w:rPr>
                <w:rFonts w:eastAsia="SimSun"/>
                <w:i/>
                <w:sz w:val="20"/>
                <w:szCs w:val="20"/>
                <w:lang w:val="fr-FR" w:eastAsia="zh-CN"/>
              </w:rPr>
              <w:t> »s</w:t>
            </w:r>
            <w:proofErr w:type="gramEnd"/>
            <w:r w:rsidRPr="008F5A64">
              <w:rPr>
                <w:rFonts w:eastAsia="SimSun"/>
                <w:i/>
                <w:sz w:val="20"/>
                <w:szCs w:val="20"/>
                <w:lang w:val="fr-FR" w:eastAsia="zh-CN"/>
              </w:rPr>
              <w:t xml:space="preserve"> </w:t>
            </w:r>
            <w:r w:rsidRPr="008F5A64">
              <w:rPr>
                <w:rFonts w:eastAsia="SimSun"/>
                <w:sz w:val="20"/>
                <w:szCs w:val="20"/>
                <w:lang w:val="fr-FR" w:eastAsia="zh-CN"/>
              </w:rPr>
              <w:t xml:space="preserve">(avec une composante </w:t>
            </w:r>
            <w:r w:rsidRPr="008F5A64">
              <w:rPr>
                <w:rFonts w:eastAsia="SimSun"/>
                <w:sz w:val="20"/>
                <w:szCs w:val="20"/>
                <w:lang w:val="fr-FR" w:eastAsia="zh-CN"/>
              </w:rPr>
              <w:lastRenderedPageBreak/>
              <w:t xml:space="preserve">biodiversité) obtiennent un statut juridique </w:t>
            </w:r>
          </w:p>
        </w:tc>
        <w:tc>
          <w:tcPr>
            <w:tcW w:w="0" w:type="dxa"/>
          </w:tcPr>
          <w:p w14:paraId="41D79BB9" w14:textId="73D13795" w:rsidR="00F56F56" w:rsidRPr="008F5A64" w:rsidRDefault="00F56F56" w:rsidP="00F56F56">
            <w:pPr>
              <w:spacing w:before="0" w:after="0"/>
              <w:rPr>
                <w:sz w:val="20"/>
                <w:szCs w:val="20"/>
                <w:lang w:val="fr-FR"/>
              </w:rPr>
            </w:pPr>
            <w:r w:rsidRPr="008F5A64">
              <w:rPr>
                <w:rFonts w:eastAsia="SimSun"/>
                <w:sz w:val="20"/>
                <w:szCs w:val="20"/>
                <w:lang w:val="fr-FR" w:eastAsia="zh-CN"/>
              </w:rPr>
              <w:lastRenderedPageBreak/>
              <w:t>(a) L’identification des sites potentiels avec des TDG sera achevée au début du projet – (le nombre doit être confirmé)</w:t>
            </w:r>
          </w:p>
          <w:p w14:paraId="077DCE92" w14:textId="77777777" w:rsidR="00F56F56" w:rsidRPr="008F5A64" w:rsidRDefault="00F56F56" w:rsidP="00F56F56">
            <w:pPr>
              <w:spacing w:before="0" w:after="0"/>
              <w:jc w:val="left"/>
              <w:rPr>
                <w:rFonts w:eastAsia="SimSun"/>
                <w:sz w:val="20"/>
                <w:szCs w:val="20"/>
                <w:lang w:val="fr-FR" w:eastAsia="zh-CN"/>
              </w:rPr>
            </w:pPr>
          </w:p>
          <w:p w14:paraId="006A59A9" w14:textId="77777777" w:rsidR="00F56F56" w:rsidRPr="008F5A64" w:rsidRDefault="00F56F56" w:rsidP="00F56F56">
            <w:pPr>
              <w:spacing w:before="0" w:after="0"/>
              <w:jc w:val="left"/>
              <w:rPr>
                <w:color w:val="FF0000"/>
                <w:sz w:val="20"/>
                <w:szCs w:val="20"/>
                <w:lang w:val="fr-FR"/>
              </w:rPr>
            </w:pPr>
            <w:r w:rsidRPr="008F5A64">
              <w:rPr>
                <w:rFonts w:eastAsia="SimSun"/>
                <w:sz w:val="20"/>
                <w:szCs w:val="20"/>
                <w:lang w:val="fr-FR" w:eastAsia="zh-CN"/>
              </w:rPr>
              <w:t xml:space="preserve">(b) les TDG et les « Dinas » approuvés et signés par les parties prenantes et </w:t>
            </w:r>
            <w:r w:rsidRPr="008F5A64">
              <w:rPr>
                <w:rFonts w:eastAsia="SimSun"/>
                <w:sz w:val="20"/>
                <w:szCs w:val="20"/>
                <w:lang w:val="fr-FR" w:eastAsia="zh-CN"/>
              </w:rPr>
              <w:lastRenderedPageBreak/>
              <w:t xml:space="preserve">les autorités gouvernementales concernées </w:t>
            </w:r>
          </w:p>
        </w:tc>
        <w:tc>
          <w:tcPr>
            <w:tcW w:w="0" w:type="dxa"/>
          </w:tcPr>
          <w:p w14:paraId="0AFE58BA" w14:textId="77777777" w:rsidR="00F56F56" w:rsidRPr="008F5A64" w:rsidRDefault="00F56F56" w:rsidP="00F56F56">
            <w:pPr>
              <w:spacing w:before="0" w:after="0"/>
              <w:jc w:val="left"/>
              <w:rPr>
                <w:sz w:val="20"/>
                <w:szCs w:val="20"/>
                <w:lang w:val="fr-FR"/>
              </w:rPr>
            </w:pPr>
            <w:r w:rsidRPr="008F5A64">
              <w:rPr>
                <w:rFonts w:eastAsia="SimSun"/>
                <w:sz w:val="20"/>
                <w:szCs w:val="20"/>
                <w:lang w:val="fr-FR" w:eastAsia="zh-CN"/>
              </w:rPr>
              <w:lastRenderedPageBreak/>
              <w:t xml:space="preserve">(a) 12 nouvelles ACC avec au </w:t>
            </w:r>
            <w:proofErr w:type="gramStart"/>
            <w:r w:rsidRPr="008F5A64">
              <w:rPr>
                <w:rFonts w:eastAsia="SimSun"/>
                <w:sz w:val="20"/>
                <w:szCs w:val="20"/>
                <w:lang w:val="fr-FR" w:eastAsia="zh-CN"/>
              </w:rPr>
              <w:t xml:space="preserve">moins  </w:t>
            </w:r>
            <w:r w:rsidRPr="008F5A64">
              <w:rPr>
                <w:sz w:val="20"/>
                <w:szCs w:val="20"/>
                <w:lang w:val="fr-FR"/>
              </w:rPr>
              <w:t>100</w:t>
            </w:r>
            <w:proofErr w:type="gramEnd"/>
            <w:r w:rsidRPr="008F5A64">
              <w:rPr>
                <w:sz w:val="20"/>
                <w:szCs w:val="20"/>
                <w:lang w:val="fr-FR"/>
              </w:rPr>
              <w:t xml:space="preserve"> 000 hectares protégés</w:t>
            </w:r>
          </w:p>
          <w:p w14:paraId="5A9E911D" w14:textId="77777777" w:rsidR="00F56F56" w:rsidRPr="008F5A64" w:rsidRDefault="00F56F56" w:rsidP="00F56F56">
            <w:pPr>
              <w:keepLines/>
              <w:spacing w:before="0" w:after="0"/>
              <w:jc w:val="left"/>
              <w:rPr>
                <w:sz w:val="20"/>
                <w:szCs w:val="20"/>
                <w:lang w:val="fr-FR"/>
              </w:rPr>
            </w:pPr>
          </w:p>
          <w:p w14:paraId="1031FE10" w14:textId="77777777" w:rsidR="00F56F56" w:rsidRPr="008F5A64" w:rsidRDefault="00F56F56" w:rsidP="00F56F56">
            <w:pPr>
              <w:keepLines/>
              <w:spacing w:before="0" w:after="0"/>
              <w:jc w:val="left"/>
              <w:rPr>
                <w:sz w:val="20"/>
                <w:szCs w:val="20"/>
                <w:lang w:val="fr-FR"/>
              </w:rPr>
            </w:pPr>
          </w:p>
          <w:p w14:paraId="68EC52A0" w14:textId="77777777" w:rsidR="00F56F56" w:rsidRPr="008F5A64" w:rsidRDefault="00F56F56" w:rsidP="00F56F56">
            <w:pPr>
              <w:keepLines/>
              <w:spacing w:before="0" w:after="0"/>
              <w:jc w:val="left"/>
              <w:rPr>
                <w:color w:val="FF0000"/>
                <w:sz w:val="20"/>
                <w:szCs w:val="20"/>
                <w:lang w:val="fr-FR"/>
              </w:rPr>
            </w:pPr>
            <w:r w:rsidRPr="008F5A64">
              <w:rPr>
                <w:sz w:val="20"/>
                <w:szCs w:val="20"/>
                <w:lang w:val="fr-FR"/>
              </w:rPr>
              <w:lastRenderedPageBreak/>
              <w:t>(b) 12 contrats de transfert de gestion approuvés et signés (ont mis à jour les « </w:t>
            </w:r>
            <w:r w:rsidRPr="008F5A64">
              <w:rPr>
                <w:rFonts w:eastAsia="SimSun"/>
                <w:i/>
                <w:sz w:val="20"/>
                <w:szCs w:val="20"/>
                <w:lang w:val="fr-FR" w:eastAsia="zh-CN"/>
              </w:rPr>
              <w:t xml:space="preserve">Dinas » </w:t>
            </w:r>
            <w:r w:rsidRPr="008F5A64">
              <w:rPr>
                <w:rFonts w:eastAsia="SimSun"/>
                <w:sz w:val="20"/>
                <w:szCs w:val="20"/>
                <w:lang w:val="fr-FR" w:eastAsia="zh-CN"/>
              </w:rPr>
              <w:t>et PCGT / les « </w:t>
            </w:r>
            <w:r w:rsidRPr="008F5A64">
              <w:rPr>
                <w:rFonts w:eastAsia="SimSun"/>
                <w:i/>
                <w:sz w:val="20"/>
                <w:szCs w:val="20"/>
                <w:lang w:val="fr-FR" w:eastAsia="zh-CN"/>
              </w:rPr>
              <w:t xml:space="preserve">Dinas » communautaires </w:t>
            </w:r>
            <w:r w:rsidRPr="008F5A64">
              <w:rPr>
                <w:rFonts w:eastAsia="SimSun"/>
                <w:sz w:val="20"/>
                <w:szCs w:val="20"/>
                <w:lang w:val="fr-FR" w:eastAsia="zh-CN"/>
              </w:rPr>
              <w:t>et les</w:t>
            </w:r>
            <w:r w:rsidRPr="008F5A64">
              <w:rPr>
                <w:rFonts w:eastAsia="SimSun"/>
                <w:i/>
                <w:sz w:val="20"/>
                <w:szCs w:val="20"/>
                <w:lang w:val="fr-FR" w:eastAsia="zh-CN"/>
              </w:rPr>
              <w:t xml:space="preserve"> « Dinas »</w:t>
            </w:r>
            <w:r w:rsidRPr="008F5A64">
              <w:rPr>
                <w:rFonts w:eastAsia="SimSun"/>
                <w:sz w:val="20"/>
                <w:szCs w:val="20"/>
                <w:lang w:val="fr-FR" w:eastAsia="zh-CN"/>
              </w:rPr>
              <w:t xml:space="preserve"> ont un statut juridique)</w:t>
            </w:r>
          </w:p>
        </w:tc>
        <w:tc>
          <w:tcPr>
            <w:tcW w:w="2977" w:type="dxa"/>
          </w:tcPr>
          <w:p w14:paraId="21366552" w14:textId="2F4D0AB2" w:rsidR="00986C0F" w:rsidRDefault="00F56F56" w:rsidP="00F56F56">
            <w:pPr>
              <w:spacing w:before="0" w:after="0"/>
              <w:rPr>
                <w:rFonts w:eastAsia="Times New Roman" w:cstheme="minorHAnsi"/>
                <w:color w:val="000000"/>
                <w:sz w:val="20"/>
                <w:szCs w:val="20"/>
                <w:lang w:val="fr-BE" w:eastAsia="fr-FR"/>
              </w:rPr>
            </w:pPr>
            <w:r w:rsidRPr="008F47A6">
              <w:rPr>
                <w:rFonts w:eastAsia="Times New Roman" w:cstheme="minorHAnsi"/>
                <w:color w:val="000000"/>
                <w:sz w:val="20"/>
                <w:szCs w:val="20"/>
                <w:lang w:val="fr-BE" w:eastAsia="fr-FR"/>
              </w:rPr>
              <w:lastRenderedPageBreak/>
              <w:t xml:space="preserve">7 APC ont été identifiées et sont actuellement appuyées couvrant 129 791 ha. </w:t>
            </w:r>
            <w:r w:rsidRPr="008F5A64">
              <w:rPr>
                <w:rFonts w:eastAsia="Times New Roman" w:cstheme="minorHAnsi"/>
                <w:color w:val="000000"/>
                <w:sz w:val="20"/>
                <w:szCs w:val="20"/>
                <w:lang w:val="fr-BE" w:eastAsia="fr-FR"/>
              </w:rPr>
              <w:t xml:space="preserve">Des analyses sont en cours pour évaluer la pertinence et la possibilité de créer un huitième APC, ainsi que </w:t>
            </w:r>
            <w:r w:rsidRPr="008F5A64">
              <w:rPr>
                <w:rFonts w:eastAsia="Times New Roman" w:cstheme="minorHAnsi"/>
                <w:color w:val="000000"/>
                <w:sz w:val="20"/>
                <w:szCs w:val="20"/>
                <w:lang w:val="fr-BE" w:eastAsia="fr-FR"/>
              </w:rPr>
              <w:lastRenderedPageBreak/>
              <w:t>l'extension d'un APC existant. Le comité de pilotage a décidé qu'un TGRN serait mis en place pour la zone du huitième</w:t>
            </w:r>
            <w:r>
              <w:rPr>
                <w:rFonts w:eastAsia="Times New Roman" w:cstheme="minorHAnsi"/>
                <w:color w:val="000000"/>
                <w:sz w:val="20"/>
                <w:szCs w:val="20"/>
                <w:lang w:val="fr-BE" w:eastAsia="fr-FR"/>
              </w:rPr>
              <w:t xml:space="preserve">. </w:t>
            </w:r>
            <w:r w:rsidR="00986C0F">
              <w:rPr>
                <w:rFonts w:eastAsia="Times New Roman" w:cstheme="minorHAnsi"/>
                <w:color w:val="000000"/>
                <w:sz w:val="20"/>
                <w:szCs w:val="20"/>
                <w:lang w:val="fr-BE" w:eastAsia="fr-FR"/>
              </w:rPr>
              <w:t xml:space="preserve">Il n’y des plans pour créer </w:t>
            </w:r>
            <w:r w:rsidR="00971B89">
              <w:rPr>
                <w:rFonts w:eastAsia="Times New Roman" w:cstheme="minorHAnsi"/>
                <w:color w:val="000000"/>
                <w:sz w:val="20"/>
                <w:szCs w:val="20"/>
                <w:lang w:val="fr-BE" w:eastAsia="fr-FR"/>
              </w:rPr>
              <w:t>plusieurs</w:t>
            </w:r>
            <w:r w:rsidR="00986C0F">
              <w:rPr>
                <w:rFonts w:eastAsia="Times New Roman" w:cstheme="minorHAnsi"/>
                <w:color w:val="000000"/>
                <w:sz w:val="20"/>
                <w:szCs w:val="20"/>
                <w:lang w:val="fr-BE" w:eastAsia="fr-FR"/>
              </w:rPr>
              <w:t xml:space="preserve"> APC, donc le cible de 12 APC ne s’</w:t>
            </w:r>
            <w:r w:rsidR="00971B89">
              <w:rPr>
                <w:rFonts w:eastAsia="Times New Roman" w:cstheme="minorHAnsi"/>
                <w:color w:val="000000"/>
                <w:sz w:val="20"/>
                <w:szCs w:val="20"/>
                <w:lang w:val="fr-BE" w:eastAsia="fr-FR"/>
              </w:rPr>
              <w:t>aboutira</w:t>
            </w:r>
            <w:r w:rsidR="00986C0F">
              <w:rPr>
                <w:rFonts w:eastAsia="Times New Roman" w:cstheme="minorHAnsi"/>
                <w:color w:val="000000"/>
                <w:sz w:val="20"/>
                <w:szCs w:val="20"/>
                <w:lang w:val="fr-BE" w:eastAsia="fr-FR"/>
              </w:rPr>
              <w:t xml:space="preserve"> pas. </w:t>
            </w:r>
          </w:p>
          <w:p w14:paraId="61D9F5C7" w14:textId="3A132BFB" w:rsidR="00F56F56" w:rsidRPr="00346FE6" w:rsidRDefault="00F56F56" w:rsidP="00CA44AE">
            <w:pPr>
              <w:spacing w:before="0" w:after="0"/>
              <w:rPr>
                <w:rFonts w:eastAsia="SimSun"/>
                <w:sz w:val="20"/>
                <w:szCs w:val="20"/>
                <w:lang w:val="fr-FR" w:eastAsia="zh-CN"/>
              </w:rPr>
            </w:pPr>
          </w:p>
        </w:tc>
        <w:tc>
          <w:tcPr>
            <w:tcW w:w="1134" w:type="dxa"/>
            <w:shd w:val="clear" w:color="auto" w:fill="FFFF00"/>
          </w:tcPr>
          <w:p w14:paraId="5F29DECC" w14:textId="2EC03EFD" w:rsidR="00F56F56" w:rsidRPr="00CA44AE" w:rsidRDefault="00F56F56" w:rsidP="00F56F56">
            <w:pPr>
              <w:keepNext/>
              <w:keepLines/>
              <w:spacing w:before="0" w:after="0" w:line="276" w:lineRule="auto"/>
              <w:outlineLvl w:val="5"/>
              <w:rPr>
                <w:rFonts w:eastAsia="Times New Roman" w:cstheme="minorHAnsi"/>
                <w:color w:val="000000"/>
                <w:sz w:val="20"/>
                <w:szCs w:val="20"/>
                <w:lang w:val="en-US" w:eastAsia="fr-FR"/>
              </w:rPr>
            </w:pPr>
            <w:r>
              <w:rPr>
                <w:rFonts w:eastAsia="Times New Roman" w:cstheme="minorHAnsi"/>
                <w:color w:val="000000"/>
                <w:sz w:val="20"/>
                <w:szCs w:val="20"/>
                <w:lang w:val="en-US" w:eastAsia="fr-FR"/>
              </w:rPr>
              <w:lastRenderedPageBreak/>
              <w:t>MS</w:t>
            </w:r>
          </w:p>
        </w:tc>
      </w:tr>
      <w:tr w:rsidR="00F56F56" w:rsidRPr="00D65F8E" w14:paraId="058F9C52" w14:textId="64551132" w:rsidTr="00CA44AE">
        <w:trPr>
          <w:gridAfter w:val="2"/>
          <w:wAfter w:w="4451" w:type="dxa"/>
        </w:trPr>
        <w:tc>
          <w:tcPr>
            <w:tcW w:w="0" w:type="dxa"/>
          </w:tcPr>
          <w:p w14:paraId="58F73932" w14:textId="77777777" w:rsidR="00F56F56" w:rsidRPr="008F5A64" w:rsidRDefault="00F56F56" w:rsidP="00F56F56">
            <w:pPr>
              <w:spacing w:before="0" w:after="0"/>
              <w:jc w:val="left"/>
              <w:rPr>
                <w:sz w:val="20"/>
                <w:szCs w:val="20"/>
              </w:rPr>
            </w:pPr>
            <w:r w:rsidRPr="008F5A64">
              <w:rPr>
                <w:sz w:val="20"/>
                <w:szCs w:val="20"/>
              </w:rPr>
              <w:t>12</w:t>
            </w:r>
          </w:p>
        </w:tc>
        <w:tc>
          <w:tcPr>
            <w:tcW w:w="0" w:type="dxa"/>
          </w:tcPr>
          <w:p w14:paraId="1F5A0644" w14:textId="77777777" w:rsidR="00F56F56" w:rsidRPr="008F5A64" w:rsidRDefault="00F56F56" w:rsidP="00F56F56">
            <w:pPr>
              <w:spacing w:before="0" w:after="0"/>
              <w:jc w:val="left"/>
              <w:rPr>
                <w:i/>
                <w:iCs/>
                <w:sz w:val="20"/>
                <w:szCs w:val="20"/>
                <w:lang w:val="fr-FR"/>
              </w:rPr>
            </w:pPr>
            <w:r w:rsidRPr="008F5A64">
              <w:rPr>
                <w:i/>
                <w:iCs/>
                <w:sz w:val="20"/>
                <w:szCs w:val="20"/>
                <w:lang w:val="fr-FR"/>
              </w:rPr>
              <w:t>[Les sous- indicateurs proposés peuvent être révisés dès le lancement :]</w:t>
            </w:r>
          </w:p>
          <w:p w14:paraId="5BAF13AD" w14:textId="77777777" w:rsidR="00F56F56" w:rsidRPr="008F5A64" w:rsidRDefault="00F56F56" w:rsidP="00F56F56">
            <w:pPr>
              <w:spacing w:before="0" w:after="0"/>
              <w:jc w:val="left"/>
              <w:rPr>
                <w:iCs/>
                <w:sz w:val="20"/>
                <w:szCs w:val="20"/>
                <w:lang w:val="fr-FR"/>
              </w:rPr>
            </w:pPr>
            <w:r w:rsidRPr="008F5A64">
              <w:rPr>
                <w:iCs/>
                <w:sz w:val="20"/>
                <w:szCs w:val="20"/>
                <w:lang w:val="fr-FR"/>
              </w:rPr>
              <w:t>Les aires/territoires désignés par les communautés locales comme devant être protégées sont incluses dans le PCGT</w:t>
            </w:r>
          </w:p>
          <w:p w14:paraId="6692BDCB" w14:textId="77777777" w:rsidR="00F56F56" w:rsidRPr="008F5A64" w:rsidRDefault="00F56F56" w:rsidP="00F56F56">
            <w:pPr>
              <w:spacing w:before="0" w:after="0"/>
              <w:jc w:val="left"/>
              <w:rPr>
                <w:rFonts w:eastAsia="SimSun"/>
                <w:sz w:val="20"/>
                <w:szCs w:val="20"/>
                <w:lang w:val="fr-FR" w:eastAsia="zh-CN"/>
              </w:rPr>
            </w:pPr>
          </w:p>
          <w:p w14:paraId="26880ECE" w14:textId="77777777" w:rsidR="00F56F56" w:rsidRPr="008F5A64" w:rsidRDefault="00F56F56" w:rsidP="00F56F56">
            <w:pPr>
              <w:spacing w:before="0" w:after="0"/>
              <w:jc w:val="left"/>
              <w:rPr>
                <w:rFonts w:eastAsia="SimSun"/>
                <w:sz w:val="20"/>
                <w:szCs w:val="20"/>
                <w:lang w:val="fr-FR" w:eastAsia="zh-CN"/>
              </w:rPr>
            </w:pPr>
            <w:r w:rsidRPr="008F5A64">
              <w:rPr>
                <w:iCs/>
                <w:sz w:val="20"/>
                <w:szCs w:val="20"/>
                <w:lang w:val="fr-FR"/>
              </w:rPr>
              <w:t>Existence de normes et règlementations communautaires aux fins de l’utilisation durable des ressources naturelles dans les territoires communautaires et les TDG</w:t>
            </w:r>
          </w:p>
          <w:p w14:paraId="4CACCA8E" w14:textId="77777777" w:rsidR="00F56F56" w:rsidRPr="008F5A64" w:rsidRDefault="00F56F56" w:rsidP="00F56F56">
            <w:pPr>
              <w:spacing w:before="0" w:after="0"/>
              <w:jc w:val="left"/>
              <w:rPr>
                <w:i/>
                <w:iCs/>
                <w:sz w:val="20"/>
                <w:szCs w:val="20"/>
                <w:lang w:val="fr-FR"/>
              </w:rPr>
            </w:pPr>
          </w:p>
          <w:p w14:paraId="1BE37BA3" w14:textId="77777777" w:rsidR="00F56F56" w:rsidRPr="008F5A64" w:rsidRDefault="00F56F56" w:rsidP="00F56F56">
            <w:pPr>
              <w:spacing w:before="0" w:after="0"/>
              <w:jc w:val="left"/>
              <w:rPr>
                <w:color w:val="FF0000"/>
                <w:sz w:val="20"/>
                <w:szCs w:val="20"/>
                <w:lang w:val="fr-FR"/>
              </w:rPr>
            </w:pPr>
            <w:r w:rsidRPr="008F5A64">
              <w:rPr>
                <w:i/>
                <w:iCs/>
                <w:sz w:val="20"/>
                <w:szCs w:val="20"/>
                <w:lang w:val="fr-FR"/>
              </w:rPr>
              <w:t xml:space="preserve">Les Dinas </w:t>
            </w:r>
            <w:r w:rsidRPr="008F5A64">
              <w:rPr>
                <w:iCs/>
                <w:sz w:val="20"/>
                <w:szCs w:val="20"/>
                <w:lang w:val="fr-FR"/>
              </w:rPr>
              <w:t>acquièrent un statut juridique prévoyant des mesures relatives à l’utilisation des ressources naturelles</w:t>
            </w:r>
          </w:p>
        </w:tc>
        <w:tc>
          <w:tcPr>
            <w:tcW w:w="0" w:type="dxa"/>
          </w:tcPr>
          <w:p w14:paraId="010ACBB9" w14:textId="77777777" w:rsidR="00F56F56" w:rsidRPr="008F5A64" w:rsidRDefault="00F56F56" w:rsidP="00F56F56">
            <w:pPr>
              <w:spacing w:before="0" w:after="0"/>
              <w:jc w:val="left"/>
              <w:rPr>
                <w:i/>
                <w:sz w:val="20"/>
                <w:szCs w:val="20"/>
                <w:lang w:val="fr-FR"/>
              </w:rPr>
            </w:pPr>
            <w:r w:rsidRPr="008F5A64">
              <w:rPr>
                <w:i/>
                <w:sz w:val="20"/>
                <w:szCs w:val="20"/>
                <w:lang w:val="fr-FR"/>
              </w:rPr>
              <w:t xml:space="preserve">[Le point de départ – doit être révisé dès le lancement </w:t>
            </w:r>
            <w:r w:rsidRPr="008F5A64">
              <w:rPr>
                <w:i/>
                <w:iCs/>
                <w:sz w:val="20"/>
                <w:szCs w:val="20"/>
                <w:lang w:val="fr-FR"/>
              </w:rPr>
              <w:t>:]</w:t>
            </w:r>
          </w:p>
          <w:p w14:paraId="163631D4" w14:textId="77777777" w:rsidR="00F56F56" w:rsidRPr="008F5A64" w:rsidRDefault="00F56F56" w:rsidP="00F56F56">
            <w:pPr>
              <w:spacing w:before="0" w:after="0"/>
              <w:jc w:val="left"/>
              <w:rPr>
                <w:sz w:val="20"/>
                <w:szCs w:val="20"/>
                <w:lang w:val="fr-FR"/>
              </w:rPr>
            </w:pPr>
          </w:p>
          <w:p w14:paraId="38225FA5" w14:textId="77777777" w:rsidR="00F56F56" w:rsidRPr="008F5A64" w:rsidRDefault="00F56F56" w:rsidP="00F56F56">
            <w:pPr>
              <w:spacing w:before="0" w:after="0"/>
              <w:jc w:val="left"/>
              <w:rPr>
                <w:sz w:val="20"/>
                <w:szCs w:val="20"/>
                <w:lang w:val="fr-FR"/>
              </w:rPr>
            </w:pPr>
            <w:r w:rsidRPr="008F5A64">
              <w:rPr>
                <w:sz w:val="20"/>
                <w:szCs w:val="20"/>
                <w:lang w:val="fr-FR"/>
              </w:rPr>
              <w:t xml:space="preserve">Actuellement certaines zones communautaires contiennent des aires protégées qui n’ont pas encore obtenu ce statut officiel. </w:t>
            </w:r>
          </w:p>
          <w:p w14:paraId="19BC02D1" w14:textId="77777777" w:rsidR="00F56F56" w:rsidRPr="008F5A64" w:rsidRDefault="00F56F56" w:rsidP="00F56F56">
            <w:pPr>
              <w:spacing w:before="0" w:after="0"/>
              <w:jc w:val="left"/>
              <w:rPr>
                <w:sz w:val="20"/>
                <w:szCs w:val="20"/>
                <w:lang w:val="fr-FR"/>
              </w:rPr>
            </w:pPr>
          </w:p>
          <w:p w14:paraId="5CC4BAD4" w14:textId="6BF206C9" w:rsidR="00F56F56" w:rsidRPr="008F5A64" w:rsidRDefault="00F56F56" w:rsidP="00F56F56">
            <w:pPr>
              <w:spacing w:before="0" w:after="0"/>
              <w:jc w:val="left"/>
              <w:rPr>
                <w:color w:val="FF0000"/>
                <w:sz w:val="20"/>
                <w:szCs w:val="20"/>
                <w:lang w:val="fr-FR"/>
              </w:rPr>
            </w:pPr>
            <w:proofErr w:type="gramStart"/>
            <w:r w:rsidRPr="008F5A64">
              <w:rPr>
                <w:sz w:val="20"/>
                <w:szCs w:val="20"/>
                <w:lang w:val="fr-FR"/>
              </w:rPr>
              <w:t>Suite à</w:t>
            </w:r>
            <w:proofErr w:type="gramEnd"/>
            <w:r w:rsidRPr="008F5A64">
              <w:rPr>
                <w:sz w:val="20"/>
                <w:szCs w:val="20"/>
                <w:lang w:val="fr-FR"/>
              </w:rPr>
              <w:t xml:space="preserve"> la sélection du site et au recensement des </w:t>
            </w:r>
            <w:r>
              <w:rPr>
                <w:sz w:val="20"/>
                <w:szCs w:val="20"/>
                <w:lang w:val="fr-FR"/>
              </w:rPr>
              <w:t>APC</w:t>
            </w:r>
            <w:r w:rsidRPr="008F5A64">
              <w:rPr>
                <w:sz w:val="20"/>
                <w:szCs w:val="20"/>
                <w:lang w:val="fr-FR"/>
              </w:rPr>
              <w:t xml:space="preserve">, une évaluation sera réalisée pour évaluer l’état d’avancement de la réglementation en ce qui concerne les ressources naturelles sur chaque site </w:t>
            </w:r>
          </w:p>
        </w:tc>
        <w:tc>
          <w:tcPr>
            <w:tcW w:w="0" w:type="dxa"/>
          </w:tcPr>
          <w:p w14:paraId="02404BFC" w14:textId="77777777" w:rsidR="00F56F56" w:rsidRPr="008F5A64" w:rsidRDefault="00F56F56" w:rsidP="00F56F56">
            <w:pPr>
              <w:keepLines/>
              <w:spacing w:before="0" w:after="0"/>
              <w:jc w:val="left"/>
              <w:rPr>
                <w:i/>
                <w:color w:val="FF0000"/>
                <w:sz w:val="20"/>
                <w:szCs w:val="20"/>
                <w:lang w:val="fr-FR"/>
              </w:rPr>
            </w:pPr>
            <w:r w:rsidRPr="008F5A64">
              <w:rPr>
                <w:i/>
                <w:sz w:val="20"/>
                <w:szCs w:val="20"/>
                <w:lang w:val="fr-FR"/>
              </w:rPr>
              <w:t>[Devra être déterminé au lancement]</w:t>
            </w:r>
          </w:p>
        </w:tc>
        <w:tc>
          <w:tcPr>
            <w:tcW w:w="2977" w:type="dxa"/>
          </w:tcPr>
          <w:p w14:paraId="3E27525D" w14:textId="537CAF0F" w:rsidR="00F56F56" w:rsidRPr="00CA44AE" w:rsidRDefault="00F56F56" w:rsidP="00F56F56">
            <w:pPr>
              <w:spacing w:before="0" w:after="0"/>
              <w:rPr>
                <w:sz w:val="20"/>
                <w:szCs w:val="20"/>
                <w:lang w:val="fr-FR"/>
              </w:rPr>
            </w:pPr>
            <w:r w:rsidRPr="00CA44AE">
              <w:rPr>
                <w:rFonts w:eastAsia="Times New Roman" w:cstheme="minorHAnsi"/>
                <w:color w:val="000000"/>
                <w:sz w:val="20"/>
                <w:szCs w:val="20"/>
                <w:lang w:val="fr-BE" w:eastAsia="fr-FR"/>
              </w:rPr>
              <w:t>Aucun contrat de TDG n’a encore obtenu le statut légal mais le décret de mise en œuvre des APC est passé en 2017. 13 Dina et 6 Conventions sociales intégrant les activités économiques durables, la gestion durable des ressources naturelles et la loi COAP ont été partagées avec les collectivités locales et les futurs gestionnaires des APC.</w:t>
            </w:r>
          </w:p>
        </w:tc>
        <w:tc>
          <w:tcPr>
            <w:tcW w:w="1134" w:type="dxa"/>
            <w:shd w:val="clear" w:color="auto" w:fill="FFFF00"/>
          </w:tcPr>
          <w:p w14:paraId="2E81AA3E" w14:textId="6ABBD6FD" w:rsidR="00F56F56" w:rsidRPr="008F47A6" w:rsidRDefault="00F56F56" w:rsidP="00F56F56">
            <w:pPr>
              <w:spacing w:before="0" w:after="0"/>
              <w:rPr>
                <w:rFonts w:eastAsia="Times New Roman" w:cstheme="minorHAnsi"/>
                <w:i/>
                <w:color w:val="000000"/>
                <w:sz w:val="20"/>
                <w:szCs w:val="20"/>
                <w:lang w:val="fr-BE" w:eastAsia="fr-FR"/>
              </w:rPr>
            </w:pPr>
            <w:r>
              <w:rPr>
                <w:rFonts w:eastAsia="Times New Roman" w:cstheme="minorHAnsi"/>
                <w:i/>
                <w:color w:val="000000"/>
                <w:sz w:val="20"/>
                <w:szCs w:val="20"/>
                <w:lang w:val="fr-BE" w:eastAsia="fr-FR"/>
              </w:rPr>
              <w:t>MU</w:t>
            </w:r>
          </w:p>
        </w:tc>
      </w:tr>
      <w:tr w:rsidR="00F56F56" w:rsidRPr="00D65F8E" w14:paraId="4C78950B" w14:textId="3F6CE8C3" w:rsidTr="00CC02B8">
        <w:trPr>
          <w:gridAfter w:val="2"/>
          <w:wAfter w:w="4451" w:type="dxa"/>
        </w:trPr>
        <w:tc>
          <w:tcPr>
            <w:tcW w:w="0" w:type="dxa"/>
          </w:tcPr>
          <w:p w14:paraId="716CA3CB" w14:textId="77777777" w:rsidR="00F56F56" w:rsidRPr="008F5A64" w:rsidRDefault="00F56F56" w:rsidP="00F56F56">
            <w:pPr>
              <w:spacing w:before="0" w:after="0"/>
              <w:jc w:val="left"/>
              <w:rPr>
                <w:sz w:val="20"/>
                <w:szCs w:val="20"/>
              </w:rPr>
            </w:pPr>
            <w:r w:rsidRPr="008F5A64">
              <w:rPr>
                <w:sz w:val="20"/>
                <w:szCs w:val="20"/>
              </w:rPr>
              <w:t>13</w:t>
            </w:r>
          </w:p>
        </w:tc>
        <w:tc>
          <w:tcPr>
            <w:tcW w:w="0" w:type="dxa"/>
          </w:tcPr>
          <w:p w14:paraId="6FD490D0" w14:textId="77777777" w:rsidR="00F56F56" w:rsidRPr="008F5A64" w:rsidRDefault="00F56F56" w:rsidP="00F56F56">
            <w:pPr>
              <w:spacing w:before="0" w:after="0"/>
              <w:jc w:val="left"/>
              <w:rPr>
                <w:iCs/>
                <w:sz w:val="20"/>
                <w:szCs w:val="20"/>
                <w:lang w:val="fr-FR"/>
              </w:rPr>
            </w:pPr>
            <w:r w:rsidRPr="008F5A64">
              <w:rPr>
                <w:sz w:val="20"/>
                <w:szCs w:val="20"/>
                <w:lang w:val="fr-FR"/>
              </w:rPr>
              <w:t>(a) Surveiller la mise en œuvre des plans de gestion communautaires figurant dans les TDG</w:t>
            </w:r>
          </w:p>
          <w:p w14:paraId="48C47552" w14:textId="77777777" w:rsidR="00F56F56" w:rsidRPr="008F5A64" w:rsidRDefault="00F56F56" w:rsidP="00F56F56">
            <w:pPr>
              <w:spacing w:before="0" w:after="0"/>
              <w:jc w:val="left"/>
              <w:rPr>
                <w:iCs/>
                <w:sz w:val="20"/>
                <w:szCs w:val="20"/>
                <w:lang w:val="fr-FR"/>
              </w:rPr>
            </w:pPr>
          </w:p>
          <w:p w14:paraId="33D5AB13" w14:textId="77777777" w:rsidR="00F56F56" w:rsidRPr="008F5A64" w:rsidRDefault="00F56F56" w:rsidP="00F56F56">
            <w:pPr>
              <w:spacing w:before="0" w:after="0"/>
              <w:jc w:val="left"/>
              <w:rPr>
                <w:iCs/>
                <w:sz w:val="20"/>
                <w:szCs w:val="20"/>
                <w:lang w:val="fr-FR"/>
              </w:rPr>
            </w:pPr>
            <w:r w:rsidRPr="008F5A64">
              <w:rPr>
                <w:sz w:val="20"/>
                <w:szCs w:val="20"/>
                <w:lang w:val="fr-FR"/>
              </w:rPr>
              <w:t xml:space="preserve">(b) Taux de règlement des conflits </w:t>
            </w:r>
          </w:p>
          <w:p w14:paraId="2710BB0A" w14:textId="77777777" w:rsidR="00F56F56" w:rsidRPr="008F5A64" w:rsidRDefault="00F56F56" w:rsidP="00F56F56">
            <w:pPr>
              <w:spacing w:before="0" w:after="0"/>
              <w:jc w:val="left"/>
              <w:rPr>
                <w:i/>
                <w:color w:val="FF0000"/>
                <w:sz w:val="20"/>
                <w:szCs w:val="20"/>
                <w:lang w:val="fr-FR"/>
              </w:rPr>
            </w:pPr>
            <w:r w:rsidRPr="008F5A64">
              <w:rPr>
                <w:sz w:val="20"/>
                <w:szCs w:val="20"/>
                <w:lang w:val="fr-FR"/>
              </w:rPr>
              <w:t xml:space="preserve">Mise en œuvre du suivi écologique participative </w:t>
            </w:r>
          </w:p>
        </w:tc>
        <w:tc>
          <w:tcPr>
            <w:tcW w:w="0" w:type="dxa"/>
          </w:tcPr>
          <w:p w14:paraId="47E43EE1"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 xml:space="preserve">(a) Une évaluation des capacités des </w:t>
            </w:r>
            <w:r w:rsidRPr="008F5A64">
              <w:rPr>
                <w:sz w:val="20"/>
                <w:szCs w:val="20"/>
                <w:lang w:val="fr-FR"/>
              </w:rPr>
              <w:t xml:space="preserve">communautés et des </w:t>
            </w:r>
            <w:r w:rsidRPr="008F5A64">
              <w:rPr>
                <w:rFonts w:eastAsia="SimSun"/>
                <w:sz w:val="20"/>
                <w:szCs w:val="20"/>
                <w:lang w:val="fr-FR" w:eastAsia="zh-CN"/>
              </w:rPr>
              <w:t>communautés de base sera réalisée</w:t>
            </w:r>
          </w:p>
          <w:p w14:paraId="1A4D2C2F" w14:textId="77777777" w:rsidR="00F56F56" w:rsidRPr="008F5A64" w:rsidRDefault="00F56F56" w:rsidP="00F56F56">
            <w:pPr>
              <w:spacing w:before="0" w:after="0"/>
              <w:jc w:val="left"/>
              <w:rPr>
                <w:rFonts w:eastAsia="SimSun"/>
                <w:sz w:val="20"/>
                <w:szCs w:val="20"/>
                <w:lang w:val="fr-FR" w:eastAsia="zh-CN"/>
              </w:rPr>
            </w:pPr>
          </w:p>
          <w:p w14:paraId="1DA4D6E0" w14:textId="77777777" w:rsidR="00F56F56" w:rsidRPr="008F5A64" w:rsidRDefault="00F56F56" w:rsidP="00F56F56">
            <w:pPr>
              <w:spacing w:before="0" w:after="0"/>
              <w:jc w:val="left"/>
              <w:rPr>
                <w:color w:val="FF0000"/>
                <w:sz w:val="20"/>
                <w:szCs w:val="20"/>
                <w:lang w:val="fr-FR"/>
              </w:rPr>
            </w:pPr>
            <w:r w:rsidRPr="008F5A64">
              <w:rPr>
                <w:rFonts w:eastAsia="SimSun"/>
                <w:sz w:val="20"/>
                <w:szCs w:val="20"/>
                <w:lang w:val="fr-FR" w:eastAsia="zh-CN"/>
              </w:rPr>
              <w:t xml:space="preserve">(b) Gestion des évaluations des TDG et des Dinas existantes grâce aux composantes </w:t>
            </w:r>
            <w:proofErr w:type="gramStart"/>
            <w:r w:rsidRPr="008F5A64">
              <w:rPr>
                <w:rFonts w:eastAsia="SimSun"/>
                <w:sz w:val="20"/>
                <w:szCs w:val="20"/>
                <w:lang w:val="fr-FR" w:eastAsia="zh-CN"/>
              </w:rPr>
              <w:t>biodiversité lancées</w:t>
            </w:r>
            <w:proofErr w:type="gramEnd"/>
            <w:r w:rsidRPr="008F5A64">
              <w:rPr>
                <w:rFonts w:eastAsia="SimSun"/>
                <w:sz w:val="20"/>
                <w:szCs w:val="20"/>
                <w:lang w:val="fr-FR" w:eastAsia="zh-CN"/>
              </w:rPr>
              <w:t xml:space="preserve"> au début du projet </w:t>
            </w:r>
          </w:p>
        </w:tc>
        <w:tc>
          <w:tcPr>
            <w:tcW w:w="0" w:type="dxa"/>
          </w:tcPr>
          <w:p w14:paraId="57D41402" w14:textId="77777777" w:rsidR="00F56F56" w:rsidRPr="008F5A64" w:rsidRDefault="00F56F56" w:rsidP="00F56F56">
            <w:pPr>
              <w:spacing w:before="0" w:after="0"/>
              <w:jc w:val="left"/>
              <w:rPr>
                <w:rFonts w:eastAsia="SimSun"/>
                <w:sz w:val="20"/>
                <w:szCs w:val="20"/>
                <w:lang w:val="fr-FR" w:eastAsia="zh-CN"/>
              </w:rPr>
            </w:pPr>
            <w:r w:rsidRPr="008F5A64">
              <w:rPr>
                <w:rFonts w:eastAsia="SimSun"/>
                <w:sz w:val="20"/>
                <w:szCs w:val="20"/>
                <w:lang w:val="fr-FR" w:eastAsia="zh-CN"/>
              </w:rPr>
              <w:t xml:space="preserve">(a) 90% des contrats TDG sont gérés efficacement </w:t>
            </w:r>
          </w:p>
          <w:p w14:paraId="7E107940" w14:textId="77777777" w:rsidR="00F56F56" w:rsidRPr="008F5A64" w:rsidRDefault="00F56F56" w:rsidP="00F56F56">
            <w:pPr>
              <w:keepLines/>
              <w:spacing w:before="0" w:after="0"/>
              <w:jc w:val="left"/>
              <w:rPr>
                <w:rFonts w:eastAsia="SimSun"/>
                <w:sz w:val="20"/>
                <w:szCs w:val="20"/>
                <w:lang w:val="fr-FR" w:eastAsia="zh-CN"/>
              </w:rPr>
            </w:pPr>
          </w:p>
          <w:p w14:paraId="59087500" w14:textId="77777777" w:rsidR="00F56F56" w:rsidRPr="008F5A64" w:rsidRDefault="00F56F56" w:rsidP="00F56F56">
            <w:pPr>
              <w:keepLines/>
              <w:spacing w:before="0" w:after="0"/>
              <w:jc w:val="left"/>
              <w:rPr>
                <w:rFonts w:eastAsia="SimSun"/>
                <w:sz w:val="20"/>
                <w:szCs w:val="20"/>
                <w:lang w:val="fr-FR" w:eastAsia="zh-CN"/>
              </w:rPr>
            </w:pPr>
          </w:p>
          <w:p w14:paraId="347D5871" w14:textId="77777777" w:rsidR="00F56F56" w:rsidRPr="008F5A64" w:rsidRDefault="00F56F56" w:rsidP="00F56F56">
            <w:pPr>
              <w:keepLines/>
              <w:spacing w:before="0" w:after="0"/>
              <w:jc w:val="left"/>
              <w:rPr>
                <w:color w:val="FF0000"/>
                <w:sz w:val="20"/>
                <w:szCs w:val="20"/>
                <w:lang w:val="fr-FR"/>
              </w:rPr>
            </w:pPr>
            <w:r w:rsidRPr="008F5A64">
              <w:rPr>
                <w:rFonts w:eastAsia="SimSun"/>
                <w:sz w:val="20"/>
                <w:szCs w:val="20"/>
                <w:lang w:val="fr-FR" w:eastAsia="zh-CN"/>
              </w:rPr>
              <w:t>(b) 100% du suivi écologique communautaire est fonctionnel</w:t>
            </w:r>
          </w:p>
        </w:tc>
        <w:tc>
          <w:tcPr>
            <w:tcW w:w="2977" w:type="dxa"/>
          </w:tcPr>
          <w:p w14:paraId="047D0D6C" w14:textId="083EB2EE" w:rsidR="00F56F56" w:rsidRPr="00CA44AE" w:rsidRDefault="00F56F56" w:rsidP="003270CB">
            <w:pPr>
              <w:keepNext/>
              <w:keepLines/>
              <w:spacing w:before="0" w:after="0" w:line="276" w:lineRule="auto"/>
              <w:outlineLvl w:val="5"/>
              <w:rPr>
                <w:rFonts w:eastAsia="SimSun"/>
                <w:sz w:val="20"/>
                <w:szCs w:val="20"/>
                <w:lang w:val="fr-BE" w:eastAsia="zh-CN"/>
              </w:rPr>
            </w:pPr>
            <w:r w:rsidRPr="00CA44AE">
              <w:rPr>
                <w:rFonts w:eastAsia="Times New Roman" w:cstheme="minorHAnsi"/>
                <w:color w:val="000000"/>
                <w:sz w:val="20"/>
                <w:szCs w:val="20"/>
                <w:lang w:val="fr-BE" w:eastAsia="fr-FR"/>
              </w:rPr>
              <w:t>Le renforcement des communautés locales est en cours. Des patrouilles ont été mises en place dans les sept APC</w:t>
            </w:r>
            <w:r w:rsidR="003270CB" w:rsidRPr="00CA44AE">
              <w:rPr>
                <w:rFonts w:eastAsia="Times New Roman" w:cstheme="minorHAnsi"/>
                <w:color w:val="000000"/>
                <w:sz w:val="20"/>
                <w:szCs w:val="20"/>
                <w:lang w:val="fr-BE" w:eastAsia="fr-FR"/>
              </w:rPr>
              <w:t xml:space="preserve">, toutefois les efforts sont à faire en termes de traitement des données récoltées lors de ces patrouilles. </w:t>
            </w:r>
          </w:p>
        </w:tc>
        <w:tc>
          <w:tcPr>
            <w:tcW w:w="1134" w:type="dxa"/>
            <w:shd w:val="clear" w:color="auto" w:fill="76923C" w:themeFill="accent3" w:themeFillShade="BF"/>
          </w:tcPr>
          <w:p w14:paraId="502A4B51" w14:textId="1FE2C27C" w:rsidR="00F56F56" w:rsidRDefault="00F56F56" w:rsidP="00F56F56">
            <w:pPr>
              <w:spacing w:before="0" w:after="0"/>
              <w:rPr>
                <w:rFonts w:eastAsia="Times New Roman" w:cstheme="minorHAnsi"/>
                <w:i/>
                <w:color w:val="000000"/>
                <w:sz w:val="20"/>
                <w:szCs w:val="20"/>
                <w:lang w:val="fr-BE" w:eastAsia="fr-FR"/>
              </w:rPr>
            </w:pPr>
            <w:r>
              <w:rPr>
                <w:rFonts w:eastAsia="Times New Roman" w:cstheme="minorHAnsi"/>
                <w:i/>
                <w:color w:val="000000"/>
                <w:sz w:val="20"/>
                <w:szCs w:val="20"/>
                <w:lang w:val="fr-BE" w:eastAsia="fr-FR"/>
              </w:rPr>
              <w:t>S</w:t>
            </w:r>
          </w:p>
        </w:tc>
      </w:tr>
      <w:tr w:rsidR="00F56F56" w:rsidRPr="008F5A64" w14:paraId="7643D149" w14:textId="01985166" w:rsidTr="00CA44AE">
        <w:trPr>
          <w:gridAfter w:val="2"/>
          <w:wAfter w:w="4451" w:type="dxa"/>
        </w:trPr>
        <w:tc>
          <w:tcPr>
            <w:tcW w:w="0" w:type="dxa"/>
          </w:tcPr>
          <w:p w14:paraId="48FA924C" w14:textId="71341F09" w:rsidR="00F56F56" w:rsidRPr="008F5A64" w:rsidRDefault="00F56F56" w:rsidP="00F56F56">
            <w:pPr>
              <w:spacing w:before="0" w:after="0"/>
              <w:jc w:val="left"/>
              <w:rPr>
                <w:sz w:val="20"/>
                <w:szCs w:val="20"/>
              </w:rPr>
            </w:pPr>
            <w:r w:rsidRPr="008F5A64">
              <w:rPr>
                <w:sz w:val="20"/>
                <w:szCs w:val="20"/>
              </w:rPr>
              <w:t>1</w:t>
            </w:r>
            <w:r>
              <w:rPr>
                <w:sz w:val="20"/>
                <w:szCs w:val="20"/>
              </w:rPr>
              <w:t>4</w:t>
            </w:r>
          </w:p>
        </w:tc>
        <w:tc>
          <w:tcPr>
            <w:tcW w:w="0" w:type="dxa"/>
          </w:tcPr>
          <w:p w14:paraId="4FCB5C81" w14:textId="77777777" w:rsidR="00F56F56" w:rsidRPr="008F5A64" w:rsidRDefault="00F56F56" w:rsidP="00F56F56">
            <w:pPr>
              <w:spacing w:before="0" w:after="0"/>
              <w:jc w:val="left"/>
              <w:rPr>
                <w:sz w:val="20"/>
                <w:szCs w:val="20"/>
                <w:lang w:val="fr-FR"/>
              </w:rPr>
            </w:pPr>
            <w:r w:rsidRPr="008F5A64">
              <w:rPr>
                <w:sz w:val="20"/>
                <w:szCs w:val="20"/>
                <w:lang w:val="fr-FR"/>
              </w:rPr>
              <w:t>Améliorer le niveau de vie de de la population rurale</w:t>
            </w:r>
          </w:p>
          <w:p w14:paraId="47A8941C" w14:textId="77777777" w:rsidR="00F56F56" w:rsidRPr="008F5A64" w:rsidRDefault="00F56F56" w:rsidP="00F56F56">
            <w:pPr>
              <w:spacing w:before="0" w:after="0"/>
              <w:jc w:val="left"/>
              <w:rPr>
                <w:sz w:val="20"/>
                <w:szCs w:val="20"/>
                <w:lang w:val="fr-FR"/>
              </w:rPr>
            </w:pPr>
          </w:p>
          <w:p w14:paraId="2946C872" w14:textId="77777777" w:rsidR="00F56F56" w:rsidRPr="008F5A64" w:rsidRDefault="00F56F56" w:rsidP="00F56F56">
            <w:pPr>
              <w:spacing w:before="0" w:after="0"/>
              <w:jc w:val="left"/>
              <w:rPr>
                <w:i/>
                <w:sz w:val="20"/>
                <w:szCs w:val="20"/>
                <w:lang w:val="fr-FR"/>
              </w:rPr>
            </w:pPr>
            <w:r w:rsidRPr="008F5A64">
              <w:rPr>
                <w:i/>
                <w:sz w:val="20"/>
                <w:szCs w:val="20"/>
                <w:lang w:val="fr-FR"/>
              </w:rPr>
              <w:lastRenderedPageBreak/>
              <w:t>[Les indicateurs exacts concernant les moyens de subsistance seront contrôlés, ils devront être déterminés au lancement du projet]</w:t>
            </w:r>
          </w:p>
        </w:tc>
        <w:tc>
          <w:tcPr>
            <w:tcW w:w="0" w:type="dxa"/>
          </w:tcPr>
          <w:p w14:paraId="1B8481D3" w14:textId="77777777" w:rsidR="00F56F56" w:rsidRPr="008F5A64" w:rsidRDefault="00F56F56" w:rsidP="00F56F56">
            <w:pPr>
              <w:spacing w:before="0" w:after="0"/>
              <w:jc w:val="left"/>
              <w:rPr>
                <w:sz w:val="20"/>
                <w:szCs w:val="20"/>
                <w:lang w:val="fr-FR"/>
              </w:rPr>
            </w:pPr>
            <w:r w:rsidRPr="008F5A64">
              <w:rPr>
                <w:i/>
                <w:sz w:val="20"/>
                <w:szCs w:val="20"/>
                <w:lang w:val="fr-FR"/>
              </w:rPr>
              <w:lastRenderedPageBreak/>
              <w:t>[Les valeurs de départ devront être déterminées au lancement du projet]</w:t>
            </w:r>
          </w:p>
        </w:tc>
        <w:tc>
          <w:tcPr>
            <w:tcW w:w="0" w:type="dxa"/>
          </w:tcPr>
          <w:p w14:paraId="45754F46" w14:textId="77777777" w:rsidR="00F56F56" w:rsidRPr="008F5A64" w:rsidRDefault="00F56F56" w:rsidP="00F56F56">
            <w:pPr>
              <w:spacing w:before="0" w:after="0"/>
              <w:jc w:val="left"/>
              <w:rPr>
                <w:i/>
                <w:sz w:val="20"/>
                <w:szCs w:val="20"/>
                <w:lang w:val="fr-FR"/>
              </w:rPr>
            </w:pPr>
            <w:r w:rsidRPr="008F5A64">
              <w:rPr>
                <w:i/>
                <w:sz w:val="20"/>
                <w:szCs w:val="20"/>
                <w:lang w:val="fr-FR"/>
              </w:rPr>
              <w:t>[Proposé à titre indicatif]</w:t>
            </w:r>
          </w:p>
          <w:p w14:paraId="406EFF2E" w14:textId="77777777" w:rsidR="00F56F56" w:rsidRPr="008F5A64" w:rsidRDefault="00F56F56" w:rsidP="00F56F56">
            <w:pPr>
              <w:spacing w:before="0" w:after="0"/>
              <w:jc w:val="left"/>
              <w:rPr>
                <w:i/>
                <w:sz w:val="20"/>
                <w:szCs w:val="20"/>
                <w:lang w:val="fr-FR"/>
              </w:rPr>
            </w:pPr>
          </w:p>
          <w:p w14:paraId="7D405DE0" w14:textId="77777777" w:rsidR="00F56F56" w:rsidRPr="008F5A64" w:rsidRDefault="00F56F56" w:rsidP="00F56F56">
            <w:pPr>
              <w:spacing w:before="0" w:after="0"/>
              <w:jc w:val="left"/>
              <w:rPr>
                <w:sz w:val="20"/>
                <w:szCs w:val="20"/>
                <w:lang w:val="fr-FR"/>
              </w:rPr>
            </w:pPr>
            <w:r w:rsidRPr="008F5A64">
              <w:rPr>
                <w:sz w:val="20"/>
                <w:szCs w:val="20"/>
                <w:lang w:val="fr-FR"/>
              </w:rPr>
              <w:t xml:space="preserve">15% de croissance des indicateurs concernant les moyens de </w:t>
            </w:r>
            <w:r w:rsidRPr="008F5A64">
              <w:rPr>
                <w:sz w:val="20"/>
                <w:szCs w:val="20"/>
                <w:lang w:val="fr-FR"/>
              </w:rPr>
              <w:lastRenderedPageBreak/>
              <w:t>subsistance essentiels tels que le revenu réel, le pouvoir d’achat des ménages et les modes de consommation spécifiques des ménages qui renseignent sur le niveau de vie</w:t>
            </w:r>
          </w:p>
        </w:tc>
        <w:tc>
          <w:tcPr>
            <w:tcW w:w="2977" w:type="dxa"/>
            <w:vAlign w:val="top"/>
          </w:tcPr>
          <w:p w14:paraId="231EF904" w14:textId="393E811B" w:rsidR="00F56F56" w:rsidRPr="00986C0F" w:rsidRDefault="00F56F56" w:rsidP="00F56F56">
            <w:pPr>
              <w:spacing w:before="0" w:after="0"/>
              <w:jc w:val="left"/>
              <w:rPr>
                <w:iCs/>
                <w:sz w:val="20"/>
                <w:szCs w:val="20"/>
                <w:lang w:val="fr-FR"/>
              </w:rPr>
            </w:pPr>
            <w:r w:rsidRPr="00CA44AE">
              <w:rPr>
                <w:rFonts w:eastAsia="Times New Roman" w:cstheme="minorHAnsi"/>
                <w:color w:val="000000"/>
                <w:sz w:val="20"/>
                <w:szCs w:val="20"/>
                <w:lang w:val="fr-BE" w:eastAsia="fr-FR"/>
              </w:rPr>
              <w:lastRenderedPageBreak/>
              <w:t xml:space="preserve">Impossible à évaluer puisque l’indicateur et la </w:t>
            </w:r>
            <w:proofErr w:type="spellStart"/>
            <w:r w:rsidRPr="00CA44AE">
              <w:rPr>
                <w:rFonts w:eastAsia="Times New Roman" w:cstheme="minorHAnsi"/>
                <w:color w:val="000000"/>
                <w:sz w:val="20"/>
                <w:szCs w:val="20"/>
                <w:lang w:val="fr-BE" w:eastAsia="fr-FR"/>
              </w:rPr>
              <w:t>baseline</w:t>
            </w:r>
            <w:proofErr w:type="spellEnd"/>
            <w:r w:rsidRPr="00CA44AE">
              <w:rPr>
                <w:rFonts w:eastAsia="Times New Roman" w:cstheme="minorHAnsi"/>
                <w:color w:val="000000"/>
                <w:sz w:val="20"/>
                <w:szCs w:val="20"/>
                <w:lang w:val="fr-BE" w:eastAsia="fr-FR"/>
              </w:rPr>
              <w:t xml:space="preserve"> restent à définir</w:t>
            </w:r>
          </w:p>
        </w:tc>
        <w:tc>
          <w:tcPr>
            <w:tcW w:w="1134" w:type="dxa"/>
            <w:shd w:val="clear" w:color="auto" w:fill="BFBFBF" w:themeFill="background1" w:themeFillShade="BF"/>
          </w:tcPr>
          <w:p w14:paraId="4B7769E8" w14:textId="3D8D2154" w:rsidR="00F56F56" w:rsidRPr="008F47A6" w:rsidRDefault="00F56F56" w:rsidP="00F56F56">
            <w:pPr>
              <w:spacing w:before="0" w:after="0"/>
              <w:jc w:val="left"/>
              <w:rPr>
                <w:rFonts w:eastAsia="Times New Roman" w:cstheme="minorHAnsi"/>
                <w:i/>
                <w:color w:val="000000"/>
                <w:sz w:val="20"/>
                <w:szCs w:val="20"/>
                <w:lang w:val="fr-BE" w:eastAsia="fr-FR"/>
              </w:rPr>
            </w:pPr>
            <w:r>
              <w:rPr>
                <w:rFonts w:eastAsia="Times New Roman" w:cstheme="minorHAnsi"/>
                <w:i/>
                <w:color w:val="000000"/>
                <w:sz w:val="20"/>
                <w:szCs w:val="20"/>
                <w:lang w:val="fr-BE" w:eastAsia="fr-FR"/>
              </w:rPr>
              <w:t>NA</w:t>
            </w:r>
          </w:p>
        </w:tc>
      </w:tr>
    </w:tbl>
    <w:p w14:paraId="27F50954" w14:textId="06D90D4D" w:rsidR="004826B2" w:rsidRPr="00CA44AE" w:rsidRDefault="004826B2">
      <w:pPr>
        <w:rPr>
          <w:lang w:val="fr-FR"/>
        </w:rPr>
      </w:pPr>
    </w:p>
    <w:p w14:paraId="711ECF59" w14:textId="77777777" w:rsidR="00B727DB" w:rsidRDefault="00B727DB" w:rsidP="005C08B1">
      <w:pPr>
        <w:autoSpaceDE w:val="0"/>
        <w:autoSpaceDN w:val="0"/>
        <w:adjustRightInd w:val="0"/>
        <w:spacing w:before="0" w:after="0" w:line="240" w:lineRule="auto"/>
        <w:jc w:val="left"/>
        <w:rPr>
          <w:lang w:val="fr-FR"/>
        </w:rPr>
        <w:sectPr w:rsidR="00B727DB" w:rsidSect="008F47A6">
          <w:pgSz w:w="16838" w:h="11906" w:orient="landscape" w:code="9"/>
          <w:pgMar w:top="1440" w:right="1440" w:bottom="1440" w:left="1440" w:header="576" w:footer="432" w:gutter="0"/>
          <w:cols w:space="720"/>
          <w:docGrid w:linePitch="360"/>
        </w:sectPr>
      </w:pPr>
    </w:p>
    <w:p w14:paraId="68E3E7AB" w14:textId="408CB594" w:rsidR="00B727DB" w:rsidRPr="009A59FC" w:rsidRDefault="00B727DB" w:rsidP="005C08B1">
      <w:pPr>
        <w:autoSpaceDE w:val="0"/>
        <w:autoSpaceDN w:val="0"/>
        <w:adjustRightInd w:val="0"/>
        <w:spacing w:before="0" w:after="0" w:line="240" w:lineRule="auto"/>
        <w:jc w:val="left"/>
        <w:rPr>
          <w:lang w:val="fr-FR"/>
        </w:rPr>
      </w:pPr>
    </w:p>
    <w:p w14:paraId="34BC6A81" w14:textId="55BCB148" w:rsidR="005C550F" w:rsidRDefault="005C550F" w:rsidP="005C550F">
      <w:pPr>
        <w:pStyle w:val="Titre3"/>
        <w:rPr>
          <w:lang w:val="fr-FR"/>
        </w:rPr>
      </w:pPr>
      <w:r w:rsidRPr="005C550F">
        <w:rPr>
          <w:lang w:val="fr-FR"/>
        </w:rPr>
        <w:t xml:space="preserve">Obstacles entravant encore la réalisation de l’objectif du projet </w:t>
      </w:r>
    </w:p>
    <w:p w14:paraId="254207A1" w14:textId="35ABCA6A" w:rsidR="00D85DDD" w:rsidRPr="008F47A6" w:rsidRDefault="00D85DDD" w:rsidP="00D85DDD">
      <w:pPr>
        <w:rPr>
          <w:i/>
          <w:iCs/>
          <w:szCs w:val="24"/>
          <w:lang w:val="fr-FR"/>
        </w:rPr>
      </w:pPr>
      <w:r w:rsidRPr="008F47A6">
        <w:rPr>
          <w:i/>
          <w:iCs/>
          <w:szCs w:val="24"/>
          <w:lang w:val="fr-FR"/>
        </w:rPr>
        <w:t>Q : Quels sont les principaux obstacles à surmonter et les principales opportunités à exploiter en fonction des progrès actuels vers les résultats ?</w:t>
      </w:r>
    </w:p>
    <w:p w14:paraId="1A81138F" w14:textId="3B871514" w:rsidR="00801272" w:rsidRPr="00D84524" w:rsidRDefault="00B57C51" w:rsidP="00D85DDD">
      <w:pPr>
        <w:rPr>
          <w:lang w:val="fr-FR"/>
        </w:rPr>
      </w:pPr>
      <w:r w:rsidRPr="00D84524">
        <w:rPr>
          <w:lang w:val="fr-FR"/>
        </w:rPr>
        <w:t xml:space="preserve">Les principaux obstacles aux progrès actuels sont de plusieurs ordres : </w:t>
      </w:r>
    </w:p>
    <w:p w14:paraId="359CB14D" w14:textId="5B345D61" w:rsidR="009B61D0" w:rsidRDefault="00B57C51">
      <w:pPr>
        <w:pStyle w:val="Paragraphedeliste"/>
        <w:numPr>
          <w:ilvl w:val="0"/>
          <w:numId w:val="14"/>
        </w:numPr>
        <w:rPr>
          <w:lang w:val="fr-FR"/>
        </w:rPr>
      </w:pPr>
      <w:r w:rsidRPr="00D84524">
        <w:rPr>
          <w:u w:val="single"/>
        </w:rPr>
        <w:t>Administratifs</w:t>
      </w:r>
      <w:r w:rsidRPr="00D84524">
        <w:t xml:space="preserve"> : Les entretiens avec plusieurs parties prenantes ainsi que l’analyse des </w:t>
      </w:r>
      <w:r w:rsidR="006C3AB9" w:rsidRPr="00D84524">
        <w:t>comptes-rendus</w:t>
      </w:r>
      <w:r w:rsidRPr="00D84524">
        <w:t xml:space="preserve"> de </w:t>
      </w:r>
      <w:proofErr w:type="spellStart"/>
      <w:r w:rsidRPr="00D84524">
        <w:t>CoPil</w:t>
      </w:r>
      <w:proofErr w:type="spellEnd"/>
      <w:r w:rsidRPr="00D84524">
        <w:t xml:space="preserve"> ont permis de mettre en exergue une forme de lourdeur administrative qui freine la mise en œuvre. En effet, </w:t>
      </w:r>
      <w:r w:rsidR="000066C4" w:rsidRPr="00D84524">
        <w:t xml:space="preserve">l’UCP </w:t>
      </w:r>
      <w:r w:rsidR="005E55D7" w:rsidRPr="00D84524">
        <w:t xml:space="preserve">à </w:t>
      </w:r>
      <w:r w:rsidR="00B32DA2" w:rsidRPr="00D84524">
        <w:t>Tuléar</w:t>
      </w:r>
      <w:r w:rsidR="00F61595" w:rsidRPr="00D84524">
        <w:t xml:space="preserve"> doit se référer au bureau national du PNUD pour de nombreuses procédures, y compris pour toutes les demandes de dépenses</w:t>
      </w:r>
      <w:r w:rsidR="005E55D7" w:rsidRPr="00D84524">
        <w:t>, bons de commande, paiement, virement</w:t>
      </w:r>
      <w:r w:rsidR="005801A7" w:rsidRPr="00D84524">
        <w:t xml:space="preserve"> et</w:t>
      </w:r>
      <w:r w:rsidR="005E55D7" w:rsidRPr="00D84524">
        <w:t xml:space="preserve"> comparaison de prix</w:t>
      </w:r>
      <w:r w:rsidR="005E55D7" w:rsidRPr="00D84524">
        <w:rPr>
          <w:rStyle w:val="Appelnotedebasdep"/>
        </w:rPr>
        <w:footnoteReference w:id="20"/>
      </w:r>
      <w:r w:rsidR="005E55D7" w:rsidRPr="00D84524">
        <w:t>. L’</w:t>
      </w:r>
      <w:r w:rsidR="001C23BE" w:rsidRPr="00D84524">
        <w:t>assistant administratif et financier (</w:t>
      </w:r>
      <w:r w:rsidR="005E55D7" w:rsidRPr="00D84524">
        <w:t>AAF</w:t>
      </w:r>
      <w:r w:rsidR="001C23BE" w:rsidRPr="00D84524">
        <w:t>)</w:t>
      </w:r>
      <w:r w:rsidR="005E55D7" w:rsidRPr="00D84524">
        <w:t xml:space="preserve"> n’a</w:t>
      </w:r>
      <w:r w:rsidR="001C23BE" w:rsidRPr="00D84524">
        <w:t xml:space="preserve"> donc</w:t>
      </w:r>
      <w:r w:rsidR="005E55D7" w:rsidRPr="00D84524">
        <w:t xml:space="preserve"> pas la pleine responsabilité </w:t>
      </w:r>
      <w:r w:rsidR="001C23BE" w:rsidRPr="00D84524">
        <w:t>de</w:t>
      </w:r>
      <w:r w:rsidR="005E55D7" w:rsidRPr="00D84524">
        <w:t xml:space="preserve"> son travail</w:t>
      </w:r>
      <w:r w:rsidR="001C23BE" w:rsidRPr="00D84524">
        <w:t xml:space="preserve"> puisqu’</w:t>
      </w:r>
      <w:r w:rsidR="005E55D7" w:rsidRPr="00D84524">
        <w:t xml:space="preserve">il dépend entièrement de la disponibilité et efficience de l’équipe du PNUD </w:t>
      </w:r>
      <w:r w:rsidR="001C23BE" w:rsidRPr="00D84524">
        <w:t>basé à Antanarivo</w:t>
      </w:r>
      <w:r w:rsidR="005E55D7" w:rsidRPr="00D84524">
        <w:t>.</w:t>
      </w:r>
      <w:r w:rsidR="005E55D7" w:rsidRPr="008E3E90">
        <w:t xml:space="preserve"> </w:t>
      </w:r>
      <w:r w:rsidR="00C30657" w:rsidRPr="00C30657">
        <w:t>Ce point</w:t>
      </w:r>
      <w:r w:rsidR="00C30657" w:rsidRPr="00CA44AE">
        <w:t xml:space="preserve"> est particulièrement important non seulement parce qu’il ajoute des couches administrat</w:t>
      </w:r>
      <w:r w:rsidR="00C30657">
        <w:t xml:space="preserve">ives supplémentaires mais aussi parce l’infrastructure communicationnelle entre </w:t>
      </w:r>
      <w:r w:rsidR="00B32DA2">
        <w:t>Tuléar</w:t>
      </w:r>
      <w:r w:rsidR="00C30657">
        <w:t xml:space="preserve"> et Antananarivo en devient plus </w:t>
      </w:r>
      <w:proofErr w:type="gramStart"/>
      <w:r w:rsidR="00C30657">
        <w:t>limité</w:t>
      </w:r>
      <w:proofErr w:type="gramEnd"/>
      <w:r w:rsidR="00C30657">
        <w:t xml:space="preserve"> : les documents ne peuvent </w:t>
      </w:r>
      <w:r w:rsidR="00C30657" w:rsidRPr="00D84524">
        <w:t>être physiquement envoyés que deux fois par semaine. Cela a d’ailleurs également</w:t>
      </w:r>
      <w:r w:rsidR="00220410" w:rsidRPr="00D84524">
        <w:t xml:space="preserve"> impliqué </w:t>
      </w:r>
      <w:r w:rsidR="00220410" w:rsidRPr="0019231F">
        <w:rPr>
          <w:bCs/>
          <w:lang w:val="fr-FR"/>
        </w:rPr>
        <w:t xml:space="preserve">un lancement de </w:t>
      </w:r>
      <w:r w:rsidR="00220410" w:rsidRPr="003C067C">
        <w:rPr>
          <w:bCs/>
          <w:lang w:val="fr-FR"/>
        </w:rPr>
        <w:t>projet lent, lié à des problèmes de disponibilité des fonds et de recrutement du personnel du projet qui a entrainé le report de nombreuses activités de la composante 2 à l’année 2018</w:t>
      </w:r>
      <w:r w:rsidR="00FD1DF1" w:rsidRPr="00CA44AE">
        <w:rPr>
          <w:bCs/>
          <w:lang w:val="fr-FR"/>
        </w:rPr>
        <w:t xml:space="preserve">. </w:t>
      </w:r>
      <w:r w:rsidR="00C30657" w:rsidRPr="00CA44AE">
        <w:rPr>
          <w:bCs/>
          <w:lang w:val="fr-FR"/>
        </w:rPr>
        <w:t xml:space="preserve">Certaines mesures comme l’acceptation des documents envoyés par mail </w:t>
      </w:r>
      <w:r w:rsidR="009313B0" w:rsidRPr="009313B0">
        <w:rPr>
          <w:bCs/>
          <w:lang w:val="fr-FR"/>
        </w:rPr>
        <w:t>et une plus grande autonomie pour les marchés de moins de 1 500 dollars</w:t>
      </w:r>
      <w:r w:rsidR="009313B0" w:rsidRPr="00CA44AE">
        <w:rPr>
          <w:bCs/>
          <w:lang w:val="fr-FR"/>
        </w:rPr>
        <w:t xml:space="preserve"> </w:t>
      </w:r>
      <w:r w:rsidR="00C30657" w:rsidRPr="00CA44AE">
        <w:rPr>
          <w:bCs/>
          <w:lang w:val="fr-FR"/>
        </w:rPr>
        <w:t xml:space="preserve">ont permis d’accélérer les procédures administratives, pourtant il y a encore matière à amélioration. </w:t>
      </w:r>
      <w:r w:rsidR="009313B0" w:rsidRPr="009313B0">
        <w:rPr>
          <w:bCs/>
          <w:lang w:val="fr-FR"/>
        </w:rPr>
        <w:t>Il est prévu de relever la limite de 1 500 USD si le test donne des résultats positifs</w:t>
      </w:r>
      <w:r w:rsidR="009313B0">
        <w:rPr>
          <w:bCs/>
          <w:lang w:val="fr-FR"/>
        </w:rPr>
        <w:t>.</w:t>
      </w:r>
      <w:r w:rsidR="009313B0" w:rsidRPr="008F47A6">
        <w:t xml:space="preserve"> </w:t>
      </w:r>
      <w:r w:rsidR="00F61595" w:rsidRPr="008F47A6">
        <w:t xml:space="preserve">De </w:t>
      </w:r>
      <w:r w:rsidR="005E55D7" w:rsidRPr="008E3E90">
        <w:t>plus</w:t>
      </w:r>
      <w:r w:rsidR="00F61595" w:rsidRPr="008F47A6">
        <w:t xml:space="preserve">, le MEDD n’a pas de compte </w:t>
      </w:r>
      <w:r w:rsidR="006C3AB9" w:rsidRPr="008E3E90">
        <w:t xml:space="preserve">bancaire </w:t>
      </w:r>
      <w:r w:rsidR="00F61595" w:rsidRPr="008F47A6">
        <w:t>attribué à la composante 1. De ce fait, le MEDD doit initier une demande au PNUD pour toute dépense. Ce qui a eu pour effet de ralentir les décaissements et la mise en œuvre. Il convient de note</w:t>
      </w:r>
      <w:r w:rsidR="00745776" w:rsidRPr="008E3E90">
        <w:t>r</w:t>
      </w:r>
      <w:r w:rsidR="00F61595" w:rsidRPr="008E3E90">
        <w:t xml:space="preserve"> que contrairement au MEDD, les partenaires </w:t>
      </w:r>
      <w:r w:rsidR="00F61595" w:rsidRPr="008F47A6">
        <w:t xml:space="preserve">de mise en œuvre </w:t>
      </w:r>
      <w:proofErr w:type="spellStart"/>
      <w:r w:rsidR="00F61595" w:rsidRPr="008F47A6">
        <w:t>Tany</w:t>
      </w:r>
      <w:proofErr w:type="spellEnd"/>
      <w:r w:rsidR="00F61595" w:rsidRPr="008F47A6">
        <w:t xml:space="preserve"> </w:t>
      </w:r>
      <w:proofErr w:type="spellStart"/>
      <w:r w:rsidR="00F61595" w:rsidRPr="008F47A6">
        <w:t>Meva</w:t>
      </w:r>
      <w:proofErr w:type="spellEnd"/>
      <w:r w:rsidR="00F61595" w:rsidRPr="008F47A6">
        <w:t xml:space="preserve"> et SAGE disposent eux d’un compte</w:t>
      </w:r>
      <w:r w:rsidR="009B61D0" w:rsidRPr="008F47A6">
        <w:t xml:space="preserve"> bancaire pour la composante 2.</w:t>
      </w:r>
      <w:r w:rsidR="00745776" w:rsidRPr="008F47A6">
        <w:t xml:space="preserve"> Cela s’explique peut-être par les résultats de l’évaluation des capacités de gestion financière du ME</w:t>
      </w:r>
      <w:r w:rsidR="001C23BE">
        <w:t>DD</w:t>
      </w:r>
      <w:r w:rsidR="00745776" w:rsidRPr="008E3E90">
        <w:t xml:space="preserve"> qui, </w:t>
      </w:r>
      <w:proofErr w:type="gramStart"/>
      <w:r w:rsidR="00745776" w:rsidRPr="008E3E90">
        <w:t>avant</w:t>
      </w:r>
      <w:proofErr w:type="gramEnd"/>
      <w:r w:rsidR="00745776" w:rsidRPr="008E3E90">
        <w:t xml:space="preserve"> le projet, avait en effet conclu à un risque global significatif</w:t>
      </w:r>
      <w:r w:rsidR="00745776" w:rsidRPr="008E3E90">
        <w:rPr>
          <w:rStyle w:val="Appelnotedebasdep"/>
        </w:rPr>
        <w:footnoteReference w:id="21"/>
      </w:r>
      <w:r w:rsidR="00745776" w:rsidRPr="008E3E90">
        <w:t xml:space="preserve">. </w:t>
      </w:r>
      <w:r w:rsidR="00C30657" w:rsidRPr="00CA44AE">
        <w:rPr>
          <w:lang w:val="fr-FR"/>
        </w:rPr>
        <w:t>Toutefois, depuis cette évaluation, c</w:t>
      </w:r>
      <w:r w:rsidR="00CC5CC7" w:rsidRPr="00CA44AE">
        <w:rPr>
          <w:lang w:val="fr-FR"/>
        </w:rPr>
        <w:t xml:space="preserve">es capacités ont pu changer. </w:t>
      </w:r>
      <w:r w:rsidR="00C30657" w:rsidRPr="00CA44AE">
        <w:rPr>
          <w:lang w:val="fr-FR"/>
        </w:rPr>
        <w:t xml:space="preserve">Même si </w:t>
      </w:r>
      <w:proofErr w:type="spellStart"/>
      <w:r w:rsidR="00C30657" w:rsidRPr="00CA44AE">
        <w:rPr>
          <w:lang w:val="fr-FR"/>
        </w:rPr>
        <w:t>Tany</w:t>
      </w:r>
      <w:proofErr w:type="spellEnd"/>
      <w:r w:rsidR="00C30657" w:rsidRPr="00CA44AE">
        <w:rPr>
          <w:lang w:val="fr-FR"/>
        </w:rPr>
        <w:t xml:space="preserve"> </w:t>
      </w:r>
      <w:proofErr w:type="spellStart"/>
      <w:r w:rsidR="00C30657" w:rsidRPr="00CA44AE">
        <w:rPr>
          <w:lang w:val="fr-FR"/>
        </w:rPr>
        <w:t>Meva</w:t>
      </w:r>
      <w:proofErr w:type="spellEnd"/>
      <w:r w:rsidR="00C30657" w:rsidRPr="00CA44AE">
        <w:rPr>
          <w:lang w:val="fr-FR"/>
        </w:rPr>
        <w:t xml:space="preserve"> et SAGE ont leur propre compte, les décaissements sont effectués trimestriellement. Étant donné que </w:t>
      </w:r>
      <w:proofErr w:type="spellStart"/>
      <w:r w:rsidR="00C30657" w:rsidRPr="00CA44AE">
        <w:rPr>
          <w:lang w:val="fr-FR"/>
        </w:rPr>
        <w:t>Tany</w:t>
      </w:r>
      <w:proofErr w:type="spellEnd"/>
      <w:r w:rsidR="00C30657" w:rsidRPr="00CA44AE">
        <w:rPr>
          <w:lang w:val="fr-FR"/>
        </w:rPr>
        <w:t xml:space="preserve"> </w:t>
      </w:r>
      <w:proofErr w:type="spellStart"/>
      <w:r w:rsidR="00C30657" w:rsidRPr="00CA44AE">
        <w:rPr>
          <w:lang w:val="fr-FR"/>
        </w:rPr>
        <w:t>Meva</w:t>
      </w:r>
      <w:proofErr w:type="spellEnd"/>
      <w:r w:rsidR="00C30657" w:rsidRPr="00CA44AE">
        <w:rPr>
          <w:lang w:val="fr-FR"/>
        </w:rPr>
        <w:t xml:space="preserve"> </w:t>
      </w:r>
      <w:r w:rsidR="00CC4105" w:rsidRPr="00D84524">
        <w:rPr>
          <w:lang w:val="fr-FR"/>
        </w:rPr>
        <w:t>a elle-même de longues procédures internes</w:t>
      </w:r>
      <w:r w:rsidR="00C30657" w:rsidRPr="00CA44AE">
        <w:rPr>
          <w:lang w:val="fr-FR"/>
        </w:rPr>
        <w:t>, cela entraîne des retards.</w:t>
      </w:r>
    </w:p>
    <w:p w14:paraId="02EF3ED0" w14:textId="77777777" w:rsidR="008D09D3" w:rsidRPr="00CA44AE" w:rsidRDefault="008D09D3" w:rsidP="002B677E">
      <w:pPr>
        <w:pStyle w:val="Paragraphedeliste"/>
        <w:numPr>
          <w:ilvl w:val="0"/>
          <w:numId w:val="0"/>
        </w:numPr>
        <w:ind w:left="720"/>
        <w:rPr>
          <w:lang w:val="fr-FR"/>
        </w:rPr>
      </w:pPr>
    </w:p>
    <w:p w14:paraId="7A435263" w14:textId="5FC86649" w:rsidR="00210A25" w:rsidRDefault="009B61D0" w:rsidP="00CA44AE">
      <w:pPr>
        <w:pStyle w:val="Paragraphedeliste"/>
        <w:numPr>
          <w:ilvl w:val="0"/>
          <w:numId w:val="14"/>
        </w:numPr>
      </w:pPr>
      <w:r w:rsidRPr="008F47A6">
        <w:rPr>
          <w:u w:val="single"/>
        </w:rPr>
        <w:t>Matériels</w:t>
      </w:r>
      <w:r w:rsidRPr="008E3E90">
        <w:t xml:space="preserve"> : </w:t>
      </w:r>
      <w:r w:rsidR="00210A25">
        <w:rPr>
          <w:lang w:val="fr-FR"/>
        </w:rPr>
        <w:t>L’installation de l’UCP dans les bureaux de la DREDD a pris un peu de temps, car la 1</w:t>
      </w:r>
      <w:r w:rsidR="00210A25" w:rsidRPr="008F47A6">
        <w:rPr>
          <w:vertAlign w:val="superscript"/>
          <w:lang w:val="fr-FR"/>
        </w:rPr>
        <w:t>ère</w:t>
      </w:r>
      <w:r w:rsidR="00210A25">
        <w:rPr>
          <w:lang w:val="fr-FR"/>
        </w:rPr>
        <w:t xml:space="preserve"> salle mise à disposition n’était pas adaptée</w:t>
      </w:r>
      <w:r w:rsidR="00210A25">
        <w:rPr>
          <w:rStyle w:val="Appelnotedebasdep"/>
          <w:lang w:val="fr-FR"/>
        </w:rPr>
        <w:footnoteReference w:id="22"/>
      </w:r>
      <w:r w:rsidR="00210A25">
        <w:rPr>
          <w:lang w:val="fr-FR"/>
        </w:rPr>
        <w:t xml:space="preserve">. </w:t>
      </w:r>
      <w:r w:rsidR="00B43A67" w:rsidRPr="008F47A6">
        <w:t xml:space="preserve">De même, </w:t>
      </w:r>
      <w:r w:rsidR="00FD5EE0" w:rsidRPr="008F47A6">
        <w:t xml:space="preserve">les partenaires d’exécution et en particulier le </w:t>
      </w:r>
      <w:r w:rsidR="00CD2CB3" w:rsidRPr="008F47A6">
        <w:t xml:space="preserve">MEDD et la </w:t>
      </w:r>
      <w:r w:rsidR="00FD5EE0" w:rsidRPr="008F47A6">
        <w:t>DREDD</w:t>
      </w:r>
      <w:r w:rsidR="00B43A67" w:rsidRPr="008F47A6">
        <w:t xml:space="preserve"> ne dispose</w:t>
      </w:r>
      <w:r w:rsidR="00FD5EE0" w:rsidRPr="008F47A6">
        <w:t>nt</w:t>
      </w:r>
      <w:r w:rsidR="00B43A67" w:rsidRPr="008F47A6">
        <w:t xml:space="preserve"> pas </w:t>
      </w:r>
      <w:r w:rsidR="00CC5CC7">
        <w:t xml:space="preserve">des bonnes équipes informatiques et </w:t>
      </w:r>
      <w:r w:rsidR="00B43A67" w:rsidRPr="008F47A6">
        <w:lastRenderedPageBreak/>
        <w:t>d</w:t>
      </w:r>
      <w:r w:rsidR="00CD2CB3" w:rsidRPr="008F47A6">
        <w:t>’une bonne</w:t>
      </w:r>
      <w:r w:rsidR="00FD5EE0" w:rsidRPr="008F47A6">
        <w:t xml:space="preserve"> connexion </w:t>
      </w:r>
      <w:r w:rsidR="00B43A67" w:rsidRPr="008F47A6">
        <w:t>internet</w:t>
      </w:r>
      <w:r w:rsidR="004C4716" w:rsidRPr="008F47A6">
        <w:t>, alors que l’utilisation de l’OPT BD au niveau régional et local impliquera un renforcement informatique et un meilleur accès à Internet</w:t>
      </w:r>
      <w:r w:rsidR="00CC5CC7">
        <w:t xml:space="preserve"> a ces niveaux et au niveau national</w:t>
      </w:r>
      <w:r w:rsidR="004C4716" w:rsidRPr="008F47A6">
        <w:t xml:space="preserve">. </w:t>
      </w:r>
      <w:r w:rsidR="00E120D2">
        <w:t>En plus p</w:t>
      </w:r>
      <w:r w:rsidR="00E120D2" w:rsidRPr="008E3E90">
        <w:t>our l’instant toutes les APC temporaires ne disposent pas e</w:t>
      </w:r>
      <w:r w:rsidR="00E120D2">
        <w:t>ncore d’ordinateur et de bureau.</w:t>
      </w:r>
    </w:p>
    <w:p w14:paraId="2608F954" w14:textId="77777777" w:rsidR="008D09D3" w:rsidRPr="00E120D2" w:rsidRDefault="008D09D3" w:rsidP="002B677E">
      <w:pPr>
        <w:pStyle w:val="Paragraphedeliste"/>
        <w:numPr>
          <w:ilvl w:val="0"/>
          <w:numId w:val="0"/>
        </w:numPr>
        <w:ind w:left="720"/>
      </w:pPr>
    </w:p>
    <w:p w14:paraId="4F3ECE56" w14:textId="1A415E3F" w:rsidR="00220410" w:rsidRPr="002B677E" w:rsidRDefault="009B61D0" w:rsidP="00CA44AE">
      <w:pPr>
        <w:pStyle w:val="Paragraphedeliste"/>
        <w:numPr>
          <w:ilvl w:val="0"/>
          <w:numId w:val="14"/>
        </w:numPr>
        <w:rPr>
          <w:lang w:val="fr-BE"/>
        </w:rPr>
      </w:pPr>
      <w:r w:rsidRPr="008F47A6">
        <w:rPr>
          <w:u w:val="single"/>
        </w:rPr>
        <w:t>Personnel</w:t>
      </w:r>
      <w:r w:rsidRPr="008E3E90">
        <w:t xml:space="preserve"> : </w:t>
      </w:r>
      <w:r w:rsidR="00E120D2">
        <w:t>Comme expliqué en plus de détail</w:t>
      </w:r>
      <w:r w:rsidR="00CC4105">
        <w:t>s</w:t>
      </w:r>
      <w:r w:rsidR="00E120D2">
        <w:t xml:space="preserve"> dans la </w:t>
      </w:r>
      <w:r w:rsidR="00E120D2" w:rsidRPr="00CC4105">
        <w:t xml:space="preserve">section </w:t>
      </w:r>
      <w:r w:rsidR="00CC4105" w:rsidRPr="00CC4105">
        <w:t>3.</w:t>
      </w:r>
      <w:r w:rsidR="00CC4105">
        <w:t>3.2</w:t>
      </w:r>
      <w:r w:rsidR="00E120D2">
        <w:t xml:space="preserve">, le projet a </w:t>
      </w:r>
      <w:r w:rsidR="00CC4105">
        <w:t>rencontré</w:t>
      </w:r>
      <w:r w:rsidR="00E120D2">
        <w:t xml:space="preserve"> des problèmes de recrutement de personnel pour l’UC</w:t>
      </w:r>
      <w:r w:rsidR="00950605">
        <w:t>P</w:t>
      </w:r>
      <w:r w:rsidR="00E120D2">
        <w:t xml:space="preserve"> ainsi que pour des consultants pour la composante 1. </w:t>
      </w:r>
      <w:r w:rsidR="00CC4105">
        <w:t xml:space="preserve">En particulier, pendant six mois le projet a souffert de l’absence de coordinateur et d’assistant administratif et financier, sans que ces tâches ne soient réellement suppléées. </w:t>
      </w:r>
      <w:r w:rsidR="00E120D2">
        <w:t xml:space="preserve">En outre </w:t>
      </w:r>
      <w:r w:rsidR="00E120D2">
        <w:rPr>
          <w:lang w:val="fr-BE"/>
        </w:rPr>
        <w:t>l</w:t>
      </w:r>
      <w:r w:rsidR="00E120D2" w:rsidRPr="008F47A6">
        <w:rPr>
          <w:lang w:val="fr-BE"/>
        </w:rPr>
        <w:t xml:space="preserve">e projet doit composer avec des changements de personnels dans les parties prenantes, formés ou engagés, le plus souvent au niveau régional. </w:t>
      </w:r>
      <w:r w:rsidRPr="008E3E90">
        <w:t xml:space="preserve">Il existe </w:t>
      </w:r>
      <w:r w:rsidR="00E120D2">
        <w:t xml:space="preserve">aussi </w:t>
      </w:r>
      <w:r w:rsidRPr="008E3E90">
        <w:t>un problème de motivation de certains acteurs du projet, lié</w:t>
      </w:r>
      <w:r w:rsidR="00CC5CC7">
        <w:t>,</w:t>
      </w:r>
      <w:r w:rsidRPr="008E3E90">
        <w:t xml:space="preserve"> selon les résultats de la mission, à des indemnités journalières de subsistance</w:t>
      </w:r>
      <w:r w:rsidRPr="008E3E90">
        <w:rPr>
          <w:rStyle w:val="Appelnotedebasdep"/>
        </w:rPr>
        <w:footnoteReference w:id="23"/>
      </w:r>
      <w:r w:rsidRPr="008E3E90">
        <w:t xml:space="preserve"> qui seraient trop basses</w:t>
      </w:r>
      <w:r w:rsidR="00B43A67" w:rsidRPr="008E3E90">
        <w:t xml:space="preserve">. Cela n’incite pas la participation des personnels dirigeants et décideurs aux activités du </w:t>
      </w:r>
      <w:r w:rsidR="00B43A67" w:rsidRPr="008F47A6">
        <w:rPr>
          <w:lang w:val="fr-BE"/>
        </w:rPr>
        <w:t>projet</w:t>
      </w:r>
      <w:r w:rsidR="001C23BE">
        <w:rPr>
          <w:lang w:val="fr-BE"/>
        </w:rPr>
        <w:t xml:space="preserve"> et limite donc la portée et l’impact du projet</w:t>
      </w:r>
      <w:r w:rsidR="00B43A67" w:rsidRPr="008F47A6">
        <w:rPr>
          <w:lang w:val="fr-BE"/>
        </w:rPr>
        <w:t>. Alors que ces indemnités auraient déjà été légèrement ajustées, elles demeureraient encore trop basses.</w:t>
      </w:r>
      <w:r w:rsidR="00CC5CC7">
        <w:rPr>
          <w:lang w:val="fr-BE"/>
        </w:rPr>
        <w:t xml:space="preserve"> Les indemnités sont aussi </w:t>
      </w:r>
      <w:r w:rsidR="00380B5C">
        <w:rPr>
          <w:lang w:val="fr-BE"/>
        </w:rPr>
        <w:t>différent</w:t>
      </w:r>
      <w:r w:rsidR="00CC4105">
        <w:rPr>
          <w:lang w:val="fr-BE"/>
        </w:rPr>
        <w:t>e</w:t>
      </w:r>
      <w:r w:rsidR="00380B5C">
        <w:rPr>
          <w:lang w:val="fr-BE"/>
        </w:rPr>
        <w:t>s</w:t>
      </w:r>
      <w:r w:rsidR="00CC5CC7">
        <w:rPr>
          <w:lang w:val="fr-BE"/>
        </w:rPr>
        <w:t xml:space="preserve"> </w:t>
      </w:r>
      <w:r w:rsidR="00CC4105">
        <w:rPr>
          <w:lang w:val="fr-BE"/>
        </w:rPr>
        <w:t xml:space="preserve">selon les </w:t>
      </w:r>
      <w:r w:rsidR="00CC5CC7">
        <w:rPr>
          <w:lang w:val="fr-BE"/>
        </w:rPr>
        <w:t xml:space="preserve">acteurs ce qui </w:t>
      </w:r>
      <w:r w:rsidR="00380B5C">
        <w:rPr>
          <w:lang w:val="fr-BE"/>
        </w:rPr>
        <w:t>démotive</w:t>
      </w:r>
      <w:r w:rsidR="00CC5CC7">
        <w:rPr>
          <w:lang w:val="fr-BE"/>
        </w:rPr>
        <w:t xml:space="preserve"> ceux qui </w:t>
      </w:r>
      <w:r w:rsidR="00380B5C">
        <w:rPr>
          <w:lang w:val="fr-BE"/>
        </w:rPr>
        <w:t>reçoivent</w:t>
      </w:r>
      <w:r w:rsidR="00CC5CC7">
        <w:rPr>
          <w:lang w:val="fr-BE"/>
        </w:rPr>
        <w:t xml:space="preserve"> des indemnités plus basses. </w:t>
      </w:r>
      <w:r w:rsidR="002D7DD5" w:rsidRPr="00CA44AE">
        <w:rPr>
          <w:lang w:val="fr-BE"/>
        </w:rPr>
        <w:t xml:space="preserve">Par ailleurs, </w:t>
      </w:r>
      <w:proofErr w:type="gramStart"/>
      <w:r w:rsidR="00CC4105" w:rsidRPr="00E7346B">
        <w:rPr>
          <w:lang w:val="fr-BE"/>
        </w:rPr>
        <w:t xml:space="preserve">durant </w:t>
      </w:r>
      <w:r w:rsidR="00220410" w:rsidRPr="00E7346B">
        <w:rPr>
          <w:lang w:val="fr-BE"/>
        </w:rPr>
        <w:t xml:space="preserve"> l’année</w:t>
      </w:r>
      <w:proofErr w:type="gramEnd"/>
      <w:r w:rsidR="00220410" w:rsidRPr="00E7346B">
        <w:rPr>
          <w:lang w:val="fr-BE"/>
        </w:rPr>
        <w:t xml:space="preserve"> 2017 </w:t>
      </w:r>
      <w:r w:rsidR="00CC4105" w:rsidRPr="00E7346B">
        <w:rPr>
          <w:rFonts w:cstheme="minorHAnsi"/>
          <w:lang w:val="fr-FR"/>
        </w:rPr>
        <w:t xml:space="preserve">les </w:t>
      </w:r>
      <w:r w:rsidR="00220410" w:rsidRPr="00E7346B">
        <w:rPr>
          <w:rFonts w:cstheme="minorHAnsi"/>
          <w:lang w:val="fr-FR"/>
        </w:rPr>
        <w:t xml:space="preserve"> capacités </w:t>
      </w:r>
      <w:r w:rsidR="00CC4105" w:rsidRPr="00E7346B">
        <w:rPr>
          <w:rFonts w:cstheme="minorHAnsi"/>
          <w:lang w:val="fr-FR"/>
        </w:rPr>
        <w:t xml:space="preserve">étaient </w:t>
      </w:r>
      <w:r w:rsidR="00220410" w:rsidRPr="00E7346B">
        <w:rPr>
          <w:rFonts w:cstheme="minorHAnsi"/>
          <w:lang w:val="fr-FR"/>
        </w:rPr>
        <w:t xml:space="preserve">inadaptées en termes de ressources humaines pour la mise en œuvre des activités allouées à </w:t>
      </w:r>
      <w:proofErr w:type="spellStart"/>
      <w:r w:rsidR="00220410" w:rsidRPr="00E7346B">
        <w:rPr>
          <w:rFonts w:cstheme="minorHAnsi"/>
          <w:lang w:val="fr-FR"/>
        </w:rPr>
        <w:t>Tany</w:t>
      </w:r>
      <w:proofErr w:type="spellEnd"/>
      <w:r w:rsidR="00220410" w:rsidRPr="00E7346B">
        <w:rPr>
          <w:rFonts w:cstheme="minorHAnsi"/>
          <w:lang w:val="fr-FR"/>
        </w:rPr>
        <w:t xml:space="preserve"> </w:t>
      </w:r>
      <w:proofErr w:type="spellStart"/>
      <w:r w:rsidR="00220410" w:rsidRPr="00E7346B">
        <w:rPr>
          <w:rFonts w:cstheme="minorHAnsi"/>
          <w:lang w:val="fr-FR"/>
        </w:rPr>
        <w:t>Meva</w:t>
      </w:r>
      <w:proofErr w:type="spellEnd"/>
      <w:r w:rsidR="00220410" w:rsidRPr="00E7346B">
        <w:rPr>
          <w:rFonts w:cstheme="minorHAnsi"/>
          <w:lang w:val="fr-FR"/>
        </w:rPr>
        <w:t xml:space="preserve"> </w:t>
      </w:r>
      <w:r w:rsidR="00220410">
        <w:rPr>
          <w:rStyle w:val="Appelnotedebasdep"/>
          <w:rFonts w:cstheme="minorHAnsi"/>
          <w:lang w:val="fr-FR"/>
        </w:rPr>
        <w:footnoteReference w:id="24"/>
      </w:r>
      <w:r w:rsidR="00220410" w:rsidRPr="00E7346B">
        <w:rPr>
          <w:rFonts w:cstheme="minorHAnsi"/>
          <w:lang w:val="fr-FR"/>
        </w:rPr>
        <w:t xml:space="preserve">. </w:t>
      </w:r>
    </w:p>
    <w:p w14:paraId="58C96423" w14:textId="77777777" w:rsidR="008D09D3" w:rsidRPr="00CA44AE" w:rsidRDefault="008D09D3" w:rsidP="002B677E">
      <w:pPr>
        <w:pStyle w:val="Paragraphedeliste"/>
        <w:numPr>
          <w:ilvl w:val="0"/>
          <w:numId w:val="0"/>
        </w:numPr>
        <w:ind w:left="720"/>
        <w:rPr>
          <w:lang w:val="fr-BE"/>
        </w:rPr>
      </w:pPr>
    </w:p>
    <w:p w14:paraId="1C4291F3" w14:textId="39A00AAF" w:rsidR="00E74D69" w:rsidRPr="008E3E90" w:rsidRDefault="00FD5EE0" w:rsidP="008F47A6">
      <w:pPr>
        <w:pStyle w:val="Paragraphedeliste"/>
        <w:numPr>
          <w:ilvl w:val="0"/>
          <w:numId w:val="14"/>
        </w:numPr>
        <w:rPr>
          <w:lang w:val="fr-BE"/>
        </w:rPr>
      </w:pPr>
      <w:r w:rsidRPr="008F47A6">
        <w:rPr>
          <w:u w:val="single"/>
        </w:rPr>
        <w:t>Opérationnel</w:t>
      </w:r>
      <w:r w:rsidRPr="008F47A6">
        <w:rPr>
          <w:lang w:val="fr-BE"/>
        </w:rPr>
        <w:t xml:space="preserve"> : Certains </w:t>
      </w:r>
      <w:proofErr w:type="spellStart"/>
      <w:r w:rsidRPr="008F47A6">
        <w:rPr>
          <w:lang w:val="fr-BE"/>
        </w:rPr>
        <w:t>fonkontany</w:t>
      </w:r>
      <w:proofErr w:type="spellEnd"/>
      <w:r w:rsidRPr="008F47A6">
        <w:rPr>
          <w:lang w:val="fr-BE"/>
        </w:rPr>
        <w:t xml:space="preserve"> et APC sont confrontés à des problèmes d’insécurité</w:t>
      </w:r>
      <w:r w:rsidR="00201810" w:rsidRPr="008F47A6">
        <w:rPr>
          <w:lang w:val="fr-BE"/>
        </w:rPr>
        <w:t xml:space="preserve"> rurale qui se manifeste</w:t>
      </w:r>
      <w:r w:rsidR="00E74D69" w:rsidRPr="008F47A6">
        <w:rPr>
          <w:lang w:val="fr-BE"/>
        </w:rPr>
        <w:t>nt</w:t>
      </w:r>
      <w:r w:rsidR="00201810" w:rsidRPr="008F47A6">
        <w:rPr>
          <w:lang w:val="fr-BE"/>
        </w:rPr>
        <w:t xml:space="preserve"> par l’augmentation de la criminalité et des vols</w:t>
      </w:r>
      <w:r w:rsidR="00201810" w:rsidRPr="008F47A6">
        <w:rPr>
          <w:rStyle w:val="Appelnotedebasdep"/>
          <w:lang w:val="fr-BE"/>
        </w:rPr>
        <w:footnoteReference w:id="25"/>
      </w:r>
      <w:r w:rsidRPr="008F47A6">
        <w:rPr>
          <w:lang w:val="fr-BE"/>
        </w:rPr>
        <w:t xml:space="preserve">. En particulier, le CR </w:t>
      </w:r>
      <w:proofErr w:type="spellStart"/>
      <w:r w:rsidRPr="008F47A6">
        <w:rPr>
          <w:lang w:val="fr-BE"/>
        </w:rPr>
        <w:t>Basibasy</w:t>
      </w:r>
      <w:proofErr w:type="spellEnd"/>
      <w:r w:rsidR="00201810" w:rsidRPr="008F47A6">
        <w:rPr>
          <w:lang w:val="fr-BE"/>
        </w:rPr>
        <w:t xml:space="preserve">, </w:t>
      </w:r>
      <w:r w:rsidR="00C87135" w:rsidRPr="008F47A6">
        <w:rPr>
          <w:lang w:val="fr-BE"/>
        </w:rPr>
        <w:t>les sites à proximité des</w:t>
      </w:r>
      <w:r w:rsidR="00201810" w:rsidRPr="008F47A6">
        <w:rPr>
          <w:lang w:val="fr-BE"/>
        </w:rPr>
        <w:t xml:space="preserve"> carrés miniers, ainsi qu</w:t>
      </w:r>
      <w:r w:rsidR="00C87135" w:rsidRPr="008F47A6">
        <w:rPr>
          <w:lang w:val="fr-BE"/>
        </w:rPr>
        <w:t>e</w:t>
      </w:r>
      <w:r w:rsidR="00201810" w:rsidRPr="008F47A6">
        <w:rPr>
          <w:lang w:val="fr-BE"/>
        </w:rPr>
        <w:t xml:space="preserve"> Betiok</w:t>
      </w:r>
      <w:r w:rsidR="00971B89">
        <w:rPr>
          <w:lang w:val="fr-BE"/>
        </w:rPr>
        <w:t>y</w:t>
      </w:r>
      <w:r w:rsidR="00201810" w:rsidRPr="008F47A6">
        <w:rPr>
          <w:lang w:val="fr-BE"/>
        </w:rPr>
        <w:t xml:space="preserve"> et </w:t>
      </w:r>
      <w:proofErr w:type="spellStart"/>
      <w:r w:rsidR="00201810" w:rsidRPr="008F47A6">
        <w:rPr>
          <w:lang w:val="fr-BE"/>
        </w:rPr>
        <w:t>Benenitra</w:t>
      </w:r>
      <w:proofErr w:type="spellEnd"/>
      <w:r w:rsidR="00C87135" w:rsidRPr="008F47A6">
        <w:rPr>
          <w:lang w:val="fr-BE"/>
        </w:rPr>
        <w:t xml:space="preserve"> sont confrontés à ce type de problèmes</w:t>
      </w:r>
      <w:r w:rsidR="00201810" w:rsidRPr="008F47A6">
        <w:rPr>
          <w:rStyle w:val="Appelnotedebasdep"/>
          <w:lang w:val="fr-BE"/>
        </w:rPr>
        <w:footnoteReference w:id="26"/>
      </w:r>
      <w:r w:rsidR="00201810" w:rsidRPr="008F47A6">
        <w:rPr>
          <w:lang w:val="fr-BE"/>
        </w:rPr>
        <w:t xml:space="preserve">. </w:t>
      </w:r>
      <w:r w:rsidR="00E74D69" w:rsidRPr="008F47A6">
        <w:rPr>
          <w:lang w:val="fr-BE"/>
        </w:rPr>
        <w:t xml:space="preserve">L’insécurité a en effet perturbé le bon déroulement des missions </w:t>
      </w:r>
      <w:r w:rsidR="00E74D69" w:rsidRPr="008E3E90">
        <w:rPr>
          <w:lang w:val="fr-BE"/>
        </w:rPr>
        <w:t xml:space="preserve">dans le nord de </w:t>
      </w:r>
      <w:r w:rsidR="00220410">
        <w:rPr>
          <w:lang w:val="fr-BE"/>
        </w:rPr>
        <w:t xml:space="preserve">la </w:t>
      </w:r>
      <w:r w:rsidR="00380B5C">
        <w:rPr>
          <w:lang w:val="fr-BE"/>
        </w:rPr>
        <w:t>région</w:t>
      </w:r>
      <w:r w:rsidR="00E74D69" w:rsidRPr="008E3E90">
        <w:rPr>
          <w:lang w:val="fr-BE"/>
        </w:rPr>
        <w:t xml:space="preserve">, car des zones de troubles devaient être traversées pour accéder à </w:t>
      </w:r>
      <w:proofErr w:type="spellStart"/>
      <w:r w:rsidR="00E74D69" w:rsidRPr="008E3E90">
        <w:rPr>
          <w:lang w:val="fr-BE"/>
        </w:rPr>
        <w:t>Analamaitso</w:t>
      </w:r>
      <w:proofErr w:type="spellEnd"/>
      <w:r w:rsidR="00201810" w:rsidRPr="008F47A6">
        <w:rPr>
          <w:lang w:val="fr-BE"/>
        </w:rPr>
        <w:t>.</w:t>
      </w:r>
      <w:r w:rsidR="00E74D69" w:rsidRPr="008E3E90">
        <w:rPr>
          <w:lang w:val="fr-BE"/>
        </w:rPr>
        <w:t xml:space="preserve"> </w:t>
      </w:r>
    </w:p>
    <w:p w14:paraId="22C7E349" w14:textId="68A89FA0" w:rsidR="008D09D3" w:rsidRDefault="00C60819" w:rsidP="008D09D3">
      <w:pPr>
        <w:pStyle w:val="Paragraphedeliste"/>
        <w:numPr>
          <w:ilvl w:val="0"/>
          <w:numId w:val="0"/>
        </w:numPr>
        <w:ind w:left="720"/>
        <w:rPr>
          <w:lang w:val="fr-FR"/>
        </w:rPr>
      </w:pPr>
      <w:r w:rsidRPr="008F47A6">
        <w:rPr>
          <w:lang w:val="fr-BE"/>
        </w:rPr>
        <w:t xml:space="preserve">Par ailleurs, la création d’une APC a été envisagée alors qu’elle se situe dans une </w:t>
      </w:r>
      <w:r w:rsidR="00ED4337">
        <w:rPr>
          <w:lang w:val="fr-BE"/>
        </w:rPr>
        <w:t>AP</w:t>
      </w:r>
      <w:r w:rsidR="00220410">
        <w:rPr>
          <w:lang w:val="fr-BE"/>
        </w:rPr>
        <w:t xml:space="preserve"> qui</w:t>
      </w:r>
      <w:r w:rsidRPr="008F47A6">
        <w:rPr>
          <w:lang w:val="fr-BE"/>
        </w:rPr>
        <w:t xml:space="preserve"> ne dispose pas de gestionnaire. La solution d’un </w:t>
      </w:r>
      <w:r w:rsidR="00ED4337" w:rsidRPr="008E3E90">
        <w:rPr>
          <w:lang w:val="fr-BE"/>
        </w:rPr>
        <w:t>transfert</w:t>
      </w:r>
      <w:r w:rsidRPr="008F47A6">
        <w:rPr>
          <w:lang w:val="fr-BE"/>
        </w:rPr>
        <w:t xml:space="preserve"> de gestion </w:t>
      </w:r>
      <w:r w:rsidR="00ED4337">
        <w:rPr>
          <w:lang w:val="fr-BE"/>
        </w:rPr>
        <w:t>est</w:t>
      </w:r>
      <w:r w:rsidRPr="008F47A6">
        <w:rPr>
          <w:lang w:val="fr-BE"/>
        </w:rPr>
        <w:t xml:space="preserve"> considéré</w:t>
      </w:r>
      <w:r w:rsidR="008D5340" w:rsidRPr="008F47A6">
        <w:rPr>
          <w:lang w:val="fr-BE"/>
        </w:rPr>
        <w:t>e</w:t>
      </w:r>
      <w:r w:rsidRPr="008F47A6">
        <w:rPr>
          <w:lang w:val="fr-BE"/>
        </w:rPr>
        <w:t xml:space="preserve">. </w:t>
      </w:r>
      <w:r w:rsidR="00E74D69" w:rsidRPr="008F47A6">
        <w:rPr>
          <w:lang w:val="fr-FR"/>
        </w:rPr>
        <w:t>De même</w:t>
      </w:r>
      <w:r w:rsidR="00571607" w:rsidRPr="008F47A6">
        <w:rPr>
          <w:lang w:val="fr-FR"/>
        </w:rPr>
        <w:t xml:space="preserve">, la </w:t>
      </w:r>
      <w:r w:rsidR="00571607" w:rsidRPr="008E3E90">
        <w:rPr>
          <w:lang w:val="fr-FR"/>
        </w:rPr>
        <w:t>création</w:t>
      </w:r>
      <w:r w:rsidR="00571607" w:rsidRPr="008F47A6">
        <w:rPr>
          <w:lang w:val="fr-FR"/>
        </w:rPr>
        <w:t xml:space="preserve"> de l’une des APC a </w:t>
      </w:r>
      <w:r w:rsidR="00571607" w:rsidRPr="008E3E90">
        <w:rPr>
          <w:lang w:val="fr-FR"/>
        </w:rPr>
        <w:t>é</w:t>
      </w:r>
      <w:r w:rsidR="00571607" w:rsidRPr="008F47A6">
        <w:rPr>
          <w:lang w:val="fr-FR"/>
        </w:rPr>
        <w:t>té</w:t>
      </w:r>
      <w:r w:rsidR="00571607" w:rsidRPr="008E3E90">
        <w:rPr>
          <w:lang w:val="fr-FR"/>
        </w:rPr>
        <w:t xml:space="preserve"> compromise durant un temps, car </w:t>
      </w:r>
      <w:r w:rsidR="00220410">
        <w:rPr>
          <w:lang w:val="fr-FR"/>
        </w:rPr>
        <w:t xml:space="preserve">le site adjacent </w:t>
      </w:r>
      <w:r w:rsidR="00571607" w:rsidRPr="008E3E90">
        <w:rPr>
          <w:lang w:val="fr-FR"/>
        </w:rPr>
        <w:t>bénéficiant déjà du statut de Réserve Naturelle, il a été question d’étendre ce s</w:t>
      </w:r>
      <w:r w:rsidR="00571607" w:rsidRPr="008F47A6">
        <w:rPr>
          <w:lang w:val="fr-FR"/>
        </w:rPr>
        <w:t xml:space="preserve">tatut </w:t>
      </w:r>
      <w:r w:rsidR="00220410">
        <w:rPr>
          <w:lang w:val="fr-FR"/>
        </w:rPr>
        <w:t xml:space="preserve">au site au lieu de le donner </w:t>
      </w:r>
      <w:r w:rsidR="00571607" w:rsidRPr="008F47A6">
        <w:rPr>
          <w:lang w:val="fr-FR"/>
        </w:rPr>
        <w:t xml:space="preserve">une catégorie </w:t>
      </w:r>
      <w:r w:rsidR="00220410">
        <w:rPr>
          <w:lang w:val="fr-FR"/>
        </w:rPr>
        <w:t>d</w:t>
      </w:r>
      <w:r w:rsidR="00571607" w:rsidRPr="008F47A6">
        <w:rPr>
          <w:lang w:val="fr-FR"/>
        </w:rPr>
        <w:t>’APC. Il a été finalement décidé de poursuivre dans le s</w:t>
      </w:r>
      <w:r w:rsidR="00571607" w:rsidRPr="008E3E90">
        <w:rPr>
          <w:lang w:val="fr-FR"/>
        </w:rPr>
        <w:t xml:space="preserve">ens de la création de l’APC. </w:t>
      </w:r>
    </w:p>
    <w:p w14:paraId="2800AC3F" w14:textId="77777777" w:rsidR="008D09D3" w:rsidRPr="008D09D3" w:rsidRDefault="008D09D3" w:rsidP="008D09D3">
      <w:pPr>
        <w:pStyle w:val="Paragraphedeliste"/>
        <w:numPr>
          <w:ilvl w:val="0"/>
          <w:numId w:val="0"/>
        </w:numPr>
        <w:ind w:left="720"/>
        <w:rPr>
          <w:lang w:val="fr-FR"/>
        </w:rPr>
      </w:pPr>
    </w:p>
    <w:p w14:paraId="719E4635" w14:textId="240C96E8" w:rsidR="004C4716" w:rsidRPr="008F47A6" w:rsidRDefault="004C4716">
      <w:pPr>
        <w:pStyle w:val="Paragraphedeliste"/>
        <w:numPr>
          <w:ilvl w:val="0"/>
          <w:numId w:val="14"/>
        </w:numPr>
      </w:pPr>
      <w:r w:rsidRPr="008F47A6">
        <w:rPr>
          <w:u w:val="single"/>
        </w:rPr>
        <w:t>Compréhension du projet :</w:t>
      </w:r>
      <w:r w:rsidRPr="008E3E90">
        <w:t xml:space="preserve"> </w:t>
      </w:r>
      <w:r w:rsidR="00201810" w:rsidRPr="008E3E90">
        <w:t xml:space="preserve">Les objectifs </w:t>
      </w:r>
      <w:r w:rsidR="00680579" w:rsidRPr="008E3E90">
        <w:t xml:space="preserve">et la stratégie </w:t>
      </w:r>
      <w:r w:rsidR="00201810" w:rsidRPr="008E3E90">
        <w:t>du projet sont souvent mal connus des parties prenantes</w:t>
      </w:r>
      <w:r w:rsidR="00680579" w:rsidRPr="008E3E90">
        <w:rPr>
          <w:rStyle w:val="Appelnotedebasdep"/>
        </w:rPr>
        <w:footnoteReference w:id="27"/>
      </w:r>
      <w:r w:rsidR="00201810" w:rsidRPr="008E3E90">
        <w:t xml:space="preserve"> et le concept d’APC encore flou</w:t>
      </w:r>
      <w:r w:rsidR="00680579" w:rsidRPr="008E3E90">
        <w:t>, notamment pour les membres du CER APAA</w:t>
      </w:r>
      <w:r w:rsidR="00680579" w:rsidRPr="008E3E90">
        <w:rPr>
          <w:rStyle w:val="Appelnotedebasdep"/>
        </w:rPr>
        <w:footnoteReference w:id="28"/>
      </w:r>
      <w:r w:rsidR="00680579" w:rsidRPr="008E3E90">
        <w:t xml:space="preserve">. La communication autour du projet tirerait profit d’un schéma présentant les </w:t>
      </w:r>
      <w:r w:rsidR="00680579" w:rsidRPr="008F47A6">
        <w:t xml:space="preserve">problèmes et solutions apportées par le projet et d’une théorie du changement. Par ailleurs, </w:t>
      </w:r>
      <w:r w:rsidR="00680579" w:rsidRPr="008F47A6">
        <w:rPr>
          <w:lang w:val="fr-FR"/>
        </w:rPr>
        <w:lastRenderedPageBreak/>
        <w:t>plus de renforcement de capacités sur les procédures de mise en place des APC et leurs fonctionnements</w:t>
      </w:r>
      <w:r w:rsidR="00680579" w:rsidRPr="008E3E90">
        <w:rPr>
          <w:lang w:val="fr-FR"/>
        </w:rPr>
        <w:t xml:space="preserve"> sont demandés par le CER-APAA. </w:t>
      </w:r>
    </w:p>
    <w:p w14:paraId="156DE66A" w14:textId="55981A91" w:rsidR="00E615D9" w:rsidRPr="00FD5762" w:rsidRDefault="00E615D9" w:rsidP="00D85DDD">
      <w:pPr>
        <w:rPr>
          <w:sz w:val="20"/>
          <w:lang w:val="fr-FR"/>
        </w:rPr>
      </w:pPr>
    </w:p>
    <w:p w14:paraId="775B2906" w14:textId="0AF529C1" w:rsidR="00D85DDD" w:rsidRPr="008F47A6" w:rsidRDefault="00D85DDD"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Cs/>
          <w:color w:val="2F5496"/>
          <w:lang w:val="fr-FR"/>
        </w:rPr>
      </w:pPr>
      <w:r w:rsidRPr="008F47A6">
        <w:rPr>
          <w:b/>
          <w:color w:val="2F5496"/>
          <w:u w:val="single"/>
          <w:lang w:val="fr-FR"/>
        </w:rPr>
        <w:t>Conclusion question évaluative 2 :</w:t>
      </w:r>
      <w:r w:rsidR="00ED4337" w:rsidRPr="008F47A6">
        <w:rPr>
          <w:b/>
          <w:color w:val="2F5496"/>
          <w:u w:val="single"/>
          <w:lang w:val="fr-FR"/>
        </w:rPr>
        <w:t xml:space="preserve"> </w:t>
      </w:r>
      <w:r w:rsidR="00ED4337" w:rsidRPr="008F47A6">
        <w:rPr>
          <w:bCs/>
          <w:color w:val="2F5496"/>
          <w:lang w:val="fr-FR"/>
        </w:rPr>
        <w:t>Après un lancement de projet lent</w:t>
      </w:r>
      <w:r w:rsidR="008E3E90" w:rsidRPr="008F47A6">
        <w:rPr>
          <w:bCs/>
          <w:color w:val="2F5496"/>
          <w:lang w:val="fr-FR"/>
        </w:rPr>
        <w:t xml:space="preserve">, le projet semble aujourd’hui rattraper son retard. </w:t>
      </w:r>
      <w:r w:rsidR="002720A5">
        <w:rPr>
          <w:bCs/>
          <w:color w:val="2F5496"/>
          <w:lang w:val="fr-FR"/>
        </w:rPr>
        <w:t>L</w:t>
      </w:r>
      <w:r w:rsidR="002720A5" w:rsidRPr="002720A5">
        <w:rPr>
          <w:bCs/>
          <w:color w:val="2F5496"/>
          <w:lang w:val="fr-FR"/>
        </w:rPr>
        <w:t>es progrès accomplis dans la réalisation de</w:t>
      </w:r>
      <w:r w:rsidR="00E7346B">
        <w:rPr>
          <w:bCs/>
          <w:color w:val="2F5496"/>
          <w:lang w:val="fr-FR"/>
        </w:rPr>
        <w:t>s</w:t>
      </w:r>
      <w:r w:rsidR="002720A5" w:rsidRPr="002720A5">
        <w:rPr>
          <w:bCs/>
          <w:color w:val="2F5496"/>
          <w:lang w:val="fr-FR"/>
        </w:rPr>
        <w:t xml:space="preserve"> </w:t>
      </w:r>
      <w:r w:rsidR="00E7346B">
        <w:rPr>
          <w:bCs/>
          <w:color w:val="2F5496"/>
          <w:lang w:val="fr-FR"/>
        </w:rPr>
        <w:t>5</w:t>
      </w:r>
      <w:r w:rsidR="002720A5" w:rsidRPr="002720A5">
        <w:rPr>
          <w:bCs/>
          <w:color w:val="2F5496"/>
          <w:lang w:val="fr-FR"/>
        </w:rPr>
        <w:t xml:space="preserve"> indicateurs de niveau objectif sont satisfaisants</w:t>
      </w:r>
      <w:r w:rsidR="002720A5">
        <w:rPr>
          <w:bCs/>
          <w:color w:val="2F5496"/>
          <w:lang w:val="fr-FR"/>
        </w:rPr>
        <w:t xml:space="preserve">. </w:t>
      </w:r>
      <w:r w:rsidR="002720A5" w:rsidRPr="002720A5">
        <w:rPr>
          <w:bCs/>
          <w:color w:val="2F5496"/>
          <w:lang w:val="fr-FR"/>
        </w:rPr>
        <w:t xml:space="preserve">Au niveau des résultats, les progrès ne peuvent pas être évalués </w:t>
      </w:r>
      <w:r w:rsidR="002720A5">
        <w:rPr>
          <w:bCs/>
          <w:color w:val="2F5496"/>
          <w:lang w:val="fr-FR"/>
        </w:rPr>
        <w:t>pour</w:t>
      </w:r>
      <w:r w:rsidR="002720A5" w:rsidRPr="002720A5">
        <w:rPr>
          <w:bCs/>
          <w:color w:val="2F5496"/>
          <w:lang w:val="fr-FR"/>
        </w:rPr>
        <w:t xml:space="preserve"> 2 indicateurs. Parmi les 7 autres indicateurs, les progrès sont satisfaisants (ou mieux) pour 5 indicateurs et insatisfaisants pour 2 indicateurs.</w:t>
      </w:r>
      <w:r w:rsidR="002720A5">
        <w:rPr>
          <w:bCs/>
          <w:color w:val="2F5496"/>
          <w:lang w:val="fr-FR"/>
        </w:rPr>
        <w:t xml:space="preserve"> </w:t>
      </w:r>
      <w:r w:rsidR="008E3E90" w:rsidRPr="008F47A6">
        <w:rPr>
          <w:bCs/>
          <w:color w:val="2F5496"/>
          <w:lang w:val="fr-FR"/>
        </w:rPr>
        <w:t>La composante 1 est sur la bonne voie. La composante 2 est, elle, confrontée à plus d’obstacles. Les problèmes administratifs ont déjà été portés à la connaissance du PNUD qui s’est engagé à prendre les mesures nécessaires</w:t>
      </w:r>
      <w:r w:rsidR="00CC4105">
        <w:rPr>
          <w:bCs/>
          <w:color w:val="2F5496"/>
          <w:lang w:val="fr-FR"/>
        </w:rPr>
        <w:t xml:space="preserve">, même si le problème n’est aujourd’hui pas complètement </w:t>
      </w:r>
      <w:r w:rsidR="00E7346B">
        <w:rPr>
          <w:bCs/>
          <w:color w:val="2F5496"/>
          <w:lang w:val="fr-FR"/>
        </w:rPr>
        <w:t>résolu</w:t>
      </w:r>
      <w:r w:rsidR="008E3E90" w:rsidRPr="008F47A6">
        <w:rPr>
          <w:bCs/>
          <w:color w:val="2F5496"/>
          <w:lang w:val="fr-FR"/>
        </w:rPr>
        <w:t xml:space="preserve">. Les problèmes de recrutement du coordinateur de projet et de l’AAF mais aussi du personnel de </w:t>
      </w:r>
      <w:proofErr w:type="spellStart"/>
      <w:r w:rsidR="008E3E90" w:rsidRPr="008F47A6">
        <w:rPr>
          <w:bCs/>
          <w:color w:val="2F5496"/>
          <w:lang w:val="fr-FR"/>
        </w:rPr>
        <w:t>Tany</w:t>
      </w:r>
      <w:proofErr w:type="spellEnd"/>
      <w:r w:rsidR="008E3E90" w:rsidRPr="008F47A6">
        <w:rPr>
          <w:bCs/>
          <w:color w:val="2F5496"/>
          <w:lang w:val="fr-FR"/>
        </w:rPr>
        <w:t xml:space="preserve"> </w:t>
      </w:r>
      <w:proofErr w:type="spellStart"/>
      <w:r w:rsidR="008E3E90" w:rsidRPr="008F47A6">
        <w:rPr>
          <w:bCs/>
          <w:color w:val="2F5496"/>
          <w:lang w:val="fr-FR"/>
        </w:rPr>
        <w:t>Meva</w:t>
      </w:r>
      <w:proofErr w:type="spellEnd"/>
      <w:r w:rsidR="008E3E90" w:rsidRPr="008F47A6">
        <w:rPr>
          <w:bCs/>
          <w:color w:val="2F5496"/>
          <w:lang w:val="fr-FR"/>
        </w:rPr>
        <w:t xml:space="preserve"> ont clairement ralenti les progrès mais sont aujourd’hui résolus. Il n’en reste pas moins que le projet est toujours en proie à des problèmes matériels, des problèmes de motivations des parties prenantes (DSA), des problèmes opérationnels liés à l’insécurité et l’accès </w:t>
      </w:r>
      <w:r w:rsidR="00D84524">
        <w:rPr>
          <w:bCs/>
          <w:color w:val="2F5496"/>
          <w:lang w:val="fr-FR"/>
        </w:rPr>
        <w:t>à</w:t>
      </w:r>
      <w:r w:rsidR="00FD1DF1">
        <w:rPr>
          <w:bCs/>
          <w:color w:val="2F5496"/>
          <w:lang w:val="fr-FR"/>
        </w:rPr>
        <w:t xml:space="preserve"> une</w:t>
      </w:r>
      <w:r w:rsidR="008E3E90" w:rsidRPr="008F47A6">
        <w:rPr>
          <w:bCs/>
          <w:color w:val="2F5496"/>
          <w:lang w:val="fr-FR"/>
        </w:rPr>
        <w:t xml:space="preserve"> APC et une compréhension limitée des objectifs du projet</w:t>
      </w:r>
      <w:r w:rsidR="00FD1DF1">
        <w:rPr>
          <w:bCs/>
          <w:color w:val="2F5496"/>
          <w:lang w:val="fr-FR"/>
        </w:rPr>
        <w:t xml:space="preserve"> par cert</w:t>
      </w:r>
      <w:r w:rsidR="00375E72">
        <w:rPr>
          <w:bCs/>
          <w:color w:val="2F5496"/>
          <w:lang w:val="fr-FR"/>
        </w:rPr>
        <w:t>ain</w:t>
      </w:r>
      <w:r w:rsidR="00FD1DF1">
        <w:rPr>
          <w:bCs/>
          <w:color w:val="2F5496"/>
          <w:lang w:val="fr-FR"/>
        </w:rPr>
        <w:t>es parties prenantes</w:t>
      </w:r>
      <w:r w:rsidR="008E3E90" w:rsidRPr="008F47A6">
        <w:rPr>
          <w:bCs/>
          <w:color w:val="2F5496"/>
          <w:lang w:val="fr-FR"/>
        </w:rPr>
        <w:t xml:space="preserve">. </w:t>
      </w:r>
    </w:p>
    <w:p w14:paraId="42E9FAA9" w14:textId="77777777" w:rsidR="00D85DDD" w:rsidRPr="008F47A6" w:rsidRDefault="00D85DDD" w:rsidP="00D85DDD">
      <w:pPr>
        <w:rPr>
          <w:lang w:val="fr-FR"/>
        </w:rPr>
      </w:pPr>
    </w:p>
    <w:p w14:paraId="64A7B234" w14:textId="77777777" w:rsidR="007800ED" w:rsidRDefault="007800ED">
      <w:pPr>
        <w:spacing w:before="0" w:after="200"/>
        <w:jc w:val="left"/>
        <w:rPr>
          <w:rFonts w:eastAsiaTheme="majorEastAsia" w:cstheme="majorBidi"/>
          <w:b/>
          <w:color w:val="2F5496"/>
          <w:sz w:val="40"/>
          <w:szCs w:val="26"/>
          <w:lang w:val="fr-FR"/>
        </w:rPr>
      </w:pPr>
      <w:r>
        <w:rPr>
          <w:lang w:val="fr-FR"/>
        </w:rPr>
        <w:br w:type="page"/>
      </w:r>
    </w:p>
    <w:p w14:paraId="3B4E95BB" w14:textId="1B5D4834" w:rsidR="005C550F" w:rsidRDefault="005C550F" w:rsidP="005C550F">
      <w:pPr>
        <w:pStyle w:val="Titre2"/>
        <w:rPr>
          <w:lang w:val="fr-FR"/>
        </w:rPr>
      </w:pPr>
      <w:bookmarkStart w:id="21" w:name="_Toc31122559"/>
      <w:r w:rsidRPr="005C550F">
        <w:rPr>
          <w:lang w:val="fr-FR"/>
        </w:rPr>
        <w:lastRenderedPageBreak/>
        <w:t>Mise en œuvre du projet et gestion réactive</w:t>
      </w:r>
      <w:bookmarkEnd w:id="21"/>
      <w:r w:rsidRPr="005C550F">
        <w:rPr>
          <w:lang w:val="fr-FR"/>
        </w:rPr>
        <w:t xml:space="preserve"> </w:t>
      </w:r>
    </w:p>
    <w:p w14:paraId="1AB151B3" w14:textId="2C7EB96A" w:rsidR="00D85DDD" w:rsidRPr="008F47A6" w:rsidRDefault="00D85DDD" w:rsidP="00D85DDD">
      <w:pPr>
        <w:rPr>
          <w:b/>
          <w:bCs/>
          <w:lang w:val="fr-FR"/>
        </w:rPr>
      </w:pPr>
      <w:r w:rsidRPr="008F47A6">
        <w:rPr>
          <w:b/>
          <w:bCs/>
          <w:lang w:val="fr-FR"/>
        </w:rPr>
        <w:t>Q3 : le projet a-t-il été mis en œuvre de manière efficace, rentable et a-t-il été en mesure de s'adapter aux conditions en constante évolution ? Dans quelle mesure les systèmes de suivi et d’évaluation au niveau du projet, les rapports et les communications du projet soutiennent-ils la mise en œuvre du projet ?</w:t>
      </w:r>
    </w:p>
    <w:p w14:paraId="50D2E99E" w14:textId="28A792BD" w:rsidR="005C550F" w:rsidRDefault="005C550F" w:rsidP="005C550F">
      <w:pPr>
        <w:pStyle w:val="Titre3"/>
        <w:rPr>
          <w:lang w:val="fr-FR"/>
        </w:rPr>
      </w:pPr>
      <w:r w:rsidRPr="005C550F">
        <w:rPr>
          <w:lang w:val="fr-FR"/>
        </w:rPr>
        <w:t xml:space="preserve">Dispositions relatives à la gestion </w:t>
      </w:r>
    </w:p>
    <w:p w14:paraId="3FB52E8F" w14:textId="0DFB8ED4" w:rsidR="00D85DDD" w:rsidRPr="008F47A6" w:rsidRDefault="00D85DDD" w:rsidP="008F47A6">
      <w:pPr>
        <w:rPr>
          <w:i/>
          <w:iCs/>
          <w:lang w:val="fr-FR"/>
        </w:rPr>
      </w:pPr>
      <w:r w:rsidRPr="008F47A6">
        <w:rPr>
          <w:i/>
          <w:iCs/>
          <w:lang w:val="fr-FR"/>
        </w:rPr>
        <w:t>Q : Quelle est l’efficacité des mécanismes de gestion ?</w:t>
      </w:r>
    </w:p>
    <w:p w14:paraId="0007015B" w14:textId="4B271816" w:rsidR="00F37658" w:rsidRPr="008F47A6" w:rsidRDefault="00337061" w:rsidP="008F47A6">
      <w:pPr>
        <w:rPr>
          <w:rFonts w:eastAsia="Arial Unicode MS" w:cs="Arial"/>
          <w:bCs/>
          <w:iCs/>
          <w:lang w:val="fr-FR" w:bidi="en-US"/>
        </w:rPr>
      </w:pPr>
      <w:r w:rsidRPr="008F47A6">
        <w:rPr>
          <w:lang w:val="fr-FR"/>
        </w:rPr>
        <w:t>Le projet est mis en œuvre nationalement selon le manuel des normes et procédures de la modalité d’exécution nationale</w:t>
      </w:r>
      <w:r w:rsidR="004D737A">
        <w:rPr>
          <w:lang w:val="fr-FR"/>
        </w:rPr>
        <w:t xml:space="preserve"> (NEM)</w:t>
      </w:r>
      <w:r w:rsidRPr="008F47A6">
        <w:rPr>
          <w:rStyle w:val="Appelnotedebasdep"/>
          <w:lang w:val="fr-FR"/>
        </w:rPr>
        <w:footnoteReference w:id="29"/>
      </w:r>
      <w:r w:rsidRPr="008F47A6">
        <w:rPr>
          <w:lang w:val="fr-FR"/>
        </w:rPr>
        <w:t xml:space="preserve">. </w:t>
      </w:r>
      <w:r w:rsidR="00F37658" w:rsidRPr="008F47A6">
        <w:rPr>
          <w:lang w:val="fr-FR"/>
        </w:rPr>
        <w:t>Au démarrage, l’équipe de projet ne maitrisait pas cette modalité, ce qui a rendu les tâches difficiles notamment en termes de passation de marchés et gestion financière, et a ralenti la prise de décision</w:t>
      </w:r>
      <w:r w:rsidR="00F37658" w:rsidRPr="008F47A6">
        <w:rPr>
          <w:rStyle w:val="Appelnotedebasdep"/>
          <w:lang w:val="fr-FR"/>
        </w:rPr>
        <w:footnoteReference w:id="30"/>
      </w:r>
      <w:r w:rsidR="00F37658" w:rsidRPr="008F47A6">
        <w:rPr>
          <w:lang w:val="fr-FR"/>
        </w:rPr>
        <w:t xml:space="preserve">. </w:t>
      </w:r>
      <w:r w:rsidR="00307CC4">
        <w:rPr>
          <w:lang w:val="fr-FR"/>
        </w:rPr>
        <w:t>En particulier, malgré la formation HACT</w:t>
      </w:r>
      <w:r w:rsidR="00307CC4">
        <w:rPr>
          <w:rStyle w:val="Appelnotedebasdep"/>
          <w:lang w:val="fr-FR"/>
        </w:rPr>
        <w:footnoteReference w:id="31"/>
      </w:r>
      <w:r w:rsidR="00307CC4">
        <w:rPr>
          <w:lang w:val="fr-FR"/>
        </w:rPr>
        <w:t xml:space="preserve"> qui a été donnée aux organismes de mise en œuvre </w:t>
      </w:r>
      <w:r w:rsidR="00E7346B">
        <w:rPr>
          <w:lang w:val="fr-FR"/>
        </w:rPr>
        <w:t xml:space="preserve">(MEDD et UCP) </w:t>
      </w:r>
      <w:r w:rsidR="00307CC4">
        <w:rPr>
          <w:lang w:val="fr-FR"/>
        </w:rPr>
        <w:t xml:space="preserve">en 2017, la maîtrise des procédures de transferts de fonds semble encore problématique. </w:t>
      </w:r>
    </w:p>
    <w:p w14:paraId="3FBD110C" w14:textId="429E9164" w:rsidR="00E22A39" w:rsidRPr="008F47A6" w:rsidRDefault="001E3813" w:rsidP="008F47A6">
      <w:pPr>
        <w:rPr>
          <w:lang w:val="fr-FR"/>
        </w:rPr>
      </w:pPr>
      <w:r w:rsidRPr="008F47A6">
        <w:rPr>
          <w:lang w:val="fr-FR"/>
        </w:rPr>
        <w:t>Tel que présenté dans le document de projet ainsi que dans l’</w:t>
      </w:r>
      <w:r w:rsidR="00E22A39" w:rsidRPr="008F47A6">
        <w:rPr>
          <w:lang w:val="fr-FR"/>
        </w:rPr>
        <w:t>organigramme</w:t>
      </w:r>
      <w:r w:rsidRPr="008F47A6">
        <w:rPr>
          <w:lang w:val="fr-FR"/>
        </w:rPr>
        <w:t xml:space="preserve"> du projet (Avril 2019), la mise en œuvre du projet repose sur :</w:t>
      </w:r>
      <w:r w:rsidR="00337061" w:rsidRPr="008F47A6">
        <w:rPr>
          <w:lang w:val="fr-FR"/>
        </w:rPr>
        <w:t xml:space="preserve"> le PNUD qui assure l’appui technique et l’assurance qualité depuis son bureau pays, </w:t>
      </w:r>
      <w:r w:rsidR="00C721FE">
        <w:rPr>
          <w:lang w:val="fr-FR"/>
        </w:rPr>
        <w:t>l’</w:t>
      </w:r>
      <w:r w:rsidR="00337061" w:rsidRPr="008F47A6">
        <w:rPr>
          <w:lang w:val="fr-FR"/>
        </w:rPr>
        <w:t>UCP</w:t>
      </w:r>
      <w:r w:rsidR="00E22A39" w:rsidRPr="008F47A6">
        <w:rPr>
          <w:lang w:val="fr-FR"/>
        </w:rPr>
        <w:t xml:space="preserve"> qui assure l’expertise, et les partenaires de mise en œuvre composés par </w:t>
      </w:r>
      <w:r w:rsidR="004D737A" w:rsidRPr="008F47A6">
        <w:rPr>
          <w:lang w:val="fr-FR"/>
        </w:rPr>
        <w:t xml:space="preserve">l’équipe technique du MEDD/DREDD </w:t>
      </w:r>
      <w:r w:rsidR="004D737A">
        <w:rPr>
          <w:lang w:val="fr-FR"/>
        </w:rPr>
        <w:t xml:space="preserve">et </w:t>
      </w:r>
      <w:r w:rsidR="00E22A39" w:rsidRPr="008F47A6">
        <w:rPr>
          <w:lang w:val="fr-FR"/>
        </w:rPr>
        <w:t xml:space="preserve">les équipes de </w:t>
      </w:r>
      <w:proofErr w:type="spellStart"/>
      <w:r w:rsidR="00E22A39" w:rsidRPr="008F47A6">
        <w:rPr>
          <w:lang w:val="fr-FR"/>
        </w:rPr>
        <w:t>Tany</w:t>
      </w:r>
      <w:proofErr w:type="spellEnd"/>
      <w:r w:rsidR="00E22A39" w:rsidRPr="008F47A6">
        <w:rPr>
          <w:lang w:val="fr-FR"/>
        </w:rPr>
        <w:t xml:space="preserve"> </w:t>
      </w:r>
      <w:proofErr w:type="spellStart"/>
      <w:r w:rsidR="00E22A39" w:rsidRPr="008F47A6">
        <w:rPr>
          <w:lang w:val="fr-FR"/>
        </w:rPr>
        <w:t>Meva</w:t>
      </w:r>
      <w:proofErr w:type="spellEnd"/>
      <w:r w:rsidR="004D737A">
        <w:rPr>
          <w:lang w:val="fr-FR"/>
        </w:rPr>
        <w:t xml:space="preserve"> et</w:t>
      </w:r>
      <w:r w:rsidR="00E22A39" w:rsidRPr="008F47A6">
        <w:rPr>
          <w:lang w:val="fr-FR"/>
        </w:rPr>
        <w:t xml:space="preserve"> de SAGE. </w:t>
      </w:r>
      <w:r w:rsidR="002F7657" w:rsidRPr="008F47A6">
        <w:rPr>
          <w:lang w:val="fr-FR"/>
        </w:rPr>
        <w:t>Selon le document de projet</w:t>
      </w:r>
      <w:r w:rsidR="00E22A39" w:rsidRPr="008F47A6">
        <w:rPr>
          <w:lang w:val="fr-FR"/>
        </w:rPr>
        <w:t>, par</w:t>
      </w:r>
      <w:r w:rsidR="00E22A39" w:rsidRPr="008F47A6">
        <w:rPr>
          <w:i/>
          <w:iCs/>
          <w:color w:val="FF0000"/>
          <w:lang w:val="fr-FR"/>
        </w:rPr>
        <w:t xml:space="preserve"> </w:t>
      </w:r>
      <w:r w:rsidR="00E22A39" w:rsidRPr="008F47A6">
        <w:rPr>
          <w:lang w:val="fr-FR"/>
        </w:rPr>
        <w:t>le biais de la Direction de l’intégration de la dimension environnementale (DIDE), le ME</w:t>
      </w:r>
      <w:r w:rsidR="00A02F63" w:rsidRPr="008F47A6">
        <w:rPr>
          <w:lang w:val="fr-FR"/>
        </w:rPr>
        <w:t>DD</w:t>
      </w:r>
      <w:r w:rsidR="00E22A39" w:rsidRPr="008F47A6">
        <w:rPr>
          <w:lang w:val="fr-FR"/>
        </w:rPr>
        <w:t xml:space="preserve"> fourni des orientations générales et appuiera la mise en œuvre de toutes les activités du projet dans le cadre de la composante 1 et la supervision technique / contractuelle et l’appui aux activités de la composante 2. Enfin le Comité de Pilotage assure la direction stratégique du projet. </w:t>
      </w:r>
    </w:p>
    <w:p w14:paraId="1FC330D3" w14:textId="63A11D6B" w:rsidR="002F7657" w:rsidRPr="008F47A6" w:rsidRDefault="00BA0CA6" w:rsidP="008F47A6">
      <w:pPr>
        <w:rPr>
          <w:lang w:val="fr-FR"/>
        </w:rPr>
      </w:pPr>
      <w:r>
        <w:rPr>
          <w:lang w:val="fr-FR"/>
        </w:rPr>
        <w:t xml:space="preserve">Malgré cela, il </w:t>
      </w:r>
      <w:r w:rsidR="00E22A39" w:rsidRPr="008F47A6">
        <w:rPr>
          <w:lang w:val="fr-FR"/>
        </w:rPr>
        <w:t>ressort de l’évaluation à mi-parcours que les r</w:t>
      </w:r>
      <w:r w:rsidR="002F7657" w:rsidRPr="008F47A6">
        <w:rPr>
          <w:lang w:val="fr-FR"/>
        </w:rPr>
        <w:t>ô</w:t>
      </w:r>
      <w:r w:rsidR="00E22A39" w:rsidRPr="008F47A6">
        <w:rPr>
          <w:lang w:val="fr-FR"/>
        </w:rPr>
        <w:t xml:space="preserve">les et responsabilités des différents acteurs sont peu clairs. </w:t>
      </w:r>
      <w:r w:rsidR="002F7657" w:rsidRPr="008F47A6">
        <w:rPr>
          <w:lang w:val="fr-FR"/>
        </w:rPr>
        <w:t>En effet, le rôle de l’UCP et du ME</w:t>
      </w:r>
      <w:r w:rsidR="00A02F63" w:rsidRPr="008F47A6">
        <w:rPr>
          <w:lang w:val="fr-FR"/>
        </w:rPr>
        <w:t>DD</w:t>
      </w:r>
      <w:r w:rsidR="002F7657" w:rsidRPr="008F47A6">
        <w:rPr>
          <w:lang w:val="fr-FR"/>
        </w:rPr>
        <w:t xml:space="preserve"> dans la mise en œuvre de la Composante 1 n’est pas toujours clair, entrainant des retards dans les activités (</w:t>
      </w:r>
      <w:proofErr w:type="spellStart"/>
      <w:r w:rsidR="002F7657" w:rsidRPr="008F47A6">
        <w:rPr>
          <w:lang w:val="fr-FR"/>
        </w:rPr>
        <w:t>TdR</w:t>
      </w:r>
      <w:proofErr w:type="spellEnd"/>
      <w:r w:rsidR="002F7657" w:rsidRPr="008F47A6">
        <w:rPr>
          <w:lang w:val="fr-FR"/>
        </w:rPr>
        <w:t>, leadership, rapportage, etc.) au cours de la première année d’exécution du projet</w:t>
      </w:r>
      <w:r w:rsidR="002F7657" w:rsidRPr="008F47A6">
        <w:rPr>
          <w:vertAlign w:val="superscript"/>
        </w:rPr>
        <w:footnoteReference w:id="32"/>
      </w:r>
      <w:r w:rsidR="002F7657" w:rsidRPr="008F47A6">
        <w:rPr>
          <w:lang w:val="fr-FR"/>
        </w:rPr>
        <w:t xml:space="preserve">. D’ici </w:t>
      </w:r>
      <w:r w:rsidR="00971B89" w:rsidRPr="008F47A6">
        <w:rPr>
          <w:lang w:val="fr-FR"/>
        </w:rPr>
        <w:t>une année</w:t>
      </w:r>
      <w:r w:rsidR="002F7657" w:rsidRPr="008F47A6">
        <w:rPr>
          <w:lang w:val="fr-FR"/>
        </w:rPr>
        <w:t>, les consultants de l’UCP devraient être remplacé</w:t>
      </w:r>
      <w:r w:rsidR="00145B0E" w:rsidRPr="008F47A6">
        <w:rPr>
          <w:lang w:val="fr-FR"/>
        </w:rPr>
        <w:t>s</w:t>
      </w:r>
      <w:r w:rsidR="002F7657" w:rsidRPr="008F47A6">
        <w:rPr>
          <w:lang w:val="fr-FR"/>
        </w:rPr>
        <w:t xml:space="preserve"> par des fonctionnaires du ministère, celui-ci étant l’agence de mise en œuvre. Ce plan n’est cependant pas encore opérationnel. </w:t>
      </w:r>
    </w:p>
    <w:p w14:paraId="3111C5E8" w14:textId="36F27228" w:rsidR="00E22A39" w:rsidRPr="008F47A6" w:rsidRDefault="002F7657" w:rsidP="008F47A6">
      <w:pPr>
        <w:rPr>
          <w:lang w:val="fr-FR"/>
        </w:rPr>
      </w:pPr>
      <w:r w:rsidRPr="008F47A6">
        <w:rPr>
          <w:lang w:val="fr-FR"/>
        </w:rPr>
        <w:t>De plus, le projet a été confronté à des changements de personnel (notamment du Coordinateur de projet et de l’</w:t>
      </w:r>
      <w:r w:rsidR="004D737A">
        <w:rPr>
          <w:lang w:val="fr-FR"/>
        </w:rPr>
        <w:t>AAF</w:t>
      </w:r>
      <w:r w:rsidR="00596637" w:rsidRPr="008F47A6">
        <w:rPr>
          <w:lang w:val="fr-FR"/>
        </w:rPr>
        <w:t>)</w:t>
      </w:r>
      <w:r w:rsidRPr="008F47A6">
        <w:rPr>
          <w:lang w:val="fr-FR"/>
        </w:rPr>
        <w:t xml:space="preserve">. </w:t>
      </w:r>
      <w:r w:rsidR="004D737A">
        <w:rPr>
          <w:lang w:val="fr-FR"/>
        </w:rPr>
        <w:t>Comme déjà mentionné, l</w:t>
      </w:r>
      <w:r w:rsidRPr="008F47A6">
        <w:rPr>
          <w:lang w:val="fr-FR"/>
        </w:rPr>
        <w:t xml:space="preserve">’absence de coordinateur de projet pendant 6 mois </w:t>
      </w:r>
      <w:r w:rsidR="00745776" w:rsidRPr="008F47A6">
        <w:rPr>
          <w:lang w:val="fr-FR"/>
        </w:rPr>
        <w:t>n’a certainement pas contribué à faciliter l’opérationnalisation des mécanismes de gestion</w:t>
      </w:r>
      <w:r w:rsidR="001148F9" w:rsidRPr="008F47A6">
        <w:rPr>
          <w:lang w:val="fr-FR"/>
        </w:rPr>
        <w:t>, d’autant que le responsable assurant son intérim n’avait pas été</w:t>
      </w:r>
      <w:r w:rsidR="00BA0CA6">
        <w:rPr>
          <w:lang w:val="fr-FR"/>
        </w:rPr>
        <w:t xml:space="preserve"> </w:t>
      </w:r>
      <w:r w:rsidR="002720A5">
        <w:rPr>
          <w:lang w:val="fr-FR"/>
        </w:rPr>
        <w:t>notifié officiellement</w:t>
      </w:r>
      <w:r w:rsidR="002720A5">
        <w:rPr>
          <w:rStyle w:val="Appelnotedebasdep"/>
          <w:lang w:val="fr-FR"/>
        </w:rPr>
        <w:footnoteReference w:id="33"/>
      </w:r>
      <w:r w:rsidR="00745776" w:rsidRPr="008F47A6">
        <w:rPr>
          <w:lang w:val="fr-FR"/>
        </w:rPr>
        <w:t xml:space="preserve">. </w:t>
      </w:r>
      <w:r w:rsidR="00596637" w:rsidRPr="008F47A6">
        <w:rPr>
          <w:lang w:val="fr-FR"/>
        </w:rPr>
        <w:t xml:space="preserve">De même la distance entre </w:t>
      </w:r>
      <w:r w:rsidR="00596637" w:rsidRPr="008F47A6">
        <w:rPr>
          <w:lang w:val="fr-FR"/>
        </w:rPr>
        <w:lastRenderedPageBreak/>
        <w:t xml:space="preserve">l’équipe de gestion du PNUD basée à Antananarivo et l’UCP à </w:t>
      </w:r>
      <w:r w:rsidR="00971B89" w:rsidRPr="008F47A6">
        <w:rPr>
          <w:lang w:val="fr-FR"/>
        </w:rPr>
        <w:t>Tuléar</w:t>
      </w:r>
      <w:r w:rsidR="00596637" w:rsidRPr="008F47A6">
        <w:rPr>
          <w:lang w:val="fr-FR"/>
        </w:rPr>
        <w:t xml:space="preserve"> </w:t>
      </w:r>
      <w:r w:rsidR="00CD2CB3" w:rsidRPr="008F47A6">
        <w:rPr>
          <w:lang w:val="fr-FR"/>
        </w:rPr>
        <w:t xml:space="preserve">a limité la capacité de soutien du PNUD. </w:t>
      </w:r>
    </w:p>
    <w:p w14:paraId="105089F9" w14:textId="616FD72F" w:rsidR="003F068C" w:rsidRPr="008F47A6" w:rsidRDefault="00BA0CA6" w:rsidP="008F47A6">
      <w:pPr>
        <w:rPr>
          <w:lang w:val="fr-FR"/>
        </w:rPr>
      </w:pPr>
      <w:r w:rsidRPr="00CA44AE">
        <w:rPr>
          <w:lang w:val="fr-FR"/>
        </w:rPr>
        <w:t>Toutefois, l</w:t>
      </w:r>
      <w:r w:rsidR="004E2D80" w:rsidRPr="00CA44AE">
        <w:rPr>
          <w:lang w:val="fr-FR"/>
        </w:rPr>
        <w:t xml:space="preserve">a gestion de projet a, à plusieurs égards, était réactive. </w:t>
      </w:r>
      <w:r w:rsidR="00BA5BE5" w:rsidRPr="008F47A6">
        <w:rPr>
          <w:lang w:val="fr-FR"/>
        </w:rPr>
        <w:t xml:space="preserve">En conséquence du temps long écoulé entre la conception de projet et la mise en œuvre, la stratégie du projet ainsi que ses cofinancements ont été ajustés. Par exemple, le projet prévoyait d’appuyer le développement du SRAT. Le SRAT ayant été disponible plus tôt que les outils du projet, </w:t>
      </w:r>
      <w:r>
        <w:rPr>
          <w:lang w:val="fr-FR"/>
        </w:rPr>
        <w:t>le projet</w:t>
      </w:r>
      <w:r w:rsidR="00BA5BE5" w:rsidRPr="008F47A6">
        <w:rPr>
          <w:lang w:val="fr-FR"/>
        </w:rPr>
        <w:t xml:space="preserve"> s’est adapté et se base aujourd’hui sur le SRAT récemment développé, pour développer l’OPT BD, le PROSCB, et le DOGME</w:t>
      </w:r>
      <w:r w:rsidR="00BA5BE5" w:rsidRPr="008F47A6">
        <w:rPr>
          <w:rStyle w:val="Appelnotedebasdep"/>
          <w:lang w:val="fr-FR"/>
        </w:rPr>
        <w:footnoteReference w:id="34"/>
      </w:r>
      <w:r w:rsidR="00BA5BE5" w:rsidRPr="008F47A6">
        <w:rPr>
          <w:lang w:val="fr-FR"/>
        </w:rPr>
        <w:t xml:space="preserve">. </w:t>
      </w:r>
    </w:p>
    <w:p w14:paraId="53F8F0B1" w14:textId="5211547B" w:rsidR="00886199" w:rsidRPr="008F47A6" w:rsidRDefault="00886199" w:rsidP="008F47A6">
      <w:pPr>
        <w:rPr>
          <w:lang w:val="fr-FR"/>
        </w:rPr>
      </w:pPr>
      <w:r w:rsidRPr="008F47A6">
        <w:rPr>
          <w:lang w:val="fr-FR"/>
        </w:rPr>
        <w:t xml:space="preserve">Aussi certaines appellations présentent dans </w:t>
      </w:r>
      <w:r w:rsidR="00C151D1" w:rsidRPr="008F47A6">
        <w:rPr>
          <w:lang w:val="fr-FR"/>
        </w:rPr>
        <w:t>les documents de projet ont dû être révisé</w:t>
      </w:r>
      <w:r w:rsidR="00BA0CA6">
        <w:rPr>
          <w:lang w:val="fr-FR"/>
        </w:rPr>
        <w:t>e</w:t>
      </w:r>
      <w:r w:rsidR="00C151D1" w:rsidRPr="008F47A6">
        <w:rPr>
          <w:lang w:val="fr-FR"/>
        </w:rPr>
        <w:t xml:space="preserve">s, ainsi l’appellation Aire de Conservation Communautaire (ACC) a été abandonnée au profit d’Aire Protégée Communautaire (APC) </w:t>
      </w:r>
      <w:r w:rsidR="007C040C" w:rsidRPr="008F47A6">
        <w:rPr>
          <w:lang w:val="fr-FR"/>
        </w:rPr>
        <w:t xml:space="preserve">qui est un statut existant dans le cadre légal établi par le COAP et permet donc plus d’opportunités. </w:t>
      </w:r>
    </w:p>
    <w:p w14:paraId="06C88B30" w14:textId="742A791C" w:rsidR="00BA5BE5" w:rsidRPr="008F47A6" w:rsidRDefault="003F068C" w:rsidP="008F47A6">
      <w:pPr>
        <w:rPr>
          <w:lang w:val="fr-FR"/>
        </w:rPr>
      </w:pPr>
      <w:r w:rsidRPr="008F47A6">
        <w:rPr>
          <w:lang w:val="fr-FR"/>
        </w:rPr>
        <w:t>Toutefois, des incohérences subsi</w:t>
      </w:r>
      <w:r w:rsidR="00886199" w:rsidRPr="008F47A6">
        <w:rPr>
          <w:lang w:val="fr-FR"/>
        </w:rPr>
        <w:t>s</w:t>
      </w:r>
      <w:r w:rsidRPr="008F47A6">
        <w:rPr>
          <w:lang w:val="fr-FR"/>
        </w:rPr>
        <w:t>tent. Car là où le PIR 2019 présente la stratégie de projet consistant à abandonner le développement des Plan d’Aménagement de Gestion (PAG)– terroir, pour que le projet se concentre sur les Schémas d’Aménagement Communaux (SAC)</w:t>
      </w:r>
      <w:r w:rsidRPr="008F47A6">
        <w:rPr>
          <w:rStyle w:val="Appelnotedebasdep"/>
          <w:lang w:val="fr-FR"/>
        </w:rPr>
        <w:footnoteReference w:id="35"/>
      </w:r>
      <w:r w:rsidRPr="008F47A6">
        <w:rPr>
          <w:lang w:val="fr-FR"/>
        </w:rPr>
        <w:t xml:space="preserve">, cela n’est pas repris dans les rapports d’avancement trimestriels, où on parle encore de PAG.  </w:t>
      </w:r>
    </w:p>
    <w:p w14:paraId="72141F54" w14:textId="1EBAE1A5" w:rsidR="007C040C" w:rsidRPr="008F47A6" w:rsidRDefault="007C040C" w:rsidP="008F47A6">
      <w:pPr>
        <w:tabs>
          <w:tab w:val="left" w:pos="5760"/>
        </w:tabs>
        <w:rPr>
          <w:lang w:val="fr-FR"/>
        </w:rPr>
      </w:pPr>
      <w:r w:rsidRPr="008F47A6">
        <w:rPr>
          <w:lang w:val="fr-FR"/>
        </w:rPr>
        <w:t xml:space="preserve">Par ailleurs, lorsque l’UCP a constaté que la composante 2 prenait du retard, notamment dans les activités de SAGE et </w:t>
      </w:r>
      <w:proofErr w:type="spellStart"/>
      <w:r w:rsidRPr="008F47A6">
        <w:rPr>
          <w:lang w:val="fr-FR"/>
        </w:rPr>
        <w:t>Tany</w:t>
      </w:r>
      <w:proofErr w:type="spellEnd"/>
      <w:r w:rsidRPr="008F47A6">
        <w:rPr>
          <w:lang w:val="fr-FR"/>
        </w:rPr>
        <w:t xml:space="preserve"> </w:t>
      </w:r>
      <w:proofErr w:type="spellStart"/>
      <w:r w:rsidRPr="008F47A6">
        <w:rPr>
          <w:lang w:val="fr-FR"/>
        </w:rPr>
        <w:t>Meva</w:t>
      </w:r>
      <w:proofErr w:type="spellEnd"/>
      <w:r w:rsidRPr="008F47A6">
        <w:rPr>
          <w:lang w:val="fr-FR"/>
        </w:rPr>
        <w:t xml:space="preserve">, une démarche réactive a été abordée. </w:t>
      </w:r>
      <w:r w:rsidR="006F7EDE" w:rsidRPr="008F47A6">
        <w:rPr>
          <w:lang w:val="fr-FR"/>
        </w:rPr>
        <w:t>La répartition du travail entre les deux organisations a été repensée</w:t>
      </w:r>
      <w:r w:rsidRPr="008F47A6">
        <w:rPr>
          <w:lang w:val="fr-FR"/>
        </w:rPr>
        <w:t xml:space="preserve"> en prenant en compte le taux de réalisation physique et financier de </w:t>
      </w:r>
      <w:proofErr w:type="spellStart"/>
      <w:r w:rsidRPr="008F47A6">
        <w:rPr>
          <w:lang w:val="fr-FR"/>
        </w:rPr>
        <w:t>Tany</w:t>
      </w:r>
      <w:proofErr w:type="spellEnd"/>
      <w:r w:rsidRPr="008F47A6">
        <w:rPr>
          <w:lang w:val="fr-FR"/>
        </w:rPr>
        <w:t xml:space="preserve"> </w:t>
      </w:r>
      <w:proofErr w:type="spellStart"/>
      <w:r w:rsidRPr="008F47A6">
        <w:rPr>
          <w:lang w:val="fr-FR"/>
        </w:rPr>
        <w:t>Meva</w:t>
      </w:r>
      <w:proofErr w:type="spellEnd"/>
      <w:r w:rsidRPr="008F47A6">
        <w:rPr>
          <w:lang w:val="fr-FR"/>
        </w:rPr>
        <w:t xml:space="preserve"> et </w:t>
      </w:r>
      <w:r w:rsidR="00B04A9E">
        <w:rPr>
          <w:lang w:val="fr-FR"/>
        </w:rPr>
        <w:t xml:space="preserve">de </w:t>
      </w:r>
      <w:r w:rsidRPr="008F47A6">
        <w:rPr>
          <w:lang w:val="fr-FR"/>
        </w:rPr>
        <w:t xml:space="preserve">ses problèmes de recrutement. </w:t>
      </w:r>
      <w:r w:rsidR="006F7EDE" w:rsidRPr="008F47A6">
        <w:rPr>
          <w:lang w:val="fr-FR"/>
        </w:rPr>
        <w:t>Là où il s’agissait en 2017 d’une répartition par résultat (</w:t>
      </w:r>
      <w:proofErr w:type="spellStart"/>
      <w:r w:rsidR="006F7EDE" w:rsidRPr="008F47A6">
        <w:rPr>
          <w:lang w:val="fr-FR"/>
        </w:rPr>
        <w:t>Tany</w:t>
      </w:r>
      <w:proofErr w:type="spellEnd"/>
      <w:r w:rsidR="006F7EDE" w:rsidRPr="008F47A6">
        <w:rPr>
          <w:lang w:val="fr-FR"/>
        </w:rPr>
        <w:t xml:space="preserve"> </w:t>
      </w:r>
      <w:proofErr w:type="spellStart"/>
      <w:r w:rsidR="006F7EDE" w:rsidRPr="008F47A6">
        <w:rPr>
          <w:lang w:val="fr-FR"/>
        </w:rPr>
        <w:t>Meva</w:t>
      </w:r>
      <w:proofErr w:type="spellEnd"/>
      <w:r w:rsidR="006F7EDE" w:rsidRPr="008F47A6">
        <w:rPr>
          <w:lang w:val="fr-FR"/>
        </w:rPr>
        <w:t xml:space="preserve"> en charge des résultats 2.1, 2.4 et </w:t>
      </w:r>
      <w:proofErr w:type="gramStart"/>
      <w:r w:rsidR="006F7EDE" w:rsidRPr="008F47A6">
        <w:rPr>
          <w:lang w:val="fr-FR"/>
        </w:rPr>
        <w:t>SAGE  des</w:t>
      </w:r>
      <w:proofErr w:type="gramEnd"/>
      <w:r w:rsidR="006F7EDE" w:rsidRPr="008F47A6">
        <w:rPr>
          <w:lang w:val="fr-FR"/>
        </w:rPr>
        <w:t xml:space="preserve"> résultats 2.3, 2.4), la charge est </w:t>
      </w:r>
      <w:r w:rsidR="004D737A">
        <w:rPr>
          <w:lang w:val="fr-FR"/>
        </w:rPr>
        <w:t xml:space="preserve">maintenant </w:t>
      </w:r>
      <w:r w:rsidR="006F7EDE" w:rsidRPr="008F47A6">
        <w:rPr>
          <w:lang w:val="fr-FR"/>
        </w:rPr>
        <w:t xml:space="preserve">redistribuée géographiquement, avec finalement 3 APC sous la responsabilité de </w:t>
      </w:r>
      <w:proofErr w:type="spellStart"/>
      <w:r w:rsidR="006F7EDE" w:rsidRPr="008F47A6">
        <w:rPr>
          <w:lang w:val="fr-FR"/>
        </w:rPr>
        <w:t>Tany</w:t>
      </w:r>
      <w:proofErr w:type="spellEnd"/>
      <w:r w:rsidR="006F7EDE" w:rsidRPr="008F47A6">
        <w:rPr>
          <w:lang w:val="fr-FR"/>
        </w:rPr>
        <w:t xml:space="preserve"> </w:t>
      </w:r>
      <w:proofErr w:type="spellStart"/>
      <w:r w:rsidR="006F7EDE" w:rsidRPr="008F47A6">
        <w:rPr>
          <w:lang w:val="fr-FR"/>
        </w:rPr>
        <w:t>Meva</w:t>
      </w:r>
      <w:proofErr w:type="spellEnd"/>
      <w:r w:rsidR="006F7EDE" w:rsidRPr="008F47A6">
        <w:rPr>
          <w:lang w:val="fr-FR"/>
        </w:rPr>
        <w:t xml:space="preserve"> et 4 sous celle de SAGE. </w:t>
      </w:r>
      <w:r w:rsidRPr="008F47A6">
        <w:rPr>
          <w:lang w:val="fr-FR"/>
        </w:rPr>
        <w:t xml:space="preserve">Cela se traduit par une répartition plus équilibrée des </w:t>
      </w:r>
      <w:r w:rsidR="00FC2520" w:rsidRPr="008F47A6">
        <w:rPr>
          <w:lang w:val="fr-FR"/>
        </w:rPr>
        <w:t xml:space="preserve">activités et des </w:t>
      </w:r>
      <w:r w:rsidRPr="008F47A6">
        <w:rPr>
          <w:lang w:val="fr-FR"/>
        </w:rPr>
        <w:t xml:space="preserve">APC entre les deux organisations. De plus, </w:t>
      </w:r>
      <w:r w:rsidR="00CD3E05">
        <w:rPr>
          <w:lang w:val="fr-FR"/>
        </w:rPr>
        <w:t>depuis Juin 2019</w:t>
      </w:r>
      <w:r w:rsidR="004D737A">
        <w:rPr>
          <w:lang w:val="fr-FR"/>
        </w:rPr>
        <w:t xml:space="preserve"> </w:t>
      </w:r>
      <w:r w:rsidRPr="008F47A6">
        <w:rPr>
          <w:lang w:val="fr-FR"/>
        </w:rPr>
        <w:t xml:space="preserve">un suivi rapproché </w:t>
      </w:r>
      <w:r w:rsidR="00BA2811" w:rsidRPr="008F47A6">
        <w:rPr>
          <w:lang w:val="fr-FR"/>
        </w:rPr>
        <w:t xml:space="preserve">de l’UCP </w:t>
      </w:r>
      <w:r w:rsidRPr="008F47A6">
        <w:rPr>
          <w:lang w:val="fr-FR"/>
        </w:rPr>
        <w:t>a été mis en place</w:t>
      </w:r>
      <w:r w:rsidR="00FC2520" w:rsidRPr="008F47A6">
        <w:rPr>
          <w:lang w:val="fr-FR"/>
        </w:rPr>
        <w:t xml:space="preserve"> avec un suivi </w:t>
      </w:r>
      <w:r w:rsidR="00A64A1F" w:rsidRPr="008F47A6">
        <w:rPr>
          <w:lang w:val="fr-FR"/>
        </w:rPr>
        <w:t>mensuel</w:t>
      </w:r>
      <w:r w:rsidR="00FC2520" w:rsidRPr="008F47A6">
        <w:rPr>
          <w:lang w:val="fr-FR"/>
        </w:rPr>
        <w:t xml:space="preserve"> de réalisations physiques et financières</w:t>
      </w:r>
      <w:r w:rsidR="004D737A">
        <w:rPr>
          <w:lang w:val="fr-FR"/>
        </w:rPr>
        <w:t>, au lieu d</w:t>
      </w:r>
      <w:r w:rsidR="00D84524">
        <w:rPr>
          <w:lang w:val="fr-FR"/>
        </w:rPr>
        <w:t>’</w:t>
      </w:r>
      <w:r w:rsidR="004D737A">
        <w:rPr>
          <w:lang w:val="fr-FR"/>
        </w:rPr>
        <w:t>un suivi trimestriel</w:t>
      </w:r>
      <w:r w:rsidR="00FC2520" w:rsidRPr="008F47A6">
        <w:rPr>
          <w:rStyle w:val="Appelnotedebasdep"/>
          <w:lang w:val="fr-FR"/>
        </w:rPr>
        <w:footnoteReference w:id="36"/>
      </w:r>
      <w:r w:rsidR="00FC2520" w:rsidRPr="008F47A6">
        <w:rPr>
          <w:lang w:val="fr-FR"/>
        </w:rPr>
        <w:t xml:space="preserve">. </w:t>
      </w:r>
    </w:p>
    <w:p w14:paraId="6B845EB4" w14:textId="7E51E9C8" w:rsidR="006A2395" w:rsidRPr="008F47A6" w:rsidRDefault="00FC2520" w:rsidP="008F47A6">
      <w:pPr>
        <w:rPr>
          <w:lang w:val="fr-FR"/>
        </w:rPr>
      </w:pPr>
      <w:r w:rsidRPr="008F47A6">
        <w:rPr>
          <w:lang w:val="fr-FR"/>
        </w:rPr>
        <w:t xml:space="preserve">Enfin, une réunion extraordinaire et restreinte du Comité de Pilotage s’est tenue le 25 mai 2018 en prévision des éventuelles perturbations électorales et pour prévenir de possibles retards de décaissement. </w:t>
      </w:r>
    </w:p>
    <w:p w14:paraId="470CCE6E" w14:textId="77777777" w:rsidR="00B04A9E" w:rsidRDefault="00B04A9E" w:rsidP="005C1CF2">
      <w:pPr>
        <w:rPr>
          <w:i/>
          <w:iCs/>
          <w:lang w:val="fr-FR"/>
        </w:rPr>
      </w:pPr>
    </w:p>
    <w:p w14:paraId="086F54B9" w14:textId="29C35E7E" w:rsidR="00D85DDD" w:rsidRPr="008F47A6" w:rsidRDefault="00D85DDD" w:rsidP="008F47A6">
      <w:pPr>
        <w:rPr>
          <w:i/>
          <w:iCs/>
          <w:lang w:val="fr-FR"/>
        </w:rPr>
      </w:pPr>
      <w:r w:rsidRPr="008F47A6">
        <w:rPr>
          <w:i/>
          <w:iCs/>
          <w:lang w:val="fr-FR"/>
        </w:rPr>
        <w:t>Q : Quelle est la qualité d’exécution du projet par l’agence d’exécution et le partenaire de mise en œuvre ?</w:t>
      </w:r>
    </w:p>
    <w:p w14:paraId="16958149" w14:textId="726E1437" w:rsidR="00341716" w:rsidRPr="008F47A6" w:rsidRDefault="00341716" w:rsidP="008F47A6">
      <w:pPr>
        <w:rPr>
          <w:lang w:val="fr-FR"/>
        </w:rPr>
      </w:pPr>
      <w:r w:rsidRPr="008F47A6">
        <w:rPr>
          <w:lang w:val="fr-FR"/>
        </w:rPr>
        <w:t>Le responsable de mise en œuvre de la composante 1 est en premier lieu le MEDD, basé à Antanarivo en coordination avec le DREDD qui assure la présence régionale.</w:t>
      </w:r>
      <w:r w:rsidR="00005AB2">
        <w:rPr>
          <w:lang w:val="fr-FR"/>
        </w:rPr>
        <w:t xml:space="preserve"> Plus spécifiquement, le MEDD est le lead dans </w:t>
      </w:r>
      <w:r w:rsidR="00005AB2" w:rsidRPr="001C770B">
        <w:rPr>
          <w:lang w:val="fr-FR"/>
        </w:rPr>
        <w:t>l</w:t>
      </w:r>
      <w:r w:rsidR="00005AB2">
        <w:rPr>
          <w:lang w:val="fr-FR"/>
        </w:rPr>
        <w:t xml:space="preserve">’élaboration du DOGME et la réalisation de l’EES, tandis que la DREDD lead la mise en application du DOGME avec les partenaires Privés en collaboration avec l’ONE. </w:t>
      </w:r>
      <w:r w:rsidRPr="008F47A6">
        <w:rPr>
          <w:lang w:val="fr-FR"/>
        </w:rPr>
        <w:t xml:space="preserve">Alors que les progrès </w:t>
      </w:r>
      <w:r w:rsidRPr="008F47A6">
        <w:rPr>
          <w:lang w:val="fr-FR"/>
        </w:rPr>
        <w:lastRenderedPageBreak/>
        <w:t>de la composante 1 sont bons, la co</w:t>
      </w:r>
      <w:r w:rsidR="001D1B60" w:rsidRPr="008F47A6">
        <w:rPr>
          <w:lang w:val="fr-FR"/>
        </w:rPr>
        <w:t>ordination entre les équipes techniques (écologie, forêt et environnement) et entre les équipes centrales et régionales est compliquée. Le MEDD manque de moyens pour organiser des réunions de coordination en dehors du ministère</w:t>
      </w:r>
      <w:r w:rsidR="005E55D7" w:rsidRPr="008F47A6">
        <w:rPr>
          <w:lang w:val="fr-FR"/>
        </w:rPr>
        <w:t xml:space="preserve">. Le personnel travaille sur plusieurs fronts et ne peux se concentrer sur le projet. De plus, le MEDD et la DREDD ont un accès à internet médiocre. Tout ceci tend à freiner la mise en œuvre. </w:t>
      </w:r>
    </w:p>
    <w:p w14:paraId="1ACF2F1E" w14:textId="403BB622" w:rsidR="00D46748" w:rsidRPr="008F47A6" w:rsidRDefault="00C8703F" w:rsidP="008F47A6">
      <w:pPr>
        <w:rPr>
          <w:lang w:val="fr-FR"/>
        </w:rPr>
      </w:pPr>
      <w:r w:rsidRPr="008F47A6">
        <w:rPr>
          <w:lang w:val="fr-FR"/>
        </w:rPr>
        <w:t xml:space="preserve">Le Comité de Pilotage s’est réuni de façon régulière et a réagi de manière adaptée aux défis qui se sont présentés. </w:t>
      </w:r>
      <w:r w:rsidR="00BA2811" w:rsidRPr="008F47A6">
        <w:rPr>
          <w:lang w:val="fr-FR"/>
        </w:rPr>
        <w:t xml:space="preserve">En particulier en ce qui concerne la performance de </w:t>
      </w:r>
      <w:proofErr w:type="spellStart"/>
      <w:r w:rsidR="00BA2811" w:rsidRPr="008F47A6">
        <w:rPr>
          <w:lang w:val="fr-FR"/>
        </w:rPr>
        <w:t>Tany</w:t>
      </w:r>
      <w:proofErr w:type="spellEnd"/>
      <w:r w:rsidR="00BA2811" w:rsidRPr="008F47A6">
        <w:rPr>
          <w:lang w:val="fr-FR"/>
        </w:rPr>
        <w:t xml:space="preserve"> </w:t>
      </w:r>
      <w:proofErr w:type="spellStart"/>
      <w:r w:rsidR="00BA2811" w:rsidRPr="008F47A6">
        <w:rPr>
          <w:lang w:val="fr-FR"/>
        </w:rPr>
        <w:t>Meva</w:t>
      </w:r>
      <w:proofErr w:type="spellEnd"/>
      <w:r w:rsidR="00BA2811" w:rsidRPr="008F47A6">
        <w:rPr>
          <w:lang w:val="fr-FR"/>
        </w:rPr>
        <w:t xml:space="preserve"> la direction du projet semble avoir compris que puisque </w:t>
      </w:r>
      <w:proofErr w:type="spellStart"/>
      <w:r w:rsidR="00BA2811" w:rsidRPr="008F47A6">
        <w:rPr>
          <w:lang w:val="fr-FR"/>
        </w:rPr>
        <w:t>Tany</w:t>
      </w:r>
      <w:proofErr w:type="spellEnd"/>
      <w:r w:rsidR="00BA2811" w:rsidRPr="008F47A6">
        <w:rPr>
          <w:lang w:val="fr-FR"/>
        </w:rPr>
        <w:t xml:space="preserve"> </w:t>
      </w:r>
      <w:proofErr w:type="spellStart"/>
      <w:r w:rsidR="00BA2811" w:rsidRPr="008F47A6">
        <w:rPr>
          <w:lang w:val="fr-FR"/>
        </w:rPr>
        <w:t>Meva</w:t>
      </w:r>
      <w:proofErr w:type="spellEnd"/>
      <w:r w:rsidR="00BA2811" w:rsidRPr="008F47A6">
        <w:rPr>
          <w:lang w:val="fr-FR"/>
        </w:rPr>
        <w:t xml:space="preserve"> disposaient de moins d’expérience de mise en œuvre que SAGE</w:t>
      </w:r>
      <w:r w:rsidR="00B04A9E">
        <w:rPr>
          <w:lang w:val="fr-FR"/>
        </w:rPr>
        <w:t>,</w:t>
      </w:r>
      <w:r w:rsidR="00BA2811" w:rsidRPr="008F47A6">
        <w:rPr>
          <w:lang w:val="fr-FR"/>
        </w:rPr>
        <w:t xml:space="preserve"> il convenait de renforcer le suivi. Le </w:t>
      </w:r>
      <w:proofErr w:type="spellStart"/>
      <w:r w:rsidR="00BA2811" w:rsidRPr="008F47A6">
        <w:rPr>
          <w:lang w:val="fr-FR"/>
        </w:rPr>
        <w:t>CoPil</w:t>
      </w:r>
      <w:proofErr w:type="spellEnd"/>
      <w:r w:rsidR="00BA2811" w:rsidRPr="008F47A6">
        <w:rPr>
          <w:lang w:val="fr-FR"/>
        </w:rPr>
        <w:t xml:space="preserve"> a d’ailleurs aussi demandé la conduite d’ateliers annuels conjoint de capitalisation, qui devraient favoriser le transfert de connaissance. Toutefois, ceux-ci ne semblent pas encore avoir eu lieu. </w:t>
      </w:r>
    </w:p>
    <w:p w14:paraId="4588D9A6" w14:textId="487E13B6" w:rsidR="00A64A1F" w:rsidRPr="008F47A6" w:rsidRDefault="00B04A9E" w:rsidP="008F47A6">
      <w:pPr>
        <w:rPr>
          <w:lang w:val="fr-FR"/>
        </w:rPr>
      </w:pPr>
      <w:r>
        <w:rPr>
          <w:lang w:val="fr-FR"/>
        </w:rPr>
        <w:t xml:space="preserve">Les deux organisations de mise en œuvre, </w:t>
      </w:r>
      <w:proofErr w:type="spellStart"/>
      <w:r w:rsidR="00BA2811" w:rsidRPr="008F47A6">
        <w:rPr>
          <w:lang w:val="fr-FR"/>
        </w:rPr>
        <w:t>Tany</w:t>
      </w:r>
      <w:proofErr w:type="spellEnd"/>
      <w:r w:rsidR="00BA2811" w:rsidRPr="008F47A6">
        <w:rPr>
          <w:lang w:val="fr-FR"/>
        </w:rPr>
        <w:t xml:space="preserve"> </w:t>
      </w:r>
      <w:proofErr w:type="spellStart"/>
      <w:r w:rsidR="00BA2811" w:rsidRPr="008F47A6">
        <w:rPr>
          <w:lang w:val="fr-FR"/>
        </w:rPr>
        <w:t>Meva</w:t>
      </w:r>
      <w:proofErr w:type="spellEnd"/>
      <w:r w:rsidR="00BA2811" w:rsidRPr="008F47A6">
        <w:rPr>
          <w:lang w:val="fr-FR"/>
        </w:rPr>
        <w:t xml:space="preserve"> et SAGE</w:t>
      </w:r>
      <w:r w:rsidR="00CD3E05">
        <w:rPr>
          <w:lang w:val="fr-FR"/>
        </w:rPr>
        <w:t>,</w:t>
      </w:r>
      <w:r w:rsidR="00BA2811" w:rsidRPr="008F47A6">
        <w:rPr>
          <w:lang w:val="fr-FR"/>
        </w:rPr>
        <w:t xml:space="preserve"> ont </w:t>
      </w:r>
      <w:r w:rsidR="00891620" w:rsidRPr="008F47A6">
        <w:rPr>
          <w:lang w:val="fr-FR"/>
        </w:rPr>
        <w:t>à</w:t>
      </w:r>
      <w:r w:rsidR="00BA2811" w:rsidRPr="008F47A6">
        <w:rPr>
          <w:lang w:val="fr-FR"/>
        </w:rPr>
        <w:t xml:space="preserve"> leur charge trois grands groupes d’activités </w:t>
      </w:r>
      <w:r w:rsidR="00341716" w:rsidRPr="008F47A6">
        <w:rPr>
          <w:lang w:val="fr-FR"/>
        </w:rPr>
        <w:t xml:space="preserve">de la composante </w:t>
      </w:r>
      <w:proofErr w:type="gramStart"/>
      <w:r w:rsidR="00341716" w:rsidRPr="008F47A6">
        <w:rPr>
          <w:lang w:val="fr-FR"/>
        </w:rPr>
        <w:t>2</w:t>
      </w:r>
      <w:r w:rsidR="00BA2811" w:rsidRPr="008F47A6">
        <w:rPr>
          <w:lang w:val="fr-FR"/>
        </w:rPr>
        <w:t>;</w:t>
      </w:r>
      <w:proofErr w:type="gramEnd"/>
      <w:r w:rsidR="00BA2811" w:rsidRPr="008F47A6">
        <w:rPr>
          <w:lang w:val="fr-FR"/>
        </w:rPr>
        <w:t xml:space="preserve"> sociales, de développement et de conserv</w:t>
      </w:r>
      <w:r w:rsidR="00891620" w:rsidRPr="008F47A6">
        <w:rPr>
          <w:lang w:val="fr-FR"/>
        </w:rPr>
        <w:t>a</w:t>
      </w:r>
      <w:r w:rsidR="00BA2811" w:rsidRPr="008F47A6">
        <w:rPr>
          <w:lang w:val="fr-FR"/>
        </w:rPr>
        <w:t>tion. En termes de conservation, les deux organisations ont mis en place des patrouilles. Dans les APC de SAGE ces patrouilles s’accompagnent d’un dispositif de suivi écologique et social. Cependant, le processus de traitement de ces informations et données n’est pas clair</w:t>
      </w:r>
      <w:r>
        <w:rPr>
          <w:lang w:val="fr-FR"/>
        </w:rPr>
        <w:t>ement défini</w:t>
      </w:r>
      <w:r w:rsidR="00BA2811" w:rsidRPr="008F47A6">
        <w:rPr>
          <w:lang w:val="fr-FR"/>
        </w:rPr>
        <w:t xml:space="preserve">. </w:t>
      </w:r>
      <w:r w:rsidR="00A64A1F" w:rsidRPr="008F47A6">
        <w:rPr>
          <w:lang w:val="fr-FR"/>
        </w:rPr>
        <w:t>En ce qui concerne les activités à portée plus sociales et de développement, il n’y a à ce jour pas de procédures permettant d’identifier les bonnes pratiques, de les compiler et de les partager entre les deux organisations. Ces dernières n’ont pas de</w:t>
      </w:r>
      <w:r w:rsidR="00CC02B8">
        <w:rPr>
          <w:lang w:val="fr-FR"/>
        </w:rPr>
        <w:t>s</w:t>
      </w:r>
      <w:r w:rsidR="00A64A1F" w:rsidRPr="008F47A6">
        <w:rPr>
          <w:lang w:val="fr-FR"/>
        </w:rPr>
        <w:t xml:space="preserve"> feuille</w:t>
      </w:r>
      <w:r w:rsidR="00CC02B8">
        <w:rPr>
          <w:lang w:val="fr-FR"/>
        </w:rPr>
        <w:t>s</w:t>
      </w:r>
      <w:r w:rsidR="00A64A1F" w:rsidRPr="008F47A6">
        <w:rPr>
          <w:lang w:val="fr-FR"/>
        </w:rPr>
        <w:t xml:space="preserve"> de route communes.  </w:t>
      </w:r>
    </w:p>
    <w:p w14:paraId="5DA44C44" w14:textId="7CD65A9D" w:rsidR="00801272" w:rsidRPr="008F47A6" w:rsidDel="00BA2811" w:rsidRDefault="001C1B3E" w:rsidP="008F47A6">
      <w:pPr>
        <w:rPr>
          <w:lang w:val="fr-FR"/>
        </w:rPr>
      </w:pPr>
      <w:r w:rsidRPr="008F47A6">
        <w:rPr>
          <w:lang w:val="fr-FR"/>
        </w:rPr>
        <w:t xml:space="preserve">L’UCP appuie les deux organisations à travers des réunions de coordination régulières, ainsi que des ateliers de renforcement de capacités pour les techniciens en outil cartographiques et en communication. </w:t>
      </w:r>
      <w:r w:rsidR="00A64A1F" w:rsidRPr="008F47A6">
        <w:rPr>
          <w:lang w:val="fr-FR"/>
        </w:rPr>
        <w:t xml:space="preserve">On constate que même si des </w:t>
      </w:r>
      <w:r w:rsidR="00891620" w:rsidRPr="008F47A6">
        <w:rPr>
          <w:lang w:val="fr-FR"/>
        </w:rPr>
        <w:t>réunions</w:t>
      </w:r>
      <w:r w:rsidR="00A64A1F" w:rsidRPr="008F47A6">
        <w:rPr>
          <w:lang w:val="fr-FR"/>
        </w:rPr>
        <w:t xml:space="preserve"> de coordination </w:t>
      </w:r>
      <w:r w:rsidR="00891620" w:rsidRPr="008F47A6">
        <w:rPr>
          <w:lang w:val="fr-FR"/>
        </w:rPr>
        <w:t>mensuelles</w:t>
      </w:r>
      <w:r w:rsidR="00A64A1F" w:rsidRPr="008F47A6">
        <w:rPr>
          <w:lang w:val="fr-FR"/>
        </w:rPr>
        <w:t xml:space="preserve"> </w:t>
      </w:r>
      <w:r w:rsidR="00891620" w:rsidRPr="008F47A6">
        <w:rPr>
          <w:lang w:val="fr-FR"/>
        </w:rPr>
        <w:t>plutôt</w:t>
      </w:r>
      <w:r w:rsidR="00A64A1F" w:rsidRPr="008F47A6">
        <w:rPr>
          <w:lang w:val="fr-FR"/>
        </w:rPr>
        <w:t xml:space="preserve"> que trimestrielles ont été mises en place par l’UCP avec </w:t>
      </w:r>
      <w:proofErr w:type="spellStart"/>
      <w:r w:rsidR="00A64A1F" w:rsidRPr="008F47A6">
        <w:rPr>
          <w:lang w:val="fr-FR"/>
        </w:rPr>
        <w:t>Tany</w:t>
      </w:r>
      <w:proofErr w:type="spellEnd"/>
      <w:r w:rsidR="00A64A1F" w:rsidRPr="008F47A6">
        <w:rPr>
          <w:lang w:val="fr-FR"/>
        </w:rPr>
        <w:t xml:space="preserve"> </w:t>
      </w:r>
      <w:proofErr w:type="spellStart"/>
      <w:r w:rsidR="00A64A1F" w:rsidRPr="008F47A6">
        <w:rPr>
          <w:lang w:val="fr-FR"/>
        </w:rPr>
        <w:t>Meva</w:t>
      </w:r>
      <w:proofErr w:type="spellEnd"/>
      <w:r w:rsidR="00A64A1F" w:rsidRPr="008F47A6">
        <w:rPr>
          <w:lang w:val="fr-FR"/>
        </w:rPr>
        <w:t xml:space="preserve"> et </w:t>
      </w:r>
      <w:r w:rsidR="00B04A9E">
        <w:rPr>
          <w:lang w:val="fr-FR"/>
        </w:rPr>
        <w:t>SAGE</w:t>
      </w:r>
      <w:r w:rsidR="00A64A1F" w:rsidRPr="008F47A6">
        <w:rPr>
          <w:lang w:val="fr-FR"/>
        </w:rPr>
        <w:t xml:space="preserve"> depuis Juin 2019, l’UCP a toujours un rôle de direction </w:t>
      </w:r>
      <w:r w:rsidR="00891620" w:rsidRPr="008F47A6">
        <w:rPr>
          <w:lang w:val="fr-FR"/>
        </w:rPr>
        <w:t>à</w:t>
      </w:r>
      <w:r w:rsidR="00A64A1F" w:rsidRPr="008F47A6">
        <w:rPr>
          <w:lang w:val="fr-FR"/>
        </w:rPr>
        <w:t xml:space="preserve"> jouer. Il est important que l’UCP appui</w:t>
      </w:r>
      <w:r w:rsidR="00B04A9E">
        <w:rPr>
          <w:lang w:val="fr-FR"/>
        </w:rPr>
        <w:t>e</w:t>
      </w:r>
      <w:r w:rsidR="00A64A1F" w:rsidRPr="008F47A6">
        <w:rPr>
          <w:lang w:val="fr-FR"/>
        </w:rPr>
        <w:t xml:space="preserve"> les deux partenaires dans la </w:t>
      </w:r>
      <w:r w:rsidR="00891620" w:rsidRPr="008F47A6">
        <w:rPr>
          <w:lang w:val="fr-FR"/>
        </w:rPr>
        <w:t>systématisation</w:t>
      </w:r>
      <w:r w:rsidR="00A64A1F" w:rsidRPr="008F47A6">
        <w:rPr>
          <w:lang w:val="fr-FR"/>
        </w:rPr>
        <w:t xml:space="preserve"> des </w:t>
      </w:r>
      <w:r w:rsidR="00891620" w:rsidRPr="008F47A6">
        <w:rPr>
          <w:lang w:val="fr-FR"/>
        </w:rPr>
        <w:t>procédures</w:t>
      </w:r>
      <w:r w:rsidR="00A64A1F" w:rsidRPr="008F47A6">
        <w:rPr>
          <w:lang w:val="fr-FR"/>
        </w:rPr>
        <w:t xml:space="preserve"> de gestion de projet et assure la coordination stratégique du projet.  </w:t>
      </w:r>
    </w:p>
    <w:p w14:paraId="030EB203" w14:textId="4F09A08F" w:rsidR="00801272" w:rsidRPr="008F47A6" w:rsidRDefault="00891620" w:rsidP="008F47A6">
      <w:pPr>
        <w:rPr>
          <w:lang w:val="fr-FR"/>
        </w:rPr>
      </w:pPr>
      <w:r w:rsidRPr="008F47A6">
        <w:rPr>
          <w:lang w:val="fr-FR"/>
        </w:rPr>
        <w:t xml:space="preserve">Toutefois, si </w:t>
      </w:r>
      <w:proofErr w:type="spellStart"/>
      <w:r w:rsidRPr="008F47A6">
        <w:rPr>
          <w:lang w:val="fr-FR"/>
        </w:rPr>
        <w:t>Tany</w:t>
      </w:r>
      <w:proofErr w:type="spellEnd"/>
      <w:r w:rsidRPr="008F47A6">
        <w:rPr>
          <w:lang w:val="fr-FR"/>
        </w:rPr>
        <w:t xml:space="preserve"> </w:t>
      </w:r>
      <w:proofErr w:type="spellStart"/>
      <w:r w:rsidRPr="008F47A6">
        <w:rPr>
          <w:lang w:val="fr-FR"/>
        </w:rPr>
        <w:t>Meva</w:t>
      </w:r>
      <w:proofErr w:type="spellEnd"/>
      <w:r w:rsidRPr="008F47A6">
        <w:rPr>
          <w:lang w:val="fr-FR"/>
        </w:rPr>
        <w:t xml:space="preserve"> a rencontré des difficultés certaines dues à un manque d’expérience de mise en œuvre et des problèmes de ressources humaines sur les sites des APC, il faut préciser que les retards des activités qui la concernent ne peuvent pas être totalement imputés à </w:t>
      </w:r>
      <w:r w:rsidR="00B04A9E">
        <w:rPr>
          <w:lang w:val="fr-FR"/>
        </w:rPr>
        <w:t>la fondation</w:t>
      </w:r>
      <w:r w:rsidRPr="008F47A6">
        <w:rPr>
          <w:lang w:val="fr-FR"/>
        </w:rPr>
        <w:t xml:space="preserve">. En effet, certaines des APC de </w:t>
      </w:r>
      <w:proofErr w:type="spellStart"/>
      <w:r w:rsidRPr="008F47A6">
        <w:rPr>
          <w:lang w:val="fr-FR"/>
        </w:rPr>
        <w:t>Tany</w:t>
      </w:r>
      <w:proofErr w:type="spellEnd"/>
      <w:r w:rsidRPr="008F47A6">
        <w:rPr>
          <w:lang w:val="fr-FR"/>
        </w:rPr>
        <w:t xml:space="preserve"> </w:t>
      </w:r>
      <w:proofErr w:type="spellStart"/>
      <w:r w:rsidRPr="008F47A6">
        <w:rPr>
          <w:lang w:val="fr-FR"/>
        </w:rPr>
        <w:t>Meva</w:t>
      </w:r>
      <w:proofErr w:type="spellEnd"/>
      <w:r w:rsidRPr="008F47A6">
        <w:rPr>
          <w:lang w:val="fr-FR"/>
        </w:rPr>
        <w:t xml:space="preserve"> ont connus des retards </w:t>
      </w:r>
      <w:r w:rsidR="00B04A9E">
        <w:rPr>
          <w:lang w:val="fr-FR"/>
        </w:rPr>
        <w:t>ayant des</w:t>
      </w:r>
      <w:r w:rsidRPr="008F47A6">
        <w:rPr>
          <w:lang w:val="fr-FR"/>
        </w:rPr>
        <w:t xml:space="preserve"> </w:t>
      </w:r>
      <w:r w:rsidR="00CC36E3" w:rsidRPr="008F47A6">
        <w:rPr>
          <w:lang w:val="fr-FR"/>
        </w:rPr>
        <w:t xml:space="preserve">motifs indépendants du contrôle de </w:t>
      </w:r>
      <w:r w:rsidR="00B04A9E">
        <w:rPr>
          <w:lang w:val="fr-FR"/>
        </w:rPr>
        <w:t>la fondation,</w:t>
      </w:r>
      <w:r w:rsidR="00CC36E3" w:rsidRPr="008F47A6">
        <w:rPr>
          <w:lang w:val="fr-FR"/>
        </w:rPr>
        <w:t xml:space="preserve"> comme le fait que certaines des APC aient été inaccessibles pour cause de routes inondées ou d’insécurité, ou encore que l’un des sites</w:t>
      </w:r>
      <w:r w:rsidR="00596200">
        <w:rPr>
          <w:lang w:val="fr-FR"/>
        </w:rPr>
        <w:t xml:space="preserve">, </w:t>
      </w:r>
      <w:r w:rsidR="00CD3E05">
        <w:rPr>
          <w:lang w:val="fr-FR"/>
        </w:rPr>
        <w:t>adjacente a une</w:t>
      </w:r>
      <w:r w:rsidR="006C3AB9" w:rsidRPr="008F47A6">
        <w:rPr>
          <w:lang w:val="fr-FR"/>
        </w:rPr>
        <w:t xml:space="preserve"> r</w:t>
      </w:r>
      <w:r w:rsidR="00CC36E3" w:rsidRPr="008F47A6">
        <w:rPr>
          <w:lang w:val="fr-FR"/>
        </w:rPr>
        <w:t xml:space="preserve">éserve </w:t>
      </w:r>
      <w:r w:rsidR="00B04A9E">
        <w:rPr>
          <w:lang w:val="fr-FR"/>
        </w:rPr>
        <w:t>naturelle</w:t>
      </w:r>
      <w:r w:rsidR="00596200">
        <w:rPr>
          <w:lang w:val="fr-FR"/>
        </w:rPr>
        <w:t>,</w:t>
      </w:r>
      <w:r w:rsidR="00B04A9E">
        <w:rPr>
          <w:lang w:val="fr-FR"/>
        </w:rPr>
        <w:t xml:space="preserve"> </w:t>
      </w:r>
      <w:r w:rsidR="00CC36E3" w:rsidRPr="008F47A6">
        <w:rPr>
          <w:lang w:val="fr-FR"/>
        </w:rPr>
        <w:t>aie rencontré des hésitations pour l</w:t>
      </w:r>
      <w:r w:rsidR="00CD3E05">
        <w:rPr>
          <w:lang w:val="fr-FR"/>
        </w:rPr>
        <w:t>a création d’une</w:t>
      </w:r>
      <w:r w:rsidR="00CC36E3" w:rsidRPr="008F47A6">
        <w:rPr>
          <w:lang w:val="fr-FR"/>
        </w:rPr>
        <w:t xml:space="preserve"> APC.</w:t>
      </w:r>
    </w:p>
    <w:p w14:paraId="6E143848" w14:textId="3F617DE4" w:rsidR="00801272" w:rsidRPr="008F47A6" w:rsidRDefault="00341716" w:rsidP="008F47A6">
      <w:pPr>
        <w:rPr>
          <w:lang w:val="fr-FR"/>
        </w:rPr>
      </w:pPr>
      <w:r w:rsidRPr="008F47A6">
        <w:rPr>
          <w:lang w:val="fr-FR"/>
        </w:rPr>
        <w:t xml:space="preserve">La supervision du PNUD est perçue comme bonne malgré </w:t>
      </w:r>
      <w:r w:rsidR="00A64A1F" w:rsidRPr="008F47A6">
        <w:rPr>
          <w:lang w:val="fr-FR"/>
        </w:rPr>
        <w:t>une lourdeur administrative</w:t>
      </w:r>
      <w:r w:rsidRPr="008F47A6">
        <w:rPr>
          <w:lang w:val="fr-FR"/>
        </w:rPr>
        <w:t>, déjà mentionnée plus haut</w:t>
      </w:r>
      <w:r w:rsidR="00A64A1F" w:rsidRPr="008F47A6">
        <w:rPr>
          <w:lang w:val="fr-FR"/>
        </w:rPr>
        <w:t>.</w:t>
      </w:r>
      <w:r w:rsidR="00F84345" w:rsidRPr="008F47A6">
        <w:rPr>
          <w:lang w:val="fr-FR"/>
        </w:rPr>
        <w:t xml:space="preserve"> </w:t>
      </w:r>
      <w:r w:rsidRPr="008F47A6">
        <w:rPr>
          <w:lang w:val="fr-FR"/>
        </w:rPr>
        <w:t>C</w:t>
      </w:r>
      <w:r w:rsidR="00F84345" w:rsidRPr="008F47A6">
        <w:rPr>
          <w:lang w:val="fr-FR"/>
        </w:rPr>
        <w:t xml:space="preserve">e problème a été rapporté lors du </w:t>
      </w:r>
      <w:proofErr w:type="spellStart"/>
      <w:r w:rsidR="00F84345" w:rsidRPr="008F47A6">
        <w:rPr>
          <w:lang w:val="fr-FR"/>
        </w:rPr>
        <w:t>CoPil</w:t>
      </w:r>
      <w:proofErr w:type="spellEnd"/>
      <w:r w:rsidR="00F84345" w:rsidRPr="008F47A6">
        <w:rPr>
          <w:lang w:val="fr-FR"/>
        </w:rPr>
        <w:t xml:space="preserve"> de novembre 2018, au cours duquel le PNUD a assuré qu’il allait prendre des mesures pour alléger les procédures et s’adapter à la situation du pays. </w:t>
      </w:r>
      <w:r w:rsidR="00A64A1F" w:rsidRPr="008F47A6">
        <w:rPr>
          <w:lang w:val="fr-FR"/>
        </w:rPr>
        <w:t>Par a</w:t>
      </w:r>
      <w:r w:rsidR="00F84345" w:rsidRPr="008F47A6">
        <w:rPr>
          <w:lang w:val="fr-FR"/>
        </w:rPr>
        <w:t>illeurs</w:t>
      </w:r>
      <w:r w:rsidR="00C70FCC" w:rsidRPr="008F47A6">
        <w:rPr>
          <w:lang w:val="fr-FR"/>
        </w:rPr>
        <w:t xml:space="preserve">, </w:t>
      </w:r>
      <w:r w:rsidR="00F84345" w:rsidRPr="008F47A6">
        <w:rPr>
          <w:lang w:val="fr-FR"/>
        </w:rPr>
        <w:t>l’absence de coordinateur de projet pendant 6 mois avant le recrutement de l’actuel coordinateur</w:t>
      </w:r>
      <w:r w:rsidR="00C70FCC" w:rsidRPr="008F47A6">
        <w:rPr>
          <w:lang w:val="fr-FR"/>
        </w:rPr>
        <w:t xml:space="preserve"> s’est traduit</w:t>
      </w:r>
      <w:r w:rsidRPr="008F47A6">
        <w:rPr>
          <w:lang w:val="fr-FR"/>
        </w:rPr>
        <w:t>e</w:t>
      </w:r>
      <w:r w:rsidR="00C70FCC" w:rsidRPr="008F47A6">
        <w:rPr>
          <w:lang w:val="fr-FR"/>
        </w:rPr>
        <w:t xml:space="preserve"> par </w:t>
      </w:r>
      <w:r w:rsidR="00F84345" w:rsidRPr="008F47A6">
        <w:rPr>
          <w:lang w:val="fr-FR"/>
        </w:rPr>
        <w:t>une période de flottement au cours de laquelle il aurait certainement été préférable que l’équipe du PNUD et l’UCP soient basées au même endroit</w:t>
      </w:r>
      <w:r w:rsidRPr="008F47A6">
        <w:rPr>
          <w:lang w:val="fr-FR"/>
        </w:rPr>
        <w:t>. Cela aurait permis au PNUD de suppléer la coordination et la supervision du projet plus facilement</w:t>
      </w:r>
      <w:r w:rsidR="00C70FCC" w:rsidRPr="008F47A6">
        <w:rPr>
          <w:lang w:val="fr-FR"/>
        </w:rPr>
        <w:t xml:space="preserve">. </w:t>
      </w:r>
      <w:r w:rsidR="0043664F" w:rsidRPr="008F47A6">
        <w:rPr>
          <w:lang w:val="fr-FR"/>
        </w:rPr>
        <w:t xml:space="preserve"> </w:t>
      </w:r>
    </w:p>
    <w:p w14:paraId="1127BB6E" w14:textId="0E122BAC" w:rsidR="006A2395" w:rsidRPr="00A4078B" w:rsidRDefault="00F8079F" w:rsidP="002B677E">
      <w:pPr>
        <w:rPr>
          <w:lang w:val="fr-FR"/>
        </w:rPr>
      </w:pPr>
      <w:r w:rsidRPr="008F47A6">
        <w:rPr>
          <w:lang w:val="fr-FR"/>
        </w:rPr>
        <w:lastRenderedPageBreak/>
        <w:t>Finalement, en termes de gestion des risques</w:t>
      </w:r>
      <w:r w:rsidR="00CD3E05">
        <w:rPr>
          <w:lang w:val="fr-FR"/>
        </w:rPr>
        <w:t>,</w:t>
      </w:r>
      <w:r w:rsidRPr="008F47A6">
        <w:rPr>
          <w:lang w:val="fr-FR"/>
        </w:rPr>
        <w:t xml:space="preserve"> la crise politique liée aux élections a été convenablement anticipée, puisqu’elle a donné lieu à a réunion extraordinaire du </w:t>
      </w:r>
      <w:proofErr w:type="spellStart"/>
      <w:r w:rsidRPr="008F47A6">
        <w:rPr>
          <w:lang w:val="fr-FR"/>
        </w:rPr>
        <w:t>CoPil</w:t>
      </w:r>
      <w:proofErr w:type="spellEnd"/>
      <w:r w:rsidRPr="008F47A6">
        <w:rPr>
          <w:lang w:val="fr-FR"/>
        </w:rPr>
        <w:t xml:space="preserve"> de Novembre 2018 durant laquelle des mesures d’atténuation des risques ont été prises telles qu’en évitant l’organisation de rassemblements publics, en adoptant des approches alternatives en matière de sensibilisation et de communication (émission radiophonique, porte à porte, etc.) et en différant les activités nécessitant de grandes consultations publiques</w:t>
      </w:r>
      <w:r w:rsidRPr="008F47A6">
        <w:rPr>
          <w:rStyle w:val="Appelnotedebasdep"/>
          <w:lang w:val="fr-FR"/>
        </w:rPr>
        <w:footnoteReference w:id="37"/>
      </w:r>
      <w:r w:rsidRPr="008F47A6">
        <w:rPr>
          <w:lang w:val="fr-FR"/>
        </w:rPr>
        <w:t>.</w:t>
      </w:r>
    </w:p>
    <w:p w14:paraId="46594590" w14:textId="4F957A93" w:rsidR="005C550F" w:rsidRDefault="005C550F" w:rsidP="005C550F">
      <w:pPr>
        <w:pStyle w:val="Titre3"/>
        <w:rPr>
          <w:lang w:val="fr-FR"/>
        </w:rPr>
      </w:pPr>
      <w:r w:rsidRPr="005C550F">
        <w:rPr>
          <w:lang w:val="fr-FR"/>
        </w:rPr>
        <w:t xml:space="preserve">Planification des activités </w:t>
      </w:r>
    </w:p>
    <w:p w14:paraId="348C35CA" w14:textId="4E9A1956" w:rsidR="00D85DDD" w:rsidRPr="008F47A6" w:rsidRDefault="00D85DDD" w:rsidP="00D85DDD">
      <w:pPr>
        <w:rPr>
          <w:i/>
          <w:iCs/>
          <w:szCs w:val="24"/>
          <w:lang w:val="fr-FR"/>
        </w:rPr>
      </w:pPr>
      <w:r w:rsidRPr="008F47A6">
        <w:rPr>
          <w:i/>
          <w:iCs/>
          <w:szCs w:val="24"/>
          <w:lang w:val="fr-FR"/>
        </w:rPr>
        <w:t>Q : Y a-t-il eu des retards dans la mise en œuvre du projet ? Si oui, pour quelles raisons ?</w:t>
      </w:r>
    </w:p>
    <w:p w14:paraId="0E708BE6" w14:textId="77C93238" w:rsidR="00177B9F" w:rsidRDefault="00177B9F" w:rsidP="00F04CAF">
      <w:pPr>
        <w:rPr>
          <w:lang w:val="fr-FR"/>
        </w:rPr>
      </w:pPr>
      <w:bookmarkStart w:id="22" w:name="_Hlk24986055"/>
      <w:r>
        <w:rPr>
          <w:lang w:val="fr-FR"/>
        </w:rPr>
        <w:t>Dans l’ensemble le projet a commencé avec un retard important</w:t>
      </w:r>
      <w:r w:rsidR="00B04A9E">
        <w:rPr>
          <w:lang w:val="fr-FR"/>
        </w:rPr>
        <w:t>. L</w:t>
      </w:r>
      <w:r w:rsidR="00FB4E3F">
        <w:rPr>
          <w:lang w:val="fr-FR"/>
        </w:rPr>
        <w:t xml:space="preserve">e projet a été approuvé </w:t>
      </w:r>
      <w:r w:rsidR="00210A25">
        <w:rPr>
          <w:lang w:val="fr-FR"/>
        </w:rPr>
        <w:t xml:space="preserve">par le FEM </w:t>
      </w:r>
      <w:r w:rsidR="00FB4E3F">
        <w:rPr>
          <w:lang w:val="fr-FR"/>
        </w:rPr>
        <w:t>en ao</w:t>
      </w:r>
      <w:r w:rsidR="00792418">
        <w:rPr>
          <w:lang w:val="fr-FR"/>
        </w:rPr>
        <w:t>û</w:t>
      </w:r>
      <w:r w:rsidR="00FB4E3F">
        <w:rPr>
          <w:lang w:val="fr-FR"/>
        </w:rPr>
        <w:t>t 2016</w:t>
      </w:r>
      <w:r w:rsidR="00FB4E3F" w:rsidRPr="008F47A6">
        <w:rPr>
          <w:lang w:val="fr-FR"/>
        </w:rPr>
        <w:t xml:space="preserve"> </w:t>
      </w:r>
      <w:r w:rsidR="00FB4E3F" w:rsidRPr="00FB4E3F">
        <w:rPr>
          <w:lang w:val="fr-FR"/>
        </w:rPr>
        <w:t>mais</w:t>
      </w:r>
      <w:r w:rsidR="00210A25">
        <w:rPr>
          <w:lang w:val="fr-FR"/>
        </w:rPr>
        <w:t>,</w:t>
      </w:r>
      <w:r w:rsidR="00FB4E3F" w:rsidRPr="00FB4E3F">
        <w:rPr>
          <w:lang w:val="fr-FR"/>
        </w:rPr>
        <w:t xml:space="preserve"> pour différentes raisons, la signature proprement dit</w:t>
      </w:r>
      <w:r w:rsidR="00792418">
        <w:rPr>
          <w:lang w:val="fr-FR"/>
        </w:rPr>
        <w:t>e</w:t>
      </w:r>
      <w:r w:rsidR="00FB4E3F" w:rsidRPr="00FB4E3F">
        <w:rPr>
          <w:lang w:val="fr-FR"/>
        </w:rPr>
        <w:t xml:space="preserve"> du document de projet par le Gouvernement Malagasy et le PNUD n’a pu être effectué que le 8 Mai 2017, date officielle de démarrage du projet</w:t>
      </w:r>
      <w:r w:rsidR="00FB4E3F">
        <w:rPr>
          <w:rStyle w:val="Appelnotedebasdep"/>
          <w:lang w:val="fr-FR"/>
        </w:rPr>
        <w:footnoteReference w:id="38"/>
      </w:r>
      <w:r w:rsidR="006C3AB9">
        <w:rPr>
          <w:lang w:val="fr-FR"/>
        </w:rPr>
        <w:t xml:space="preserve">. </w:t>
      </w:r>
      <w:r w:rsidR="00A4078B">
        <w:rPr>
          <w:lang w:val="fr-FR"/>
        </w:rPr>
        <w:t>Depuis la formulation en 2013, de nombreuses choses avaient changé</w:t>
      </w:r>
      <w:r w:rsidR="00210A25">
        <w:rPr>
          <w:lang w:val="fr-FR"/>
        </w:rPr>
        <w:t>,</w:t>
      </w:r>
      <w:r w:rsidR="00A4078B">
        <w:rPr>
          <w:lang w:val="fr-FR"/>
        </w:rPr>
        <w:t xml:space="preserve"> notamment le contexte institutionnel et le personnel dirigeant. Le projet a donc dû avant toute chose formaliser les partenariats, </w:t>
      </w:r>
      <w:r w:rsidR="00210A25">
        <w:rPr>
          <w:lang w:val="fr-FR"/>
        </w:rPr>
        <w:t xml:space="preserve">et </w:t>
      </w:r>
      <w:r w:rsidR="00A4078B">
        <w:rPr>
          <w:lang w:val="fr-FR"/>
        </w:rPr>
        <w:t xml:space="preserve">contractualiser et former le personnel. </w:t>
      </w:r>
      <w:r w:rsidR="006C3AB9">
        <w:rPr>
          <w:lang w:val="fr-FR"/>
        </w:rPr>
        <w:t xml:space="preserve">Des points de désaccords non-résolus </w:t>
      </w:r>
      <w:r w:rsidR="00FB4E3F">
        <w:rPr>
          <w:lang w:val="fr-FR"/>
        </w:rPr>
        <w:t xml:space="preserve">avant le démarrage du projet sur les arrangements institutionnels entre </w:t>
      </w:r>
      <w:r w:rsidR="00210A25">
        <w:rPr>
          <w:lang w:val="fr-FR"/>
        </w:rPr>
        <w:t>PNUD</w:t>
      </w:r>
      <w:r w:rsidR="00FB4E3F">
        <w:rPr>
          <w:lang w:val="fr-FR"/>
        </w:rPr>
        <w:t xml:space="preserve"> et le MEDD, auquel s’ajoutaient des difficultés à recruter l’équipe nationale</w:t>
      </w:r>
      <w:r w:rsidR="00A576EC">
        <w:rPr>
          <w:rStyle w:val="Appelnotedebasdep"/>
          <w:lang w:val="fr-FR"/>
        </w:rPr>
        <w:footnoteReference w:id="39"/>
      </w:r>
      <w:r w:rsidR="00FB4E3F">
        <w:rPr>
          <w:lang w:val="fr-FR"/>
        </w:rPr>
        <w:t xml:space="preserve">, </w:t>
      </w:r>
      <w:r w:rsidR="006C3AB9">
        <w:rPr>
          <w:lang w:val="fr-FR"/>
        </w:rPr>
        <w:t xml:space="preserve">ont entrainé </w:t>
      </w:r>
      <w:r w:rsidR="006C3AB9" w:rsidRPr="006C3AB9">
        <w:rPr>
          <w:lang w:val="fr-FR"/>
        </w:rPr>
        <w:t xml:space="preserve">plus de 2 mois de retard à la signature du </w:t>
      </w:r>
      <w:r w:rsidR="00210A25">
        <w:rPr>
          <w:lang w:val="fr-FR"/>
        </w:rPr>
        <w:t xml:space="preserve">premier </w:t>
      </w:r>
      <w:r w:rsidR="006C3AB9" w:rsidRPr="006C3AB9">
        <w:rPr>
          <w:lang w:val="fr-FR"/>
        </w:rPr>
        <w:t>P</w:t>
      </w:r>
      <w:r w:rsidR="006C3AB9">
        <w:rPr>
          <w:lang w:val="fr-FR"/>
        </w:rPr>
        <w:t xml:space="preserve">lan de Travail </w:t>
      </w:r>
      <w:r w:rsidR="006C3AB9" w:rsidRPr="006C3AB9">
        <w:rPr>
          <w:lang w:val="fr-FR"/>
        </w:rPr>
        <w:t>A</w:t>
      </w:r>
      <w:r w:rsidR="006C3AB9">
        <w:rPr>
          <w:lang w:val="fr-FR"/>
        </w:rPr>
        <w:t xml:space="preserve">nnuel. </w:t>
      </w:r>
      <w:r w:rsidR="00A4078B">
        <w:rPr>
          <w:lang w:val="fr-FR"/>
        </w:rPr>
        <w:t>L’installation dans les bureaux de la DREDD a pris un peu de temps également, car la 1</w:t>
      </w:r>
      <w:r w:rsidR="00A4078B" w:rsidRPr="008F47A6">
        <w:rPr>
          <w:vertAlign w:val="superscript"/>
          <w:lang w:val="fr-FR"/>
        </w:rPr>
        <w:t>ère</w:t>
      </w:r>
      <w:r w:rsidR="00A4078B">
        <w:rPr>
          <w:lang w:val="fr-FR"/>
        </w:rPr>
        <w:t xml:space="preserve"> salle mise à disposition n’était pas adaptée</w:t>
      </w:r>
      <w:r w:rsidR="00A4078B">
        <w:rPr>
          <w:rStyle w:val="Appelnotedebasdep"/>
          <w:lang w:val="fr-FR"/>
        </w:rPr>
        <w:footnoteReference w:id="40"/>
      </w:r>
      <w:r w:rsidR="00A4078B">
        <w:rPr>
          <w:lang w:val="fr-FR"/>
        </w:rPr>
        <w:t xml:space="preserve">. Par la suite, les postes de coordinateur de projet et </w:t>
      </w:r>
      <w:r w:rsidR="00210A25">
        <w:rPr>
          <w:lang w:val="fr-FR"/>
        </w:rPr>
        <w:t>AAF</w:t>
      </w:r>
      <w:r w:rsidR="00A4078B">
        <w:rPr>
          <w:lang w:val="fr-FR"/>
        </w:rPr>
        <w:t xml:space="preserve"> restés vacant pendant plusieurs mois ont aussi eu pour effet de ralentir la mise en œuvre. Toutefois, depuis </w:t>
      </w:r>
      <w:r w:rsidR="00792418">
        <w:rPr>
          <w:lang w:val="fr-FR"/>
        </w:rPr>
        <w:t xml:space="preserve">mai </w:t>
      </w:r>
      <w:r w:rsidR="00A4078B">
        <w:rPr>
          <w:lang w:val="fr-FR"/>
        </w:rPr>
        <w:t xml:space="preserve">2019 l’ensemble de l’équipe projet est en poste et complétement opérationnelle. </w:t>
      </w:r>
    </w:p>
    <w:p w14:paraId="4BA90BF5" w14:textId="0AECCCB2" w:rsidR="00FB4E3F" w:rsidRPr="00C8703F" w:rsidRDefault="00177B9F" w:rsidP="00FB4E3F">
      <w:pPr>
        <w:rPr>
          <w:lang w:val="fr-FR"/>
        </w:rPr>
      </w:pPr>
      <w:r w:rsidRPr="00FB4E3F">
        <w:rPr>
          <w:lang w:val="fr-FR"/>
        </w:rPr>
        <w:t>P</w:t>
      </w:r>
      <w:r w:rsidR="00333DD7" w:rsidRPr="00FB4E3F">
        <w:rPr>
          <w:lang w:val="fr-FR"/>
        </w:rPr>
        <w:t>our la composante 1</w:t>
      </w:r>
      <w:r w:rsidRPr="00FB4E3F">
        <w:rPr>
          <w:lang w:val="fr-FR"/>
        </w:rPr>
        <w:t xml:space="preserve">, </w:t>
      </w:r>
      <w:r w:rsidR="00FB4E3F" w:rsidRPr="008F47A6">
        <w:rPr>
          <w:lang w:val="fr-FR"/>
        </w:rPr>
        <w:t xml:space="preserve">le recrutement d’une </w:t>
      </w:r>
      <w:r w:rsidR="00E42113">
        <w:rPr>
          <w:lang w:val="fr-FR"/>
        </w:rPr>
        <w:t>firme</w:t>
      </w:r>
      <w:r w:rsidR="00FB4E3F" w:rsidRPr="008F47A6">
        <w:rPr>
          <w:lang w:val="fr-FR"/>
        </w:rPr>
        <w:t xml:space="preserve"> chargée de </w:t>
      </w:r>
      <w:r w:rsidR="00FB4E3F" w:rsidRPr="00FB4E3F">
        <w:rPr>
          <w:lang w:val="fr-FR"/>
        </w:rPr>
        <w:t>développer</w:t>
      </w:r>
      <w:r w:rsidR="00FB4E3F" w:rsidRPr="008F47A6">
        <w:rPr>
          <w:lang w:val="fr-FR"/>
        </w:rPr>
        <w:t xml:space="preserve"> l’OPT BD a été compliqué. Il a fallu relancer 2 fois l’appel d’offr</w:t>
      </w:r>
      <w:r w:rsidR="00FB4E3F">
        <w:rPr>
          <w:lang w:val="fr-FR"/>
        </w:rPr>
        <w:t>e qui est resté infructueux</w:t>
      </w:r>
      <w:r w:rsidR="00FB4E3F" w:rsidRPr="008F47A6">
        <w:rPr>
          <w:lang w:val="fr-FR"/>
        </w:rPr>
        <w:t>. Finalement</w:t>
      </w:r>
      <w:r w:rsidR="00FB4E3F">
        <w:rPr>
          <w:lang w:val="fr-FR"/>
        </w:rPr>
        <w:t>,</w:t>
      </w:r>
      <w:r w:rsidR="00FB4E3F" w:rsidRPr="008F47A6">
        <w:rPr>
          <w:lang w:val="fr-FR"/>
        </w:rPr>
        <w:t xml:space="preserve"> </w:t>
      </w:r>
      <w:r w:rsidR="00FB4E3F">
        <w:rPr>
          <w:lang w:val="fr-FR"/>
        </w:rPr>
        <w:t xml:space="preserve">le </w:t>
      </w:r>
      <w:r w:rsidR="00FB4E3F" w:rsidRPr="00BA2811">
        <w:rPr>
          <w:lang w:val="fr-FR"/>
        </w:rPr>
        <w:t>projet a opté pour la constitut</w:t>
      </w:r>
      <w:r w:rsidR="00FB4E3F" w:rsidRPr="00C8703F">
        <w:rPr>
          <w:lang w:val="fr-FR"/>
        </w:rPr>
        <w:t>ion d’une équipe de consultants individuels</w:t>
      </w:r>
      <w:r w:rsidR="00FB4E3F">
        <w:rPr>
          <w:lang w:val="fr-FR"/>
        </w:rPr>
        <w:t xml:space="preserve">. </w:t>
      </w:r>
    </w:p>
    <w:p w14:paraId="7AE4E926" w14:textId="1E2F1973" w:rsidR="00177B9F" w:rsidRDefault="00792418" w:rsidP="00F04CAF">
      <w:pPr>
        <w:rPr>
          <w:lang w:val="fr-FR"/>
        </w:rPr>
      </w:pPr>
      <w:r>
        <w:rPr>
          <w:lang w:val="fr-FR"/>
        </w:rPr>
        <w:t xml:space="preserve">La composante 2 quant à elle a connu des retards de disponibilité de fonds en 2017, lié au démarrage compliqué évoqué ci-dessus, qui ont entrainé des retards sur le terrain. De plus, </w:t>
      </w:r>
      <w:proofErr w:type="spellStart"/>
      <w:r>
        <w:rPr>
          <w:lang w:val="fr-FR"/>
        </w:rPr>
        <w:t>Tany</w:t>
      </w:r>
      <w:proofErr w:type="spellEnd"/>
      <w:r>
        <w:rPr>
          <w:lang w:val="fr-FR"/>
        </w:rPr>
        <w:t xml:space="preserve"> </w:t>
      </w:r>
      <w:proofErr w:type="spellStart"/>
      <w:r>
        <w:rPr>
          <w:lang w:val="fr-FR"/>
        </w:rPr>
        <w:t>Meva</w:t>
      </w:r>
      <w:proofErr w:type="spellEnd"/>
      <w:r>
        <w:rPr>
          <w:lang w:val="fr-FR"/>
        </w:rPr>
        <w:t xml:space="preserve"> connait des retards de mise en œuvre plus important que SAGE, notamment dans la réalisation des inventaires biologiques et études socio-économiques préalables à la création des APC. </w:t>
      </w:r>
      <w:proofErr w:type="spellStart"/>
      <w:r>
        <w:rPr>
          <w:lang w:val="fr-FR"/>
        </w:rPr>
        <w:t>Tany</w:t>
      </w:r>
      <w:proofErr w:type="spellEnd"/>
      <w:r>
        <w:rPr>
          <w:lang w:val="fr-FR"/>
        </w:rPr>
        <w:t xml:space="preserve"> </w:t>
      </w:r>
      <w:proofErr w:type="spellStart"/>
      <w:r>
        <w:rPr>
          <w:lang w:val="fr-FR"/>
        </w:rPr>
        <w:t>Meva</w:t>
      </w:r>
      <w:proofErr w:type="spellEnd"/>
      <w:r>
        <w:rPr>
          <w:lang w:val="fr-FR"/>
        </w:rPr>
        <w:t>, contrairement à SAGE</w:t>
      </w:r>
      <w:r w:rsidR="001C1B3E">
        <w:rPr>
          <w:lang w:val="fr-FR"/>
        </w:rPr>
        <w:t xml:space="preserve"> qui a une plus longue expérience de travail avec les communautés</w:t>
      </w:r>
      <w:r>
        <w:rPr>
          <w:lang w:val="fr-FR"/>
        </w:rPr>
        <w:t xml:space="preserve">, ne disposait pas de personnel en nombre suffisant et ayant les capacités techniques nécessaires pour la mise en œuvre sur les sites. Les recrutements et la formation du nouveau personnel ont pris beaucoup de temps. Néanmoins, </w:t>
      </w:r>
      <w:r w:rsidR="00210A25">
        <w:rPr>
          <w:lang w:val="fr-FR"/>
        </w:rPr>
        <w:t xml:space="preserve">comme mentionné ci-dessus, </w:t>
      </w:r>
      <w:r w:rsidR="001C1B3E">
        <w:rPr>
          <w:lang w:val="fr-FR"/>
        </w:rPr>
        <w:t xml:space="preserve">l’évaluation a montré qu’après ce démarrage très difficile et avec le soutien technique et la coordination de l’UCP, </w:t>
      </w:r>
      <w:proofErr w:type="spellStart"/>
      <w:r w:rsidR="001C1B3E">
        <w:rPr>
          <w:lang w:val="fr-FR"/>
        </w:rPr>
        <w:t>Tany</w:t>
      </w:r>
      <w:proofErr w:type="spellEnd"/>
      <w:r w:rsidR="001C1B3E">
        <w:rPr>
          <w:lang w:val="fr-FR"/>
        </w:rPr>
        <w:t xml:space="preserve"> </w:t>
      </w:r>
      <w:proofErr w:type="spellStart"/>
      <w:r w:rsidR="001C1B3E">
        <w:rPr>
          <w:lang w:val="fr-FR"/>
        </w:rPr>
        <w:t>Meva</w:t>
      </w:r>
      <w:proofErr w:type="spellEnd"/>
      <w:r w:rsidR="001C1B3E">
        <w:rPr>
          <w:lang w:val="fr-FR"/>
        </w:rPr>
        <w:t xml:space="preserve"> est en train de renforcer ses capacités de mise en œuvre. </w:t>
      </w:r>
    </w:p>
    <w:bookmarkEnd w:id="22"/>
    <w:p w14:paraId="4CDC4CB6" w14:textId="60E4FE23" w:rsidR="00052DA1" w:rsidRPr="003234EA" w:rsidRDefault="00052DA1" w:rsidP="00B06987">
      <w:pPr>
        <w:rPr>
          <w:color w:val="4F81BD" w:themeColor="accent1"/>
          <w:lang w:val="fr-FR"/>
        </w:rPr>
      </w:pPr>
    </w:p>
    <w:p w14:paraId="06382B97" w14:textId="4964B36B" w:rsidR="001D2F32" w:rsidRPr="008F47A6" w:rsidRDefault="00D85DDD" w:rsidP="008D09D3">
      <w:pPr>
        <w:rPr>
          <w:i/>
          <w:iCs/>
          <w:szCs w:val="24"/>
          <w:lang w:val="fr-FR"/>
        </w:rPr>
      </w:pPr>
      <w:r w:rsidRPr="008F47A6">
        <w:rPr>
          <w:i/>
          <w:iCs/>
          <w:szCs w:val="24"/>
          <w:lang w:val="fr-FR"/>
        </w:rPr>
        <w:t>Q : Les processus de planification du travail sont-ils basés sur les résultats ?</w:t>
      </w:r>
      <w:r w:rsidR="001D2F32" w:rsidRPr="008F47A6">
        <w:rPr>
          <w:i/>
          <w:iCs/>
          <w:szCs w:val="24"/>
          <w:lang w:val="fr-FR"/>
        </w:rPr>
        <w:t xml:space="preserve"> Le cadre logique a-t-il été utilisé lors de la mise en œuvre en tant qu'outil de gestion et de suivi-évaluation ?</w:t>
      </w:r>
    </w:p>
    <w:p w14:paraId="2AB974E3" w14:textId="203CED53" w:rsidR="001A094A" w:rsidRDefault="003B15C3" w:rsidP="002E0808">
      <w:pPr>
        <w:rPr>
          <w:lang w:val="fr-FR"/>
        </w:rPr>
      </w:pPr>
      <w:r w:rsidRPr="008F47A6">
        <w:rPr>
          <w:lang w:val="fr-FR"/>
        </w:rPr>
        <w:t>Le calendrier du processus</w:t>
      </w:r>
      <w:r w:rsidR="00AC28C8">
        <w:rPr>
          <w:lang w:val="fr-FR"/>
        </w:rPr>
        <w:t xml:space="preserve"> en Octobre 2019</w:t>
      </w:r>
      <w:r w:rsidRPr="008F47A6">
        <w:rPr>
          <w:lang w:val="fr-FR"/>
        </w:rPr>
        <w:t xml:space="preserve"> prévo</w:t>
      </w:r>
      <w:r w:rsidR="00AC28C8">
        <w:rPr>
          <w:lang w:val="fr-FR"/>
        </w:rPr>
        <w:t>yait</w:t>
      </w:r>
      <w:r w:rsidRPr="008F47A6">
        <w:rPr>
          <w:lang w:val="fr-FR"/>
        </w:rPr>
        <w:t xml:space="preserve"> la mise en protection temporaire</w:t>
      </w:r>
      <w:r w:rsidR="00FD5762">
        <w:rPr>
          <w:lang w:val="fr-FR"/>
        </w:rPr>
        <w:t xml:space="preserve"> des APC</w:t>
      </w:r>
      <w:r w:rsidRPr="008F47A6">
        <w:rPr>
          <w:lang w:val="fr-FR"/>
        </w:rPr>
        <w:t xml:space="preserve"> en 2019, la mise en protection définitive en 2020, et la pérennisation en 2021 et 2022</w:t>
      </w:r>
      <w:r w:rsidR="00FD5762" w:rsidRPr="008F47A6">
        <w:rPr>
          <w:lang w:val="fr-FR"/>
        </w:rPr>
        <w:t xml:space="preserve">, ce qui n’est pas tout à fait en ligne avec les résultats attendus qui prévoyaient simplement la </w:t>
      </w:r>
      <w:r w:rsidR="001A094A" w:rsidRPr="001A094A">
        <w:rPr>
          <w:lang w:val="fr-FR"/>
        </w:rPr>
        <w:t>création</w:t>
      </w:r>
      <w:r w:rsidR="00FD5762" w:rsidRPr="008F47A6">
        <w:rPr>
          <w:lang w:val="fr-FR"/>
        </w:rPr>
        <w:t xml:space="preserve"> des APC</w:t>
      </w:r>
      <w:r w:rsidR="00FD5762">
        <w:rPr>
          <w:lang w:val="fr-FR"/>
        </w:rPr>
        <w:t xml:space="preserve"> sans notion de progression</w:t>
      </w:r>
      <w:r w:rsidRPr="008F47A6">
        <w:rPr>
          <w:lang w:val="fr-FR"/>
        </w:rPr>
        <w:t xml:space="preserve">. </w:t>
      </w:r>
      <w:r w:rsidR="00FD5762">
        <w:rPr>
          <w:lang w:val="fr-FR"/>
        </w:rPr>
        <w:t xml:space="preserve">En novembre 2018, le </w:t>
      </w:r>
      <w:proofErr w:type="spellStart"/>
      <w:r w:rsidR="00BF6945">
        <w:rPr>
          <w:lang w:val="fr-FR"/>
        </w:rPr>
        <w:t>CoPil</w:t>
      </w:r>
      <w:proofErr w:type="spellEnd"/>
      <w:r w:rsidR="00FD5762">
        <w:rPr>
          <w:lang w:val="fr-FR"/>
        </w:rPr>
        <w:t xml:space="preserve"> décide donc qu’il </w:t>
      </w:r>
      <w:r w:rsidRPr="008F47A6">
        <w:rPr>
          <w:lang w:val="fr-FR"/>
        </w:rPr>
        <w:t>faut redéfinir et adapter les activités en fonction de ce calendrier.</w:t>
      </w:r>
      <w:r w:rsidR="00FD5762" w:rsidRPr="008F47A6">
        <w:rPr>
          <w:lang w:val="fr-FR"/>
        </w:rPr>
        <w:t xml:space="preserve"> </w:t>
      </w:r>
      <w:r w:rsidR="00AC28C8">
        <w:rPr>
          <w:lang w:val="fr-FR"/>
        </w:rPr>
        <w:t xml:space="preserve">En novembre 2019, le MEDD suggère de mettre comme indicateur à fin 2020 : </w:t>
      </w:r>
      <w:r w:rsidR="00AC28C8" w:rsidRPr="00346FE6">
        <w:rPr>
          <w:lang w:val="fr-FR"/>
        </w:rPr>
        <w:t>« dossier de demande de mise en protection définitive déposée auprès du MEDD »</w:t>
      </w:r>
      <w:r w:rsidR="00AC28C8">
        <w:rPr>
          <w:lang w:val="fr-FR"/>
        </w:rPr>
        <w:t xml:space="preserve"> du fait que ce n’est pas uniquement le MEDD qui signe le décret mais il y aura au moins 18 ministères.</w:t>
      </w:r>
    </w:p>
    <w:p w14:paraId="34BF0FD6" w14:textId="1052E3ED" w:rsidR="003B15C3" w:rsidRPr="00AC7B29" w:rsidRDefault="001A094A" w:rsidP="00B33CA3">
      <w:pPr>
        <w:rPr>
          <w:lang w:val="fr-FR"/>
        </w:rPr>
      </w:pPr>
      <w:r w:rsidRPr="008F47A6">
        <w:rPr>
          <w:lang w:val="fr-FR"/>
        </w:rPr>
        <w:t>Les rapports annuels du PNUD et les PIR utilisent un cadre logique similaire</w:t>
      </w:r>
      <w:r w:rsidR="002720A5">
        <w:rPr>
          <w:lang w:val="fr-FR"/>
        </w:rPr>
        <w:t xml:space="preserve"> à celui présent dans le Document de Projet</w:t>
      </w:r>
      <w:r w:rsidRPr="008F47A6">
        <w:rPr>
          <w:lang w:val="fr-FR"/>
        </w:rPr>
        <w:t xml:space="preserve">, quoique numéroté différemment. </w:t>
      </w:r>
      <w:r>
        <w:rPr>
          <w:lang w:val="fr-FR"/>
        </w:rPr>
        <w:t xml:space="preserve">Toutefois, </w:t>
      </w:r>
      <w:r w:rsidR="00B04A9E">
        <w:rPr>
          <w:lang w:val="fr-FR"/>
        </w:rPr>
        <w:t>ces cadres logiques n’</w:t>
      </w:r>
      <w:r w:rsidR="00596200">
        <w:rPr>
          <w:lang w:val="fr-FR"/>
        </w:rPr>
        <w:t>intègrent</w:t>
      </w:r>
      <w:r w:rsidR="00B04A9E">
        <w:rPr>
          <w:lang w:val="fr-FR"/>
        </w:rPr>
        <w:t xml:space="preserve"> pas les modifications </w:t>
      </w:r>
      <w:r w:rsidR="00B04A9E" w:rsidRPr="006D7D77">
        <w:rPr>
          <w:lang w:val="fr-FR"/>
        </w:rPr>
        <w:t xml:space="preserve">effectuées lors de la révision du plan de suivi-évaluation de juillet 2018. </w:t>
      </w:r>
    </w:p>
    <w:p w14:paraId="76C08825" w14:textId="4BF677F4" w:rsidR="00FD5762" w:rsidRPr="00AC7B29" w:rsidRDefault="00FD5762" w:rsidP="00D85DDD">
      <w:pPr>
        <w:rPr>
          <w:i/>
          <w:iCs/>
          <w:color w:val="FF0000"/>
          <w:szCs w:val="24"/>
          <w:lang w:val="fr-FR"/>
        </w:rPr>
      </w:pPr>
    </w:p>
    <w:p w14:paraId="69CE861E" w14:textId="37B47798" w:rsidR="005C550F" w:rsidRPr="00AC7B29" w:rsidRDefault="005C550F" w:rsidP="005C550F">
      <w:pPr>
        <w:pStyle w:val="Titre3"/>
        <w:rPr>
          <w:lang w:val="fr-FR"/>
        </w:rPr>
      </w:pPr>
      <w:r w:rsidRPr="00AC7B29">
        <w:rPr>
          <w:lang w:val="fr-FR"/>
        </w:rPr>
        <w:t xml:space="preserve">Financement et cofinancement </w:t>
      </w:r>
    </w:p>
    <w:p w14:paraId="315F3583" w14:textId="1662A897" w:rsidR="00D85DDD" w:rsidRPr="002B677E" w:rsidRDefault="002E0808" w:rsidP="00D85DDD">
      <w:pPr>
        <w:rPr>
          <w:i/>
          <w:iCs/>
          <w:color w:val="000000" w:themeColor="text1"/>
          <w:szCs w:val="24"/>
          <w:lang w:val="fr-FR"/>
        </w:rPr>
      </w:pPr>
      <w:r w:rsidRPr="002B677E">
        <w:rPr>
          <w:i/>
          <w:iCs/>
          <w:color w:val="000000" w:themeColor="text1"/>
          <w:szCs w:val="24"/>
          <w:lang w:val="fr-FR"/>
        </w:rPr>
        <w:t>Q : Existe-il un écart entre les dépenses prévues et les dépenses réelles ? Pourquoi ?</w:t>
      </w:r>
    </w:p>
    <w:p w14:paraId="69B4596A" w14:textId="57C70D16" w:rsidR="008D09D3" w:rsidRPr="00BE1549" w:rsidRDefault="008D09D3" w:rsidP="008D09D3">
      <w:pPr>
        <w:rPr>
          <w:szCs w:val="24"/>
          <w:lang w:val="fr-FR"/>
        </w:rPr>
      </w:pPr>
      <w:r w:rsidRPr="00BE1549">
        <w:rPr>
          <w:szCs w:val="24"/>
          <w:lang w:val="fr-FR"/>
        </w:rPr>
        <w:t xml:space="preserve">Au 31 octobre 2019, le projet avait dépensé 2 767 335 USD, soit 74 % du budget prévu pour 2017, 2018 et les 10 premiers mois de 2019. Le total des dépenses réelles en octobre 2019 représentait 52 % du financement total du FEM, alors que 47 % du temps de mise en œuvre avait été consacré au projet - le projet avait passé 28 mois sur les 60 mois de temps de mise en œuvre. </w:t>
      </w:r>
    </w:p>
    <w:p w14:paraId="49645415" w14:textId="0C43E443" w:rsidR="008D09D3" w:rsidRPr="00BE1549" w:rsidRDefault="008D09D3" w:rsidP="008D09D3">
      <w:pPr>
        <w:rPr>
          <w:szCs w:val="24"/>
          <w:lang w:val="fr-FR"/>
        </w:rPr>
      </w:pPr>
      <w:r w:rsidRPr="00BE1549">
        <w:rPr>
          <w:szCs w:val="24"/>
          <w:lang w:val="fr-FR"/>
        </w:rPr>
        <w:t xml:space="preserve">Le projet n'a pas dépensé en 2017 et a eu des dépenses limitées en 2018 (moins de 65 % des dépenses prévues) mais a accéléré les dépenses en 2019 (plus de 150 % des dépenses prévues seulement en 10 mois).  </w:t>
      </w:r>
    </w:p>
    <w:p w14:paraId="2DEE6021" w14:textId="2414FA7E" w:rsidR="008D09D3" w:rsidRPr="00BE1549" w:rsidRDefault="008D09D3" w:rsidP="002E0808">
      <w:pPr>
        <w:rPr>
          <w:szCs w:val="24"/>
          <w:lang w:val="fr-FR"/>
        </w:rPr>
      </w:pPr>
      <w:r w:rsidRPr="00BE1549">
        <w:rPr>
          <w:szCs w:val="24"/>
          <w:lang w:val="fr-FR"/>
        </w:rPr>
        <w:t xml:space="preserve">En ce qui concerne les résultats, les dépenses ont été supérieures aux prévisions (111 % des dépenses prévues) pour le résultat 1, et inférieures aux prévisions pour les résultats 2 et 3. Pour le résultat 2, les dépenses réelles représentent 77 % des dépenses prévues, en partie à cause des retards dans la mise en œuvre. Dans le résultat 3, lié aux coûts de gestion de projet, les dépenses réelles représentent 53 des dépenses prévues, principalement en raison du manque de personnel clé pendant six mois. En octobre 2019, les coûts réels de gestion de projet représentaient 3 % du coût total réel de la mise en œuvre pendant la période d'exécution, ce qui est conforme aux directives du FEM. </w:t>
      </w:r>
    </w:p>
    <w:p w14:paraId="2CEA9A98" w14:textId="72E07D56" w:rsidR="008D09D3" w:rsidRPr="00BE1549" w:rsidRDefault="008D09D3" w:rsidP="008D09D3">
      <w:pPr>
        <w:rPr>
          <w:szCs w:val="24"/>
          <w:lang w:val="fr-FR"/>
        </w:rPr>
      </w:pPr>
      <w:r w:rsidRPr="00BE1549">
        <w:rPr>
          <w:szCs w:val="24"/>
          <w:lang w:val="fr-FR"/>
        </w:rPr>
        <w:t>Les tableaux 3 et 4 présentent les informations financières détaillées du projet.</w:t>
      </w:r>
    </w:p>
    <w:p w14:paraId="0751CC51" w14:textId="77777777" w:rsidR="008D09D3" w:rsidRDefault="008D09D3" w:rsidP="008D09D3">
      <w:pPr>
        <w:rPr>
          <w:i/>
          <w:iCs/>
          <w:color w:val="FF0000"/>
          <w:szCs w:val="24"/>
          <w:lang w:val="fr-FR"/>
        </w:rPr>
        <w:sectPr w:rsidR="008D09D3" w:rsidSect="00937AA0">
          <w:pgSz w:w="11906" w:h="16838" w:code="9"/>
          <w:pgMar w:top="1440" w:right="1440" w:bottom="1440" w:left="1440" w:header="576" w:footer="432" w:gutter="0"/>
          <w:cols w:space="720"/>
          <w:docGrid w:linePitch="360"/>
        </w:sectPr>
      </w:pPr>
    </w:p>
    <w:p w14:paraId="18B6B16A" w14:textId="790DCA15" w:rsidR="008D09D3" w:rsidRDefault="008D09D3" w:rsidP="008D09D3">
      <w:r w:rsidRPr="005C12FA">
        <w:lastRenderedPageBreak/>
        <w:t>Table</w:t>
      </w:r>
      <w:r w:rsidR="00B33CA3">
        <w:t>au</w:t>
      </w:r>
      <w:r w:rsidRPr="005C12FA">
        <w:t xml:space="preserve"> 3. </w:t>
      </w:r>
      <w:proofErr w:type="spellStart"/>
      <w:r>
        <w:t>Financement</w:t>
      </w:r>
      <w:proofErr w:type="spellEnd"/>
      <w:r>
        <w:t xml:space="preserve"> </w:t>
      </w:r>
      <w:proofErr w:type="spellStart"/>
      <w:r>
        <w:t>cumulé</w:t>
      </w:r>
      <w:proofErr w:type="spellEnd"/>
      <w:r>
        <w:t xml:space="preserve"> du </w:t>
      </w:r>
      <w:proofErr w:type="spellStart"/>
      <w:r>
        <w:t>projet</w:t>
      </w:r>
      <w:proofErr w:type="spellEnd"/>
    </w:p>
    <w:tbl>
      <w:tblPr>
        <w:tblW w:w="10140" w:type="dxa"/>
        <w:tblLook w:val="04A0" w:firstRow="1" w:lastRow="0" w:firstColumn="1" w:lastColumn="0" w:noHBand="0" w:noVBand="1"/>
      </w:tblPr>
      <w:tblGrid>
        <w:gridCol w:w="2080"/>
        <w:gridCol w:w="1292"/>
        <w:gridCol w:w="1293"/>
        <w:gridCol w:w="1234"/>
        <w:gridCol w:w="828"/>
        <w:gridCol w:w="834"/>
        <w:gridCol w:w="1292"/>
        <w:gridCol w:w="1287"/>
      </w:tblGrid>
      <w:tr w:rsidR="008D09D3" w:rsidRPr="00974DA7" w14:paraId="686B40E1" w14:textId="77777777" w:rsidTr="00974DA7">
        <w:trPr>
          <w:trHeight w:val="420"/>
        </w:trPr>
        <w:tc>
          <w:tcPr>
            <w:tcW w:w="2080" w:type="dxa"/>
            <w:tcBorders>
              <w:top w:val="nil"/>
              <w:left w:val="nil"/>
              <w:bottom w:val="nil"/>
              <w:right w:val="nil"/>
            </w:tcBorders>
            <w:shd w:val="clear" w:color="auto" w:fill="auto"/>
            <w:noWrap/>
            <w:vAlign w:val="bottom"/>
            <w:hideMark/>
          </w:tcPr>
          <w:p w14:paraId="33C0FCFC" w14:textId="77777777" w:rsidR="008D09D3" w:rsidRPr="001F2ADF" w:rsidRDefault="008D09D3" w:rsidP="00974DA7">
            <w:pPr>
              <w:rPr>
                <w:sz w:val="20"/>
                <w:szCs w:val="20"/>
              </w:rPr>
            </w:pPr>
          </w:p>
        </w:tc>
        <w:tc>
          <w:tcPr>
            <w:tcW w:w="5481" w:type="dxa"/>
            <w:gridSpan w:val="5"/>
            <w:tcBorders>
              <w:top w:val="single" w:sz="8" w:space="0" w:color="auto"/>
              <w:left w:val="single" w:sz="8" w:space="0" w:color="auto"/>
              <w:bottom w:val="single" w:sz="4" w:space="0" w:color="auto"/>
              <w:right w:val="single" w:sz="4" w:space="0" w:color="000000"/>
            </w:tcBorders>
            <w:shd w:val="clear" w:color="000000" w:fill="D9D9D9"/>
            <w:hideMark/>
          </w:tcPr>
          <w:p w14:paraId="0DB62259" w14:textId="296A0F38" w:rsidR="008D09D3" w:rsidRPr="001F2ADF" w:rsidRDefault="008D09D3" w:rsidP="00974DA7">
            <w:pPr>
              <w:rPr>
                <w:rFonts w:cs="Calibri"/>
                <w:b/>
                <w:bCs/>
                <w:color w:val="000000"/>
                <w:sz w:val="20"/>
                <w:szCs w:val="20"/>
              </w:rPr>
            </w:pPr>
            <w:proofErr w:type="spellStart"/>
            <w:r w:rsidRPr="001F2ADF">
              <w:rPr>
                <w:rFonts w:cs="Calibri"/>
                <w:b/>
                <w:bCs/>
                <w:color w:val="000000"/>
                <w:sz w:val="20"/>
                <w:szCs w:val="20"/>
              </w:rPr>
              <w:t>Cum</w:t>
            </w:r>
            <w:r>
              <w:rPr>
                <w:rFonts w:cs="Calibri"/>
                <w:b/>
                <w:bCs/>
                <w:color w:val="000000"/>
                <w:sz w:val="20"/>
                <w:szCs w:val="20"/>
              </w:rPr>
              <w:t>ulé</w:t>
            </w:r>
            <w:proofErr w:type="spellEnd"/>
            <w:r w:rsidRPr="001F2ADF">
              <w:rPr>
                <w:rFonts w:cs="Calibri"/>
                <w:b/>
                <w:bCs/>
                <w:color w:val="000000"/>
                <w:sz w:val="20"/>
                <w:szCs w:val="20"/>
              </w:rPr>
              <w:t xml:space="preserve"> (May 2017 - 31 October 2019)</w:t>
            </w:r>
          </w:p>
        </w:tc>
        <w:tc>
          <w:tcPr>
            <w:tcW w:w="2579" w:type="dxa"/>
            <w:gridSpan w:val="2"/>
            <w:vMerge w:val="restart"/>
            <w:tcBorders>
              <w:top w:val="single" w:sz="8" w:space="0" w:color="auto"/>
              <w:left w:val="single" w:sz="4" w:space="0" w:color="auto"/>
              <w:bottom w:val="single" w:sz="4" w:space="0" w:color="000000"/>
              <w:right w:val="single" w:sz="8" w:space="0" w:color="000000"/>
            </w:tcBorders>
            <w:shd w:val="clear" w:color="000000" w:fill="D9D9D9"/>
            <w:hideMark/>
          </w:tcPr>
          <w:p w14:paraId="1F5058CC" w14:textId="49422AD2" w:rsidR="008D09D3" w:rsidRPr="001F2ADF" w:rsidRDefault="008D09D3" w:rsidP="00974DA7">
            <w:pPr>
              <w:jc w:val="center"/>
              <w:rPr>
                <w:rFonts w:cs="Calibri"/>
                <w:b/>
                <w:bCs/>
                <w:color w:val="000000"/>
                <w:sz w:val="20"/>
                <w:szCs w:val="20"/>
              </w:rPr>
            </w:pPr>
            <w:r>
              <w:rPr>
                <w:rFonts w:cs="Calibri"/>
                <w:b/>
                <w:bCs/>
                <w:color w:val="000000"/>
                <w:sz w:val="20"/>
                <w:szCs w:val="20"/>
              </w:rPr>
              <w:t xml:space="preserve">Budget total du </w:t>
            </w:r>
            <w:proofErr w:type="spellStart"/>
            <w:r>
              <w:rPr>
                <w:rFonts w:cs="Calibri"/>
                <w:b/>
                <w:bCs/>
                <w:color w:val="000000"/>
                <w:sz w:val="20"/>
                <w:szCs w:val="20"/>
              </w:rPr>
              <w:t>projet</w:t>
            </w:r>
            <w:proofErr w:type="spellEnd"/>
          </w:p>
        </w:tc>
      </w:tr>
      <w:tr w:rsidR="008D09D3" w:rsidRPr="00D758E9" w14:paraId="322142E5" w14:textId="77777777" w:rsidTr="00974DA7">
        <w:trPr>
          <w:trHeight w:val="320"/>
        </w:trPr>
        <w:tc>
          <w:tcPr>
            <w:tcW w:w="2080" w:type="dxa"/>
            <w:tcBorders>
              <w:top w:val="nil"/>
              <w:left w:val="nil"/>
              <w:bottom w:val="nil"/>
              <w:right w:val="nil"/>
            </w:tcBorders>
            <w:shd w:val="clear" w:color="auto" w:fill="auto"/>
            <w:noWrap/>
            <w:vAlign w:val="bottom"/>
            <w:hideMark/>
          </w:tcPr>
          <w:p w14:paraId="75A4EF79" w14:textId="77777777" w:rsidR="008D09D3" w:rsidRPr="001F2ADF" w:rsidRDefault="008D09D3" w:rsidP="00974DA7">
            <w:pPr>
              <w:jc w:val="center"/>
              <w:rPr>
                <w:rFonts w:cs="Calibri"/>
                <w:b/>
                <w:bCs/>
                <w:color w:val="000000"/>
                <w:sz w:val="20"/>
                <w:szCs w:val="20"/>
              </w:rPr>
            </w:pPr>
          </w:p>
        </w:tc>
        <w:tc>
          <w:tcPr>
            <w:tcW w:w="2585" w:type="dxa"/>
            <w:gridSpan w:val="2"/>
            <w:tcBorders>
              <w:top w:val="single" w:sz="4" w:space="0" w:color="auto"/>
              <w:left w:val="single" w:sz="8" w:space="0" w:color="auto"/>
              <w:bottom w:val="single" w:sz="4" w:space="0" w:color="auto"/>
              <w:right w:val="single" w:sz="4" w:space="0" w:color="000000"/>
            </w:tcBorders>
            <w:shd w:val="clear" w:color="000000" w:fill="D9D9D9"/>
            <w:hideMark/>
          </w:tcPr>
          <w:p w14:paraId="5383D8D6" w14:textId="7821D6A7" w:rsidR="008D09D3" w:rsidRPr="001F2ADF" w:rsidRDefault="008D09D3" w:rsidP="00974DA7">
            <w:pPr>
              <w:rPr>
                <w:rFonts w:cs="Calibri"/>
                <w:b/>
                <w:bCs/>
                <w:color w:val="000000"/>
                <w:sz w:val="20"/>
                <w:szCs w:val="20"/>
              </w:rPr>
            </w:pPr>
            <w:proofErr w:type="spellStart"/>
            <w:r w:rsidRPr="001F2ADF">
              <w:rPr>
                <w:rFonts w:cs="Calibri"/>
                <w:b/>
                <w:bCs/>
                <w:color w:val="000000"/>
                <w:sz w:val="20"/>
                <w:szCs w:val="20"/>
              </w:rPr>
              <w:t>P</w:t>
            </w:r>
            <w:r>
              <w:rPr>
                <w:rFonts w:cs="Calibri"/>
                <w:b/>
                <w:bCs/>
                <w:color w:val="000000"/>
                <w:sz w:val="20"/>
                <w:szCs w:val="20"/>
              </w:rPr>
              <w:t>r</w:t>
            </w:r>
            <w:r w:rsidR="001D5460">
              <w:rPr>
                <w:rFonts w:cs="Calibri"/>
                <w:b/>
                <w:bCs/>
                <w:color w:val="000000"/>
                <w:sz w:val="20"/>
                <w:szCs w:val="20"/>
              </w:rPr>
              <w:t>é</w:t>
            </w:r>
            <w:r>
              <w:rPr>
                <w:rFonts w:cs="Calibri"/>
                <w:b/>
                <w:bCs/>
                <w:color w:val="000000"/>
                <w:sz w:val="20"/>
                <w:szCs w:val="20"/>
              </w:rPr>
              <w:t>vu</w:t>
            </w:r>
            <w:proofErr w:type="spellEnd"/>
          </w:p>
        </w:tc>
        <w:tc>
          <w:tcPr>
            <w:tcW w:w="1234" w:type="dxa"/>
            <w:vMerge w:val="restart"/>
            <w:tcBorders>
              <w:top w:val="nil"/>
              <w:left w:val="single" w:sz="4" w:space="0" w:color="auto"/>
              <w:bottom w:val="single" w:sz="8" w:space="0" w:color="000000"/>
              <w:right w:val="single" w:sz="4" w:space="0" w:color="auto"/>
            </w:tcBorders>
            <w:shd w:val="clear" w:color="000000" w:fill="D9D9D9"/>
            <w:hideMark/>
          </w:tcPr>
          <w:p w14:paraId="04226888" w14:textId="4610013D" w:rsidR="008D09D3" w:rsidRPr="001F2ADF" w:rsidRDefault="008D09D3" w:rsidP="00974DA7">
            <w:pPr>
              <w:rPr>
                <w:rFonts w:cs="Calibri"/>
                <w:b/>
                <w:bCs/>
                <w:color w:val="000000"/>
                <w:sz w:val="20"/>
                <w:szCs w:val="20"/>
              </w:rPr>
            </w:pPr>
            <w:proofErr w:type="spellStart"/>
            <w:r>
              <w:rPr>
                <w:rFonts w:cs="Calibri"/>
                <w:b/>
                <w:bCs/>
                <w:color w:val="000000"/>
                <w:sz w:val="20"/>
                <w:szCs w:val="20"/>
              </w:rPr>
              <w:t>Reéle</w:t>
            </w:r>
            <w:proofErr w:type="spellEnd"/>
          </w:p>
        </w:tc>
        <w:tc>
          <w:tcPr>
            <w:tcW w:w="1662" w:type="dxa"/>
            <w:gridSpan w:val="2"/>
            <w:tcBorders>
              <w:top w:val="single" w:sz="4" w:space="0" w:color="auto"/>
              <w:left w:val="nil"/>
              <w:bottom w:val="single" w:sz="4" w:space="0" w:color="auto"/>
              <w:right w:val="single" w:sz="4" w:space="0" w:color="000000"/>
            </w:tcBorders>
            <w:shd w:val="clear" w:color="000000" w:fill="D9D9D9"/>
            <w:hideMark/>
          </w:tcPr>
          <w:p w14:paraId="3710D444" w14:textId="1B809B40" w:rsidR="008D09D3" w:rsidRPr="001F2ADF" w:rsidRDefault="008D09D3" w:rsidP="00974DA7">
            <w:pPr>
              <w:rPr>
                <w:rFonts w:cs="Calibri"/>
                <w:b/>
                <w:bCs/>
                <w:color w:val="000000"/>
                <w:sz w:val="20"/>
                <w:szCs w:val="20"/>
              </w:rPr>
            </w:pPr>
            <w:proofErr w:type="spellStart"/>
            <w:r w:rsidRPr="001F2ADF">
              <w:rPr>
                <w:rFonts w:cs="Calibri"/>
                <w:b/>
                <w:bCs/>
                <w:color w:val="000000"/>
                <w:sz w:val="20"/>
                <w:szCs w:val="20"/>
              </w:rPr>
              <w:t>P</w:t>
            </w:r>
            <w:r>
              <w:rPr>
                <w:rFonts w:cs="Calibri"/>
                <w:b/>
                <w:bCs/>
                <w:color w:val="000000"/>
                <w:sz w:val="20"/>
                <w:szCs w:val="20"/>
              </w:rPr>
              <w:t>ou</w:t>
            </w:r>
            <w:r w:rsidRPr="001F2ADF">
              <w:rPr>
                <w:rFonts w:cs="Calibri"/>
                <w:b/>
                <w:bCs/>
                <w:color w:val="000000"/>
                <w:sz w:val="20"/>
                <w:szCs w:val="20"/>
              </w:rPr>
              <w:t>rcentage</w:t>
            </w:r>
            <w:proofErr w:type="spellEnd"/>
          </w:p>
        </w:tc>
        <w:tc>
          <w:tcPr>
            <w:tcW w:w="2579" w:type="dxa"/>
            <w:gridSpan w:val="2"/>
            <w:vMerge/>
            <w:tcBorders>
              <w:top w:val="single" w:sz="8" w:space="0" w:color="auto"/>
              <w:left w:val="single" w:sz="4" w:space="0" w:color="auto"/>
              <w:bottom w:val="single" w:sz="4" w:space="0" w:color="000000"/>
              <w:right w:val="single" w:sz="8" w:space="0" w:color="000000"/>
            </w:tcBorders>
            <w:vAlign w:val="center"/>
            <w:hideMark/>
          </w:tcPr>
          <w:p w14:paraId="1BAC0AA6" w14:textId="77777777" w:rsidR="008D09D3" w:rsidRPr="001F2ADF" w:rsidRDefault="008D09D3" w:rsidP="00974DA7">
            <w:pPr>
              <w:rPr>
                <w:rFonts w:cs="Calibri"/>
                <w:b/>
                <w:bCs/>
                <w:color w:val="000000"/>
                <w:sz w:val="20"/>
                <w:szCs w:val="20"/>
              </w:rPr>
            </w:pPr>
          </w:p>
        </w:tc>
      </w:tr>
      <w:tr w:rsidR="002E0808" w:rsidRPr="00974DA7" w14:paraId="111D2A12" w14:textId="77777777" w:rsidTr="00974DA7">
        <w:trPr>
          <w:trHeight w:val="640"/>
        </w:trPr>
        <w:tc>
          <w:tcPr>
            <w:tcW w:w="2080" w:type="dxa"/>
            <w:tcBorders>
              <w:top w:val="nil"/>
              <w:left w:val="nil"/>
              <w:bottom w:val="nil"/>
              <w:right w:val="nil"/>
            </w:tcBorders>
            <w:shd w:val="clear" w:color="auto" w:fill="auto"/>
            <w:noWrap/>
            <w:vAlign w:val="bottom"/>
            <w:hideMark/>
          </w:tcPr>
          <w:p w14:paraId="411014B2" w14:textId="77777777" w:rsidR="008D09D3" w:rsidRPr="001F2ADF" w:rsidRDefault="008D09D3" w:rsidP="00974DA7">
            <w:pPr>
              <w:rPr>
                <w:rFonts w:cs="Calibri"/>
                <w:b/>
                <w:bCs/>
                <w:color w:val="000000"/>
                <w:sz w:val="20"/>
                <w:szCs w:val="20"/>
              </w:rPr>
            </w:pPr>
          </w:p>
        </w:tc>
        <w:tc>
          <w:tcPr>
            <w:tcW w:w="1292" w:type="dxa"/>
            <w:tcBorders>
              <w:top w:val="nil"/>
              <w:left w:val="single" w:sz="8" w:space="0" w:color="auto"/>
              <w:bottom w:val="nil"/>
              <w:right w:val="single" w:sz="4" w:space="0" w:color="auto"/>
            </w:tcBorders>
            <w:shd w:val="clear" w:color="000000" w:fill="D9D9D9"/>
            <w:hideMark/>
          </w:tcPr>
          <w:p w14:paraId="20F6D1C6" w14:textId="77777777" w:rsidR="008D09D3" w:rsidRPr="001F2ADF" w:rsidRDefault="008D09D3" w:rsidP="00974DA7">
            <w:pPr>
              <w:rPr>
                <w:rFonts w:cs="Calibri"/>
                <w:b/>
                <w:bCs/>
                <w:color w:val="000000"/>
                <w:sz w:val="20"/>
                <w:szCs w:val="20"/>
              </w:rPr>
            </w:pPr>
            <w:proofErr w:type="spellStart"/>
            <w:r w:rsidRPr="001F2ADF">
              <w:rPr>
                <w:rFonts w:cs="Calibri"/>
                <w:b/>
                <w:bCs/>
                <w:color w:val="000000"/>
                <w:sz w:val="20"/>
                <w:szCs w:val="20"/>
              </w:rPr>
              <w:t>Prodoc</w:t>
            </w:r>
            <w:proofErr w:type="spellEnd"/>
          </w:p>
        </w:tc>
        <w:tc>
          <w:tcPr>
            <w:tcW w:w="1293" w:type="dxa"/>
            <w:tcBorders>
              <w:top w:val="nil"/>
              <w:left w:val="nil"/>
              <w:bottom w:val="nil"/>
              <w:right w:val="single" w:sz="4" w:space="0" w:color="auto"/>
            </w:tcBorders>
            <w:shd w:val="clear" w:color="000000" w:fill="D9D9D9"/>
            <w:hideMark/>
          </w:tcPr>
          <w:p w14:paraId="37DA5BFE" w14:textId="77777777" w:rsidR="008D09D3" w:rsidRPr="001F2ADF" w:rsidRDefault="008D09D3" w:rsidP="00974DA7">
            <w:pPr>
              <w:rPr>
                <w:rFonts w:cs="Calibri"/>
                <w:b/>
                <w:bCs/>
                <w:color w:val="000000"/>
                <w:sz w:val="20"/>
                <w:szCs w:val="20"/>
              </w:rPr>
            </w:pPr>
            <w:r w:rsidRPr="001F2ADF">
              <w:rPr>
                <w:rFonts w:cs="Calibri"/>
                <w:b/>
                <w:bCs/>
                <w:color w:val="000000"/>
                <w:sz w:val="20"/>
                <w:szCs w:val="20"/>
              </w:rPr>
              <w:t>Revision</w:t>
            </w:r>
          </w:p>
        </w:tc>
        <w:tc>
          <w:tcPr>
            <w:tcW w:w="1234" w:type="dxa"/>
            <w:vMerge/>
            <w:tcBorders>
              <w:top w:val="nil"/>
              <w:left w:val="single" w:sz="4" w:space="0" w:color="auto"/>
              <w:bottom w:val="single" w:sz="8" w:space="0" w:color="000000"/>
              <w:right w:val="single" w:sz="4" w:space="0" w:color="auto"/>
            </w:tcBorders>
            <w:vAlign w:val="center"/>
            <w:hideMark/>
          </w:tcPr>
          <w:p w14:paraId="4F07E88D" w14:textId="77777777" w:rsidR="008D09D3" w:rsidRPr="001F2ADF" w:rsidRDefault="008D09D3" w:rsidP="00974DA7">
            <w:pPr>
              <w:rPr>
                <w:rFonts w:cs="Calibri"/>
                <w:b/>
                <w:bCs/>
                <w:color w:val="000000"/>
                <w:sz w:val="20"/>
                <w:szCs w:val="20"/>
              </w:rPr>
            </w:pPr>
          </w:p>
        </w:tc>
        <w:tc>
          <w:tcPr>
            <w:tcW w:w="828" w:type="dxa"/>
            <w:tcBorders>
              <w:top w:val="nil"/>
              <w:left w:val="nil"/>
              <w:bottom w:val="nil"/>
              <w:right w:val="single" w:sz="4" w:space="0" w:color="auto"/>
            </w:tcBorders>
            <w:shd w:val="clear" w:color="000000" w:fill="D9D9D9"/>
            <w:hideMark/>
          </w:tcPr>
          <w:p w14:paraId="7D715BC9" w14:textId="19C36AD7" w:rsidR="008D09D3" w:rsidRPr="001F2ADF" w:rsidRDefault="008D09D3" w:rsidP="00974DA7">
            <w:pPr>
              <w:rPr>
                <w:rFonts w:cs="Calibri"/>
                <w:b/>
                <w:bCs/>
                <w:color w:val="000000"/>
                <w:sz w:val="20"/>
                <w:szCs w:val="20"/>
              </w:rPr>
            </w:pPr>
            <w:r>
              <w:rPr>
                <w:rFonts w:cs="Calibri"/>
                <w:b/>
                <w:bCs/>
                <w:color w:val="000000"/>
                <w:sz w:val="20"/>
                <w:szCs w:val="20"/>
              </w:rPr>
              <w:t xml:space="preserve">Sur </w:t>
            </w:r>
            <w:proofErr w:type="spellStart"/>
            <w:r w:rsidRPr="001F2ADF">
              <w:rPr>
                <w:rFonts w:cs="Calibri"/>
                <w:b/>
                <w:bCs/>
                <w:color w:val="000000"/>
                <w:sz w:val="20"/>
                <w:szCs w:val="20"/>
              </w:rPr>
              <w:t>Prodoc</w:t>
            </w:r>
            <w:proofErr w:type="spellEnd"/>
          </w:p>
        </w:tc>
        <w:tc>
          <w:tcPr>
            <w:tcW w:w="834" w:type="dxa"/>
            <w:tcBorders>
              <w:top w:val="nil"/>
              <w:left w:val="nil"/>
              <w:bottom w:val="nil"/>
              <w:right w:val="single" w:sz="4" w:space="0" w:color="auto"/>
            </w:tcBorders>
            <w:shd w:val="clear" w:color="000000" w:fill="D9D9D9"/>
            <w:hideMark/>
          </w:tcPr>
          <w:p w14:paraId="00DB23D0" w14:textId="714F8311" w:rsidR="008D09D3" w:rsidRPr="001F2ADF" w:rsidRDefault="008D09D3" w:rsidP="00974DA7">
            <w:pPr>
              <w:rPr>
                <w:rFonts w:cs="Calibri"/>
                <w:b/>
                <w:bCs/>
                <w:color w:val="000000"/>
                <w:sz w:val="20"/>
                <w:szCs w:val="20"/>
              </w:rPr>
            </w:pPr>
            <w:r>
              <w:rPr>
                <w:rFonts w:cs="Calibri"/>
                <w:b/>
                <w:bCs/>
                <w:color w:val="000000"/>
                <w:sz w:val="20"/>
                <w:szCs w:val="20"/>
              </w:rPr>
              <w:t xml:space="preserve">Sur </w:t>
            </w:r>
            <w:r w:rsidRPr="001F2ADF">
              <w:rPr>
                <w:rFonts w:cs="Calibri"/>
                <w:b/>
                <w:bCs/>
                <w:color w:val="000000"/>
                <w:sz w:val="20"/>
                <w:szCs w:val="20"/>
              </w:rPr>
              <w:t>Rev</w:t>
            </w:r>
          </w:p>
        </w:tc>
        <w:tc>
          <w:tcPr>
            <w:tcW w:w="1292" w:type="dxa"/>
            <w:tcBorders>
              <w:top w:val="nil"/>
              <w:left w:val="nil"/>
              <w:bottom w:val="nil"/>
              <w:right w:val="single" w:sz="4" w:space="0" w:color="auto"/>
            </w:tcBorders>
            <w:shd w:val="clear" w:color="000000" w:fill="D9D9D9"/>
            <w:hideMark/>
          </w:tcPr>
          <w:p w14:paraId="71F9845A" w14:textId="6B03D30B" w:rsidR="008D09D3" w:rsidRPr="001F2ADF" w:rsidRDefault="008D09D3" w:rsidP="00974DA7">
            <w:pPr>
              <w:rPr>
                <w:rFonts w:cs="Calibri"/>
                <w:b/>
                <w:bCs/>
                <w:color w:val="000000"/>
                <w:sz w:val="20"/>
                <w:szCs w:val="20"/>
              </w:rPr>
            </w:pPr>
            <w:proofErr w:type="spellStart"/>
            <w:r w:rsidRPr="001F2ADF">
              <w:rPr>
                <w:rFonts w:cs="Calibri"/>
                <w:b/>
                <w:bCs/>
                <w:color w:val="000000"/>
                <w:sz w:val="20"/>
                <w:szCs w:val="20"/>
              </w:rPr>
              <w:t>P</w:t>
            </w:r>
            <w:r>
              <w:rPr>
                <w:rFonts w:cs="Calibri"/>
                <w:b/>
                <w:bCs/>
                <w:color w:val="000000"/>
                <w:sz w:val="20"/>
                <w:szCs w:val="20"/>
              </w:rPr>
              <w:t>r</w:t>
            </w:r>
            <w:r w:rsidR="001D5460">
              <w:rPr>
                <w:rFonts w:cs="Calibri"/>
                <w:b/>
                <w:bCs/>
                <w:color w:val="000000"/>
                <w:sz w:val="20"/>
                <w:szCs w:val="20"/>
              </w:rPr>
              <w:t>é</w:t>
            </w:r>
            <w:r>
              <w:rPr>
                <w:rFonts w:cs="Calibri"/>
                <w:b/>
                <w:bCs/>
                <w:color w:val="000000"/>
                <w:sz w:val="20"/>
                <w:szCs w:val="20"/>
              </w:rPr>
              <w:t>vu</w:t>
            </w:r>
            <w:proofErr w:type="spellEnd"/>
          </w:p>
        </w:tc>
        <w:tc>
          <w:tcPr>
            <w:tcW w:w="1287" w:type="dxa"/>
            <w:tcBorders>
              <w:top w:val="nil"/>
              <w:left w:val="nil"/>
              <w:bottom w:val="nil"/>
              <w:right w:val="single" w:sz="8" w:space="0" w:color="auto"/>
            </w:tcBorders>
            <w:shd w:val="clear" w:color="000000" w:fill="D9D9D9"/>
            <w:hideMark/>
          </w:tcPr>
          <w:p w14:paraId="0C576DD5" w14:textId="7E891CFF" w:rsidR="008D09D3" w:rsidRPr="001F2ADF" w:rsidRDefault="008D09D3" w:rsidP="00974DA7">
            <w:pPr>
              <w:rPr>
                <w:rFonts w:cs="Calibri"/>
                <w:b/>
                <w:bCs/>
                <w:color w:val="000000"/>
                <w:sz w:val="20"/>
                <w:szCs w:val="20"/>
              </w:rPr>
            </w:pPr>
            <w:r w:rsidRPr="001F2ADF">
              <w:rPr>
                <w:rFonts w:cs="Calibri"/>
                <w:b/>
                <w:bCs/>
                <w:color w:val="000000"/>
                <w:sz w:val="20"/>
                <w:szCs w:val="20"/>
              </w:rPr>
              <w:t xml:space="preserve">% </w:t>
            </w:r>
            <w:r>
              <w:rPr>
                <w:rFonts w:cs="Calibri"/>
                <w:b/>
                <w:bCs/>
                <w:color w:val="000000"/>
                <w:sz w:val="20"/>
                <w:szCs w:val="20"/>
              </w:rPr>
              <w:t>sur</w:t>
            </w:r>
            <w:r w:rsidRPr="001F2ADF">
              <w:rPr>
                <w:rFonts w:cs="Calibri"/>
                <w:b/>
                <w:bCs/>
                <w:color w:val="000000"/>
                <w:sz w:val="20"/>
                <w:szCs w:val="20"/>
              </w:rPr>
              <w:t xml:space="preserve"> budget</w:t>
            </w:r>
            <w:r>
              <w:rPr>
                <w:rFonts w:cs="Calibri"/>
                <w:b/>
                <w:bCs/>
                <w:color w:val="000000"/>
                <w:sz w:val="20"/>
                <w:szCs w:val="20"/>
              </w:rPr>
              <w:t xml:space="preserve"> total</w:t>
            </w:r>
          </w:p>
        </w:tc>
      </w:tr>
      <w:tr w:rsidR="008D09D3" w:rsidRPr="00D758E9" w14:paraId="30DB8281" w14:textId="77777777" w:rsidTr="00974DA7">
        <w:trPr>
          <w:trHeight w:val="320"/>
        </w:trPr>
        <w:tc>
          <w:tcPr>
            <w:tcW w:w="2080" w:type="dxa"/>
            <w:tcBorders>
              <w:top w:val="single" w:sz="8" w:space="0" w:color="auto"/>
              <w:left w:val="single" w:sz="8" w:space="0" w:color="auto"/>
              <w:bottom w:val="single" w:sz="4" w:space="0" w:color="auto"/>
              <w:right w:val="single" w:sz="8" w:space="0" w:color="auto"/>
            </w:tcBorders>
            <w:shd w:val="clear" w:color="000000" w:fill="D9D9D9"/>
            <w:noWrap/>
            <w:vAlign w:val="bottom"/>
            <w:hideMark/>
          </w:tcPr>
          <w:p w14:paraId="26E3B607" w14:textId="358D609C" w:rsidR="008D09D3" w:rsidRPr="001F2ADF" w:rsidRDefault="008D09D3" w:rsidP="00974DA7">
            <w:pPr>
              <w:rPr>
                <w:rFonts w:cs="Calibri"/>
                <w:b/>
                <w:bCs/>
                <w:color w:val="000000"/>
                <w:sz w:val="20"/>
                <w:szCs w:val="20"/>
              </w:rPr>
            </w:pPr>
            <w:proofErr w:type="spellStart"/>
            <w:r>
              <w:rPr>
                <w:rFonts w:cs="Calibri"/>
                <w:b/>
                <w:bCs/>
                <w:color w:val="000000"/>
                <w:sz w:val="20"/>
                <w:szCs w:val="20"/>
              </w:rPr>
              <w:t>Résultat</w:t>
            </w:r>
            <w:proofErr w:type="spellEnd"/>
            <w:r w:rsidRPr="001F2ADF">
              <w:rPr>
                <w:rFonts w:cs="Calibri"/>
                <w:b/>
                <w:bCs/>
                <w:color w:val="000000"/>
                <w:sz w:val="20"/>
                <w:szCs w:val="20"/>
              </w:rPr>
              <w:t xml:space="preserve"> 1</w:t>
            </w:r>
          </w:p>
        </w:tc>
        <w:tc>
          <w:tcPr>
            <w:tcW w:w="1292" w:type="dxa"/>
            <w:tcBorders>
              <w:top w:val="single" w:sz="8" w:space="0" w:color="auto"/>
              <w:left w:val="nil"/>
              <w:bottom w:val="single" w:sz="4" w:space="0" w:color="auto"/>
              <w:right w:val="single" w:sz="4" w:space="0" w:color="auto"/>
            </w:tcBorders>
            <w:shd w:val="clear" w:color="auto" w:fill="auto"/>
            <w:vAlign w:val="bottom"/>
            <w:hideMark/>
          </w:tcPr>
          <w:p w14:paraId="08CAFAF2"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1,685,777 </w:t>
            </w:r>
          </w:p>
        </w:tc>
        <w:tc>
          <w:tcPr>
            <w:tcW w:w="1293" w:type="dxa"/>
            <w:tcBorders>
              <w:top w:val="single" w:sz="8" w:space="0" w:color="auto"/>
              <w:left w:val="nil"/>
              <w:bottom w:val="single" w:sz="4" w:space="0" w:color="auto"/>
              <w:right w:val="single" w:sz="4" w:space="0" w:color="auto"/>
            </w:tcBorders>
            <w:shd w:val="clear" w:color="auto" w:fill="auto"/>
            <w:vAlign w:val="bottom"/>
            <w:hideMark/>
          </w:tcPr>
          <w:p w14:paraId="6E09C591" w14:textId="77777777" w:rsidR="008D09D3" w:rsidRPr="001F2ADF" w:rsidRDefault="008D09D3" w:rsidP="00974DA7">
            <w:pPr>
              <w:jc w:val="right"/>
              <w:rPr>
                <w:rFonts w:cs="Calibri"/>
                <w:color w:val="000000"/>
                <w:sz w:val="20"/>
                <w:szCs w:val="20"/>
              </w:rPr>
            </w:pPr>
            <w:r w:rsidRPr="001F2ADF">
              <w:rPr>
                <w:rFonts w:cs="Calibri"/>
                <w:color w:val="000000"/>
                <w:sz w:val="20"/>
                <w:szCs w:val="20"/>
              </w:rPr>
              <w:t>1,424,703</w:t>
            </w:r>
          </w:p>
        </w:tc>
        <w:tc>
          <w:tcPr>
            <w:tcW w:w="1234" w:type="dxa"/>
            <w:tcBorders>
              <w:top w:val="nil"/>
              <w:left w:val="nil"/>
              <w:bottom w:val="single" w:sz="4" w:space="0" w:color="auto"/>
              <w:right w:val="single" w:sz="4" w:space="0" w:color="auto"/>
            </w:tcBorders>
            <w:shd w:val="clear" w:color="auto" w:fill="auto"/>
            <w:vAlign w:val="bottom"/>
            <w:hideMark/>
          </w:tcPr>
          <w:p w14:paraId="07ED3999" w14:textId="77777777" w:rsidR="008D09D3" w:rsidRPr="001F2ADF" w:rsidRDefault="008D09D3" w:rsidP="00974DA7">
            <w:pPr>
              <w:jc w:val="right"/>
              <w:rPr>
                <w:rFonts w:cs="Calibri"/>
                <w:color w:val="000000"/>
                <w:sz w:val="20"/>
                <w:szCs w:val="20"/>
              </w:rPr>
            </w:pPr>
            <w:r w:rsidRPr="001F2ADF">
              <w:rPr>
                <w:rFonts w:cs="Calibri"/>
                <w:color w:val="000000"/>
                <w:sz w:val="20"/>
                <w:szCs w:val="20"/>
              </w:rPr>
              <w:t>1,588,394</w:t>
            </w:r>
          </w:p>
        </w:tc>
        <w:tc>
          <w:tcPr>
            <w:tcW w:w="828" w:type="dxa"/>
            <w:tcBorders>
              <w:top w:val="single" w:sz="8" w:space="0" w:color="auto"/>
              <w:left w:val="nil"/>
              <w:bottom w:val="single" w:sz="4" w:space="0" w:color="auto"/>
              <w:right w:val="single" w:sz="4" w:space="0" w:color="auto"/>
            </w:tcBorders>
            <w:shd w:val="clear" w:color="auto" w:fill="auto"/>
            <w:vAlign w:val="bottom"/>
            <w:hideMark/>
          </w:tcPr>
          <w:p w14:paraId="32C7680B" w14:textId="77777777" w:rsidR="008D09D3" w:rsidRPr="001F2ADF" w:rsidRDefault="008D09D3" w:rsidP="00974DA7">
            <w:pPr>
              <w:jc w:val="right"/>
              <w:rPr>
                <w:rFonts w:cs="Calibri"/>
                <w:color w:val="000000"/>
                <w:sz w:val="20"/>
                <w:szCs w:val="20"/>
              </w:rPr>
            </w:pPr>
            <w:r w:rsidRPr="001F2ADF">
              <w:rPr>
                <w:rFonts w:cs="Calibri"/>
                <w:color w:val="000000"/>
                <w:sz w:val="20"/>
                <w:szCs w:val="20"/>
              </w:rPr>
              <w:t>94</w:t>
            </w:r>
          </w:p>
        </w:tc>
        <w:tc>
          <w:tcPr>
            <w:tcW w:w="834" w:type="dxa"/>
            <w:tcBorders>
              <w:top w:val="single" w:sz="8" w:space="0" w:color="auto"/>
              <w:left w:val="nil"/>
              <w:bottom w:val="single" w:sz="4" w:space="0" w:color="auto"/>
              <w:right w:val="single" w:sz="4" w:space="0" w:color="auto"/>
            </w:tcBorders>
            <w:shd w:val="clear" w:color="auto" w:fill="auto"/>
            <w:vAlign w:val="bottom"/>
            <w:hideMark/>
          </w:tcPr>
          <w:p w14:paraId="26EF3016" w14:textId="77777777" w:rsidR="008D09D3" w:rsidRPr="001F2ADF" w:rsidRDefault="008D09D3" w:rsidP="00974DA7">
            <w:pPr>
              <w:jc w:val="right"/>
              <w:rPr>
                <w:rFonts w:cs="Calibri"/>
                <w:color w:val="000000"/>
                <w:sz w:val="20"/>
                <w:szCs w:val="20"/>
              </w:rPr>
            </w:pPr>
            <w:r w:rsidRPr="001F2ADF">
              <w:rPr>
                <w:rFonts w:cs="Calibri"/>
                <w:color w:val="000000"/>
                <w:sz w:val="20"/>
                <w:szCs w:val="20"/>
              </w:rPr>
              <w:t>111</w:t>
            </w:r>
          </w:p>
        </w:tc>
        <w:tc>
          <w:tcPr>
            <w:tcW w:w="1292" w:type="dxa"/>
            <w:tcBorders>
              <w:top w:val="single" w:sz="8" w:space="0" w:color="auto"/>
              <w:left w:val="nil"/>
              <w:bottom w:val="single" w:sz="4" w:space="0" w:color="auto"/>
              <w:right w:val="single" w:sz="4" w:space="0" w:color="auto"/>
            </w:tcBorders>
            <w:shd w:val="clear" w:color="auto" w:fill="auto"/>
            <w:vAlign w:val="bottom"/>
            <w:hideMark/>
          </w:tcPr>
          <w:p w14:paraId="41147769"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2,152,300 </w:t>
            </w:r>
          </w:p>
        </w:tc>
        <w:tc>
          <w:tcPr>
            <w:tcW w:w="1287" w:type="dxa"/>
            <w:tcBorders>
              <w:top w:val="single" w:sz="8" w:space="0" w:color="auto"/>
              <w:left w:val="nil"/>
              <w:bottom w:val="single" w:sz="4" w:space="0" w:color="auto"/>
              <w:right w:val="single" w:sz="8" w:space="0" w:color="auto"/>
            </w:tcBorders>
            <w:shd w:val="clear" w:color="auto" w:fill="auto"/>
            <w:vAlign w:val="bottom"/>
            <w:hideMark/>
          </w:tcPr>
          <w:p w14:paraId="4935D28F" w14:textId="77777777" w:rsidR="008D09D3" w:rsidRPr="001F2ADF" w:rsidRDefault="008D09D3" w:rsidP="00974DA7">
            <w:pPr>
              <w:jc w:val="right"/>
              <w:rPr>
                <w:rFonts w:cs="Calibri"/>
                <w:color w:val="000000"/>
                <w:sz w:val="20"/>
                <w:szCs w:val="20"/>
              </w:rPr>
            </w:pPr>
            <w:r w:rsidRPr="001F2ADF">
              <w:rPr>
                <w:rFonts w:cs="Calibri"/>
                <w:color w:val="000000"/>
                <w:sz w:val="20"/>
                <w:szCs w:val="20"/>
              </w:rPr>
              <w:t>74%</w:t>
            </w:r>
          </w:p>
        </w:tc>
      </w:tr>
      <w:tr w:rsidR="008D09D3" w:rsidRPr="00D758E9" w14:paraId="418FF722" w14:textId="77777777" w:rsidTr="00974DA7">
        <w:trPr>
          <w:trHeight w:val="320"/>
        </w:trPr>
        <w:tc>
          <w:tcPr>
            <w:tcW w:w="2080" w:type="dxa"/>
            <w:tcBorders>
              <w:top w:val="nil"/>
              <w:left w:val="single" w:sz="8" w:space="0" w:color="auto"/>
              <w:bottom w:val="single" w:sz="4" w:space="0" w:color="auto"/>
              <w:right w:val="single" w:sz="8" w:space="0" w:color="auto"/>
            </w:tcBorders>
            <w:shd w:val="clear" w:color="000000" w:fill="D9D9D9"/>
            <w:noWrap/>
            <w:vAlign w:val="bottom"/>
            <w:hideMark/>
          </w:tcPr>
          <w:p w14:paraId="702A5E6F" w14:textId="387DC68F" w:rsidR="008D09D3" w:rsidRPr="001F2ADF" w:rsidRDefault="008D09D3" w:rsidP="00974DA7">
            <w:pPr>
              <w:rPr>
                <w:rFonts w:cs="Calibri"/>
                <w:b/>
                <w:bCs/>
                <w:color w:val="000000"/>
                <w:sz w:val="20"/>
                <w:szCs w:val="20"/>
              </w:rPr>
            </w:pPr>
            <w:proofErr w:type="spellStart"/>
            <w:r>
              <w:rPr>
                <w:rFonts w:cs="Calibri"/>
                <w:b/>
                <w:bCs/>
                <w:color w:val="000000"/>
                <w:sz w:val="20"/>
                <w:szCs w:val="20"/>
              </w:rPr>
              <w:t>Résultat</w:t>
            </w:r>
            <w:proofErr w:type="spellEnd"/>
            <w:r w:rsidRPr="001F2ADF">
              <w:rPr>
                <w:rFonts w:cs="Calibri"/>
                <w:b/>
                <w:bCs/>
                <w:color w:val="000000"/>
                <w:sz w:val="20"/>
                <w:szCs w:val="20"/>
              </w:rPr>
              <w:t xml:space="preserve"> 2</w:t>
            </w:r>
          </w:p>
        </w:tc>
        <w:tc>
          <w:tcPr>
            <w:tcW w:w="1292" w:type="dxa"/>
            <w:tcBorders>
              <w:top w:val="nil"/>
              <w:left w:val="nil"/>
              <w:bottom w:val="single" w:sz="4" w:space="0" w:color="auto"/>
              <w:right w:val="single" w:sz="4" w:space="0" w:color="auto"/>
            </w:tcBorders>
            <w:shd w:val="clear" w:color="auto" w:fill="auto"/>
            <w:vAlign w:val="bottom"/>
            <w:hideMark/>
          </w:tcPr>
          <w:p w14:paraId="2475C4C8"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1,820,222 </w:t>
            </w:r>
          </w:p>
        </w:tc>
        <w:tc>
          <w:tcPr>
            <w:tcW w:w="1293" w:type="dxa"/>
            <w:tcBorders>
              <w:top w:val="nil"/>
              <w:left w:val="nil"/>
              <w:bottom w:val="single" w:sz="4" w:space="0" w:color="auto"/>
              <w:right w:val="single" w:sz="4" w:space="0" w:color="auto"/>
            </w:tcBorders>
            <w:shd w:val="clear" w:color="auto" w:fill="auto"/>
            <w:vAlign w:val="bottom"/>
            <w:hideMark/>
          </w:tcPr>
          <w:p w14:paraId="550AFB41" w14:textId="77777777" w:rsidR="008D09D3" w:rsidRPr="001F2ADF" w:rsidRDefault="008D09D3" w:rsidP="00974DA7">
            <w:pPr>
              <w:jc w:val="right"/>
              <w:rPr>
                <w:rFonts w:cs="Calibri"/>
                <w:color w:val="000000"/>
                <w:sz w:val="20"/>
                <w:szCs w:val="20"/>
              </w:rPr>
            </w:pPr>
            <w:r w:rsidRPr="001F2ADF">
              <w:rPr>
                <w:rFonts w:cs="Calibri"/>
                <w:color w:val="000000"/>
                <w:sz w:val="20"/>
                <w:szCs w:val="20"/>
              </w:rPr>
              <w:t>1,419,222</w:t>
            </w:r>
          </w:p>
        </w:tc>
        <w:tc>
          <w:tcPr>
            <w:tcW w:w="1234" w:type="dxa"/>
            <w:tcBorders>
              <w:top w:val="nil"/>
              <w:left w:val="nil"/>
              <w:bottom w:val="single" w:sz="4" w:space="0" w:color="auto"/>
              <w:right w:val="single" w:sz="4" w:space="0" w:color="auto"/>
            </w:tcBorders>
            <w:shd w:val="clear" w:color="auto" w:fill="auto"/>
            <w:vAlign w:val="bottom"/>
            <w:hideMark/>
          </w:tcPr>
          <w:p w14:paraId="2155DB36" w14:textId="77777777" w:rsidR="008D09D3" w:rsidRPr="001F2ADF" w:rsidRDefault="008D09D3" w:rsidP="00974DA7">
            <w:pPr>
              <w:jc w:val="right"/>
              <w:rPr>
                <w:rFonts w:cs="Calibri"/>
                <w:color w:val="000000"/>
                <w:sz w:val="20"/>
                <w:szCs w:val="20"/>
              </w:rPr>
            </w:pPr>
            <w:r w:rsidRPr="001F2ADF">
              <w:rPr>
                <w:rFonts w:cs="Calibri"/>
                <w:color w:val="000000"/>
                <w:sz w:val="20"/>
                <w:szCs w:val="20"/>
              </w:rPr>
              <w:t>1,096,363</w:t>
            </w:r>
          </w:p>
        </w:tc>
        <w:tc>
          <w:tcPr>
            <w:tcW w:w="828" w:type="dxa"/>
            <w:tcBorders>
              <w:top w:val="nil"/>
              <w:left w:val="nil"/>
              <w:bottom w:val="single" w:sz="4" w:space="0" w:color="auto"/>
              <w:right w:val="single" w:sz="4" w:space="0" w:color="auto"/>
            </w:tcBorders>
            <w:shd w:val="clear" w:color="auto" w:fill="auto"/>
            <w:vAlign w:val="bottom"/>
            <w:hideMark/>
          </w:tcPr>
          <w:p w14:paraId="75C75DFC" w14:textId="77777777" w:rsidR="008D09D3" w:rsidRPr="001F2ADF" w:rsidRDefault="008D09D3" w:rsidP="00974DA7">
            <w:pPr>
              <w:jc w:val="right"/>
              <w:rPr>
                <w:rFonts w:cs="Calibri"/>
                <w:color w:val="000000"/>
                <w:sz w:val="20"/>
                <w:szCs w:val="20"/>
              </w:rPr>
            </w:pPr>
            <w:r w:rsidRPr="001F2ADF">
              <w:rPr>
                <w:rFonts w:cs="Calibri"/>
                <w:color w:val="000000"/>
                <w:sz w:val="20"/>
                <w:szCs w:val="20"/>
              </w:rPr>
              <w:t>60</w:t>
            </w:r>
          </w:p>
        </w:tc>
        <w:tc>
          <w:tcPr>
            <w:tcW w:w="834" w:type="dxa"/>
            <w:tcBorders>
              <w:top w:val="nil"/>
              <w:left w:val="nil"/>
              <w:bottom w:val="single" w:sz="4" w:space="0" w:color="auto"/>
              <w:right w:val="single" w:sz="4" w:space="0" w:color="auto"/>
            </w:tcBorders>
            <w:shd w:val="clear" w:color="auto" w:fill="auto"/>
            <w:vAlign w:val="bottom"/>
            <w:hideMark/>
          </w:tcPr>
          <w:p w14:paraId="7C6D95AA" w14:textId="77777777" w:rsidR="008D09D3" w:rsidRPr="001F2ADF" w:rsidRDefault="008D09D3" w:rsidP="00974DA7">
            <w:pPr>
              <w:jc w:val="right"/>
              <w:rPr>
                <w:rFonts w:cs="Calibri"/>
                <w:color w:val="000000"/>
                <w:sz w:val="20"/>
                <w:szCs w:val="20"/>
              </w:rPr>
            </w:pPr>
            <w:r w:rsidRPr="001F2ADF">
              <w:rPr>
                <w:rFonts w:cs="Calibri"/>
                <w:color w:val="000000"/>
                <w:sz w:val="20"/>
                <w:szCs w:val="20"/>
              </w:rPr>
              <w:t>77</w:t>
            </w:r>
          </w:p>
        </w:tc>
        <w:tc>
          <w:tcPr>
            <w:tcW w:w="1292" w:type="dxa"/>
            <w:tcBorders>
              <w:top w:val="nil"/>
              <w:left w:val="nil"/>
              <w:bottom w:val="single" w:sz="4" w:space="0" w:color="auto"/>
              <w:right w:val="single" w:sz="4" w:space="0" w:color="auto"/>
            </w:tcBorders>
            <w:shd w:val="clear" w:color="auto" w:fill="auto"/>
            <w:vAlign w:val="bottom"/>
            <w:hideMark/>
          </w:tcPr>
          <w:p w14:paraId="1313842F"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2,927,700 </w:t>
            </w:r>
          </w:p>
        </w:tc>
        <w:tc>
          <w:tcPr>
            <w:tcW w:w="1287" w:type="dxa"/>
            <w:tcBorders>
              <w:top w:val="nil"/>
              <w:left w:val="nil"/>
              <w:bottom w:val="single" w:sz="4" w:space="0" w:color="auto"/>
              <w:right w:val="single" w:sz="8" w:space="0" w:color="auto"/>
            </w:tcBorders>
            <w:shd w:val="clear" w:color="auto" w:fill="auto"/>
            <w:vAlign w:val="bottom"/>
            <w:hideMark/>
          </w:tcPr>
          <w:p w14:paraId="6EC2C86D" w14:textId="77777777" w:rsidR="008D09D3" w:rsidRPr="001F2ADF" w:rsidRDefault="008D09D3" w:rsidP="00974DA7">
            <w:pPr>
              <w:jc w:val="right"/>
              <w:rPr>
                <w:rFonts w:cs="Calibri"/>
                <w:color w:val="000000"/>
                <w:sz w:val="20"/>
                <w:szCs w:val="20"/>
              </w:rPr>
            </w:pPr>
            <w:r w:rsidRPr="001F2ADF">
              <w:rPr>
                <w:rFonts w:cs="Calibri"/>
                <w:color w:val="000000"/>
                <w:sz w:val="20"/>
                <w:szCs w:val="20"/>
              </w:rPr>
              <w:t>37%</w:t>
            </w:r>
          </w:p>
        </w:tc>
      </w:tr>
      <w:tr w:rsidR="008D09D3" w:rsidRPr="00D758E9" w14:paraId="4FFDAF0F" w14:textId="77777777" w:rsidTr="00974DA7">
        <w:trPr>
          <w:trHeight w:val="340"/>
        </w:trPr>
        <w:tc>
          <w:tcPr>
            <w:tcW w:w="2080" w:type="dxa"/>
            <w:tcBorders>
              <w:top w:val="nil"/>
              <w:left w:val="single" w:sz="8" w:space="0" w:color="auto"/>
              <w:bottom w:val="nil"/>
              <w:right w:val="single" w:sz="8" w:space="0" w:color="auto"/>
            </w:tcBorders>
            <w:shd w:val="clear" w:color="000000" w:fill="D9D9D9"/>
            <w:noWrap/>
            <w:vAlign w:val="bottom"/>
            <w:hideMark/>
          </w:tcPr>
          <w:p w14:paraId="4B089ECE" w14:textId="28B45A25" w:rsidR="008D09D3" w:rsidRPr="001F2ADF" w:rsidRDefault="008D09D3" w:rsidP="00974DA7">
            <w:pPr>
              <w:rPr>
                <w:rFonts w:cs="Calibri"/>
                <w:b/>
                <w:bCs/>
                <w:color w:val="000000"/>
                <w:sz w:val="20"/>
                <w:szCs w:val="20"/>
              </w:rPr>
            </w:pPr>
            <w:proofErr w:type="spellStart"/>
            <w:r>
              <w:rPr>
                <w:rFonts w:cs="Calibri"/>
                <w:b/>
                <w:bCs/>
                <w:color w:val="000000"/>
                <w:sz w:val="20"/>
                <w:szCs w:val="20"/>
              </w:rPr>
              <w:t>Résultat</w:t>
            </w:r>
            <w:proofErr w:type="spellEnd"/>
            <w:r w:rsidRPr="001F2ADF">
              <w:rPr>
                <w:rFonts w:cs="Calibri"/>
                <w:b/>
                <w:bCs/>
                <w:color w:val="000000"/>
                <w:sz w:val="20"/>
                <w:szCs w:val="20"/>
              </w:rPr>
              <w:t xml:space="preserve"> 3 </w:t>
            </w:r>
          </w:p>
        </w:tc>
        <w:tc>
          <w:tcPr>
            <w:tcW w:w="1292" w:type="dxa"/>
            <w:tcBorders>
              <w:top w:val="nil"/>
              <w:left w:val="nil"/>
              <w:bottom w:val="nil"/>
              <w:right w:val="single" w:sz="4" w:space="0" w:color="auto"/>
            </w:tcBorders>
            <w:shd w:val="clear" w:color="auto" w:fill="auto"/>
            <w:vAlign w:val="bottom"/>
            <w:hideMark/>
          </w:tcPr>
          <w:p w14:paraId="24C11B4E"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215,514 </w:t>
            </w:r>
          </w:p>
        </w:tc>
        <w:tc>
          <w:tcPr>
            <w:tcW w:w="1293" w:type="dxa"/>
            <w:tcBorders>
              <w:top w:val="nil"/>
              <w:left w:val="nil"/>
              <w:bottom w:val="nil"/>
              <w:right w:val="single" w:sz="4" w:space="0" w:color="auto"/>
            </w:tcBorders>
            <w:shd w:val="clear" w:color="auto" w:fill="auto"/>
            <w:vAlign w:val="bottom"/>
            <w:hideMark/>
          </w:tcPr>
          <w:p w14:paraId="1F414A57" w14:textId="77777777" w:rsidR="008D09D3" w:rsidRPr="001F2ADF" w:rsidRDefault="008D09D3" w:rsidP="00974DA7">
            <w:pPr>
              <w:jc w:val="right"/>
              <w:rPr>
                <w:rFonts w:cs="Calibri"/>
                <w:color w:val="000000"/>
                <w:sz w:val="20"/>
                <w:szCs w:val="20"/>
              </w:rPr>
            </w:pPr>
            <w:r w:rsidRPr="001F2ADF">
              <w:rPr>
                <w:rFonts w:cs="Calibri"/>
                <w:color w:val="000000"/>
                <w:sz w:val="20"/>
                <w:szCs w:val="20"/>
              </w:rPr>
              <w:t>154,934</w:t>
            </w:r>
          </w:p>
        </w:tc>
        <w:tc>
          <w:tcPr>
            <w:tcW w:w="1234" w:type="dxa"/>
            <w:tcBorders>
              <w:top w:val="nil"/>
              <w:left w:val="nil"/>
              <w:bottom w:val="nil"/>
              <w:right w:val="single" w:sz="4" w:space="0" w:color="auto"/>
            </w:tcBorders>
            <w:shd w:val="clear" w:color="auto" w:fill="auto"/>
            <w:vAlign w:val="bottom"/>
            <w:hideMark/>
          </w:tcPr>
          <w:p w14:paraId="26CDBEA1" w14:textId="77777777" w:rsidR="008D09D3" w:rsidRPr="001F2ADF" w:rsidRDefault="008D09D3" w:rsidP="00974DA7">
            <w:pPr>
              <w:jc w:val="right"/>
              <w:rPr>
                <w:rFonts w:cs="Calibri"/>
                <w:color w:val="000000"/>
                <w:sz w:val="20"/>
                <w:szCs w:val="20"/>
              </w:rPr>
            </w:pPr>
            <w:r w:rsidRPr="001F2ADF">
              <w:rPr>
                <w:rFonts w:cs="Calibri"/>
                <w:color w:val="000000"/>
                <w:sz w:val="20"/>
                <w:szCs w:val="20"/>
              </w:rPr>
              <w:t>82,578</w:t>
            </w:r>
          </w:p>
        </w:tc>
        <w:tc>
          <w:tcPr>
            <w:tcW w:w="828" w:type="dxa"/>
            <w:tcBorders>
              <w:top w:val="nil"/>
              <w:left w:val="nil"/>
              <w:bottom w:val="nil"/>
              <w:right w:val="single" w:sz="4" w:space="0" w:color="auto"/>
            </w:tcBorders>
            <w:shd w:val="clear" w:color="auto" w:fill="auto"/>
            <w:vAlign w:val="bottom"/>
            <w:hideMark/>
          </w:tcPr>
          <w:p w14:paraId="3E16E3DB" w14:textId="77777777" w:rsidR="008D09D3" w:rsidRPr="001F2ADF" w:rsidRDefault="008D09D3" w:rsidP="00974DA7">
            <w:pPr>
              <w:jc w:val="right"/>
              <w:rPr>
                <w:rFonts w:cs="Calibri"/>
                <w:color w:val="000000"/>
                <w:sz w:val="20"/>
                <w:szCs w:val="20"/>
              </w:rPr>
            </w:pPr>
            <w:r w:rsidRPr="001F2ADF">
              <w:rPr>
                <w:rFonts w:cs="Calibri"/>
                <w:color w:val="000000"/>
                <w:sz w:val="20"/>
                <w:szCs w:val="20"/>
              </w:rPr>
              <w:t>38</w:t>
            </w:r>
          </w:p>
        </w:tc>
        <w:tc>
          <w:tcPr>
            <w:tcW w:w="834" w:type="dxa"/>
            <w:tcBorders>
              <w:top w:val="nil"/>
              <w:left w:val="nil"/>
              <w:bottom w:val="nil"/>
              <w:right w:val="single" w:sz="4" w:space="0" w:color="auto"/>
            </w:tcBorders>
            <w:shd w:val="clear" w:color="auto" w:fill="auto"/>
            <w:vAlign w:val="bottom"/>
            <w:hideMark/>
          </w:tcPr>
          <w:p w14:paraId="0F301956" w14:textId="77777777" w:rsidR="008D09D3" w:rsidRPr="001F2ADF" w:rsidRDefault="008D09D3" w:rsidP="00974DA7">
            <w:pPr>
              <w:jc w:val="right"/>
              <w:rPr>
                <w:rFonts w:cs="Calibri"/>
                <w:color w:val="000000"/>
                <w:sz w:val="20"/>
                <w:szCs w:val="20"/>
              </w:rPr>
            </w:pPr>
            <w:r w:rsidRPr="001F2ADF">
              <w:rPr>
                <w:rFonts w:cs="Calibri"/>
                <w:color w:val="000000"/>
                <w:sz w:val="20"/>
                <w:szCs w:val="20"/>
              </w:rPr>
              <w:t>53</w:t>
            </w:r>
          </w:p>
        </w:tc>
        <w:tc>
          <w:tcPr>
            <w:tcW w:w="1292" w:type="dxa"/>
            <w:tcBorders>
              <w:top w:val="nil"/>
              <w:left w:val="nil"/>
              <w:bottom w:val="nil"/>
              <w:right w:val="single" w:sz="4" w:space="0" w:color="auto"/>
            </w:tcBorders>
            <w:shd w:val="clear" w:color="auto" w:fill="auto"/>
            <w:vAlign w:val="bottom"/>
            <w:hideMark/>
          </w:tcPr>
          <w:p w14:paraId="4348A460"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249,452 </w:t>
            </w:r>
          </w:p>
        </w:tc>
        <w:tc>
          <w:tcPr>
            <w:tcW w:w="1287" w:type="dxa"/>
            <w:tcBorders>
              <w:top w:val="nil"/>
              <w:left w:val="nil"/>
              <w:bottom w:val="nil"/>
              <w:right w:val="single" w:sz="8" w:space="0" w:color="auto"/>
            </w:tcBorders>
            <w:shd w:val="clear" w:color="auto" w:fill="auto"/>
            <w:vAlign w:val="bottom"/>
            <w:hideMark/>
          </w:tcPr>
          <w:p w14:paraId="54D6D030" w14:textId="77777777" w:rsidR="008D09D3" w:rsidRPr="001F2ADF" w:rsidRDefault="008D09D3" w:rsidP="00974DA7">
            <w:pPr>
              <w:jc w:val="right"/>
              <w:rPr>
                <w:rFonts w:cs="Calibri"/>
                <w:color w:val="000000"/>
                <w:sz w:val="20"/>
                <w:szCs w:val="20"/>
              </w:rPr>
            </w:pPr>
            <w:r w:rsidRPr="001F2ADF">
              <w:rPr>
                <w:rFonts w:cs="Calibri"/>
                <w:color w:val="000000"/>
                <w:sz w:val="20"/>
                <w:szCs w:val="20"/>
              </w:rPr>
              <w:t>33%</w:t>
            </w:r>
          </w:p>
        </w:tc>
      </w:tr>
      <w:tr w:rsidR="008D09D3" w:rsidRPr="00D758E9" w14:paraId="7A8E2848" w14:textId="77777777" w:rsidTr="00974DA7">
        <w:trPr>
          <w:trHeight w:val="340"/>
        </w:trPr>
        <w:tc>
          <w:tcPr>
            <w:tcW w:w="2080"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14:paraId="5231A252" w14:textId="77777777" w:rsidR="008D09D3" w:rsidRPr="001F2ADF" w:rsidRDefault="008D09D3" w:rsidP="00974DA7">
            <w:pPr>
              <w:rPr>
                <w:rFonts w:cs="Calibri"/>
                <w:b/>
                <w:bCs/>
                <w:color w:val="000000"/>
                <w:sz w:val="20"/>
                <w:szCs w:val="20"/>
              </w:rPr>
            </w:pPr>
            <w:r w:rsidRPr="001F2ADF">
              <w:rPr>
                <w:rFonts w:cs="Calibri"/>
                <w:b/>
                <w:bCs/>
                <w:color w:val="000000"/>
                <w:sz w:val="20"/>
                <w:szCs w:val="20"/>
              </w:rPr>
              <w:t>Total</w:t>
            </w:r>
          </w:p>
        </w:tc>
        <w:tc>
          <w:tcPr>
            <w:tcW w:w="1292" w:type="dxa"/>
            <w:tcBorders>
              <w:top w:val="single" w:sz="8" w:space="0" w:color="auto"/>
              <w:left w:val="nil"/>
              <w:bottom w:val="single" w:sz="8" w:space="0" w:color="auto"/>
              <w:right w:val="single" w:sz="4" w:space="0" w:color="auto"/>
            </w:tcBorders>
            <w:shd w:val="clear" w:color="auto" w:fill="auto"/>
            <w:vAlign w:val="bottom"/>
            <w:hideMark/>
          </w:tcPr>
          <w:p w14:paraId="552D15C1"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3,721,513 </w:t>
            </w:r>
          </w:p>
        </w:tc>
        <w:tc>
          <w:tcPr>
            <w:tcW w:w="1293" w:type="dxa"/>
            <w:tcBorders>
              <w:top w:val="single" w:sz="8" w:space="0" w:color="auto"/>
              <w:left w:val="nil"/>
              <w:bottom w:val="single" w:sz="8" w:space="0" w:color="auto"/>
              <w:right w:val="single" w:sz="4" w:space="0" w:color="auto"/>
            </w:tcBorders>
            <w:shd w:val="clear" w:color="auto" w:fill="auto"/>
            <w:vAlign w:val="bottom"/>
            <w:hideMark/>
          </w:tcPr>
          <w:p w14:paraId="3DA87185" w14:textId="77777777" w:rsidR="008D09D3" w:rsidRPr="001F2ADF" w:rsidRDefault="008D09D3" w:rsidP="00974DA7">
            <w:pPr>
              <w:jc w:val="right"/>
              <w:rPr>
                <w:rFonts w:cs="Calibri"/>
                <w:color w:val="000000"/>
                <w:sz w:val="20"/>
                <w:szCs w:val="20"/>
              </w:rPr>
            </w:pPr>
            <w:r w:rsidRPr="001F2ADF">
              <w:rPr>
                <w:rFonts w:cs="Calibri"/>
                <w:color w:val="000000"/>
                <w:sz w:val="20"/>
                <w:szCs w:val="20"/>
              </w:rPr>
              <w:t>2,998,859</w:t>
            </w:r>
          </w:p>
        </w:tc>
        <w:tc>
          <w:tcPr>
            <w:tcW w:w="1234" w:type="dxa"/>
            <w:tcBorders>
              <w:top w:val="single" w:sz="8" w:space="0" w:color="auto"/>
              <w:left w:val="nil"/>
              <w:bottom w:val="single" w:sz="8" w:space="0" w:color="auto"/>
              <w:right w:val="single" w:sz="4" w:space="0" w:color="auto"/>
            </w:tcBorders>
            <w:shd w:val="clear" w:color="auto" w:fill="auto"/>
            <w:vAlign w:val="bottom"/>
            <w:hideMark/>
          </w:tcPr>
          <w:p w14:paraId="0217BE15" w14:textId="77777777" w:rsidR="008D09D3" w:rsidRPr="001F2ADF" w:rsidRDefault="008D09D3" w:rsidP="00974DA7">
            <w:pPr>
              <w:jc w:val="right"/>
              <w:rPr>
                <w:rFonts w:cs="Calibri"/>
                <w:color w:val="000000"/>
                <w:sz w:val="20"/>
                <w:szCs w:val="20"/>
              </w:rPr>
            </w:pPr>
            <w:r w:rsidRPr="001F2ADF">
              <w:rPr>
                <w:rFonts w:cs="Calibri"/>
                <w:color w:val="000000"/>
                <w:sz w:val="20"/>
                <w:szCs w:val="20"/>
              </w:rPr>
              <w:t>2,767,335</w:t>
            </w:r>
          </w:p>
        </w:tc>
        <w:tc>
          <w:tcPr>
            <w:tcW w:w="828" w:type="dxa"/>
            <w:tcBorders>
              <w:top w:val="single" w:sz="8" w:space="0" w:color="auto"/>
              <w:left w:val="nil"/>
              <w:bottom w:val="single" w:sz="8" w:space="0" w:color="auto"/>
              <w:right w:val="single" w:sz="4" w:space="0" w:color="auto"/>
            </w:tcBorders>
            <w:shd w:val="clear" w:color="auto" w:fill="auto"/>
            <w:vAlign w:val="bottom"/>
            <w:hideMark/>
          </w:tcPr>
          <w:p w14:paraId="63E3D909" w14:textId="77777777" w:rsidR="008D09D3" w:rsidRPr="001F2ADF" w:rsidRDefault="008D09D3" w:rsidP="00974DA7">
            <w:pPr>
              <w:jc w:val="right"/>
              <w:rPr>
                <w:rFonts w:cs="Calibri"/>
                <w:color w:val="000000"/>
                <w:sz w:val="20"/>
                <w:szCs w:val="20"/>
              </w:rPr>
            </w:pPr>
            <w:r w:rsidRPr="001F2ADF">
              <w:rPr>
                <w:rFonts w:cs="Calibri"/>
                <w:color w:val="000000"/>
                <w:sz w:val="20"/>
                <w:szCs w:val="20"/>
              </w:rPr>
              <w:t>74</w:t>
            </w:r>
          </w:p>
        </w:tc>
        <w:tc>
          <w:tcPr>
            <w:tcW w:w="834" w:type="dxa"/>
            <w:tcBorders>
              <w:top w:val="single" w:sz="8" w:space="0" w:color="auto"/>
              <w:left w:val="nil"/>
              <w:bottom w:val="single" w:sz="8" w:space="0" w:color="auto"/>
              <w:right w:val="single" w:sz="4" w:space="0" w:color="auto"/>
            </w:tcBorders>
            <w:shd w:val="clear" w:color="auto" w:fill="auto"/>
            <w:vAlign w:val="bottom"/>
            <w:hideMark/>
          </w:tcPr>
          <w:p w14:paraId="370A0AF6" w14:textId="77777777" w:rsidR="008D09D3" w:rsidRPr="001F2ADF" w:rsidRDefault="008D09D3" w:rsidP="00974DA7">
            <w:pPr>
              <w:jc w:val="right"/>
              <w:rPr>
                <w:rFonts w:cs="Calibri"/>
                <w:color w:val="000000"/>
                <w:sz w:val="20"/>
                <w:szCs w:val="20"/>
              </w:rPr>
            </w:pPr>
            <w:r w:rsidRPr="001F2ADF">
              <w:rPr>
                <w:rFonts w:cs="Calibri"/>
                <w:color w:val="000000"/>
                <w:sz w:val="20"/>
                <w:szCs w:val="20"/>
              </w:rPr>
              <w:t>92</w:t>
            </w:r>
          </w:p>
        </w:tc>
        <w:tc>
          <w:tcPr>
            <w:tcW w:w="1292" w:type="dxa"/>
            <w:tcBorders>
              <w:top w:val="single" w:sz="8" w:space="0" w:color="auto"/>
              <w:left w:val="nil"/>
              <w:bottom w:val="single" w:sz="8" w:space="0" w:color="auto"/>
              <w:right w:val="single" w:sz="4" w:space="0" w:color="auto"/>
            </w:tcBorders>
            <w:shd w:val="clear" w:color="auto" w:fill="auto"/>
            <w:vAlign w:val="bottom"/>
            <w:hideMark/>
          </w:tcPr>
          <w:p w14:paraId="17533DEF" w14:textId="77777777" w:rsidR="008D09D3" w:rsidRPr="001F2ADF" w:rsidRDefault="008D09D3" w:rsidP="00974DA7">
            <w:pPr>
              <w:rPr>
                <w:rFonts w:cs="Calibri"/>
                <w:color w:val="000000"/>
                <w:sz w:val="20"/>
                <w:szCs w:val="20"/>
              </w:rPr>
            </w:pPr>
            <w:r w:rsidRPr="001F2ADF">
              <w:rPr>
                <w:rFonts w:cs="Calibri"/>
                <w:color w:val="000000"/>
                <w:sz w:val="20"/>
                <w:szCs w:val="20"/>
              </w:rPr>
              <w:t xml:space="preserve">   5,329,452 </w:t>
            </w:r>
          </w:p>
        </w:tc>
        <w:tc>
          <w:tcPr>
            <w:tcW w:w="1287" w:type="dxa"/>
            <w:tcBorders>
              <w:top w:val="single" w:sz="8" w:space="0" w:color="auto"/>
              <w:left w:val="nil"/>
              <w:bottom w:val="single" w:sz="8" w:space="0" w:color="auto"/>
              <w:right w:val="single" w:sz="8" w:space="0" w:color="auto"/>
            </w:tcBorders>
            <w:shd w:val="clear" w:color="auto" w:fill="auto"/>
            <w:vAlign w:val="bottom"/>
            <w:hideMark/>
          </w:tcPr>
          <w:p w14:paraId="6F7BC6FF" w14:textId="77777777" w:rsidR="008D09D3" w:rsidRPr="001F2ADF" w:rsidRDefault="008D09D3" w:rsidP="00974DA7">
            <w:pPr>
              <w:jc w:val="right"/>
              <w:rPr>
                <w:rFonts w:cs="Calibri"/>
                <w:color w:val="000000"/>
                <w:sz w:val="20"/>
                <w:szCs w:val="20"/>
              </w:rPr>
            </w:pPr>
            <w:r w:rsidRPr="001F2ADF">
              <w:rPr>
                <w:rFonts w:cs="Calibri"/>
                <w:color w:val="000000"/>
                <w:sz w:val="20"/>
                <w:szCs w:val="20"/>
              </w:rPr>
              <w:t>52%</w:t>
            </w:r>
          </w:p>
        </w:tc>
      </w:tr>
    </w:tbl>
    <w:p w14:paraId="3EF09EE3" w14:textId="35EC88FA" w:rsidR="008D09D3" w:rsidRDefault="008D09D3" w:rsidP="008D09D3">
      <w:r w:rsidRPr="001E13B7">
        <w:t xml:space="preserve">Source: </w:t>
      </w:r>
      <w:r w:rsidR="00B33CA3">
        <w:t>UCP</w:t>
      </w:r>
    </w:p>
    <w:p w14:paraId="0F10B1BA" w14:textId="77777777" w:rsidR="002E0808" w:rsidRDefault="002E0808" w:rsidP="008D09D3"/>
    <w:p w14:paraId="63712CC7" w14:textId="355AE42E" w:rsidR="008D09D3" w:rsidRPr="00BE1549" w:rsidRDefault="008D09D3" w:rsidP="008D09D3">
      <w:pPr>
        <w:rPr>
          <w:lang w:val="fr-FR"/>
        </w:rPr>
      </w:pPr>
      <w:r w:rsidRPr="00BE1549">
        <w:rPr>
          <w:lang w:val="fr-FR"/>
        </w:rPr>
        <w:t>Table</w:t>
      </w:r>
      <w:r w:rsidR="00B33CA3" w:rsidRPr="00BE1549">
        <w:rPr>
          <w:lang w:val="fr-FR"/>
        </w:rPr>
        <w:t>au</w:t>
      </w:r>
      <w:r w:rsidRPr="00BE1549">
        <w:rPr>
          <w:lang w:val="fr-FR"/>
        </w:rPr>
        <w:t xml:space="preserve"> 4. Financement du </w:t>
      </w:r>
      <w:proofErr w:type="spellStart"/>
      <w:r w:rsidRPr="00BE1549">
        <w:rPr>
          <w:lang w:val="fr-FR"/>
        </w:rPr>
        <w:t>project</w:t>
      </w:r>
      <w:proofErr w:type="spellEnd"/>
      <w:r w:rsidRPr="00BE1549">
        <w:rPr>
          <w:lang w:val="fr-FR"/>
        </w:rPr>
        <w:t xml:space="preserve"> par année</w:t>
      </w:r>
    </w:p>
    <w:p w14:paraId="47D8EAD6" w14:textId="5C993647" w:rsidR="008D09D3" w:rsidRDefault="008D09D3" w:rsidP="008D09D3">
      <w:r w:rsidRPr="001F2ADF">
        <w:rPr>
          <w:noProof/>
        </w:rPr>
        <w:drawing>
          <wp:inline distT="0" distB="0" distL="0" distR="0" wp14:anchorId="4BEF01B4" wp14:editId="2B212943">
            <wp:extent cx="8863330" cy="95631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863330" cy="956310"/>
                    </a:xfrm>
                    <a:prstGeom prst="rect">
                      <a:avLst/>
                    </a:prstGeom>
                  </pic:spPr>
                </pic:pic>
              </a:graphicData>
            </a:graphic>
          </wp:inline>
        </w:drawing>
      </w:r>
    </w:p>
    <w:p w14:paraId="67B5FE70" w14:textId="04A99135" w:rsidR="008D09D3" w:rsidRPr="00BE1549" w:rsidRDefault="008D09D3" w:rsidP="008D09D3">
      <w:pPr>
        <w:rPr>
          <w:lang w:val="fr-FR"/>
        </w:rPr>
      </w:pPr>
      <w:proofErr w:type="gramStart"/>
      <w:r w:rsidRPr="00BE1549">
        <w:rPr>
          <w:lang w:val="fr-FR"/>
        </w:rPr>
        <w:t>Source:</w:t>
      </w:r>
      <w:proofErr w:type="gramEnd"/>
      <w:r w:rsidRPr="00BE1549">
        <w:rPr>
          <w:lang w:val="fr-FR"/>
        </w:rPr>
        <w:t xml:space="preserve"> </w:t>
      </w:r>
      <w:r w:rsidR="00B33CA3" w:rsidRPr="00BE1549">
        <w:rPr>
          <w:lang w:val="fr-FR"/>
        </w:rPr>
        <w:t>UCP</w:t>
      </w:r>
    </w:p>
    <w:p w14:paraId="7B8905AC" w14:textId="77777777" w:rsidR="008D09D3" w:rsidRDefault="008D09D3" w:rsidP="00D85DDD">
      <w:pPr>
        <w:rPr>
          <w:i/>
          <w:iCs/>
          <w:color w:val="FF0000"/>
          <w:szCs w:val="24"/>
          <w:lang w:val="fr-FR"/>
        </w:rPr>
        <w:sectPr w:rsidR="008D09D3" w:rsidSect="002B677E">
          <w:pgSz w:w="16838" w:h="11906" w:orient="landscape" w:code="9"/>
          <w:pgMar w:top="1440" w:right="1440" w:bottom="1440" w:left="1440" w:header="576" w:footer="432" w:gutter="0"/>
          <w:cols w:space="720"/>
          <w:docGrid w:linePitch="360"/>
        </w:sectPr>
      </w:pPr>
    </w:p>
    <w:p w14:paraId="59E79F75" w14:textId="246AE51F" w:rsidR="00D85DDD" w:rsidRPr="008F47A6" w:rsidRDefault="00D85DDD" w:rsidP="00D85DDD">
      <w:pPr>
        <w:rPr>
          <w:i/>
          <w:iCs/>
          <w:color w:val="FF0000"/>
          <w:szCs w:val="24"/>
          <w:lang w:val="fr-FR"/>
        </w:rPr>
      </w:pPr>
    </w:p>
    <w:p w14:paraId="1BD86A3D" w14:textId="6006189A" w:rsidR="00D85DDD" w:rsidRPr="00BE1549" w:rsidRDefault="00D85DDD" w:rsidP="00D85DDD">
      <w:pPr>
        <w:rPr>
          <w:i/>
          <w:iCs/>
          <w:szCs w:val="24"/>
          <w:lang w:val="fr-FR"/>
        </w:rPr>
      </w:pPr>
      <w:r w:rsidRPr="00BE1549">
        <w:rPr>
          <w:i/>
          <w:iCs/>
          <w:szCs w:val="24"/>
          <w:lang w:val="fr-FR"/>
        </w:rPr>
        <w:t>Q : Le projet dispose-t-il des contrôles financiers appropriés pour prendre des décisions de gestion informées concernant le budget et les flux de fonds ?</w:t>
      </w:r>
    </w:p>
    <w:p w14:paraId="64EAB152" w14:textId="42C8CFDA" w:rsidR="002E0808" w:rsidRPr="00BE1549" w:rsidRDefault="002E0808" w:rsidP="00D85DDD">
      <w:pPr>
        <w:rPr>
          <w:szCs w:val="24"/>
          <w:lang w:val="fr-FR"/>
        </w:rPr>
      </w:pPr>
      <w:r w:rsidRPr="00BE1549">
        <w:rPr>
          <w:szCs w:val="24"/>
          <w:lang w:val="fr-FR"/>
        </w:rPr>
        <w:t>Le projet ne semble pas disposer de contrôles financiers appropriés. Les informations financières n'ont été fournies que deux mois après leur demande.</w:t>
      </w:r>
    </w:p>
    <w:p w14:paraId="7EFE7EC0" w14:textId="59190017" w:rsidR="00D85DDD" w:rsidRPr="00BE1549" w:rsidRDefault="00D85DDD" w:rsidP="00D85DDD">
      <w:pPr>
        <w:rPr>
          <w:i/>
          <w:iCs/>
          <w:szCs w:val="24"/>
          <w:lang w:val="fr-FR"/>
        </w:rPr>
      </w:pPr>
      <w:r w:rsidRPr="00BE1549">
        <w:rPr>
          <w:i/>
          <w:iCs/>
          <w:szCs w:val="24"/>
          <w:lang w:val="fr-FR"/>
        </w:rPr>
        <w:t>Q : Dans quelle mesure le projet bénéficie-t-il des cofinancements prévus ?</w:t>
      </w:r>
    </w:p>
    <w:p w14:paraId="2F25587C" w14:textId="0B9B7412" w:rsidR="00A7483C" w:rsidRDefault="002E0808" w:rsidP="00D85DDD">
      <w:pPr>
        <w:rPr>
          <w:szCs w:val="24"/>
          <w:lang w:val="fr-FR"/>
        </w:rPr>
      </w:pPr>
      <w:r w:rsidRPr="002E0808">
        <w:rPr>
          <w:szCs w:val="24"/>
          <w:lang w:val="fr-FR"/>
        </w:rPr>
        <w:t xml:space="preserve">Le document de projet prévoit un cofinancement de 43 812 820 USD. Cependant, au 31 octobre 2019, seuls 180 000 USD, soit 0,4 % du cofinancement prévu, peuvent être comptés comme cofinancement </w:t>
      </w:r>
      <w:bookmarkStart w:id="23" w:name="_GoBack"/>
      <w:bookmarkEnd w:id="23"/>
      <w:r w:rsidRPr="002E0808">
        <w:rPr>
          <w:szCs w:val="24"/>
          <w:lang w:val="fr-FR"/>
        </w:rPr>
        <w:t xml:space="preserve">effectivement </w:t>
      </w:r>
      <w:proofErr w:type="spellStart"/>
      <w:proofErr w:type="gramStart"/>
      <w:r w:rsidRPr="002E0808">
        <w:rPr>
          <w:szCs w:val="24"/>
          <w:lang w:val="fr-FR"/>
        </w:rPr>
        <w:t>mobilisé.Deux</w:t>
      </w:r>
      <w:proofErr w:type="spellEnd"/>
      <w:proofErr w:type="gramEnd"/>
      <w:r w:rsidRPr="002E0808">
        <w:rPr>
          <w:szCs w:val="24"/>
          <w:lang w:val="fr-FR"/>
        </w:rPr>
        <w:t xml:space="preserve"> éléments principaux expliquent cette divergence. D'une part, le cofinancement des partenaires de développement se réfère à des projets qui étaient déjà clôturés au moment où le projet </w:t>
      </w:r>
      <w:r w:rsidR="001E2A53">
        <w:rPr>
          <w:szCs w:val="24"/>
          <w:lang w:val="fr-FR"/>
        </w:rPr>
        <w:t xml:space="preserve">APPA </w:t>
      </w:r>
      <w:r w:rsidRPr="002E0808">
        <w:rPr>
          <w:szCs w:val="24"/>
          <w:lang w:val="fr-FR"/>
        </w:rPr>
        <w:t xml:space="preserve">a effectivement commencé. Le problème du cofinancement du gouvernement et de certains donateurs ne concerne pas la mise en œuvre d'activités complémentaires, car les dépenses liées au projet se produisent. Le </w:t>
      </w:r>
      <w:r w:rsidR="001E2A53">
        <w:rPr>
          <w:szCs w:val="24"/>
          <w:lang w:val="fr-FR"/>
        </w:rPr>
        <w:t>M</w:t>
      </w:r>
      <w:r w:rsidRPr="002E0808">
        <w:rPr>
          <w:szCs w:val="24"/>
          <w:lang w:val="fr-FR"/>
        </w:rPr>
        <w:t>inistère de l'</w:t>
      </w:r>
      <w:r w:rsidR="001E2A53">
        <w:rPr>
          <w:szCs w:val="24"/>
          <w:lang w:val="fr-FR"/>
        </w:rPr>
        <w:t>A</w:t>
      </w:r>
      <w:r w:rsidRPr="002E0808">
        <w:rPr>
          <w:szCs w:val="24"/>
          <w:lang w:val="fr-FR"/>
        </w:rPr>
        <w:t>griculture réalise des projets d'irrigation (</w:t>
      </w:r>
      <w:r w:rsidR="001E2A53">
        <w:rPr>
          <w:szCs w:val="24"/>
          <w:lang w:val="fr-FR"/>
        </w:rPr>
        <w:t>PI</w:t>
      </w:r>
      <w:r w:rsidRPr="002E0808">
        <w:rPr>
          <w:szCs w:val="24"/>
          <w:lang w:val="fr-FR"/>
        </w:rPr>
        <w:t xml:space="preserve"> Bas Mangoky et </w:t>
      </w:r>
      <w:r w:rsidR="001E2A53">
        <w:rPr>
          <w:szCs w:val="24"/>
          <w:lang w:val="fr-FR"/>
        </w:rPr>
        <w:t>PI</w:t>
      </w:r>
      <w:r w:rsidRPr="002E0808">
        <w:rPr>
          <w:szCs w:val="24"/>
          <w:lang w:val="fr-FR"/>
        </w:rPr>
        <w:t xml:space="preserve"> </w:t>
      </w:r>
      <w:proofErr w:type="spellStart"/>
      <w:r w:rsidRPr="002E0808">
        <w:rPr>
          <w:szCs w:val="24"/>
          <w:lang w:val="fr-FR"/>
        </w:rPr>
        <w:t>Manombo</w:t>
      </w:r>
      <w:proofErr w:type="spellEnd"/>
      <w:r w:rsidRPr="002E0808">
        <w:rPr>
          <w:szCs w:val="24"/>
          <w:lang w:val="fr-FR"/>
        </w:rPr>
        <w:t xml:space="preserve"> </w:t>
      </w:r>
      <w:proofErr w:type="spellStart"/>
      <w:r w:rsidRPr="002E0808">
        <w:rPr>
          <w:szCs w:val="24"/>
          <w:lang w:val="fr-FR"/>
        </w:rPr>
        <w:t>Ranozaza</w:t>
      </w:r>
      <w:proofErr w:type="spellEnd"/>
      <w:r w:rsidRPr="002E0808">
        <w:rPr>
          <w:szCs w:val="24"/>
          <w:lang w:val="fr-FR"/>
        </w:rPr>
        <w:t>) au profit des bénéficiaires de l'APPA. De même, certains donateurs, tels que WHH et GIZ, mènent des activités qui pourraient être considérées comme complémentaires à l'APPA et qui pourraient être comptabilisées comme un cofinancement. Le problème ici est d'estimer le coût de ces activités. L'U</w:t>
      </w:r>
      <w:r w:rsidR="001E2A53">
        <w:rPr>
          <w:szCs w:val="24"/>
          <w:lang w:val="fr-FR"/>
        </w:rPr>
        <w:t>C</w:t>
      </w:r>
      <w:r w:rsidRPr="002E0808">
        <w:rPr>
          <w:szCs w:val="24"/>
          <w:lang w:val="fr-FR"/>
        </w:rPr>
        <w:t>P n'a pas estimé leur coût. Le tableau 5 présente les chiffres du cofinancement.</w:t>
      </w:r>
    </w:p>
    <w:p w14:paraId="4321ED9B" w14:textId="77777777" w:rsidR="00B33CA3" w:rsidRDefault="00B33CA3" w:rsidP="00D85DDD">
      <w:pPr>
        <w:rPr>
          <w:szCs w:val="24"/>
          <w:lang w:val="fr-FR"/>
        </w:rPr>
        <w:sectPr w:rsidR="00B33CA3" w:rsidSect="00937AA0">
          <w:pgSz w:w="11906" w:h="16838" w:code="9"/>
          <w:pgMar w:top="1440" w:right="1440" w:bottom="1440" w:left="1440" w:header="576" w:footer="432" w:gutter="0"/>
          <w:cols w:space="720"/>
          <w:docGrid w:linePitch="360"/>
        </w:sectPr>
      </w:pPr>
    </w:p>
    <w:p w14:paraId="65C08870" w14:textId="0389A2C8" w:rsidR="001E2A53" w:rsidRDefault="00B33CA3" w:rsidP="00D85DDD">
      <w:pPr>
        <w:rPr>
          <w:szCs w:val="24"/>
          <w:lang w:val="fr-FR"/>
        </w:rPr>
      </w:pPr>
      <w:r>
        <w:rPr>
          <w:szCs w:val="24"/>
          <w:lang w:val="fr-FR"/>
        </w:rPr>
        <w:lastRenderedPageBreak/>
        <w:t xml:space="preserve">Tableau 5. Cofinancement du projet </w:t>
      </w:r>
      <w:proofErr w:type="spellStart"/>
      <w:r>
        <w:rPr>
          <w:szCs w:val="24"/>
          <w:lang w:val="fr-FR"/>
        </w:rPr>
        <w:t>jusq’a</w:t>
      </w:r>
      <w:r w:rsidR="00C101E0">
        <w:rPr>
          <w:szCs w:val="24"/>
          <w:lang w:val="fr-FR"/>
        </w:rPr>
        <w:t>u</w:t>
      </w:r>
      <w:proofErr w:type="spellEnd"/>
      <w:r>
        <w:rPr>
          <w:szCs w:val="24"/>
          <w:lang w:val="fr-FR"/>
        </w:rPr>
        <w:t xml:space="preserve"> 31 octobre 2019</w:t>
      </w:r>
    </w:p>
    <w:p w14:paraId="45B1FFB1" w14:textId="3C6A3351" w:rsidR="00B33CA3" w:rsidRDefault="00B33CA3" w:rsidP="00D85DDD">
      <w:pPr>
        <w:rPr>
          <w:szCs w:val="24"/>
          <w:lang w:val="fr-FR"/>
        </w:rPr>
      </w:pPr>
      <w:r w:rsidRPr="00B33CA3">
        <w:rPr>
          <w:noProof/>
          <w:szCs w:val="24"/>
          <w:lang w:val="fr-FR"/>
        </w:rPr>
        <w:drawing>
          <wp:inline distT="0" distB="0" distL="0" distR="0" wp14:anchorId="513F6E29" wp14:editId="6A8E786F">
            <wp:extent cx="8863330" cy="386651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8863330" cy="3866515"/>
                    </a:xfrm>
                    <a:prstGeom prst="rect">
                      <a:avLst/>
                    </a:prstGeom>
                  </pic:spPr>
                </pic:pic>
              </a:graphicData>
            </a:graphic>
          </wp:inline>
        </w:drawing>
      </w:r>
    </w:p>
    <w:p w14:paraId="0B837559" w14:textId="77777777" w:rsidR="00B33CA3" w:rsidRDefault="00B33CA3" w:rsidP="00B33CA3">
      <w:r w:rsidRPr="001E13B7">
        <w:t xml:space="preserve">Source: </w:t>
      </w:r>
      <w:r>
        <w:t>UCP</w:t>
      </w:r>
    </w:p>
    <w:p w14:paraId="1E00569E" w14:textId="77777777" w:rsidR="00B33CA3" w:rsidRDefault="00B33CA3" w:rsidP="005C550F">
      <w:pPr>
        <w:pStyle w:val="Titre3"/>
        <w:rPr>
          <w:lang w:val="fr-FR"/>
        </w:rPr>
        <w:sectPr w:rsidR="00B33CA3" w:rsidSect="002B677E">
          <w:pgSz w:w="16838" w:h="11906" w:orient="landscape" w:code="9"/>
          <w:pgMar w:top="1440" w:right="1440" w:bottom="1440" w:left="1440" w:header="576" w:footer="432" w:gutter="0"/>
          <w:cols w:space="720"/>
          <w:docGrid w:linePitch="360"/>
        </w:sectPr>
      </w:pPr>
    </w:p>
    <w:p w14:paraId="32FC20D0" w14:textId="4577BFA7" w:rsidR="005C550F" w:rsidRDefault="005C550F" w:rsidP="005C550F">
      <w:pPr>
        <w:pStyle w:val="Titre3"/>
        <w:rPr>
          <w:lang w:val="fr-FR"/>
        </w:rPr>
      </w:pPr>
      <w:r w:rsidRPr="005C550F">
        <w:rPr>
          <w:lang w:val="fr-FR"/>
        </w:rPr>
        <w:lastRenderedPageBreak/>
        <w:t xml:space="preserve">Systèmes de </w:t>
      </w:r>
      <w:r w:rsidR="00A37CC0">
        <w:rPr>
          <w:lang w:val="fr-FR"/>
        </w:rPr>
        <w:t>S</w:t>
      </w:r>
      <w:r w:rsidRPr="005C550F">
        <w:rPr>
          <w:lang w:val="fr-FR"/>
        </w:rPr>
        <w:t>uivi et d’</w:t>
      </w:r>
      <w:r w:rsidR="00A37CC0">
        <w:rPr>
          <w:lang w:val="fr-FR"/>
        </w:rPr>
        <w:t>E</w:t>
      </w:r>
      <w:r w:rsidRPr="005C550F">
        <w:rPr>
          <w:lang w:val="fr-FR"/>
        </w:rPr>
        <w:t xml:space="preserve">valuation </w:t>
      </w:r>
      <w:r w:rsidR="00A37CC0">
        <w:rPr>
          <w:lang w:val="fr-FR"/>
        </w:rPr>
        <w:t xml:space="preserve">(S&amp;E) </w:t>
      </w:r>
      <w:r w:rsidRPr="005C550F">
        <w:rPr>
          <w:lang w:val="fr-FR"/>
        </w:rPr>
        <w:t xml:space="preserve">au niveau du projet </w:t>
      </w:r>
    </w:p>
    <w:p w14:paraId="1BDBB4EA" w14:textId="078EEE79" w:rsidR="00D85DDD" w:rsidRPr="008F47A6" w:rsidRDefault="00D85DDD" w:rsidP="00D85DDD">
      <w:pPr>
        <w:rPr>
          <w:i/>
          <w:iCs/>
          <w:szCs w:val="24"/>
          <w:lang w:val="fr-FR"/>
        </w:rPr>
      </w:pPr>
      <w:r w:rsidRPr="008F47A6">
        <w:rPr>
          <w:i/>
          <w:iCs/>
          <w:szCs w:val="24"/>
          <w:lang w:val="fr-FR"/>
        </w:rPr>
        <w:t>Q : Le système de S&amp;E est-il opérationnel et efficace ?</w:t>
      </w:r>
    </w:p>
    <w:p w14:paraId="31BA5B5C" w14:textId="27CF024D" w:rsidR="00144705" w:rsidRDefault="00144705" w:rsidP="00C624C8">
      <w:pPr>
        <w:rPr>
          <w:lang w:val="fr-FR"/>
        </w:rPr>
      </w:pPr>
      <w:r>
        <w:rPr>
          <w:lang w:val="fr-FR"/>
        </w:rPr>
        <w:t xml:space="preserve">Le document de projet inclus un plan de suivi et évaluation conforme aux procédures du PNUD et du FEM, </w:t>
      </w:r>
      <w:r w:rsidR="00645BF8">
        <w:rPr>
          <w:lang w:val="fr-FR"/>
        </w:rPr>
        <w:t xml:space="preserve">plus particulièrement </w:t>
      </w:r>
      <w:r>
        <w:rPr>
          <w:lang w:val="fr-FR"/>
        </w:rPr>
        <w:t>à l’Outil de Suivi de la Zone Focal SO2 TT</w:t>
      </w:r>
      <w:r>
        <w:rPr>
          <w:rStyle w:val="Appelnotedebasdep"/>
          <w:lang w:val="fr-FR"/>
        </w:rPr>
        <w:footnoteReference w:id="41"/>
      </w:r>
      <w:r>
        <w:rPr>
          <w:lang w:val="fr-FR"/>
        </w:rPr>
        <w:t xml:space="preserve">. Ce plan défini les parties responsable, le plan de travail et le budget alloué. Il se base sur le cadre de résultats du projet, énoncé dans le même document, et ne prévoit pas sa révision. </w:t>
      </w:r>
    </w:p>
    <w:p w14:paraId="712C7228" w14:textId="35F116D7" w:rsidR="00A37CC0" w:rsidRDefault="00144705" w:rsidP="00A37CC0">
      <w:pPr>
        <w:rPr>
          <w:lang w:val="fr-FR"/>
        </w:rPr>
      </w:pPr>
      <w:r>
        <w:rPr>
          <w:lang w:val="fr-FR"/>
        </w:rPr>
        <w:t xml:space="preserve">Comme énoncé dans la section 3.1.2, le cadre de résultats </w:t>
      </w:r>
      <w:r w:rsidR="00A37CC0">
        <w:rPr>
          <w:lang w:val="fr-FR"/>
        </w:rPr>
        <w:t>initial du projet comporte un certain nombre de faiblesse, dont des indicateurs et des cibles non SMART. Ce cadre de résultat a été révisé par le nouveau plan S&amp;E de 2018, qui modifie largement les indicateurs de projet et en améliore la qualité. En Juin 2019, le chapitre 6 du Document de Projet « Cadre de suivi et évaluation » a également été mis à jour. Ni ce document, ni le</w:t>
      </w:r>
      <w:r w:rsidR="00A37CC0" w:rsidRPr="008F47A6">
        <w:rPr>
          <w:lang w:val="fr-FR"/>
        </w:rPr>
        <w:t xml:space="preserve"> plan de S&amp;E révisé n’intègre</w:t>
      </w:r>
      <w:r w:rsidR="00645BF8">
        <w:rPr>
          <w:lang w:val="fr-FR"/>
        </w:rPr>
        <w:t>nt</w:t>
      </w:r>
      <w:r w:rsidR="00A37CC0" w:rsidRPr="008F47A6">
        <w:rPr>
          <w:lang w:val="fr-FR"/>
        </w:rPr>
        <w:t xml:space="preserve"> </w:t>
      </w:r>
      <w:r w:rsidR="00A37CC0" w:rsidRPr="00A83BD3">
        <w:rPr>
          <w:lang w:val="fr-FR"/>
        </w:rPr>
        <w:t xml:space="preserve">l’outil </w:t>
      </w:r>
      <w:r w:rsidR="00A37CC0" w:rsidRPr="00BF4F32">
        <w:rPr>
          <w:lang w:val="fr-FR"/>
        </w:rPr>
        <w:t>METT</w:t>
      </w:r>
      <w:r w:rsidR="00A37CC0">
        <w:rPr>
          <w:lang w:val="fr-FR"/>
        </w:rPr>
        <w:t xml:space="preserve"> du FEM qui est par ailleurs intégré à l’OPT BD. En outre, la capitalisation des leçons apprises en cours de projet n’est pas vraiment prévue. Le plan de S&amp;E se contente d’annoncer que les résultats seront diffusés dans la zone de projet mais ne présente pas de méthodologie de compilations des leçons et expériences.  </w:t>
      </w:r>
    </w:p>
    <w:p w14:paraId="0791AFE0" w14:textId="3D060658" w:rsidR="00A37CC0" w:rsidRPr="00A37CC0" w:rsidRDefault="00B65217" w:rsidP="00C624C8">
      <w:pPr>
        <w:rPr>
          <w:lang w:val="fr-FR"/>
        </w:rPr>
      </w:pPr>
      <w:r w:rsidRPr="008F47A6">
        <w:rPr>
          <w:lang w:val="fr-FR"/>
        </w:rPr>
        <w:t xml:space="preserve">La production et le nombre d’outils de suivi est correcte. </w:t>
      </w:r>
      <w:r w:rsidR="00A37CC0">
        <w:rPr>
          <w:lang w:val="fr-FR"/>
        </w:rPr>
        <w:t xml:space="preserve">Le respect des échéances est en correct pour le PIR, le rapport de démarrage et les PV de réunions du </w:t>
      </w:r>
      <w:proofErr w:type="spellStart"/>
      <w:r w:rsidR="00A37CC0">
        <w:rPr>
          <w:lang w:val="fr-FR"/>
        </w:rPr>
        <w:t>CoPil</w:t>
      </w:r>
      <w:proofErr w:type="spellEnd"/>
      <w:r w:rsidR="00A37CC0">
        <w:rPr>
          <w:lang w:val="fr-FR"/>
        </w:rPr>
        <w:t>, toutefois le rapport annuel du PNUD de 2019 semble à ce jour ne pas avoir encore été réalisé</w:t>
      </w:r>
      <w:r w:rsidR="00732F5D">
        <w:rPr>
          <w:lang w:val="fr-FR"/>
        </w:rPr>
        <w:t xml:space="preserve">. Par ailleurs, si des rapports trimestriels d’activité semblent avoir été élaborés pour </w:t>
      </w:r>
      <w:r w:rsidR="002C3B96">
        <w:rPr>
          <w:lang w:val="fr-FR"/>
        </w:rPr>
        <w:t xml:space="preserve">le dernier trimestre 2017, le premier trimestre 2018, les premier et deuxième trimestres 2019, certains sont manquants et </w:t>
      </w:r>
      <w:r w:rsidR="00A37CC0">
        <w:rPr>
          <w:lang w:val="fr-FR"/>
        </w:rPr>
        <w:t xml:space="preserve">l’équipe d’évaluation </w:t>
      </w:r>
      <w:r w:rsidR="002C3B96">
        <w:rPr>
          <w:lang w:val="fr-FR"/>
        </w:rPr>
        <w:t>n’a pu disposer</w:t>
      </w:r>
      <w:r w:rsidR="00A37CC0">
        <w:rPr>
          <w:lang w:val="fr-FR"/>
        </w:rPr>
        <w:t xml:space="preserve"> que d’un seul rapport trimestriel (celui datant du premier trimestre 2019)</w:t>
      </w:r>
      <w:r w:rsidR="00A97E4D">
        <w:rPr>
          <w:lang w:val="fr-FR"/>
        </w:rPr>
        <w:t xml:space="preserve">. Il n’y a pas d’audit financier de 2017, mais compte tenu du démarrage tardif du projet en fin d’année, cela ne semble pas problématique. Conformément à ce qui est énoncé dans le document de projet, le Comité de Pilotage se tient au moins deux fois par an depuis 2018. </w:t>
      </w:r>
      <w:r w:rsidR="009313B0">
        <w:rPr>
          <w:lang w:val="fr-FR"/>
        </w:rPr>
        <w:t>L</w:t>
      </w:r>
      <w:r w:rsidR="009313B0" w:rsidRPr="009313B0">
        <w:rPr>
          <w:lang w:val="fr-FR"/>
        </w:rPr>
        <w:t xml:space="preserve">es exécutants de la composante 2 (c'est-à-dire </w:t>
      </w:r>
      <w:proofErr w:type="spellStart"/>
      <w:r w:rsidR="009313B0" w:rsidRPr="009313B0">
        <w:rPr>
          <w:lang w:val="fr-FR"/>
        </w:rPr>
        <w:t>Tany</w:t>
      </w:r>
      <w:proofErr w:type="spellEnd"/>
      <w:r w:rsidR="009313B0" w:rsidRPr="009313B0">
        <w:rPr>
          <w:lang w:val="fr-FR"/>
        </w:rPr>
        <w:t xml:space="preserve"> </w:t>
      </w:r>
      <w:proofErr w:type="spellStart"/>
      <w:r w:rsidR="009313B0" w:rsidRPr="009313B0">
        <w:rPr>
          <w:lang w:val="fr-FR"/>
        </w:rPr>
        <w:t>Meva</w:t>
      </w:r>
      <w:proofErr w:type="spellEnd"/>
      <w:r w:rsidR="009313B0" w:rsidRPr="009313B0">
        <w:rPr>
          <w:lang w:val="fr-FR"/>
        </w:rPr>
        <w:t xml:space="preserve"> et SAGE) soumettent des rapports techniques trimestriels à l'UCP.</w:t>
      </w:r>
    </w:p>
    <w:p w14:paraId="4611AB41" w14:textId="077186FB" w:rsidR="00B65217" w:rsidRDefault="00A37CC0" w:rsidP="00801272">
      <w:pPr>
        <w:rPr>
          <w:lang w:val="fr-FR"/>
        </w:rPr>
      </w:pPr>
      <w:r>
        <w:rPr>
          <w:lang w:val="fr-FR"/>
        </w:rPr>
        <w:t xml:space="preserve">En termes de qualité du rapportage, </w:t>
      </w:r>
      <w:r w:rsidR="00596200">
        <w:rPr>
          <w:lang w:val="fr-FR"/>
        </w:rPr>
        <w:t>l</w:t>
      </w:r>
      <w:r w:rsidR="00202CC0" w:rsidRPr="008F47A6">
        <w:rPr>
          <w:lang w:val="fr-FR"/>
        </w:rPr>
        <w:t xml:space="preserve">’évaluation observe que </w:t>
      </w:r>
      <w:r>
        <w:rPr>
          <w:lang w:val="fr-FR"/>
        </w:rPr>
        <w:t>celle-ci</w:t>
      </w:r>
      <w:r w:rsidR="00202CC0" w:rsidRPr="008F47A6">
        <w:rPr>
          <w:lang w:val="fr-FR"/>
        </w:rPr>
        <w:t xml:space="preserve"> est très variable. Si les PIR sont </w:t>
      </w:r>
      <w:r w:rsidR="00B65217" w:rsidRPr="008F47A6">
        <w:rPr>
          <w:lang w:val="fr-FR"/>
        </w:rPr>
        <w:t xml:space="preserve">relativement </w:t>
      </w:r>
      <w:r w:rsidR="00202CC0" w:rsidRPr="008F47A6">
        <w:rPr>
          <w:lang w:val="fr-FR"/>
        </w:rPr>
        <w:t>complets et opportuns,</w:t>
      </w:r>
      <w:r w:rsidR="00B65217" w:rsidRPr="008F47A6">
        <w:rPr>
          <w:lang w:val="fr-FR"/>
        </w:rPr>
        <w:t xml:space="preserve"> </w:t>
      </w:r>
      <w:r w:rsidR="00202CC0" w:rsidRPr="008F47A6">
        <w:rPr>
          <w:lang w:val="fr-FR"/>
        </w:rPr>
        <w:t>ils comportent une quantité d’</w:t>
      </w:r>
      <w:r w:rsidR="00B65217" w:rsidRPr="008F47A6">
        <w:rPr>
          <w:lang w:val="fr-FR"/>
        </w:rPr>
        <w:t>acronymes</w:t>
      </w:r>
      <w:r w:rsidR="00202CC0" w:rsidRPr="008F47A6">
        <w:rPr>
          <w:lang w:val="fr-FR"/>
        </w:rPr>
        <w:t xml:space="preserve"> non définis qui les rendent incompréhensibles pour un public non renseigné</w:t>
      </w:r>
      <w:r w:rsidR="00596200">
        <w:rPr>
          <w:lang w:val="fr-FR"/>
        </w:rPr>
        <w:t>,</w:t>
      </w:r>
      <w:r w:rsidR="00B65217" w:rsidRPr="008F47A6">
        <w:rPr>
          <w:lang w:val="fr-FR"/>
        </w:rPr>
        <w:t xml:space="preserve"> ainsi qu’un grand nombre d’imprécision</w:t>
      </w:r>
      <w:r w:rsidR="00C624C8">
        <w:rPr>
          <w:lang w:val="fr-FR"/>
        </w:rPr>
        <w:t>s</w:t>
      </w:r>
      <w:r w:rsidR="00202CC0" w:rsidRPr="008F47A6">
        <w:rPr>
          <w:lang w:val="fr-FR"/>
        </w:rPr>
        <w:t>.</w:t>
      </w:r>
      <w:r w:rsidR="00C624C8">
        <w:rPr>
          <w:lang w:val="fr-FR"/>
        </w:rPr>
        <w:t xml:space="preserve"> </w:t>
      </w:r>
      <w:r w:rsidR="00C624C8" w:rsidRPr="00A83BD3">
        <w:rPr>
          <w:lang w:val="fr-FR"/>
        </w:rPr>
        <w:t xml:space="preserve">De plus, </w:t>
      </w:r>
      <w:r w:rsidR="00C624C8" w:rsidRPr="008F47A6">
        <w:rPr>
          <w:lang w:val="fr-FR"/>
        </w:rPr>
        <w:t>en l’absence d’explication du pr</w:t>
      </w:r>
      <w:r w:rsidR="00DF3E88">
        <w:rPr>
          <w:lang w:val="fr-FR"/>
        </w:rPr>
        <w:t>o</w:t>
      </w:r>
      <w:r w:rsidR="00C624C8" w:rsidRPr="008F47A6">
        <w:rPr>
          <w:lang w:val="fr-FR"/>
        </w:rPr>
        <w:t xml:space="preserve">blème de base sur </w:t>
      </w:r>
      <w:r w:rsidR="00C624C8">
        <w:rPr>
          <w:lang w:val="fr-FR"/>
        </w:rPr>
        <w:t xml:space="preserve">lequel se fonde le projet et </w:t>
      </w:r>
      <w:r w:rsidR="00596200">
        <w:rPr>
          <w:lang w:val="fr-FR"/>
        </w:rPr>
        <w:t>l</w:t>
      </w:r>
      <w:r w:rsidR="00C624C8">
        <w:rPr>
          <w:lang w:val="fr-FR"/>
        </w:rPr>
        <w:t>es solutions apportées (ce qui est généralement fait sous forme de graphique), les changements de stratégie</w:t>
      </w:r>
      <w:r w:rsidR="00534D61">
        <w:rPr>
          <w:lang w:val="fr-FR"/>
        </w:rPr>
        <w:t xml:space="preserve"> et les progrès</w:t>
      </w:r>
      <w:r w:rsidR="00C624C8">
        <w:rPr>
          <w:lang w:val="fr-FR"/>
        </w:rPr>
        <w:t xml:space="preserve"> </w:t>
      </w:r>
      <w:r w:rsidR="00534D61">
        <w:rPr>
          <w:lang w:val="fr-FR"/>
        </w:rPr>
        <w:t xml:space="preserve">du projet </w:t>
      </w:r>
      <w:r w:rsidR="00C624C8">
        <w:rPr>
          <w:lang w:val="fr-FR"/>
        </w:rPr>
        <w:t xml:space="preserve">sont difficiles à suivre. </w:t>
      </w:r>
      <w:r w:rsidR="00202CC0" w:rsidRPr="008F47A6">
        <w:rPr>
          <w:lang w:val="fr-FR"/>
        </w:rPr>
        <w:t xml:space="preserve">Les rapports annuels du PNUD sont de bonne qualité, toutefois le rapportage sur les produits du Programme Pays reste flou ou non renseigné. </w:t>
      </w:r>
      <w:r w:rsidR="00596200">
        <w:rPr>
          <w:lang w:val="fr-FR"/>
        </w:rPr>
        <w:t>Des rapports de progrès sont également produits pour le PNUD sur une base trimestrielle</w:t>
      </w:r>
      <w:r>
        <w:rPr>
          <w:lang w:val="fr-FR"/>
        </w:rPr>
        <w:t>.</w:t>
      </w:r>
      <w:r w:rsidDel="00A37CC0">
        <w:rPr>
          <w:lang w:val="fr-FR"/>
        </w:rPr>
        <w:t xml:space="preserve"> </w:t>
      </w:r>
      <w:r w:rsidR="00596200">
        <w:rPr>
          <w:lang w:val="fr-FR"/>
        </w:rPr>
        <w:t xml:space="preserve">Ce rapport suit l’évolution des risques, en conformité avec le registre ATLAS. </w:t>
      </w:r>
      <w:r w:rsidR="00202CC0" w:rsidRPr="008F47A6">
        <w:rPr>
          <w:lang w:val="fr-FR"/>
        </w:rPr>
        <w:t>La qualité du rapportage sur les activités, atelier</w:t>
      </w:r>
      <w:r w:rsidR="00596200">
        <w:rPr>
          <w:lang w:val="fr-FR"/>
        </w:rPr>
        <w:t>s</w:t>
      </w:r>
      <w:r w:rsidR="00202CC0" w:rsidRPr="008F47A6">
        <w:rPr>
          <w:lang w:val="fr-FR"/>
        </w:rPr>
        <w:t xml:space="preserve"> et réunion de comité de pilotage est perfectible</w:t>
      </w:r>
      <w:r w:rsidR="00B65217" w:rsidRPr="008F47A6">
        <w:rPr>
          <w:lang w:val="fr-FR"/>
        </w:rPr>
        <w:t xml:space="preserve">. </w:t>
      </w:r>
      <w:r w:rsidR="00596200">
        <w:rPr>
          <w:lang w:val="fr-FR"/>
        </w:rPr>
        <w:t xml:space="preserve">Certains rapports fournis à </w:t>
      </w:r>
      <w:r w:rsidR="00596200">
        <w:rPr>
          <w:lang w:val="fr-FR"/>
        </w:rPr>
        <w:lastRenderedPageBreak/>
        <w:t xml:space="preserve">l’évaluateur sont très succincts, ne semblent pas avoir été finalisés, et les documents annexés aux réunions de </w:t>
      </w:r>
      <w:proofErr w:type="spellStart"/>
      <w:r w:rsidR="00596200">
        <w:rPr>
          <w:lang w:val="fr-FR"/>
        </w:rPr>
        <w:t>CoPil</w:t>
      </w:r>
      <w:proofErr w:type="spellEnd"/>
      <w:r w:rsidR="00596200">
        <w:rPr>
          <w:lang w:val="fr-FR"/>
        </w:rPr>
        <w:t xml:space="preserve"> sont parfois illisibles</w:t>
      </w:r>
      <w:r w:rsidR="00596200">
        <w:rPr>
          <w:rStyle w:val="Appelnotedebasdep"/>
          <w:lang w:val="fr-FR"/>
        </w:rPr>
        <w:footnoteReference w:id="42"/>
      </w:r>
      <w:r w:rsidR="00596200">
        <w:rPr>
          <w:lang w:val="fr-FR"/>
        </w:rPr>
        <w:t xml:space="preserve">. </w:t>
      </w:r>
      <w:r w:rsidR="00645BF8">
        <w:rPr>
          <w:lang w:val="fr-FR"/>
        </w:rPr>
        <w:t>Par ailleurs</w:t>
      </w:r>
      <w:r w:rsidR="00A46A10">
        <w:rPr>
          <w:lang w:val="fr-FR"/>
        </w:rPr>
        <w:t>, on note que le</w:t>
      </w:r>
      <w:r w:rsidR="00645BF8">
        <w:rPr>
          <w:lang w:val="fr-FR"/>
        </w:rPr>
        <w:t>s</w:t>
      </w:r>
      <w:r w:rsidR="00A46A10">
        <w:rPr>
          <w:lang w:val="fr-FR"/>
        </w:rPr>
        <w:t xml:space="preserve"> rapportage</w:t>
      </w:r>
      <w:r w:rsidR="00645BF8">
        <w:rPr>
          <w:lang w:val="fr-FR"/>
        </w:rPr>
        <w:t>s</w:t>
      </w:r>
      <w:r w:rsidR="00A46A10">
        <w:rPr>
          <w:lang w:val="fr-FR"/>
        </w:rPr>
        <w:t xml:space="preserve"> de fin 2018 et 2019 n’</w:t>
      </w:r>
      <w:r w:rsidR="00645BF8">
        <w:rPr>
          <w:lang w:val="fr-FR"/>
        </w:rPr>
        <w:t>ont</w:t>
      </w:r>
      <w:r w:rsidR="00A46A10">
        <w:rPr>
          <w:lang w:val="fr-FR"/>
        </w:rPr>
        <w:t xml:space="preserve"> pas utilisé les indicateurs nouvellement défini</w:t>
      </w:r>
      <w:r w:rsidR="005A31C1">
        <w:rPr>
          <w:lang w:val="fr-FR"/>
        </w:rPr>
        <w:t>s</w:t>
      </w:r>
      <w:r w:rsidR="00A46A10">
        <w:rPr>
          <w:lang w:val="fr-FR"/>
        </w:rPr>
        <w:t xml:space="preserve">, et que </w:t>
      </w:r>
      <w:r w:rsidR="005A31C1">
        <w:rPr>
          <w:lang w:val="fr-FR"/>
        </w:rPr>
        <w:t>des</w:t>
      </w:r>
      <w:r w:rsidR="00A46A10">
        <w:rPr>
          <w:lang w:val="fr-FR"/>
        </w:rPr>
        <w:t xml:space="preserve"> versions de cadre logique </w:t>
      </w:r>
      <w:r w:rsidR="005A31C1">
        <w:rPr>
          <w:lang w:val="fr-FR"/>
        </w:rPr>
        <w:t xml:space="preserve">légèrement différentes </w:t>
      </w:r>
      <w:r w:rsidR="00A46A10">
        <w:rPr>
          <w:lang w:val="fr-FR"/>
        </w:rPr>
        <w:t>sont utilisées dans les rapports trimestriels d’activités, le rapport annuel du PNUD et le rapport PIR</w:t>
      </w:r>
      <w:r w:rsidR="00C624C8">
        <w:rPr>
          <w:lang w:val="fr-FR"/>
        </w:rPr>
        <w:t xml:space="preserve"> 2019</w:t>
      </w:r>
      <w:r w:rsidR="00A46A10">
        <w:rPr>
          <w:lang w:val="fr-FR"/>
        </w:rPr>
        <w:t xml:space="preserve">. </w:t>
      </w:r>
      <w:r w:rsidR="00C624C8">
        <w:rPr>
          <w:lang w:val="fr-FR"/>
        </w:rPr>
        <w:t>Or, les nouveaux indicateurs permettraient de suivre les avancements des différentes parties responsables (</w:t>
      </w:r>
      <w:r w:rsidR="00A31E4E">
        <w:rPr>
          <w:lang w:val="fr-FR"/>
        </w:rPr>
        <w:t xml:space="preserve">notamment DREDD, </w:t>
      </w:r>
      <w:proofErr w:type="spellStart"/>
      <w:r w:rsidR="00A31E4E">
        <w:rPr>
          <w:lang w:val="fr-FR"/>
        </w:rPr>
        <w:t>Tany</w:t>
      </w:r>
      <w:proofErr w:type="spellEnd"/>
      <w:r w:rsidR="00A31E4E">
        <w:rPr>
          <w:lang w:val="fr-FR"/>
        </w:rPr>
        <w:t xml:space="preserve"> </w:t>
      </w:r>
      <w:proofErr w:type="spellStart"/>
      <w:r w:rsidR="00A31E4E">
        <w:rPr>
          <w:lang w:val="fr-FR"/>
        </w:rPr>
        <w:t>Meva</w:t>
      </w:r>
      <w:proofErr w:type="spellEnd"/>
      <w:r w:rsidR="00A31E4E">
        <w:rPr>
          <w:lang w:val="fr-FR"/>
        </w:rPr>
        <w:t xml:space="preserve"> et SAGE). </w:t>
      </w:r>
      <w:r w:rsidR="00A46A10">
        <w:rPr>
          <w:lang w:val="fr-FR"/>
        </w:rPr>
        <w:t>L</w:t>
      </w:r>
      <w:r w:rsidR="00B65217" w:rsidRPr="008F47A6">
        <w:rPr>
          <w:lang w:val="fr-FR"/>
        </w:rPr>
        <w:t>e suivi évaluation du projet d</w:t>
      </w:r>
      <w:r w:rsidR="005A31C1">
        <w:rPr>
          <w:lang w:val="fr-FR"/>
        </w:rPr>
        <w:t>oit s’assurer d’</w:t>
      </w:r>
      <w:r w:rsidR="00B65217" w:rsidRPr="008F47A6">
        <w:rPr>
          <w:lang w:val="fr-FR"/>
        </w:rPr>
        <w:t xml:space="preserve">utiliser dans tous ces outils de rapportage le même cadre logique révisé, aligné sur la stratégie du projet. </w:t>
      </w:r>
    </w:p>
    <w:p w14:paraId="3E6185A9" w14:textId="57632A28" w:rsidR="00A84355" w:rsidRDefault="00A84355" w:rsidP="00801272">
      <w:pPr>
        <w:rPr>
          <w:lang w:val="fr-FR"/>
        </w:rPr>
      </w:pPr>
      <w:r>
        <w:rPr>
          <w:lang w:val="fr-FR"/>
        </w:rPr>
        <w:t>En ce qui concerne les indicateurs de programme sexospécifiques mentionnés dans le document de projet, n</w:t>
      </w:r>
      <w:r w:rsidRPr="00D84524">
        <w:rPr>
          <w:lang w:val="fr-FR"/>
        </w:rPr>
        <w:t xml:space="preserve">’étant pas reportés dans le cadre de résultats utilisés pour le rapport PIR </w:t>
      </w:r>
      <w:r>
        <w:rPr>
          <w:lang w:val="fr-FR"/>
        </w:rPr>
        <w:t xml:space="preserve">ni </w:t>
      </w:r>
      <w:r w:rsidRPr="00D84524">
        <w:rPr>
          <w:lang w:val="fr-FR"/>
        </w:rPr>
        <w:t>dans le rapport de progrès trimestriel, pour lesquels seul le rapport de 2019 a été fourni à l’évaluateur, il y a lieu de se demander si ces indicateurs ont tous été renseignés systématiquement depuis le début du projet.</w:t>
      </w:r>
    </w:p>
    <w:p w14:paraId="63F970E3" w14:textId="2E0200CA" w:rsidR="00A31E4E" w:rsidRPr="00D84524" w:rsidRDefault="00A84355" w:rsidP="00801272">
      <w:pPr>
        <w:rPr>
          <w:lang w:val="fr-FR"/>
        </w:rPr>
      </w:pPr>
      <w:r>
        <w:rPr>
          <w:lang w:val="fr-FR"/>
        </w:rPr>
        <w:t>Finalement, e</w:t>
      </w:r>
      <w:r w:rsidR="00A97E4D">
        <w:rPr>
          <w:lang w:val="fr-FR"/>
        </w:rPr>
        <w:t>n ce qui concerne la gestion financière</w:t>
      </w:r>
      <w:r w:rsidR="00DA3117">
        <w:rPr>
          <w:lang w:val="fr-FR"/>
        </w:rPr>
        <w:t xml:space="preserve">, </w:t>
      </w:r>
      <w:r w:rsidR="00A97E4D">
        <w:rPr>
          <w:lang w:val="fr-FR"/>
        </w:rPr>
        <w:t>d</w:t>
      </w:r>
      <w:r w:rsidR="00A31E4E">
        <w:rPr>
          <w:lang w:val="fr-FR"/>
        </w:rPr>
        <w:t>ans le cadre de la modalité d’exécution nationale, un audit financier annuel a été conduit</w:t>
      </w:r>
      <w:r w:rsidR="00A97E4D">
        <w:rPr>
          <w:lang w:val="fr-FR"/>
        </w:rPr>
        <w:t xml:space="preserve"> pour la période du 1</w:t>
      </w:r>
      <w:r w:rsidR="00A97E4D" w:rsidRPr="00CA44AE">
        <w:rPr>
          <w:vertAlign w:val="superscript"/>
          <w:lang w:val="fr-FR"/>
        </w:rPr>
        <w:t>er</w:t>
      </w:r>
      <w:r w:rsidR="00A97E4D">
        <w:rPr>
          <w:lang w:val="fr-FR"/>
        </w:rPr>
        <w:t xml:space="preserve"> au 31 décembre 2018</w:t>
      </w:r>
      <w:r w:rsidR="00A31E4E">
        <w:rPr>
          <w:lang w:val="fr-FR"/>
        </w:rPr>
        <w:t xml:space="preserve">. </w:t>
      </w:r>
      <w:r w:rsidR="001148F9">
        <w:rPr>
          <w:lang w:val="fr-FR"/>
        </w:rPr>
        <w:t xml:space="preserve">Dans ce cadre, un </w:t>
      </w:r>
      <w:r w:rsidR="001148F9" w:rsidRPr="001148F9">
        <w:rPr>
          <w:lang w:val="fr-FR"/>
        </w:rPr>
        <w:t>plan d'action visant à améliorer le fonctionnement administratif et financier a été publié et partagé avec les partenaires de mise en œuvre</w:t>
      </w:r>
      <w:r w:rsidR="001148F9">
        <w:rPr>
          <w:lang w:val="fr-FR"/>
        </w:rPr>
        <w:t xml:space="preserve"> (UCP, </w:t>
      </w:r>
      <w:proofErr w:type="spellStart"/>
      <w:r w:rsidR="001148F9">
        <w:rPr>
          <w:lang w:val="fr-FR"/>
        </w:rPr>
        <w:t>Tany</w:t>
      </w:r>
      <w:proofErr w:type="spellEnd"/>
      <w:r w:rsidR="001148F9">
        <w:rPr>
          <w:lang w:val="fr-FR"/>
        </w:rPr>
        <w:t xml:space="preserve"> </w:t>
      </w:r>
      <w:proofErr w:type="spellStart"/>
      <w:r w:rsidR="001148F9">
        <w:rPr>
          <w:lang w:val="fr-FR"/>
        </w:rPr>
        <w:t>Meva</w:t>
      </w:r>
      <w:proofErr w:type="spellEnd"/>
      <w:r w:rsidR="001148F9">
        <w:rPr>
          <w:lang w:val="fr-FR"/>
        </w:rPr>
        <w:t xml:space="preserve"> et SAGE)</w:t>
      </w:r>
      <w:r w:rsidR="001148F9" w:rsidRPr="001148F9">
        <w:rPr>
          <w:lang w:val="fr-FR"/>
        </w:rPr>
        <w:t>.</w:t>
      </w:r>
      <w:r w:rsidR="001148F9">
        <w:rPr>
          <w:lang w:val="fr-FR"/>
        </w:rPr>
        <w:t xml:space="preserve"> </w:t>
      </w:r>
      <w:r w:rsidR="00A97CE0">
        <w:rPr>
          <w:lang w:val="fr-FR"/>
        </w:rPr>
        <w:t xml:space="preserve">Le rapport donne des recommandations pour atténuer les faiblesses dans la gestion des dépenses de la part de l’UCP, notamment le suivi des achats et des factures. Il recommande aussi de pallier </w:t>
      </w:r>
      <w:r w:rsidR="00596200">
        <w:rPr>
          <w:lang w:val="fr-FR"/>
        </w:rPr>
        <w:t>le</w:t>
      </w:r>
      <w:r w:rsidR="00A97CE0">
        <w:rPr>
          <w:lang w:val="fr-FR"/>
        </w:rPr>
        <w:t xml:space="preserve"> plus vite à l’absence d’assistant administratif et financier et de coordinateur, chose faite. En ce qui concerne les deux </w:t>
      </w:r>
      <w:r w:rsidR="00596200">
        <w:rPr>
          <w:lang w:val="fr-FR"/>
        </w:rPr>
        <w:t>ONG partenaires,</w:t>
      </w:r>
      <w:r w:rsidR="00A97CE0">
        <w:rPr>
          <w:lang w:val="fr-FR"/>
        </w:rPr>
        <w:t xml:space="preserve"> </w:t>
      </w:r>
      <w:proofErr w:type="spellStart"/>
      <w:r w:rsidR="00A97CE0">
        <w:rPr>
          <w:lang w:val="fr-FR"/>
        </w:rPr>
        <w:t>Tany</w:t>
      </w:r>
      <w:proofErr w:type="spellEnd"/>
      <w:r w:rsidR="00A97CE0">
        <w:rPr>
          <w:lang w:val="fr-FR"/>
        </w:rPr>
        <w:t xml:space="preserve"> </w:t>
      </w:r>
      <w:proofErr w:type="spellStart"/>
      <w:r w:rsidR="00A97CE0">
        <w:rPr>
          <w:lang w:val="fr-FR"/>
        </w:rPr>
        <w:t>Meva</w:t>
      </w:r>
      <w:proofErr w:type="spellEnd"/>
      <w:r w:rsidR="00A97CE0">
        <w:rPr>
          <w:lang w:val="fr-FR"/>
        </w:rPr>
        <w:t xml:space="preserve"> et SAGE, l’audit détecte des failles dans la justification des dépenses, pour la plupart de risque « </w:t>
      </w:r>
      <w:r w:rsidR="00A97CE0" w:rsidRPr="00D84524">
        <w:rPr>
          <w:lang w:val="fr-FR"/>
        </w:rPr>
        <w:t>faible ». Le suivi de</w:t>
      </w:r>
      <w:r w:rsidR="00151E01" w:rsidRPr="00D84524">
        <w:rPr>
          <w:lang w:val="fr-FR"/>
        </w:rPr>
        <w:t xml:space="preserve">s dépenses de l’UCP, </w:t>
      </w:r>
      <w:proofErr w:type="spellStart"/>
      <w:r w:rsidR="00151E01" w:rsidRPr="00D84524">
        <w:rPr>
          <w:lang w:val="fr-FR"/>
        </w:rPr>
        <w:t>Tany</w:t>
      </w:r>
      <w:proofErr w:type="spellEnd"/>
      <w:r w:rsidR="00151E01" w:rsidRPr="00D84524">
        <w:rPr>
          <w:lang w:val="fr-FR"/>
        </w:rPr>
        <w:t xml:space="preserve"> </w:t>
      </w:r>
      <w:proofErr w:type="spellStart"/>
      <w:r w:rsidR="00151E01" w:rsidRPr="00D84524">
        <w:rPr>
          <w:lang w:val="fr-FR"/>
        </w:rPr>
        <w:t>Meva</w:t>
      </w:r>
      <w:proofErr w:type="spellEnd"/>
      <w:r w:rsidR="00151E01" w:rsidRPr="00D84524">
        <w:rPr>
          <w:lang w:val="fr-FR"/>
        </w:rPr>
        <w:t xml:space="preserve"> et SAGE reste donc à améliorer. </w:t>
      </w:r>
    </w:p>
    <w:p w14:paraId="0D83A554" w14:textId="043D1198" w:rsidR="005C550F" w:rsidRDefault="005C550F" w:rsidP="005C550F">
      <w:pPr>
        <w:pStyle w:val="Titre3"/>
        <w:rPr>
          <w:lang w:val="fr-FR"/>
        </w:rPr>
      </w:pPr>
      <w:r w:rsidRPr="005C550F">
        <w:rPr>
          <w:lang w:val="fr-FR"/>
        </w:rPr>
        <w:t xml:space="preserve">Participation des parties prenantes </w:t>
      </w:r>
    </w:p>
    <w:p w14:paraId="589E0618" w14:textId="77777777" w:rsidR="00596200" w:rsidRDefault="00D85DDD" w:rsidP="008F47A6">
      <w:pPr>
        <w:spacing w:after="0"/>
        <w:rPr>
          <w:i/>
          <w:iCs/>
          <w:szCs w:val="24"/>
          <w:lang w:val="fr-FR"/>
        </w:rPr>
      </w:pPr>
      <w:r w:rsidRPr="008F47A6">
        <w:rPr>
          <w:i/>
          <w:iCs/>
          <w:szCs w:val="24"/>
          <w:lang w:val="fr-FR"/>
        </w:rPr>
        <w:t>Q : Dans quelle mesure des accords de partenariat efficaces ont-ils été établis pour la mise en œuvre du projet avec les parties prenantes impliquées dans le pays, les districts et les conseils communautaires ?</w:t>
      </w:r>
      <w:r w:rsidR="00ED628A" w:rsidRPr="008F47A6">
        <w:rPr>
          <w:i/>
          <w:iCs/>
          <w:szCs w:val="24"/>
          <w:lang w:val="fr-FR"/>
        </w:rPr>
        <w:t xml:space="preserve"> Q : Dans quelle mesure le projet est-il impulsé par le pays ?</w:t>
      </w:r>
      <w:r w:rsidR="00596200">
        <w:rPr>
          <w:i/>
          <w:iCs/>
          <w:szCs w:val="24"/>
          <w:lang w:val="fr-FR"/>
        </w:rPr>
        <w:t xml:space="preserve"> </w:t>
      </w:r>
    </w:p>
    <w:p w14:paraId="63521ECE" w14:textId="5FF1C1A0" w:rsidR="00C52333" w:rsidRPr="008F47A6" w:rsidRDefault="00C52333" w:rsidP="008F47A6">
      <w:pPr>
        <w:spacing w:before="0"/>
        <w:rPr>
          <w:i/>
          <w:iCs/>
          <w:szCs w:val="24"/>
          <w:lang w:val="fr-FR"/>
        </w:rPr>
      </w:pPr>
      <w:r w:rsidRPr="008F47A6">
        <w:rPr>
          <w:i/>
          <w:iCs/>
          <w:szCs w:val="24"/>
          <w:lang w:val="fr-FR"/>
        </w:rPr>
        <w:t>Q : Dans quelle mesure le public / les acteurs communautaires sont-ils conscients des objectifs du projet et les soutiennent-ils ?</w:t>
      </w:r>
    </w:p>
    <w:p w14:paraId="1CA151C3" w14:textId="58FDB282" w:rsidR="0050523F" w:rsidRDefault="00D120B3" w:rsidP="008F47A6">
      <w:pPr>
        <w:rPr>
          <w:lang w:val="fr-FR"/>
        </w:rPr>
      </w:pPr>
      <w:r>
        <w:rPr>
          <w:lang w:val="fr-FR"/>
        </w:rPr>
        <w:t xml:space="preserve">Parmi les structures d’engagement des parties prenantes du projet prévues par le Document de Projet, il y a le Comité de Projet (le </w:t>
      </w:r>
      <w:proofErr w:type="spellStart"/>
      <w:r>
        <w:rPr>
          <w:lang w:val="fr-FR"/>
        </w:rPr>
        <w:t>Board</w:t>
      </w:r>
      <w:proofErr w:type="spellEnd"/>
      <w:r>
        <w:rPr>
          <w:lang w:val="fr-FR"/>
        </w:rPr>
        <w:t>) et le Comité de Pilotage (ou Comité Directeur de Projet)</w:t>
      </w:r>
      <w:r w:rsidR="00937DB3">
        <w:rPr>
          <w:lang w:val="fr-FR"/>
        </w:rPr>
        <w:t xml:space="preserve"> qui peut être la même instance que le Comité de Projet</w:t>
      </w:r>
      <w:r>
        <w:rPr>
          <w:lang w:val="fr-FR"/>
        </w:rPr>
        <w:t>.</w:t>
      </w:r>
      <w:r w:rsidR="00937DB3">
        <w:rPr>
          <w:lang w:val="fr-FR"/>
        </w:rPr>
        <w:t xml:space="preserve"> Le document de projet spécifie que l</w:t>
      </w:r>
      <w:r w:rsidR="00937DB3" w:rsidRPr="001A11ED">
        <w:rPr>
          <w:lang w:val="fr-FR"/>
        </w:rPr>
        <w:t xml:space="preserve">a composition de ce </w:t>
      </w:r>
      <w:r w:rsidR="00937DB3">
        <w:rPr>
          <w:lang w:val="fr-FR"/>
        </w:rPr>
        <w:t>comité</w:t>
      </w:r>
      <w:r w:rsidR="00937DB3" w:rsidRPr="001A11ED">
        <w:rPr>
          <w:lang w:val="fr-FR"/>
        </w:rPr>
        <w:t xml:space="preserve"> doit être </w:t>
      </w:r>
      <w:proofErr w:type="spellStart"/>
      <w:r w:rsidR="00937DB3" w:rsidRPr="001A11ED">
        <w:rPr>
          <w:lang w:val="fr-FR"/>
        </w:rPr>
        <w:t>multi-disciplinaire</w:t>
      </w:r>
      <w:proofErr w:type="spellEnd"/>
      <w:r w:rsidR="00937DB3" w:rsidRPr="001A11ED">
        <w:rPr>
          <w:lang w:val="fr-FR"/>
        </w:rPr>
        <w:t xml:space="preserve"> et multi-sectorielle en lien avec la mise en œuvre de ce projet et doit comprendre : PNUD-Madagascar, le MEEF</w:t>
      </w:r>
      <w:r w:rsidR="0019436D">
        <w:rPr>
          <w:rStyle w:val="Appelnotedebasdep"/>
          <w:lang w:val="fr-FR"/>
        </w:rPr>
        <w:footnoteReference w:id="43"/>
      </w:r>
      <w:r w:rsidR="00937DB3" w:rsidRPr="001A11ED">
        <w:rPr>
          <w:lang w:val="fr-FR"/>
        </w:rPr>
        <w:t>, le Ministère chargé de la gestion de l’occupation des sols, le Ministère chargé des ressources minières et pétrolières</w:t>
      </w:r>
      <w:r w:rsidR="00937DB3" w:rsidRPr="001A11ED">
        <w:rPr>
          <w:rStyle w:val="Appelnotedebasdep"/>
        </w:rPr>
        <w:footnoteReference w:id="44"/>
      </w:r>
      <w:r w:rsidR="00937DB3" w:rsidRPr="001A11ED">
        <w:rPr>
          <w:lang w:val="fr-FR"/>
        </w:rPr>
        <w:t xml:space="preserve"> , le </w:t>
      </w:r>
      <w:r w:rsidR="00937DB3" w:rsidRPr="001A11ED">
        <w:rPr>
          <w:lang w:val="fr-FR"/>
        </w:rPr>
        <w:lastRenderedPageBreak/>
        <w:t>Ministère de l’agriculture</w:t>
      </w:r>
      <w:r w:rsidR="004A0453">
        <w:rPr>
          <w:lang w:val="fr-FR"/>
        </w:rPr>
        <w:t>,</w:t>
      </w:r>
      <w:r w:rsidR="00937DB3" w:rsidRPr="001A11ED">
        <w:rPr>
          <w:lang w:val="fr-FR"/>
        </w:rPr>
        <w:t xml:space="preserve"> un représentant des entreprises minières et pétrolières, </w:t>
      </w:r>
      <w:r w:rsidR="004A0453">
        <w:rPr>
          <w:lang w:val="fr-FR"/>
        </w:rPr>
        <w:t xml:space="preserve">et </w:t>
      </w:r>
      <w:r w:rsidR="00937DB3" w:rsidRPr="001A11ED">
        <w:rPr>
          <w:lang w:val="fr-FR"/>
        </w:rPr>
        <w:t xml:space="preserve">des ONG travaillant dans la région de l’Atsimo Andrefana. </w:t>
      </w:r>
    </w:p>
    <w:p w14:paraId="154FA90A" w14:textId="65FF7ECF" w:rsidR="00937DB3" w:rsidRDefault="00937DB3" w:rsidP="008F47A6">
      <w:pPr>
        <w:rPr>
          <w:lang w:val="fr-FR"/>
        </w:rPr>
      </w:pPr>
      <w:r>
        <w:rPr>
          <w:lang w:val="fr-FR"/>
        </w:rPr>
        <w:t>Il est également prévu la mise en place d’un Comité exécutif du projet chargé d’</w:t>
      </w:r>
      <w:r w:rsidRPr="001A11ED">
        <w:rPr>
          <w:lang w:val="fr-FR"/>
        </w:rPr>
        <w:t>assurer la supervision quotidienne opérationnelle du projet</w:t>
      </w:r>
      <w:r>
        <w:rPr>
          <w:lang w:val="fr-FR"/>
        </w:rPr>
        <w:t>, composé</w:t>
      </w:r>
      <w:r w:rsidRPr="001A11ED">
        <w:rPr>
          <w:lang w:val="fr-FR"/>
        </w:rPr>
        <w:t xml:space="preserve"> du Directeur national du projet</w:t>
      </w:r>
      <w:r>
        <w:rPr>
          <w:lang w:val="fr-FR"/>
        </w:rPr>
        <w:t xml:space="preserve"> </w:t>
      </w:r>
      <w:r w:rsidRPr="001A11ED">
        <w:rPr>
          <w:lang w:val="fr-FR"/>
        </w:rPr>
        <w:t xml:space="preserve">PNUD-Madagascar, du </w:t>
      </w:r>
      <w:r>
        <w:rPr>
          <w:lang w:val="fr-FR"/>
        </w:rPr>
        <w:t>Directeur de Projet National</w:t>
      </w:r>
      <w:r w:rsidRPr="001A11ED">
        <w:rPr>
          <w:lang w:val="fr-FR"/>
        </w:rPr>
        <w:t xml:space="preserve"> et du </w:t>
      </w:r>
      <w:r>
        <w:rPr>
          <w:lang w:val="fr-FR"/>
        </w:rPr>
        <w:t xml:space="preserve">Conseiller technique en chef. </w:t>
      </w:r>
    </w:p>
    <w:p w14:paraId="01E362F7" w14:textId="15B0BE24" w:rsidR="00937DB3" w:rsidRDefault="00937DB3" w:rsidP="008F47A6">
      <w:pPr>
        <w:rPr>
          <w:lang w:val="fr-FR"/>
        </w:rPr>
      </w:pPr>
      <w:r>
        <w:rPr>
          <w:lang w:val="fr-FR"/>
        </w:rPr>
        <w:t>De plus, un g</w:t>
      </w:r>
      <w:r w:rsidRPr="00937DB3">
        <w:rPr>
          <w:lang w:val="fr-FR"/>
        </w:rPr>
        <w:t>roupe consultatif de spécialistes du secteur</w:t>
      </w:r>
      <w:r>
        <w:rPr>
          <w:lang w:val="fr-FR"/>
        </w:rPr>
        <w:t xml:space="preserve">, composé de juristes, experts EIE, experts biodiversité ou encore du secteur minier, pétrolier et agricoles, peut être formé de manière ponctuelle et consulté par le Directeur de Projet National sur des questions particulières. </w:t>
      </w:r>
    </w:p>
    <w:p w14:paraId="4FA35821" w14:textId="3F0FCA40" w:rsidR="00937DB3" w:rsidRDefault="00937DB3" w:rsidP="00937DB3">
      <w:pPr>
        <w:rPr>
          <w:lang w:val="fr-FR"/>
        </w:rPr>
      </w:pPr>
      <w:r>
        <w:rPr>
          <w:lang w:val="fr-FR"/>
        </w:rPr>
        <w:t xml:space="preserve">Dans la pratique, l’évaluation observe </w:t>
      </w:r>
      <w:r w:rsidR="004A0453">
        <w:rPr>
          <w:lang w:val="fr-FR"/>
        </w:rPr>
        <w:t>que le</w:t>
      </w:r>
      <w:r>
        <w:rPr>
          <w:lang w:val="fr-FR"/>
        </w:rPr>
        <w:t xml:space="preserve"> Comité de Pilotage est le seul organe de participation qui a été réellement établit tel que le prévoyait le document de projet</w:t>
      </w:r>
      <w:r w:rsidR="004A0453">
        <w:rPr>
          <w:lang w:val="fr-FR"/>
        </w:rPr>
        <w:t>. En plus, a</w:t>
      </w:r>
      <w:r>
        <w:rPr>
          <w:lang w:val="fr-FR"/>
        </w:rPr>
        <w:t>u niveau national</w:t>
      </w:r>
      <w:r w:rsidR="004A0453">
        <w:rPr>
          <w:lang w:val="fr-FR"/>
        </w:rPr>
        <w:t>,</w:t>
      </w:r>
      <w:r>
        <w:rPr>
          <w:lang w:val="fr-FR"/>
        </w:rPr>
        <w:t xml:space="preserve"> </w:t>
      </w:r>
      <w:r w:rsidR="00734D1E">
        <w:rPr>
          <w:lang w:val="fr-FR"/>
        </w:rPr>
        <w:t xml:space="preserve">certains ministères clés ne sont pas présents au sein du </w:t>
      </w:r>
      <w:proofErr w:type="spellStart"/>
      <w:r w:rsidR="00734D1E">
        <w:rPr>
          <w:lang w:val="fr-FR"/>
        </w:rPr>
        <w:t>CoPil</w:t>
      </w:r>
      <w:proofErr w:type="spellEnd"/>
      <w:r w:rsidR="00734D1E">
        <w:rPr>
          <w:lang w:val="fr-FR"/>
        </w:rPr>
        <w:t xml:space="preserve"> ou ne sont représentés que par les directions régionales</w:t>
      </w:r>
      <w:r w:rsidR="00A71F14" w:rsidRPr="008F47A6">
        <w:rPr>
          <w:lang w:val="fr-FR"/>
        </w:rPr>
        <w:t>, ce qui est une limite importante</w:t>
      </w:r>
      <w:r w:rsidR="002E0F96" w:rsidRPr="008F47A6">
        <w:rPr>
          <w:lang w:val="fr-FR"/>
        </w:rPr>
        <w:t xml:space="preserve"> en termes de mise à l’échelle et de durabilité. </w:t>
      </w:r>
      <w:r w:rsidR="00734D1E">
        <w:rPr>
          <w:lang w:val="fr-FR"/>
        </w:rPr>
        <w:t>En effet, le ministère de l’économie et des finances n’est pas représenté, pas plus que le ministère des transports, du tourisme et de la météorologie</w:t>
      </w:r>
      <w:r w:rsidR="0019436D">
        <w:rPr>
          <w:lang w:val="fr-FR"/>
        </w:rPr>
        <w:t xml:space="preserve"> ou le </w:t>
      </w:r>
      <w:r w:rsidR="0019436D" w:rsidRPr="008F47A6">
        <w:rPr>
          <w:lang w:val="fr-FR"/>
        </w:rPr>
        <w:t>Bureau National des Risques et Catastrophes</w:t>
      </w:r>
      <w:r w:rsidR="00734D1E">
        <w:rPr>
          <w:lang w:val="fr-FR"/>
        </w:rPr>
        <w:t xml:space="preserve">. Le ministère de l’agriculture, de l’élevage et de la pêche n’est représenté que par les directions régionales. </w:t>
      </w:r>
      <w:r w:rsidRPr="008F47A6">
        <w:rPr>
          <w:lang w:val="fr-FR"/>
        </w:rPr>
        <w:t xml:space="preserve">Il convient </w:t>
      </w:r>
      <w:r>
        <w:rPr>
          <w:lang w:val="fr-FR"/>
        </w:rPr>
        <w:t>de noter que le secteur minier en plus d’être représenté au niveau régional, siège également au Comité de Pilotage national à traver</w:t>
      </w:r>
      <w:r w:rsidR="00A018BC">
        <w:rPr>
          <w:lang w:val="fr-FR"/>
        </w:rPr>
        <w:t>s</w:t>
      </w:r>
      <w:r>
        <w:rPr>
          <w:lang w:val="fr-FR"/>
        </w:rPr>
        <w:t xml:space="preserve"> Toliara Sands. Il représente au </w:t>
      </w:r>
      <w:proofErr w:type="spellStart"/>
      <w:r>
        <w:rPr>
          <w:lang w:val="fr-FR"/>
        </w:rPr>
        <w:t>CoPil</w:t>
      </w:r>
      <w:proofErr w:type="spellEnd"/>
      <w:r>
        <w:rPr>
          <w:lang w:val="fr-FR"/>
        </w:rPr>
        <w:t xml:space="preserve"> la moitié du secteur privé invité à siéger</w:t>
      </w:r>
      <w:r w:rsidR="00A018BC">
        <w:rPr>
          <w:lang w:val="fr-FR"/>
        </w:rPr>
        <w:t>, au côté d’</w:t>
      </w:r>
      <w:proofErr w:type="spellStart"/>
      <w:r w:rsidR="00A018BC">
        <w:rPr>
          <w:lang w:val="fr-FR"/>
        </w:rPr>
        <w:t>Asity</w:t>
      </w:r>
      <w:proofErr w:type="spellEnd"/>
      <w:r w:rsidR="00A018BC">
        <w:rPr>
          <w:lang w:val="fr-FR"/>
        </w:rPr>
        <w:t>, une association de conservation de l’environnement</w:t>
      </w:r>
      <w:r>
        <w:rPr>
          <w:lang w:val="fr-FR"/>
        </w:rPr>
        <w:t xml:space="preserve">. </w:t>
      </w:r>
    </w:p>
    <w:p w14:paraId="28CB132C" w14:textId="2D2C50FF" w:rsidR="00AC28C8" w:rsidRDefault="002E0F96" w:rsidP="008F47A6">
      <w:pPr>
        <w:rPr>
          <w:lang w:val="fr-FR"/>
        </w:rPr>
      </w:pPr>
      <w:r w:rsidRPr="008F47A6">
        <w:rPr>
          <w:lang w:val="fr-FR"/>
        </w:rPr>
        <w:t xml:space="preserve">Depuis 2004, la Cellule Environnementale regroupe tous les ministères au niveau national. Elle se réunit de manière trimestrielle. En 2015, la </w:t>
      </w:r>
      <w:r w:rsidR="00A71F14" w:rsidRPr="008F47A6">
        <w:rPr>
          <w:lang w:val="fr-FR"/>
        </w:rPr>
        <w:t xml:space="preserve">Cellule </w:t>
      </w:r>
      <w:r w:rsidRPr="008F47A6">
        <w:rPr>
          <w:lang w:val="fr-FR"/>
        </w:rPr>
        <w:t>l’</w:t>
      </w:r>
      <w:r w:rsidR="00A71F14" w:rsidRPr="008F47A6">
        <w:rPr>
          <w:lang w:val="fr-FR"/>
        </w:rPr>
        <w:t xml:space="preserve">Environnement </w:t>
      </w:r>
      <w:r w:rsidRPr="008F47A6">
        <w:rPr>
          <w:lang w:val="fr-FR"/>
        </w:rPr>
        <w:t xml:space="preserve">Régionale </w:t>
      </w:r>
      <w:r w:rsidR="00DE6148">
        <w:rPr>
          <w:lang w:val="fr-FR"/>
        </w:rPr>
        <w:t xml:space="preserve">(CER) Atsimo-Andrefana </w:t>
      </w:r>
      <w:r w:rsidRPr="008F47A6">
        <w:rPr>
          <w:lang w:val="fr-FR"/>
        </w:rPr>
        <w:t>est créée</w:t>
      </w:r>
      <w:r w:rsidR="00AC28C8" w:rsidRPr="00AC28C8">
        <w:rPr>
          <w:lang w:val="fr-FR"/>
        </w:rPr>
        <w:t xml:space="preserve"> </w:t>
      </w:r>
      <w:r w:rsidR="00AC28C8" w:rsidRPr="007B52E0">
        <w:rPr>
          <w:lang w:val="fr-FR"/>
        </w:rPr>
        <w:t>par un arrêté régional</w:t>
      </w:r>
      <w:r w:rsidR="00AC28C8">
        <w:rPr>
          <w:lang w:val="fr-FR"/>
        </w:rPr>
        <w:t xml:space="preserve">.  </w:t>
      </w:r>
    </w:p>
    <w:p w14:paraId="3CB08F59" w14:textId="22A1784C" w:rsidR="00ED628A" w:rsidRPr="00346FE6" w:rsidRDefault="00ED628A" w:rsidP="00ED628A">
      <w:pPr>
        <w:rPr>
          <w:lang w:val="fr-FR"/>
        </w:rPr>
      </w:pPr>
      <w:r w:rsidRPr="008F47A6">
        <w:rPr>
          <w:lang w:val="fr-FR"/>
        </w:rPr>
        <w:t xml:space="preserve">Au niveau de la composante 1, une équipe technique restreinte (ETR) en appui à la création de l’OPT BD a été formée fin 2018 avec pour membres </w:t>
      </w:r>
      <w:r w:rsidR="007D0A0C">
        <w:rPr>
          <w:lang w:val="fr-FR"/>
        </w:rPr>
        <w:t xml:space="preserve">le </w:t>
      </w:r>
      <w:r w:rsidR="007D0A0C" w:rsidRPr="007D0A0C">
        <w:rPr>
          <w:lang w:val="fr-FR"/>
        </w:rPr>
        <w:t xml:space="preserve">Bureau </w:t>
      </w:r>
      <w:r w:rsidR="00E02462">
        <w:rPr>
          <w:lang w:val="fr-FR"/>
        </w:rPr>
        <w:t xml:space="preserve">du </w:t>
      </w:r>
      <w:r w:rsidR="000E306E">
        <w:rPr>
          <w:lang w:val="fr-FR"/>
        </w:rPr>
        <w:t>C</w:t>
      </w:r>
      <w:r w:rsidR="007D0A0C" w:rsidRPr="007D0A0C">
        <w:rPr>
          <w:lang w:val="fr-FR"/>
        </w:rPr>
        <w:t xml:space="preserve">adastre </w:t>
      </w:r>
      <w:r w:rsidR="000E306E">
        <w:rPr>
          <w:lang w:val="fr-FR"/>
        </w:rPr>
        <w:t>M</w:t>
      </w:r>
      <w:r w:rsidR="007D0A0C" w:rsidRPr="007D0A0C">
        <w:rPr>
          <w:lang w:val="fr-FR"/>
        </w:rPr>
        <w:t>inier de Madagascar</w:t>
      </w:r>
      <w:r w:rsidR="000E306E">
        <w:rPr>
          <w:lang w:val="fr-FR"/>
        </w:rPr>
        <w:t xml:space="preserve"> (BCMM)</w:t>
      </w:r>
      <w:r w:rsidRPr="008F47A6">
        <w:rPr>
          <w:lang w:val="fr-FR"/>
        </w:rPr>
        <w:t>, la région, la DRE</w:t>
      </w:r>
      <w:r w:rsidR="007D0A0C">
        <w:rPr>
          <w:lang w:val="fr-FR"/>
        </w:rPr>
        <w:t>DD</w:t>
      </w:r>
      <w:r w:rsidRPr="008F47A6">
        <w:rPr>
          <w:lang w:val="fr-FR"/>
        </w:rPr>
        <w:t xml:space="preserve">, </w:t>
      </w:r>
      <w:r w:rsidR="00DE6148">
        <w:rPr>
          <w:lang w:val="fr-FR"/>
        </w:rPr>
        <w:t xml:space="preserve">et </w:t>
      </w:r>
      <w:r w:rsidR="007D0A0C">
        <w:rPr>
          <w:lang w:val="fr-FR"/>
        </w:rPr>
        <w:t>la direction de l’aménagement du territoire</w:t>
      </w:r>
      <w:r w:rsidR="00E02462">
        <w:rPr>
          <w:lang w:val="fr-FR"/>
        </w:rPr>
        <w:t>, la Direction Régionale de l’Agriculture, de l’Elevage et de la Pêche et la Direction Interrégionale des Mines et des Ressources Stratégiques</w:t>
      </w:r>
      <w:r w:rsidRPr="008F47A6">
        <w:rPr>
          <w:lang w:val="fr-FR"/>
        </w:rPr>
        <w:t xml:space="preserve">. </w:t>
      </w:r>
      <w:r w:rsidR="007D0A0C">
        <w:rPr>
          <w:lang w:val="fr-FR"/>
        </w:rPr>
        <w:t>T</w:t>
      </w:r>
      <w:r w:rsidRPr="008F47A6">
        <w:rPr>
          <w:lang w:val="fr-FR"/>
        </w:rPr>
        <w:t>outefois, certains membres de l’ETR n’ont pas encore compris la différence entre le rôle de l’ETR et celui de l’observatoire OBER</w:t>
      </w:r>
      <w:r w:rsidR="00D94765">
        <w:rPr>
          <w:lang w:val="fr-FR"/>
        </w:rPr>
        <w:t xml:space="preserve"> car ils ne comprenaient pas le rôle que devait jouer la région dans l’hébergement de l’OPT BD et la communication</w:t>
      </w:r>
      <w:r w:rsidRPr="008F47A6">
        <w:rPr>
          <w:lang w:val="fr-FR"/>
        </w:rPr>
        <w:t> : Une concertation interministérielle et inter-directionnelle au niveau régional a été suggérée par le consultant juriste afin de relever les soucis techniques sur l’OBER (ancrage de l’OPT BD et pérennisation de l’OBER)</w:t>
      </w:r>
      <w:r w:rsidRPr="008F47A6">
        <w:rPr>
          <w:vertAlign w:val="superscript"/>
        </w:rPr>
        <w:footnoteReference w:id="45"/>
      </w:r>
      <w:r w:rsidRPr="008F47A6">
        <w:rPr>
          <w:vertAlign w:val="superscript"/>
          <w:lang w:val="fr-FR"/>
        </w:rPr>
        <w:t>.</w:t>
      </w:r>
      <w:r w:rsidR="00194F3F">
        <w:rPr>
          <w:vertAlign w:val="superscript"/>
          <w:lang w:val="fr-FR"/>
        </w:rPr>
        <w:t xml:space="preserve"> </w:t>
      </w:r>
      <w:r w:rsidR="00194F3F">
        <w:rPr>
          <w:lang w:val="fr-FR"/>
        </w:rPr>
        <w:t>Il faut noter que celle-ci a été exposée pendant la réunion du COPIL de juillet : une proposition a été faite sur la structuration de l’OBER. </w:t>
      </w:r>
    </w:p>
    <w:p w14:paraId="0EF74196" w14:textId="196615E4" w:rsidR="00A97E4D" w:rsidRPr="008F47A6" w:rsidRDefault="00A97E4D" w:rsidP="00A97E4D">
      <w:pPr>
        <w:rPr>
          <w:lang w:val="fr-FR"/>
        </w:rPr>
      </w:pPr>
      <w:r>
        <w:rPr>
          <w:lang w:val="fr-FR"/>
        </w:rPr>
        <w:t xml:space="preserve">La première réunion du Comité de Pilotage s’est tenue en décembre 2017 (soit 6 mois après le lancement du projet). Les réunions de </w:t>
      </w:r>
      <w:proofErr w:type="spellStart"/>
      <w:r>
        <w:rPr>
          <w:lang w:val="fr-FR"/>
        </w:rPr>
        <w:t>CoPil</w:t>
      </w:r>
      <w:proofErr w:type="spellEnd"/>
      <w:r>
        <w:rPr>
          <w:lang w:val="fr-FR"/>
        </w:rPr>
        <w:t xml:space="preserve"> se tiennent régulièrement ; 3 </w:t>
      </w:r>
      <w:proofErr w:type="spellStart"/>
      <w:r>
        <w:rPr>
          <w:lang w:val="fr-FR"/>
        </w:rPr>
        <w:t>Co</w:t>
      </w:r>
      <w:r w:rsidR="004A0453">
        <w:rPr>
          <w:lang w:val="fr-FR"/>
        </w:rPr>
        <w:t>P</w:t>
      </w:r>
      <w:r>
        <w:rPr>
          <w:lang w:val="fr-FR"/>
        </w:rPr>
        <w:t>ils</w:t>
      </w:r>
      <w:proofErr w:type="spellEnd"/>
      <w:r>
        <w:rPr>
          <w:lang w:val="fr-FR"/>
        </w:rPr>
        <w:t xml:space="preserve"> se sont tenus en 2018, dont une réunion extraordinaire, et 2 en 2019. A noter, que les membres du </w:t>
      </w:r>
      <w:proofErr w:type="spellStart"/>
      <w:r>
        <w:rPr>
          <w:lang w:val="fr-FR"/>
        </w:rPr>
        <w:t>CoPil</w:t>
      </w:r>
      <w:proofErr w:type="spellEnd"/>
      <w:r>
        <w:rPr>
          <w:lang w:val="fr-FR"/>
        </w:rPr>
        <w:t xml:space="preserve"> regrettent </w:t>
      </w:r>
      <w:r>
        <w:rPr>
          <w:lang w:val="fr-FR"/>
        </w:rPr>
        <w:lastRenderedPageBreak/>
        <w:t xml:space="preserve">que les documents à examiner lors des </w:t>
      </w:r>
      <w:proofErr w:type="spellStart"/>
      <w:r>
        <w:rPr>
          <w:lang w:val="fr-FR"/>
        </w:rPr>
        <w:t>CoPil</w:t>
      </w:r>
      <w:proofErr w:type="spellEnd"/>
      <w:r>
        <w:rPr>
          <w:lang w:val="fr-FR"/>
        </w:rPr>
        <w:t xml:space="preserve"> soient partagés trop tardivement, de sorte que les </w:t>
      </w:r>
      <w:r w:rsidRPr="008F47A6">
        <w:rPr>
          <w:lang w:val="fr-FR"/>
        </w:rPr>
        <w:t xml:space="preserve">modifications n’apparaissent pas facilement. </w:t>
      </w:r>
    </w:p>
    <w:p w14:paraId="3E9BD3CF" w14:textId="01D26627" w:rsidR="00A97E4D" w:rsidRDefault="00A97E4D" w:rsidP="00A97E4D">
      <w:pPr>
        <w:rPr>
          <w:lang w:val="fr-FR"/>
        </w:rPr>
      </w:pPr>
      <w:r w:rsidRPr="008F47A6">
        <w:rPr>
          <w:lang w:val="fr-FR"/>
        </w:rPr>
        <w:t xml:space="preserve">En plus, </w:t>
      </w:r>
      <w:r>
        <w:rPr>
          <w:lang w:val="fr-FR"/>
        </w:rPr>
        <w:t>l</w:t>
      </w:r>
      <w:r w:rsidR="00D120B3">
        <w:rPr>
          <w:lang w:val="fr-FR"/>
        </w:rPr>
        <w:t>e</w:t>
      </w:r>
      <w:r>
        <w:rPr>
          <w:lang w:val="fr-FR"/>
        </w:rPr>
        <w:t xml:space="preserve"> projet a bénéficié d’un atelier de lancement les 15 et 16 juin 2017 réunissant la plupart des parties prenantes</w:t>
      </w:r>
      <w:r w:rsidR="00D94765">
        <w:rPr>
          <w:lang w:val="fr-FR"/>
        </w:rPr>
        <w:t xml:space="preserve">, telles que le MEDD, la DREDD, le </w:t>
      </w:r>
      <w:r w:rsidR="0062508B">
        <w:rPr>
          <w:lang w:val="fr-FR"/>
        </w:rPr>
        <w:t>M</w:t>
      </w:r>
      <w:r w:rsidR="001811EF">
        <w:rPr>
          <w:lang w:val="fr-FR"/>
        </w:rPr>
        <w:t>NP</w:t>
      </w:r>
      <w:r w:rsidR="00D94765">
        <w:rPr>
          <w:lang w:val="fr-FR"/>
        </w:rPr>
        <w:t xml:space="preserve">, le PNUD, </w:t>
      </w:r>
      <w:proofErr w:type="spellStart"/>
      <w:r w:rsidR="00D94765">
        <w:rPr>
          <w:lang w:val="fr-FR"/>
        </w:rPr>
        <w:t>Tany</w:t>
      </w:r>
      <w:proofErr w:type="spellEnd"/>
      <w:r w:rsidR="00D94765">
        <w:rPr>
          <w:lang w:val="fr-FR"/>
        </w:rPr>
        <w:t xml:space="preserve"> </w:t>
      </w:r>
      <w:proofErr w:type="spellStart"/>
      <w:r w:rsidR="00D94765">
        <w:rPr>
          <w:lang w:val="fr-FR"/>
        </w:rPr>
        <w:t>Meva</w:t>
      </w:r>
      <w:proofErr w:type="spellEnd"/>
      <w:r w:rsidR="00D94765">
        <w:rPr>
          <w:lang w:val="fr-FR"/>
        </w:rPr>
        <w:t xml:space="preserve">, SAGE, PAGE/GIZ, Toliara Sands, le ministère du tourisme, le </w:t>
      </w:r>
      <w:r w:rsidR="00D94765" w:rsidRPr="00D94765">
        <w:rPr>
          <w:lang w:val="fr-FR"/>
        </w:rPr>
        <w:t>Ministère de l'Agriculture, de l'Elevage et de la Pêche</w:t>
      </w:r>
      <w:r w:rsidR="00D94765">
        <w:rPr>
          <w:lang w:val="fr-FR"/>
        </w:rPr>
        <w:t>, la direction régionale de l’énergie, la Direction régionale des Mines et du Pétrole, ou encore les districts</w:t>
      </w:r>
      <w:r>
        <w:rPr>
          <w:lang w:val="fr-FR"/>
        </w:rPr>
        <w:t xml:space="preserve">. </w:t>
      </w:r>
      <w:r w:rsidR="001B2DEF">
        <w:rPr>
          <w:lang w:val="fr-FR"/>
        </w:rPr>
        <w:t xml:space="preserve">Ce fut toutefois le seul atelier réunissant </w:t>
      </w:r>
      <w:r w:rsidR="004A0453">
        <w:rPr>
          <w:lang w:val="fr-FR"/>
        </w:rPr>
        <w:t>l</w:t>
      </w:r>
      <w:r w:rsidR="001B2DEF">
        <w:rPr>
          <w:lang w:val="fr-FR"/>
        </w:rPr>
        <w:t>es acteurs clés tels que les ministères sectoriels et le M</w:t>
      </w:r>
      <w:r w:rsidR="001811EF">
        <w:rPr>
          <w:lang w:val="fr-FR"/>
        </w:rPr>
        <w:t>NP</w:t>
      </w:r>
      <w:r w:rsidR="001B2DEF">
        <w:rPr>
          <w:lang w:val="fr-FR"/>
        </w:rPr>
        <w:t xml:space="preserve">. </w:t>
      </w:r>
      <w:r>
        <w:rPr>
          <w:lang w:val="fr-FR"/>
        </w:rPr>
        <w:t>D</w:t>
      </w:r>
      <w:r w:rsidRPr="008F47A6">
        <w:rPr>
          <w:lang w:val="fr-FR"/>
        </w:rPr>
        <w:t>es réunions de coordinations mensuelles</w:t>
      </w:r>
      <w:r w:rsidR="001B2DEF">
        <w:rPr>
          <w:lang w:val="fr-FR"/>
        </w:rPr>
        <w:t xml:space="preserve"> entre </w:t>
      </w:r>
      <w:proofErr w:type="spellStart"/>
      <w:r w:rsidR="001B2DEF">
        <w:rPr>
          <w:lang w:val="fr-FR"/>
        </w:rPr>
        <w:t>Tany</w:t>
      </w:r>
      <w:proofErr w:type="spellEnd"/>
      <w:r w:rsidR="001B2DEF">
        <w:rPr>
          <w:lang w:val="fr-FR"/>
        </w:rPr>
        <w:t xml:space="preserve"> </w:t>
      </w:r>
      <w:proofErr w:type="spellStart"/>
      <w:r w:rsidR="001B2DEF">
        <w:rPr>
          <w:lang w:val="fr-FR"/>
        </w:rPr>
        <w:t>Meva</w:t>
      </w:r>
      <w:proofErr w:type="spellEnd"/>
      <w:r w:rsidR="001B2DEF">
        <w:rPr>
          <w:lang w:val="fr-FR"/>
        </w:rPr>
        <w:t xml:space="preserve">, SAGE et l’UCP </w:t>
      </w:r>
      <w:r w:rsidRPr="008F47A6">
        <w:rPr>
          <w:lang w:val="fr-FR"/>
        </w:rPr>
        <w:t xml:space="preserve">ainsi que des réunions techniques sont organisées. Des visites de supervision du Directeur National de Projet ainsi que du personnel du bureau PNUD ont aussi eu lieu, dont les rapports sont disponibles. </w:t>
      </w:r>
    </w:p>
    <w:p w14:paraId="65B9449D" w14:textId="71BBFB7D" w:rsidR="00A97E4D" w:rsidRPr="008F47A6" w:rsidRDefault="001B2DEF" w:rsidP="00ED628A">
      <w:pPr>
        <w:rPr>
          <w:lang w:val="fr-FR"/>
        </w:rPr>
      </w:pPr>
      <w:r>
        <w:rPr>
          <w:lang w:val="fr-FR"/>
        </w:rPr>
        <w:t xml:space="preserve">L’évaluation remarque </w:t>
      </w:r>
      <w:r w:rsidR="0019436D">
        <w:rPr>
          <w:lang w:val="fr-FR"/>
        </w:rPr>
        <w:t xml:space="preserve">que même si des mécanismes d’engagement des parties prenantes existent indéniablement, le projet manque d’une stratégie claire, systématique et plus englobante de communication entre tous les acteurs clés du projet, notamment au niveau national. </w:t>
      </w:r>
    </w:p>
    <w:p w14:paraId="564C1851" w14:textId="484A1A77" w:rsidR="003B15C3" w:rsidRPr="008F47A6" w:rsidRDefault="00224A79" w:rsidP="008F47A6">
      <w:pPr>
        <w:rPr>
          <w:lang w:val="fr-FR"/>
        </w:rPr>
      </w:pPr>
      <w:r w:rsidRPr="008F47A6">
        <w:rPr>
          <w:lang w:val="fr-FR"/>
        </w:rPr>
        <w:t xml:space="preserve">Les autorités locales sont engagées dans le processus APC par des lettres de déclaration d’engagement volontaire qui témoignent de l’adhésion des communautés futurs gestionnaires, conformément </w:t>
      </w:r>
      <w:r w:rsidR="003B15C3" w:rsidRPr="008F47A6">
        <w:rPr>
          <w:lang w:val="fr-FR"/>
        </w:rPr>
        <w:t>aux</w:t>
      </w:r>
      <w:r w:rsidRPr="008F47A6">
        <w:rPr>
          <w:lang w:val="fr-FR"/>
        </w:rPr>
        <w:t xml:space="preserve"> </w:t>
      </w:r>
      <w:r w:rsidR="003B15C3" w:rsidRPr="008F47A6">
        <w:rPr>
          <w:lang w:val="fr-FR"/>
        </w:rPr>
        <w:t>procédures SAPM et à la loi COAP</w:t>
      </w:r>
      <w:r w:rsidRPr="008F47A6">
        <w:rPr>
          <w:lang w:val="fr-FR"/>
        </w:rPr>
        <w:t xml:space="preserve">. </w:t>
      </w:r>
      <w:r w:rsidR="003B15C3" w:rsidRPr="008F47A6">
        <w:rPr>
          <w:lang w:val="fr-FR"/>
        </w:rPr>
        <w:t>Ces différentes lettres</w:t>
      </w:r>
      <w:r w:rsidRPr="008F47A6">
        <w:rPr>
          <w:lang w:val="fr-FR"/>
        </w:rPr>
        <w:t xml:space="preserve"> constituent </w:t>
      </w:r>
      <w:r w:rsidR="003B15C3" w:rsidRPr="008F47A6">
        <w:rPr>
          <w:lang w:val="fr-FR"/>
        </w:rPr>
        <w:t>le dossier de</w:t>
      </w:r>
      <w:r w:rsidRPr="008F47A6">
        <w:rPr>
          <w:lang w:val="fr-FR"/>
        </w:rPr>
        <w:t xml:space="preserve"> </w:t>
      </w:r>
      <w:r w:rsidR="003B15C3" w:rsidRPr="008F47A6">
        <w:rPr>
          <w:lang w:val="fr-FR"/>
        </w:rPr>
        <w:t>demande de création des APC à déposer au ME</w:t>
      </w:r>
      <w:r w:rsidR="007D0A0C">
        <w:rPr>
          <w:lang w:val="fr-FR"/>
        </w:rPr>
        <w:t>DD</w:t>
      </w:r>
      <w:r w:rsidR="003B15C3" w:rsidRPr="008F47A6">
        <w:rPr>
          <w:lang w:val="fr-FR"/>
        </w:rPr>
        <w:t xml:space="preserve"> pour la demande de Protection temporaire.</w:t>
      </w:r>
    </w:p>
    <w:p w14:paraId="3454FF60" w14:textId="343CF8A3" w:rsidR="004A6428" w:rsidRPr="008F47A6" w:rsidRDefault="004A6428" w:rsidP="008F47A6">
      <w:pPr>
        <w:rPr>
          <w:lang w:val="fr-FR"/>
        </w:rPr>
      </w:pPr>
      <w:r w:rsidRPr="008F47A6">
        <w:rPr>
          <w:lang w:val="fr-FR"/>
        </w:rPr>
        <w:t xml:space="preserve">L’adhésion des communautés, et plus précisément des présidents de </w:t>
      </w:r>
      <w:r w:rsidR="007D0A0C">
        <w:rPr>
          <w:lang w:val="fr-FR"/>
        </w:rPr>
        <w:t>f</w:t>
      </w:r>
      <w:r w:rsidRPr="008F47A6">
        <w:rPr>
          <w:lang w:val="fr-FR"/>
        </w:rPr>
        <w:t xml:space="preserve">okontany et des </w:t>
      </w:r>
      <w:r w:rsidR="00C52333" w:rsidRPr="008F47A6">
        <w:rPr>
          <w:lang w:val="fr-FR"/>
        </w:rPr>
        <w:t>m</w:t>
      </w:r>
      <w:r w:rsidRPr="008F47A6">
        <w:rPr>
          <w:lang w:val="fr-FR"/>
        </w:rPr>
        <w:t xml:space="preserve">aires </w:t>
      </w:r>
      <w:r w:rsidR="00C52333" w:rsidRPr="008F47A6">
        <w:rPr>
          <w:lang w:val="fr-FR"/>
        </w:rPr>
        <w:t>des communes impliquées</w:t>
      </w:r>
      <w:r w:rsidR="00907DDD">
        <w:rPr>
          <w:lang w:val="fr-FR"/>
        </w:rPr>
        <w:t>,</w:t>
      </w:r>
      <w:r w:rsidR="00C52333" w:rsidRPr="008F47A6">
        <w:rPr>
          <w:lang w:val="fr-FR"/>
        </w:rPr>
        <w:t xml:space="preserve"> </w:t>
      </w:r>
      <w:r w:rsidRPr="008F47A6">
        <w:rPr>
          <w:lang w:val="fr-FR"/>
        </w:rPr>
        <w:t>est clé dans le cadre du processus de création des APC de la composante 2. Les présidents de fokontany et les maires ont été re</w:t>
      </w:r>
      <w:r w:rsidR="00A72B53" w:rsidRPr="008F47A6">
        <w:rPr>
          <w:lang w:val="fr-FR"/>
        </w:rPr>
        <w:t>n</w:t>
      </w:r>
      <w:r w:rsidRPr="008F47A6">
        <w:rPr>
          <w:lang w:val="fr-FR"/>
        </w:rPr>
        <w:t>contrés lors des visites de supervision</w:t>
      </w:r>
      <w:r w:rsidR="00A72B53" w:rsidRPr="008F47A6">
        <w:rPr>
          <w:lang w:val="fr-FR"/>
        </w:rPr>
        <w:t xml:space="preserve"> où ils ont manifesté leur intérêt à collaborer dans </w:t>
      </w:r>
      <w:r w:rsidRPr="008F47A6">
        <w:rPr>
          <w:lang w:val="fr-FR"/>
        </w:rPr>
        <w:t>l’acquisition des données et des</w:t>
      </w:r>
      <w:r w:rsidR="00A72B53" w:rsidRPr="008F47A6">
        <w:rPr>
          <w:lang w:val="fr-FR"/>
        </w:rPr>
        <w:t xml:space="preserve"> </w:t>
      </w:r>
      <w:r w:rsidRPr="008F47A6">
        <w:rPr>
          <w:lang w:val="fr-FR"/>
        </w:rPr>
        <w:t>informations sur l’occupation du sol, les activités sur les sites visités, les autres projets travaillant dans les sites, et</w:t>
      </w:r>
      <w:r w:rsidR="00A72B53" w:rsidRPr="008F47A6">
        <w:rPr>
          <w:lang w:val="fr-FR"/>
        </w:rPr>
        <w:t xml:space="preserve"> </w:t>
      </w:r>
      <w:r w:rsidRPr="008F47A6">
        <w:rPr>
          <w:lang w:val="fr-FR"/>
        </w:rPr>
        <w:t>d’autres données informations pertinentes</w:t>
      </w:r>
      <w:r w:rsidR="00A72B53" w:rsidRPr="008F47A6">
        <w:rPr>
          <w:lang w:val="fr-FR"/>
        </w:rPr>
        <w:t xml:space="preserve">. </w:t>
      </w:r>
    </w:p>
    <w:p w14:paraId="3682E083" w14:textId="72C84857" w:rsidR="004A4926" w:rsidRPr="008F47A6" w:rsidRDefault="00ED628A" w:rsidP="008F47A6">
      <w:pPr>
        <w:rPr>
          <w:lang w:val="fr-FR"/>
        </w:rPr>
      </w:pPr>
      <w:r w:rsidRPr="008F47A6">
        <w:rPr>
          <w:lang w:val="fr-FR"/>
        </w:rPr>
        <w:t>Pour chaque activité de la composante 2</w:t>
      </w:r>
      <w:r w:rsidR="00907DDD">
        <w:rPr>
          <w:lang w:val="fr-FR"/>
        </w:rPr>
        <w:t>,</w:t>
      </w:r>
      <w:r w:rsidR="002715D3" w:rsidRPr="008F47A6">
        <w:rPr>
          <w:lang w:val="fr-FR"/>
        </w:rPr>
        <w:t xml:space="preserve"> dès la </w:t>
      </w:r>
      <w:r w:rsidR="00750A2F" w:rsidRPr="008F47A6">
        <w:rPr>
          <w:lang w:val="fr-FR"/>
        </w:rPr>
        <w:t>sélection</w:t>
      </w:r>
      <w:r w:rsidR="002715D3" w:rsidRPr="008F47A6">
        <w:rPr>
          <w:lang w:val="fr-FR"/>
        </w:rPr>
        <w:t xml:space="preserve"> des sites</w:t>
      </w:r>
      <w:r w:rsidR="00907DDD">
        <w:rPr>
          <w:lang w:val="fr-FR"/>
        </w:rPr>
        <w:t>,</w:t>
      </w:r>
      <w:r w:rsidR="002715D3" w:rsidRPr="008F47A6">
        <w:rPr>
          <w:lang w:val="fr-FR"/>
        </w:rPr>
        <w:t xml:space="preserve"> des consultations avec les communautés locales ont été conduites. Les résultats de ces consultations et la volonté des locaux à participer à la conservation de l’environnement communautaire</w:t>
      </w:r>
      <w:r w:rsidR="00750A2F" w:rsidRPr="008F47A6">
        <w:rPr>
          <w:lang w:val="fr-FR"/>
        </w:rPr>
        <w:t xml:space="preserve"> constituaient même 2 des 4 critères clés pour la sélection des sites du projet</w:t>
      </w:r>
      <w:r w:rsidRPr="008F47A6">
        <w:rPr>
          <w:lang w:val="fr-FR"/>
        </w:rPr>
        <w:t xml:space="preserve">. </w:t>
      </w:r>
      <w:r w:rsidR="00750A2F" w:rsidRPr="008F47A6">
        <w:rPr>
          <w:lang w:val="fr-FR"/>
        </w:rPr>
        <w:t>Dans la cadre de la mise en œuvre du projet, l</w:t>
      </w:r>
      <w:r w:rsidR="00C52333" w:rsidRPr="008F47A6">
        <w:rPr>
          <w:lang w:val="fr-FR"/>
        </w:rPr>
        <w:t xml:space="preserve">es visites des organisations dans les communautés sont régulières et leur approche est pédagogique. Les communautés locales rencontrées semblent adhérer pleinement au projet, dont elles ne connaissent cependant pas tous les objectifs. Toutefois, l’objectif retenu est celui de la réduction de la dégradation des </w:t>
      </w:r>
      <w:r w:rsidR="002715D3" w:rsidRPr="008F47A6">
        <w:rPr>
          <w:lang w:val="fr-FR"/>
        </w:rPr>
        <w:t>forêts</w:t>
      </w:r>
      <w:r w:rsidR="00C52333" w:rsidRPr="008F47A6">
        <w:rPr>
          <w:lang w:val="fr-FR"/>
        </w:rPr>
        <w:t xml:space="preserve"> et par la même, de la réduction des feux de </w:t>
      </w:r>
      <w:r w:rsidR="004A4926" w:rsidRPr="008F47A6">
        <w:rPr>
          <w:lang w:val="fr-FR"/>
        </w:rPr>
        <w:t>forêts</w:t>
      </w:r>
      <w:r w:rsidR="00C52333" w:rsidRPr="008F47A6">
        <w:rPr>
          <w:lang w:val="fr-FR"/>
        </w:rPr>
        <w:t xml:space="preserve"> dévastateurs</w:t>
      </w:r>
      <w:r w:rsidR="004A4926" w:rsidRPr="008F47A6">
        <w:rPr>
          <w:lang w:val="fr-FR"/>
        </w:rPr>
        <w:t xml:space="preserve"> à travers un meilleur contrôle des activités illicites et une utilisation plus raisonnée et durables des ressources forestières</w:t>
      </w:r>
      <w:r w:rsidR="00C52333" w:rsidRPr="008F47A6">
        <w:rPr>
          <w:lang w:val="fr-FR"/>
        </w:rPr>
        <w:t>.</w:t>
      </w:r>
      <w:r w:rsidR="004A4926" w:rsidRPr="008F47A6">
        <w:rPr>
          <w:lang w:val="fr-FR"/>
        </w:rPr>
        <w:t xml:space="preserve"> Ces communautés espèrent </w:t>
      </w:r>
      <w:r w:rsidR="004A4926">
        <w:rPr>
          <w:lang w:val="fr-FR"/>
        </w:rPr>
        <w:t xml:space="preserve">développer l’éco-tourisme et devenir une vitrine de la gestion soutenable des forêts. </w:t>
      </w:r>
    </w:p>
    <w:p w14:paraId="3B356E46" w14:textId="22214AE7" w:rsidR="003E7F78" w:rsidRPr="008F47A6" w:rsidRDefault="00C52333" w:rsidP="00D85DDD">
      <w:pPr>
        <w:rPr>
          <w:lang w:val="fr-FR"/>
        </w:rPr>
      </w:pPr>
      <w:r w:rsidRPr="008F47A6">
        <w:rPr>
          <w:lang w:val="fr-FR"/>
        </w:rPr>
        <w:t xml:space="preserve"> </w:t>
      </w:r>
      <w:r w:rsidR="00ED628A" w:rsidRPr="008F47A6">
        <w:rPr>
          <w:lang w:val="fr-FR"/>
        </w:rPr>
        <w:t xml:space="preserve">Compte tenu de ce qui précède, </w:t>
      </w:r>
      <w:r w:rsidRPr="008F47A6">
        <w:rPr>
          <w:lang w:val="fr-FR"/>
        </w:rPr>
        <w:t xml:space="preserve">l’évaluation conclu que le projet bénéficie d’une bonne participation des parties prenantes, même s’il est essentiellement impulsé par les parties prenantes régionales plutôt que nationales. </w:t>
      </w:r>
    </w:p>
    <w:p w14:paraId="1FE10BDB" w14:textId="58A26C93" w:rsidR="005C550F" w:rsidRDefault="005C550F" w:rsidP="005C550F">
      <w:pPr>
        <w:pStyle w:val="Titre3"/>
        <w:rPr>
          <w:lang w:val="fr-FR"/>
        </w:rPr>
      </w:pPr>
      <w:r w:rsidRPr="005C550F">
        <w:rPr>
          <w:lang w:val="fr-FR"/>
        </w:rPr>
        <w:lastRenderedPageBreak/>
        <w:t>Communication</w:t>
      </w:r>
    </w:p>
    <w:p w14:paraId="05E822D1" w14:textId="724345E6" w:rsidR="003E7F78" w:rsidRDefault="003E7F78" w:rsidP="0099020D">
      <w:pPr>
        <w:rPr>
          <w:i/>
          <w:iCs/>
          <w:lang w:val="fr-FR"/>
        </w:rPr>
      </w:pPr>
      <w:r w:rsidRPr="008F47A6">
        <w:rPr>
          <w:i/>
          <w:iCs/>
          <w:szCs w:val="24"/>
          <w:lang w:val="fr-FR"/>
        </w:rPr>
        <w:t>Q : Comment les leçons tirées du processus de gestion adaptative ont-elles été documentées, partagées avec des partenaires clés et internalisées par ceux-ci ?</w:t>
      </w:r>
    </w:p>
    <w:p w14:paraId="651EE81E" w14:textId="20B2C97A" w:rsidR="0099020D" w:rsidRPr="008F47A6" w:rsidRDefault="00D85DDD" w:rsidP="0099020D">
      <w:pPr>
        <w:rPr>
          <w:i/>
          <w:iCs/>
          <w:lang w:val="fr-FR"/>
        </w:rPr>
      </w:pPr>
      <w:r w:rsidRPr="008F47A6">
        <w:rPr>
          <w:i/>
          <w:iCs/>
          <w:lang w:val="fr-FR"/>
        </w:rPr>
        <w:t>Q : Quelle est l’efficacité des communications pour sensibiliser les parties prenantes au projet ?</w:t>
      </w:r>
      <w:r w:rsidR="0099020D" w:rsidRPr="008F47A6">
        <w:rPr>
          <w:i/>
          <w:iCs/>
          <w:lang w:val="fr-FR"/>
        </w:rPr>
        <w:t xml:space="preserve"> Q : Des mécanismes de communication externes efficaces sont-ils en place ?</w:t>
      </w:r>
    </w:p>
    <w:p w14:paraId="0DC88E06" w14:textId="285BA341" w:rsidR="003E7F78" w:rsidRDefault="003E7F78" w:rsidP="003E7F78">
      <w:pPr>
        <w:rPr>
          <w:lang w:val="fr-FR"/>
        </w:rPr>
      </w:pPr>
      <w:r>
        <w:rPr>
          <w:lang w:val="fr-FR"/>
        </w:rPr>
        <w:t>D</w:t>
      </w:r>
      <w:r w:rsidRPr="008F47A6">
        <w:rPr>
          <w:lang w:val="fr-FR"/>
        </w:rPr>
        <w:t>es problèmes de communication au sein même du personnel du projet</w:t>
      </w:r>
      <w:r w:rsidRPr="003E7F78">
        <w:rPr>
          <w:lang w:val="fr-FR"/>
        </w:rPr>
        <w:t xml:space="preserve"> </w:t>
      </w:r>
      <w:r w:rsidRPr="008F47A6">
        <w:rPr>
          <w:lang w:val="fr-FR"/>
        </w:rPr>
        <w:t>ont été mis en évidence au début de l’année 2019</w:t>
      </w:r>
      <w:r w:rsidRPr="008F47A6">
        <w:rPr>
          <w:vertAlign w:val="superscript"/>
        </w:rPr>
        <w:footnoteReference w:id="46"/>
      </w:r>
      <w:r>
        <w:rPr>
          <w:lang w:val="fr-FR"/>
        </w:rPr>
        <w:t>. Ces problèmes sont</w:t>
      </w:r>
      <w:r w:rsidRPr="008F47A6">
        <w:rPr>
          <w:lang w:val="fr-FR"/>
        </w:rPr>
        <w:t xml:space="preserve"> liés à des problèmes d’organisation et de communication (une partie du personnel </w:t>
      </w:r>
      <w:r>
        <w:rPr>
          <w:lang w:val="fr-FR"/>
        </w:rPr>
        <w:t>n</w:t>
      </w:r>
      <w:r w:rsidRPr="008F47A6">
        <w:rPr>
          <w:lang w:val="fr-FR"/>
        </w:rPr>
        <w:t xml:space="preserve">e dispose pas d’adresse email @undp.org), de compréhension des procédures entre le personnel du PNUD et l’équipe basée à Toliara, </w:t>
      </w:r>
      <w:r>
        <w:rPr>
          <w:lang w:val="fr-FR"/>
        </w:rPr>
        <w:t xml:space="preserve">et </w:t>
      </w:r>
      <w:r w:rsidRPr="008F47A6">
        <w:rPr>
          <w:lang w:val="fr-FR"/>
        </w:rPr>
        <w:t>à</w:t>
      </w:r>
      <w:r>
        <w:rPr>
          <w:lang w:val="fr-FR"/>
        </w:rPr>
        <w:t xml:space="preserve"> l</w:t>
      </w:r>
      <w:r w:rsidRPr="008F47A6">
        <w:rPr>
          <w:lang w:val="fr-FR"/>
        </w:rPr>
        <w:t xml:space="preserve">’accès à </w:t>
      </w:r>
      <w:r w:rsidR="00971B89" w:rsidRPr="008F47A6">
        <w:rPr>
          <w:lang w:val="fr-FR"/>
        </w:rPr>
        <w:t>ATLAS</w:t>
      </w:r>
      <w:r w:rsidR="00971B89">
        <w:rPr>
          <w:lang w:val="fr-FR"/>
        </w:rPr>
        <w:t>.</w:t>
      </w:r>
    </w:p>
    <w:p w14:paraId="61FD38B8" w14:textId="4CBD607C" w:rsidR="003E7F78" w:rsidRDefault="003E7F78" w:rsidP="003E7F78">
      <w:pPr>
        <w:rPr>
          <w:lang w:val="fr-FR"/>
        </w:rPr>
      </w:pPr>
      <w:r>
        <w:rPr>
          <w:lang w:val="fr-FR"/>
        </w:rPr>
        <w:t>Par ailleurs</w:t>
      </w:r>
      <w:r w:rsidRPr="008F47A6">
        <w:rPr>
          <w:lang w:val="fr-FR"/>
        </w:rPr>
        <w:t xml:space="preserve">, la communication entre l’UCP et les membres du </w:t>
      </w:r>
      <w:proofErr w:type="spellStart"/>
      <w:r w:rsidRPr="008F47A6">
        <w:rPr>
          <w:lang w:val="fr-FR"/>
        </w:rPr>
        <w:t>CoPil</w:t>
      </w:r>
      <w:proofErr w:type="spellEnd"/>
      <w:r w:rsidRPr="008F47A6">
        <w:rPr>
          <w:lang w:val="fr-FR"/>
        </w:rPr>
        <w:t xml:space="preserve"> est perfectible. Notamment, les documents clés à examiner </w:t>
      </w:r>
      <w:r>
        <w:rPr>
          <w:lang w:val="fr-FR"/>
        </w:rPr>
        <w:t>ne sont pas envoyés suffisamment</w:t>
      </w:r>
      <w:r w:rsidRPr="008F47A6">
        <w:rPr>
          <w:lang w:val="fr-FR"/>
        </w:rPr>
        <w:t xml:space="preserve"> tôt aux membres du </w:t>
      </w:r>
      <w:proofErr w:type="spellStart"/>
      <w:r w:rsidRPr="008F47A6">
        <w:rPr>
          <w:lang w:val="fr-FR"/>
        </w:rPr>
        <w:t>CoPil</w:t>
      </w:r>
      <w:proofErr w:type="spellEnd"/>
      <w:r w:rsidRPr="008F47A6">
        <w:rPr>
          <w:lang w:val="fr-FR"/>
        </w:rPr>
        <w:t xml:space="preserve"> pour faciliter l</w:t>
      </w:r>
      <w:r>
        <w:rPr>
          <w:lang w:val="fr-FR"/>
        </w:rPr>
        <w:t>a prise de connaissance</w:t>
      </w:r>
      <w:r w:rsidRPr="008F47A6">
        <w:rPr>
          <w:lang w:val="fr-FR"/>
        </w:rPr>
        <w:t xml:space="preserve"> et </w:t>
      </w:r>
      <w:r>
        <w:rPr>
          <w:lang w:val="fr-FR"/>
        </w:rPr>
        <w:t xml:space="preserve">identifier les </w:t>
      </w:r>
      <w:r w:rsidRPr="008F47A6">
        <w:rPr>
          <w:lang w:val="fr-FR"/>
        </w:rPr>
        <w:t xml:space="preserve">potentiels amendements. </w:t>
      </w:r>
    </w:p>
    <w:p w14:paraId="16F90242" w14:textId="34E30507" w:rsidR="003E7F78" w:rsidRPr="008F47A6" w:rsidRDefault="003E7F78" w:rsidP="003E7F78">
      <w:pPr>
        <w:rPr>
          <w:lang w:val="fr-FR"/>
        </w:rPr>
      </w:pPr>
      <w:r>
        <w:rPr>
          <w:lang w:val="fr-FR"/>
        </w:rPr>
        <w:t>E</w:t>
      </w:r>
      <w:r w:rsidRPr="008F47A6">
        <w:rPr>
          <w:lang w:val="fr-FR"/>
        </w:rPr>
        <w:t xml:space="preserve">n matière de communication externe, le projet dispose aujourd’hui au sein de l’UCP d’un chargé de communication très compétent. Ainsi de nombreuses activités de gestion des connaissances et de communication sont maintenant mise en œuvre, celles-ci incluant le développement d’une stratégie de marque, réalisation de vidéos, présence sur les médias sociaux, formation des parties prenantes en communication. Dans le cadre de la composante 1, c’est l’OBER, une fois opérationnel, qui servira de mécanismes d’information et de communication bidirectionnel. </w:t>
      </w:r>
    </w:p>
    <w:p w14:paraId="4A75E20E" w14:textId="74F7AAF6" w:rsidR="003E7F78" w:rsidRDefault="003E7F78" w:rsidP="003E7F78">
      <w:pPr>
        <w:rPr>
          <w:lang w:val="fr-FR"/>
        </w:rPr>
      </w:pPr>
      <w:r>
        <w:rPr>
          <w:lang w:val="fr-FR"/>
        </w:rPr>
        <w:t xml:space="preserve">Néanmoins, </w:t>
      </w:r>
      <w:r w:rsidRPr="008F47A6">
        <w:rPr>
          <w:lang w:val="fr-FR"/>
        </w:rPr>
        <w:t xml:space="preserve">le cadre de suivi et évaluation ne prévoit pas clairement de système de documentation et partage des leçons apprises au cours du projet. La documentation des leçons apprises n’est prévue par le plan de S&amp;E que dans la phase de clôture du projet. </w:t>
      </w:r>
      <w:r>
        <w:rPr>
          <w:lang w:val="fr-FR"/>
        </w:rPr>
        <w:t>Les leçons apprises</w:t>
      </w:r>
      <w:r w:rsidRPr="008F47A6">
        <w:rPr>
          <w:lang w:val="fr-FR"/>
        </w:rPr>
        <w:t xml:space="preserve"> sont inclues et très succinctement renseignées dans les rapports annuels du PNUD mais leur compilation devrait constituer un travail plus continu. </w:t>
      </w:r>
    </w:p>
    <w:p w14:paraId="02D75322" w14:textId="299C9C9F" w:rsidR="0099020D" w:rsidRDefault="003E7F78" w:rsidP="00757509">
      <w:pPr>
        <w:spacing w:after="120"/>
        <w:rPr>
          <w:lang w:val="fr-FR"/>
        </w:rPr>
      </w:pPr>
      <w:r>
        <w:rPr>
          <w:lang w:val="fr-FR"/>
        </w:rPr>
        <w:t xml:space="preserve">Ceci est valide pour les deux composantes, mais c’est peut-être particulièrement évident dans la composante 2. </w:t>
      </w:r>
      <w:r w:rsidRPr="008F47A6">
        <w:rPr>
          <w:lang w:val="fr-FR"/>
        </w:rPr>
        <w:t xml:space="preserve">La communication des leçons apprises et expériences pertinentes entre </w:t>
      </w:r>
      <w:proofErr w:type="spellStart"/>
      <w:r w:rsidRPr="008F47A6">
        <w:rPr>
          <w:lang w:val="fr-FR"/>
        </w:rPr>
        <w:t>Tany</w:t>
      </w:r>
      <w:proofErr w:type="spellEnd"/>
      <w:r w:rsidRPr="008F47A6">
        <w:rPr>
          <w:lang w:val="fr-FR"/>
        </w:rPr>
        <w:t xml:space="preserve"> </w:t>
      </w:r>
      <w:proofErr w:type="spellStart"/>
      <w:r w:rsidRPr="008F47A6">
        <w:rPr>
          <w:lang w:val="fr-FR"/>
        </w:rPr>
        <w:t>Meva</w:t>
      </w:r>
      <w:proofErr w:type="spellEnd"/>
      <w:r w:rsidRPr="008F47A6">
        <w:rPr>
          <w:lang w:val="fr-FR"/>
        </w:rPr>
        <w:t xml:space="preserve"> et SAGE </w:t>
      </w:r>
      <w:r w:rsidR="00CC02B8" w:rsidRPr="008F47A6">
        <w:rPr>
          <w:lang w:val="fr-FR"/>
        </w:rPr>
        <w:t>pourrait</w:t>
      </w:r>
      <w:r w:rsidRPr="008F47A6">
        <w:rPr>
          <w:lang w:val="fr-FR"/>
        </w:rPr>
        <w:t xml:space="preserve"> être plus fluide et transparente. L’UCP devrait renforcer la coopération et aider les deux organisations à transformer leur relation, qui aujourd’hui reste de l’ordre de la relation de concurrents. Dans ce sens, le </w:t>
      </w:r>
      <w:proofErr w:type="spellStart"/>
      <w:r>
        <w:rPr>
          <w:lang w:val="fr-FR"/>
        </w:rPr>
        <w:t>CoPil</w:t>
      </w:r>
      <w:proofErr w:type="spellEnd"/>
      <w:r w:rsidRPr="008F47A6">
        <w:rPr>
          <w:lang w:val="fr-FR"/>
        </w:rPr>
        <w:t xml:space="preserve"> a considéré en Novembre 2018 que les deux organisations devraient partager leurs acquis respectivement avant la fin de l’année. L’évaluation n’a toutefois pas permis de confirmer ou infirmer que cela ait été fait. </w:t>
      </w:r>
      <w:r w:rsidR="00867386">
        <w:rPr>
          <w:lang w:val="fr-FR"/>
        </w:rPr>
        <w:t xml:space="preserve">La faiblesse dans l’identification, systématisation et exchange des leçons apprises affect négativement la communication interne et externe ainsi que l’accomplissement des résultats du projet. </w:t>
      </w:r>
    </w:p>
    <w:p w14:paraId="3E37711F" w14:textId="77777777" w:rsidR="00CC02B8" w:rsidRPr="001A11ED" w:rsidRDefault="00CC02B8" w:rsidP="00757509">
      <w:pPr>
        <w:spacing w:after="120"/>
        <w:rPr>
          <w:color w:val="000000"/>
          <w:sz w:val="20"/>
          <w:lang w:val="fr-FR"/>
        </w:rPr>
      </w:pPr>
    </w:p>
    <w:p w14:paraId="12916503" w14:textId="2993C383" w:rsidR="00D85DDD" w:rsidRDefault="00D85DDD"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
          <w:color w:val="2F5496"/>
          <w:u w:val="single"/>
          <w:lang w:val="fr-FR"/>
        </w:rPr>
      </w:pPr>
      <w:r w:rsidRPr="00486C46">
        <w:rPr>
          <w:b/>
          <w:color w:val="2F5496"/>
          <w:u w:val="single"/>
          <w:lang w:val="fr-FR"/>
        </w:rPr>
        <w:t xml:space="preserve">Conclusion question évaluative </w:t>
      </w:r>
      <w:r>
        <w:rPr>
          <w:b/>
          <w:color w:val="2F5496"/>
          <w:u w:val="single"/>
          <w:lang w:val="fr-FR"/>
        </w:rPr>
        <w:t>3</w:t>
      </w:r>
      <w:r w:rsidRPr="00486C46">
        <w:rPr>
          <w:b/>
          <w:color w:val="2F5496"/>
          <w:u w:val="single"/>
          <w:lang w:val="fr-FR"/>
        </w:rPr>
        <w:t> :</w:t>
      </w:r>
    </w:p>
    <w:p w14:paraId="292296AA" w14:textId="77777777" w:rsidR="00C101E0" w:rsidRDefault="00E42113"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Cs/>
          <w:color w:val="2F5496"/>
          <w:lang w:val="fr-FR"/>
        </w:rPr>
      </w:pPr>
      <w:r>
        <w:rPr>
          <w:bCs/>
          <w:color w:val="2F5496"/>
          <w:lang w:val="fr-FR"/>
        </w:rPr>
        <w:lastRenderedPageBreak/>
        <w:t>Le projet doit composer avec des arrangements institutionnels et des mécanismes de gestion qui l’ont handicapé, surtout pendant la période de lancement. Il a</w:t>
      </w:r>
      <w:r w:rsidR="004D3C92">
        <w:rPr>
          <w:bCs/>
          <w:color w:val="2F5496"/>
          <w:lang w:val="fr-FR"/>
        </w:rPr>
        <w:t>,</w:t>
      </w:r>
      <w:r>
        <w:rPr>
          <w:bCs/>
          <w:color w:val="2F5496"/>
          <w:lang w:val="fr-FR"/>
        </w:rPr>
        <w:t xml:space="preserve"> </w:t>
      </w:r>
      <w:proofErr w:type="gramStart"/>
      <w:r>
        <w:rPr>
          <w:bCs/>
          <w:color w:val="2F5496"/>
          <w:lang w:val="fr-FR"/>
        </w:rPr>
        <w:t>par contre</w:t>
      </w:r>
      <w:proofErr w:type="gramEnd"/>
      <w:r w:rsidR="004D3C92">
        <w:rPr>
          <w:bCs/>
          <w:color w:val="2F5496"/>
          <w:lang w:val="fr-FR"/>
        </w:rPr>
        <w:t>,</w:t>
      </w:r>
      <w:r>
        <w:rPr>
          <w:bCs/>
          <w:color w:val="2F5496"/>
          <w:lang w:val="fr-FR"/>
        </w:rPr>
        <w:t xml:space="preserve"> su s’adapter aux conditions en constante évolution et faire preuve d’une bonne gestion réactive. Toutefois, la qualité de l’exécution a été </w:t>
      </w:r>
      <w:r w:rsidR="004D3C92">
        <w:rPr>
          <w:bCs/>
          <w:color w:val="2F5496"/>
          <w:lang w:val="fr-FR"/>
        </w:rPr>
        <w:t>contrainte</w:t>
      </w:r>
      <w:r>
        <w:rPr>
          <w:bCs/>
          <w:color w:val="2F5496"/>
          <w:lang w:val="fr-FR"/>
        </w:rPr>
        <w:t xml:space="preserve"> par la distance entre l’équipe de projet, l’UCP, d’une part et l’équipe du PNUD d’autre part</w:t>
      </w:r>
      <w:r w:rsidR="004D3C92">
        <w:rPr>
          <w:bCs/>
          <w:color w:val="2F5496"/>
          <w:lang w:val="fr-FR"/>
        </w:rPr>
        <w:t>. Elle a aussi été limitée par des moyens matériels parfois inadaptés</w:t>
      </w:r>
      <w:r>
        <w:rPr>
          <w:bCs/>
          <w:color w:val="2F5496"/>
          <w:lang w:val="fr-FR"/>
        </w:rPr>
        <w:t>.</w:t>
      </w:r>
      <w:r w:rsidR="004D3C92">
        <w:rPr>
          <w:bCs/>
          <w:color w:val="2F5496"/>
          <w:lang w:val="fr-FR"/>
        </w:rPr>
        <w:t xml:space="preserve"> L’UCP doit encore renforcer son rôle de coordination auprès des deux organisations partenaires de mise en œuvre qui ne disposent pas de feuille de route commune et ont besoin de guidance pour la systématisation des procédures. La complexité administrative additionnée à la distance du bureau du PNUD </w:t>
      </w:r>
      <w:r w:rsidR="00BE51D0">
        <w:rPr>
          <w:bCs/>
          <w:color w:val="2F5496"/>
          <w:lang w:val="fr-FR"/>
        </w:rPr>
        <w:t>a</w:t>
      </w:r>
      <w:r w:rsidR="004D3C92">
        <w:rPr>
          <w:bCs/>
          <w:color w:val="2F5496"/>
          <w:lang w:val="fr-FR"/>
        </w:rPr>
        <w:t xml:space="preserve"> aussi freiné la mise en œuvre. </w:t>
      </w:r>
    </w:p>
    <w:p w14:paraId="656A81B8" w14:textId="41523C55" w:rsidR="00C101E0" w:rsidRDefault="00C101E0"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Cs/>
          <w:color w:val="2F5496"/>
          <w:lang w:val="fr-FR"/>
        </w:rPr>
      </w:pPr>
      <w:r w:rsidRPr="00C101E0">
        <w:rPr>
          <w:bCs/>
          <w:color w:val="2F5496"/>
          <w:lang w:val="fr-FR"/>
        </w:rPr>
        <w:t xml:space="preserve">Au 31 octobre 2019, le projet avait dépensé 2 767 335 USD, soit 74 % du budget prévu pour 2017, 2018 et les </w:t>
      </w:r>
      <w:r>
        <w:rPr>
          <w:bCs/>
          <w:color w:val="2F5496"/>
          <w:lang w:val="fr-FR"/>
        </w:rPr>
        <w:t>10</w:t>
      </w:r>
      <w:r w:rsidRPr="00C101E0">
        <w:rPr>
          <w:bCs/>
          <w:color w:val="2F5496"/>
          <w:lang w:val="fr-FR"/>
        </w:rPr>
        <w:t xml:space="preserve"> premiers mois de 2019. Le total des dépenses effectives en octobre 2019 représentait 52 % du financement total du</w:t>
      </w:r>
      <w:r>
        <w:rPr>
          <w:bCs/>
          <w:color w:val="2F5496"/>
          <w:lang w:val="fr-FR"/>
        </w:rPr>
        <w:t xml:space="preserve"> </w:t>
      </w:r>
      <w:r w:rsidRPr="00C101E0">
        <w:rPr>
          <w:bCs/>
          <w:color w:val="2F5496"/>
          <w:lang w:val="fr-FR"/>
        </w:rPr>
        <w:t>FEM, alors que 47 % du temps de mise en œuvre avait été consacré à ce projet. En octobre 2019, le</w:t>
      </w:r>
      <w:r w:rsidR="001D5460">
        <w:rPr>
          <w:bCs/>
          <w:color w:val="2F5496"/>
          <w:lang w:val="fr-FR"/>
        </w:rPr>
        <w:t xml:space="preserve">s </w:t>
      </w:r>
      <w:r w:rsidR="001D5460" w:rsidRPr="00C101E0">
        <w:rPr>
          <w:bCs/>
          <w:color w:val="2F5496"/>
          <w:lang w:val="fr-FR"/>
        </w:rPr>
        <w:t>coûts</w:t>
      </w:r>
      <w:r w:rsidR="001D5460">
        <w:rPr>
          <w:bCs/>
          <w:color w:val="2F5496"/>
          <w:lang w:val="fr-FR"/>
        </w:rPr>
        <w:t xml:space="preserve"> </w:t>
      </w:r>
      <w:r w:rsidRPr="00C101E0">
        <w:rPr>
          <w:bCs/>
          <w:color w:val="2F5496"/>
          <w:lang w:val="fr-FR"/>
        </w:rPr>
        <w:t>réel</w:t>
      </w:r>
      <w:r w:rsidR="001D5460">
        <w:rPr>
          <w:bCs/>
          <w:color w:val="2F5496"/>
          <w:lang w:val="fr-FR"/>
        </w:rPr>
        <w:t>s</w:t>
      </w:r>
      <w:r w:rsidRPr="00C101E0">
        <w:rPr>
          <w:bCs/>
          <w:color w:val="2F5496"/>
          <w:lang w:val="fr-FR"/>
        </w:rPr>
        <w:t xml:space="preserve"> </w:t>
      </w:r>
      <w:proofErr w:type="gramStart"/>
      <w:r w:rsidR="001D5460">
        <w:rPr>
          <w:bCs/>
          <w:color w:val="2F5496"/>
          <w:lang w:val="fr-FR"/>
        </w:rPr>
        <w:t>du gestion</w:t>
      </w:r>
      <w:proofErr w:type="gramEnd"/>
      <w:r w:rsidR="001D5460">
        <w:rPr>
          <w:bCs/>
          <w:color w:val="2F5496"/>
          <w:lang w:val="fr-FR"/>
        </w:rPr>
        <w:t xml:space="preserve"> du projet </w:t>
      </w:r>
      <w:r w:rsidRPr="00C101E0">
        <w:rPr>
          <w:bCs/>
          <w:color w:val="2F5496"/>
          <w:lang w:val="fr-FR"/>
        </w:rPr>
        <w:t>représentait 3 % du total des coûts réels de mise en œuvre, ce qui est conforme aux directives du FEM. En octobre 2019, le projet avait mobilisé 0,4 % du cofinancement prévu. Cela s'explique par la suppression de certains projets complémentaires avant le démarrage effectif d</w:t>
      </w:r>
      <w:r w:rsidR="001D5460">
        <w:rPr>
          <w:bCs/>
          <w:color w:val="2F5496"/>
          <w:lang w:val="fr-FR"/>
        </w:rPr>
        <w:t>e l’APPA</w:t>
      </w:r>
      <w:r w:rsidRPr="00C101E0">
        <w:rPr>
          <w:bCs/>
          <w:color w:val="2F5496"/>
          <w:lang w:val="fr-FR"/>
        </w:rPr>
        <w:t xml:space="preserve"> et, surtout, par l'absence d'estimation du coût des activités complémentaires que le gouvernement et certains donateurs entreprennent.</w:t>
      </w:r>
    </w:p>
    <w:p w14:paraId="2C239379" w14:textId="6E8C4626" w:rsidR="00D85DDD" w:rsidRPr="00486C46" w:rsidRDefault="004D3C92"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
          <w:color w:val="2F5496"/>
          <w:u w:val="single"/>
          <w:lang w:val="fr-FR"/>
        </w:rPr>
      </w:pPr>
      <w:r>
        <w:rPr>
          <w:bCs/>
          <w:color w:val="2F5496"/>
          <w:lang w:val="fr-FR"/>
        </w:rPr>
        <w:t xml:space="preserve">Le suivi et évaluation du projet souffre d’incohérences, liées au fait que les indicateurs et </w:t>
      </w:r>
      <w:proofErr w:type="spellStart"/>
      <w:r>
        <w:rPr>
          <w:bCs/>
          <w:color w:val="2F5496"/>
          <w:lang w:val="fr-FR"/>
        </w:rPr>
        <w:t>baseline</w:t>
      </w:r>
      <w:proofErr w:type="spellEnd"/>
      <w:r>
        <w:rPr>
          <w:bCs/>
          <w:color w:val="2F5496"/>
          <w:lang w:val="fr-FR"/>
        </w:rPr>
        <w:t xml:space="preserve"> révisés ne sont pas intégrés dans le cadre logique utilisé pour le rapportage. La qualité du rapportage est souvent perfectible. </w:t>
      </w:r>
      <w:r w:rsidR="001D5460">
        <w:rPr>
          <w:bCs/>
          <w:color w:val="2F5496"/>
          <w:lang w:val="fr-FR"/>
        </w:rPr>
        <w:t xml:space="preserve">Le suivi du financement et cofinancement est faible. </w:t>
      </w:r>
      <w:r>
        <w:rPr>
          <w:bCs/>
          <w:color w:val="2F5496"/>
          <w:lang w:val="fr-FR"/>
        </w:rPr>
        <w:t xml:space="preserve">La participation des parties prenantes au niveau régional et communautaire est bonne alors que celle des parties prenantes nationales est à renforcer. Enfin, la communication interne du projet, entre les acteurs au niveau régional, ainsi qu’entre les acteurs régionaux et nationaux est à améliorer. </w:t>
      </w:r>
    </w:p>
    <w:p w14:paraId="17909E69" w14:textId="106C6164" w:rsidR="005C550F" w:rsidRDefault="005C550F" w:rsidP="005C550F">
      <w:pPr>
        <w:pStyle w:val="Titre2"/>
        <w:rPr>
          <w:lang w:val="fr-FR"/>
        </w:rPr>
      </w:pPr>
      <w:bookmarkStart w:id="24" w:name="_Toc31122560"/>
      <w:r w:rsidRPr="005C550F">
        <w:rPr>
          <w:lang w:val="fr-FR"/>
        </w:rPr>
        <w:t>Durabilité</w:t>
      </w:r>
      <w:bookmarkEnd w:id="24"/>
      <w:r w:rsidRPr="005C550F">
        <w:rPr>
          <w:lang w:val="fr-FR"/>
        </w:rPr>
        <w:t xml:space="preserve"> </w:t>
      </w:r>
    </w:p>
    <w:p w14:paraId="50A1D8C2" w14:textId="3BCF038C" w:rsidR="00D85DDD" w:rsidRPr="008F47A6" w:rsidRDefault="00D85DDD" w:rsidP="00D85DDD">
      <w:pPr>
        <w:rPr>
          <w:b/>
          <w:bCs/>
          <w:lang w:val="fr-FR"/>
        </w:rPr>
      </w:pPr>
      <w:r w:rsidRPr="008F47A6">
        <w:rPr>
          <w:b/>
          <w:bCs/>
          <w:lang w:val="fr-FR"/>
        </w:rPr>
        <w:t>Q4 : Dans quelle mesure existe-t-il des risques financiers, institutionnels, socio-économiques et / ou environnementaux pour la durabilité des résultats d'un projet ?</w:t>
      </w:r>
    </w:p>
    <w:p w14:paraId="005FC999" w14:textId="77777777" w:rsidR="006B11E5" w:rsidRPr="008F47A6" w:rsidRDefault="006B11E5" w:rsidP="006B11E5">
      <w:pPr>
        <w:rPr>
          <w:i/>
          <w:iCs/>
          <w:lang w:val="fr-FR"/>
        </w:rPr>
      </w:pPr>
      <w:r w:rsidRPr="008F47A6">
        <w:rPr>
          <w:i/>
          <w:iCs/>
          <w:lang w:val="fr-FR"/>
        </w:rPr>
        <w:t>Q : Les risques identifiés dans le document de projet sont-ils les plus importants ? Sont-ils toujours pertinents à ce jour ? Yen a-t-il de nouveaux ?</w:t>
      </w:r>
    </w:p>
    <w:p w14:paraId="75C59173" w14:textId="797DC5F2" w:rsidR="006B11E5" w:rsidRPr="008F47A6" w:rsidRDefault="006B11E5" w:rsidP="006B11E5">
      <w:pPr>
        <w:rPr>
          <w:lang w:val="fr-FR"/>
        </w:rPr>
      </w:pPr>
      <w:r w:rsidRPr="008F47A6">
        <w:rPr>
          <w:lang w:val="fr-FR"/>
        </w:rPr>
        <w:t xml:space="preserve">Le </w:t>
      </w:r>
      <w:r w:rsidR="004D3C92">
        <w:rPr>
          <w:lang w:val="fr-FR"/>
        </w:rPr>
        <w:t>d</w:t>
      </w:r>
      <w:r w:rsidRPr="008F47A6">
        <w:rPr>
          <w:lang w:val="fr-FR"/>
        </w:rPr>
        <w:t xml:space="preserve">ocument de </w:t>
      </w:r>
      <w:r w:rsidR="004D3C92">
        <w:rPr>
          <w:lang w:val="fr-FR"/>
        </w:rPr>
        <w:t>p</w:t>
      </w:r>
      <w:r w:rsidRPr="008F47A6">
        <w:rPr>
          <w:lang w:val="fr-FR"/>
        </w:rPr>
        <w:t xml:space="preserve">rojet comporte une analyse des risques qui identifiait les 7 risques suivants : </w:t>
      </w:r>
    </w:p>
    <w:p w14:paraId="3769E2B0" w14:textId="29826DF0" w:rsidR="006B11E5" w:rsidRPr="008F47A6" w:rsidRDefault="006B11E5" w:rsidP="006B11E5">
      <w:pPr>
        <w:pStyle w:val="Paragraphedeliste"/>
        <w:numPr>
          <w:ilvl w:val="0"/>
          <w:numId w:val="18"/>
        </w:numPr>
        <w:spacing w:before="20" w:after="20"/>
        <w:jc w:val="left"/>
        <w:rPr>
          <w:lang w:val="fr-FR"/>
        </w:rPr>
      </w:pPr>
      <w:r w:rsidRPr="008F47A6">
        <w:rPr>
          <w:lang w:val="fr-FR"/>
        </w:rPr>
        <w:t>Un risque élevé d’instabilité politique malgré le processus de démocratisation en cours</w:t>
      </w:r>
      <w:r w:rsidR="005D0500" w:rsidRPr="008F47A6">
        <w:rPr>
          <w:lang w:val="fr-FR"/>
        </w:rPr>
        <w:t> ;</w:t>
      </w:r>
    </w:p>
    <w:p w14:paraId="742A502D" w14:textId="1049672C" w:rsidR="006B11E5" w:rsidRPr="008F47A6" w:rsidRDefault="006B11E5" w:rsidP="006B11E5">
      <w:pPr>
        <w:pStyle w:val="Paragraphedeliste"/>
        <w:numPr>
          <w:ilvl w:val="0"/>
          <w:numId w:val="18"/>
        </w:numPr>
        <w:spacing w:before="20" w:after="20"/>
        <w:jc w:val="left"/>
        <w:rPr>
          <w:lang w:val="fr-FR"/>
        </w:rPr>
      </w:pPr>
      <w:r w:rsidRPr="008F47A6">
        <w:rPr>
          <w:lang w:val="fr-FR"/>
        </w:rPr>
        <w:t>Un risque élevé de difficultés à concilier les mandats institutionnels et régler les conflits dans les juridictions administratives</w:t>
      </w:r>
      <w:r w:rsidR="005D0500" w:rsidRPr="008F47A6">
        <w:rPr>
          <w:lang w:val="fr-FR"/>
        </w:rPr>
        <w:t> ;</w:t>
      </w:r>
    </w:p>
    <w:p w14:paraId="1652D12D" w14:textId="60FC896E" w:rsidR="006B11E5" w:rsidRPr="008F47A6" w:rsidRDefault="006B11E5" w:rsidP="006B11E5">
      <w:pPr>
        <w:pStyle w:val="Paragraphedeliste"/>
        <w:numPr>
          <w:ilvl w:val="0"/>
          <w:numId w:val="18"/>
        </w:numPr>
        <w:spacing w:before="20" w:after="20"/>
        <w:jc w:val="left"/>
        <w:rPr>
          <w:lang w:val="fr-FR"/>
        </w:rPr>
      </w:pPr>
      <w:r w:rsidRPr="008F47A6">
        <w:rPr>
          <w:lang w:val="fr-FR"/>
        </w:rPr>
        <w:t>Un risque moyen que l’approche de l’intégration à l’échelle des paysages soit trop ambitieuse pour les capacités de gestion du pays</w:t>
      </w:r>
      <w:r w:rsidR="005D0500" w:rsidRPr="008F47A6">
        <w:rPr>
          <w:lang w:val="fr-FR"/>
        </w:rPr>
        <w:t> ;</w:t>
      </w:r>
    </w:p>
    <w:p w14:paraId="022F6486" w14:textId="20480057" w:rsidR="006B11E5" w:rsidRPr="008F47A6" w:rsidRDefault="006B11E5" w:rsidP="006B11E5">
      <w:pPr>
        <w:pStyle w:val="Paragraphedeliste"/>
        <w:numPr>
          <w:ilvl w:val="0"/>
          <w:numId w:val="18"/>
        </w:numPr>
        <w:spacing w:before="20" w:after="20"/>
        <w:jc w:val="left"/>
        <w:rPr>
          <w:lang w:val="fr-FR"/>
        </w:rPr>
      </w:pPr>
      <w:r w:rsidRPr="008F47A6">
        <w:rPr>
          <w:lang w:val="fr-FR"/>
        </w:rPr>
        <w:t>Un risque moyen que certaines parties prenantes du secteur privé qui font de lourds investissements ne collaborent pas avec le projet car certaines recommandations formulées dans l’OPT BD peuvent être contraires à leurs intérêts à court terme</w:t>
      </w:r>
      <w:r w:rsidR="005D0500" w:rsidRPr="008F47A6">
        <w:rPr>
          <w:lang w:val="fr-FR"/>
        </w:rPr>
        <w:t> ;</w:t>
      </w:r>
    </w:p>
    <w:p w14:paraId="6F300C7E" w14:textId="56688B65" w:rsidR="006B11E5" w:rsidRPr="008F47A6" w:rsidRDefault="006B11E5" w:rsidP="006B11E5">
      <w:pPr>
        <w:pStyle w:val="Paragraphedeliste"/>
        <w:numPr>
          <w:ilvl w:val="0"/>
          <w:numId w:val="18"/>
        </w:numPr>
        <w:spacing w:before="20" w:after="20"/>
        <w:jc w:val="left"/>
        <w:rPr>
          <w:lang w:val="fr-FR"/>
        </w:rPr>
      </w:pPr>
      <w:r w:rsidRPr="008F47A6">
        <w:rPr>
          <w:lang w:val="fr-FR"/>
        </w:rPr>
        <w:lastRenderedPageBreak/>
        <w:t>Un risque moyen que les communautés locales n’adhérent pas complétement aux pratiques durables de gestion des ressources naturelles proposées</w:t>
      </w:r>
      <w:r w:rsidR="005D0500" w:rsidRPr="008F47A6">
        <w:rPr>
          <w:lang w:val="fr-FR"/>
        </w:rPr>
        <w:t> ;</w:t>
      </w:r>
    </w:p>
    <w:p w14:paraId="215C373D" w14:textId="19E6DDB1" w:rsidR="006B11E5" w:rsidRPr="008F47A6" w:rsidRDefault="006B11E5" w:rsidP="006B11E5">
      <w:pPr>
        <w:pStyle w:val="Paragraphedeliste"/>
        <w:numPr>
          <w:ilvl w:val="0"/>
          <w:numId w:val="18"/>
        </w:numPr>
        <w:spacing w:before="20" w:after="20"/>
        <w:jc w:val="left"/>
        <w:rPr>
          <w:lang w:val="fr-FR"/>
        </w:rPr>
      </w:pPr>
      <w:r w:rsidRPr="008F47A6">
        <w:rPr>
          <w:lang w:val="fr-FR"/>
        </w:rPr>
        <w:t>Un risque bas que les consultations infranationales demeurent limitées</w:t>
      </w:r>
      <w:r w:rsidR="005D0500" w:rsidRPr="008F47A6">
        <w:rPr>
          <w:lang w:val="fr-FR"/>
        </w:rPr>
        <w:t> ;</w:t>
      </w:r>
    </w:p>
    <w:p w14:paraId="69BFD422" w14:textId="77777777" w:rsidR="006B11E5" w:rsidRPr="008F47A6" w:rsidRDefault="006B11E5" w:rsidP="006B11E5">
      <w:pPr>
        <w:pStyle w:val="Paragraphedeliste"/>
        <w:numPr>
          <w:ilvl w:val="0"/>
          <w:numId w:val="18"/>
        </w:numPr>
        <w:spacing w:before="20" w:after="20"/>
        <w:jc w:val="left"/>
        <w:rPr>
          <w:lang w:val="fr-FR"/>
        </w:rPr>
      </w:pPr>
      <w:r w:rsidRPr="008F47A6">
        <w:rPr>
          <w:lang w:val="fr-FR"/>
        </w:rPr>
        <w:t xml:space="preserve">Un risque moyen que le changement climatique et les catastrophes naturelles aient un impact dévastateur sur les AP et les moyens de subsistances des communautés. </w:t>
      </w:r>
    </w:p>
    <w:p w14:paraId="2DE003C8" w14:textId="0E29AA73" w:rsidR="001B2DEF" w:rsidRDefault="002C3C0A" w:rsidP="006B11E5">
      <w:pPr>
        <w:rPr>
          <w:lang w:val="fr-FR"/>
        </w:rPr>
      </w:pPr>
      <w:r>
        <w:rPr>
          <w:lang w:val="fr-FR"/>
        </w:rPr>
        <w:t>On peut noter que tous les risques ne sont pas couverts dans le document de projet. En particulier, le risque que les partenaires de mise en œuvre aient des capacités, notamment humaines, trop faibles n’est pas contemplé. Pas plus que le risque d’une implication variable des acteurs gouvernementaux liées aux indemnités et incitations financières perçues.</w:t>
      </w:r>
      <w:r w:rsidR="00330865">
        <w:rPr>
          <w:lang w:val="fr-FR"/>
        </w:rPr>
        <w:t xml:space="preserve"> Comme indiqué en section 3.3, la réponse apportée par la gestion de projet aux faiblesses des partenaires de mise en œuvre est finalement adaptée, même si elle a un peu tardé à venir. En ce qui concerne les incitations financières, </w:t>
      </w:r>
      <w:r w:rsidR="001B2DEF">
        <w:rPr>
          <w:lang w:val="fr-FR"/>
        </w:rPr>
        <w:t xml:space="preserve">le projet doit encore y formuler une réponse. </w:t>
      </w:r>
    </w:p>
    <w:p w14:paraId="7F3A064C" w14:textId="3F49C363" w:rsidR="006B11E5" w:rsidRPr="008F47A6" w:rsidRDefault="001B2DEF" w:rsidP="006B11E5">
      <w:pPr>
        <w:rPr>
          <w:lang w:val="fr-FR"/>
        </w:rPr>
      </w:pPr>
      <w:r>
        <w:rPr>
          <w:lang w:val="fr-FR"/>
        </w:rPr>
        <w:t>En ce qui concerne l</w:t>
      </w:r>
      <w:r w:rsidR="006B11E5" w:rsidRPr="008F47A6">
        <w:rPr>
          <w:lang w:val="fr-FR"/>
        </w:rPr>
        <w:t xml:space="preserve">es risques </w:t>
      </w:r>
      <w:r>
        <w:rPr>
          <w:lang w:val="fr-FR"/>
        </w:rPr>
        <w:t xml:space="preserve">identifiés à la conception, ils </w:t>
      </w:r>
      <w:r w:rsidR="006B11E5" w:rsidRPr="008F47A6">
        <w:rPr>
          <w:lang w:val="fr-FR"/>
        </w:rPr>
        <w:t xml:space="preserve">sont toujours pertinents et d’actualité, même si le risque d’instabilité lié aux élections nationales est maintenant passé. Toutefois, le risque de l’instabilité du personnel dirigeant aux postes clés persiste. L’atténuation des risques </w:t>
      </w:r>
      <w:r w:rsidR="005D0500" w:rsidRPr="008F47A6">
        <w:rPr>
          <w:lang w:val="fr-FR"/>
        </w:rPr>
        <w:t xml:space="preserve">identifiés </w:t>
      </w:r>
      <w:r w:rsidR="006B11E5" w:rsidRPr="008F47A6">
        <w:rPr>
          <w:lang w:val="fr-FR"/>
        </w:rPr>
        <w:t xml:space="preserve">nécessite un effort constant qui doit être prolongé jusqu’à la fin du projet.  </w:t>
      </w:r>
      <w:r w:rsidR="00240E47">
        <w:rPr>
          <w:lang w:val="fr-FR"/>
        </w:rPr>
        <w:t>Les PIR mentionnent deux risques : capacités limité</w:t>
      </w:r>
      <w:r w:rsidR="00194F3F">
        <w:rPr>
          <w:lang w:val="fr-FR"/>
        </w:rPr>
        <w:t>e</w:t>
      </w:r>
      <w:r w:rsidR="00240E47">
        <w:rPr>
          <w:lang w:val="fr-FR"/>
        </w:rPr>
        <w:t xml:space="preserve">s de </w:t>
      </w:r>
      <w:proofErr w:type="spellStart"/>
      <w:r w:rsidR="00240E47">
        <w:rPr>
          <w:lang w:val="fr-FR"/>
        </w:rPr>
        <w:t>Tany</w:t>
      </w:r>
      <w:proofErr w:type="spellEnd"/>
      <w:r w:rsidR="00240E47">
        <w:rPr>
          <w:lang w:val="fr-FR"/>
        </w:rPr>
        <w:t xml:space="preserve"> </w:t>
      </w:r>
      <w:proofErr w:type="spellStart"/>
      <w:r w:rsidR="00240E47">
        <w:rPr>
          <w:lang w:val="fr-FR"/>
        </w:rPr>
        <w:t>Meva</w:t>
      </w:r>
      <w:proofErr w:type="spellEnd"/>
      <w:r w:rsidR="00240E47">
        <w:rPr>
          <w:lang w:val="fr-FR"/>
        </w:rPr>
        <w:t xml:space="preserve"> et de condition politique.  </w:t>
      </w:r>
    </w:p>
    <w:p w14:paraId="6CAAB6E3" w14:textId="77777777" w:rsidR="005525C3" w:rsidRDefault="005525C3">
      <w:pPr>
        <w:spacing w:before="0" w:after="200"/>
        <w:jc w:val="left"/>
        <w:rPr>
          <w:rFonts w:eastAsiaTheme="majorEastAsia" w:cstheme="majorBidi"/>
          <w:b/>
          <w:bCs/>
          <w:color w:val="E36C0A"/>
          <w:sz w:val="32"/>
          <w:lang w:val="fr-FR"/>
        </w:rPr>
      </w:pPr>
      <w:r>
        <w:rPr>
          <w:lang w:val="fr-FR"/>
        </w:rPr>
        <w:br w:type="page"/>
      </w:r>
    </w:p>
    <w:p w14:paraId="2219F16C" w14:textId="1A1D2F42" w:rsidR="005C550F" w:rsidRDefault="005C550F" w:rsidP="005C550F">
      <w:pPr>
        <w:pStyle w:val="Titre3"/>
        <w:rPr>
          <w:lang w:val="fr-FR"/>
        </w:rPr>
      </w:pPr>
      <w:r w:rsidRPr="005C550F">
        <w:rPr>
          <w:lang w:val="fr-FR"/>
        </w:rPr>
        <w:lastRenderedPageBreak/>
        <w:t xml:space="preserve">Risques financiers pour la durabilité </w:t>
      </w:r>
    </w:p>
    <w:p w14:paraId="7DD5412E" w14:textId="3ED3BA98" w:rsidR="00D85DDD" w:rsidRPr="008F47A6" w:rsidRDefault="00D85DDD" w:rsidP="00D85DDD">
      <w:pPr>
        <w:rPr>
          <w:i/>
          <w:iCs/>
          <w:szCs w:val="24"/>
          <w:lang w:val="fr-FR"/>
        </w:rPr>
      </w:pPr>
      <w:r w:rsidRPr="008F47A6">
        <w:rPr>
          <w:i/>
          <w:iCs/>
          <w:szCs w:val="24"/>
          <w:lang w:val="fr-FR"/>
        </w:rPr>
        <w:t>Q : Quelle est la probabilité que des ressources financières et économiques ne soient pas disponibles une fois l'assistance du FEM terminée ?</w:t>
      </w:r>
    </w:p>
    <w:p w14:paraId="32CE8B83" w14:textId="0985A6B3" w:rsidR="006B11E5" w:rsidRDefault="006B11E5" w:rsidP="006B11E5">
      <w:pPr>
        <w:rPr>
          <w:lang w:val="fr-FR"/>
        </w:rPr>
      </w:pPr>
      <w:r>
        <w:rPr>
          <w:lang w:val="fr-FR"/>
        </w:rPr>
        <w:t xml:space="preserve">Tel qu’indiqué dans le document de projet, le </w:t>
      </w:r>
      <w:r w:rsidRPr="001A11ED">
        <w:rPr>
          <w:lang w:val="fr-FR"/>
        </w:rPr>
        <w:t xml:space="preserve">fond renouvelable de la </w:t>
      </w:r>
      <w:r w:rsidRPr="00826461">
        <w:rPr>
          <w:iCs/>
          <w:lang w:val="fr-FR"/>
        </w:rPr>
        <w:t>Fondation</w:t>
      </w:r>
      <w:r w:rsidRPr="00CA44AE">
        <w:rPr>
          <w:iCs/>
          <w:lang w:val="fr-FR"/>
        </w:rPr>
        <w:t xml:space="preserve"> </w:t>
      </w:r>
      <w:proofErr w:type="spellStart"/>
      <w:r w:rsidRPr="00CA44AE">
        <w:rPr>
          <w:iCs/>
          <w:lang w:val="fr-FR"/>
        </w:rPr>
        <w:t>T</w:t>
      </w:r>
      <w:r w:rsidR="00826461" w:rsidRPr="00CA44AE">
        <w:rPr>
          <w:iCs/>
          <w:lang w:val="fr-FR"/>
        </w:rPr>
        <w:t>any</w:t>
      </w:r>
      <w:proofErr w:type="spellEnd"/>
      <w:r w:rsidR="00826461" w:rsidRPr="00CA44AE">
        <w:rPr>
          <w:iCs/>
          <w:lang w:val="fr-FR"/>
        </w:rPr>
        <w:t xml:space="preserve"> </w:t>
      </w:r>
      <w:proofErr w:type="spellStart"/>
      <w:r w:rsidR="00826461" w:rsidRPr="00CA44AE">
        <w:rPr>
          <w:iCs/>
          <w:lang w:val="fr-FR"/>
        </w:rPr>
        <w:t>Meva</w:t>
      </w:r>
      <w:proofErr w:type="spellEnd"/>
      <w:r w:rsidRPr="001A11ED">
        <w:rPr>
          <w:i/>
          <w:lang w:val="fr-FR"/>
        </w:rPr>
        <w:t xml:space="preserve"> </w:t>
      </w:r>
      <w:r w:rsidRPr="001A11ED">
        <w:rPr>
          <w:lang w:val="fr-FR"/>
        </w:rPr>
        <w:t>est un instrument clef pour assurer la viabilité financière et encourager les communautés à créer des fonds communautaires</w:t>
      </w:r>
      <w:r>
        <w:rPr>
          <w:lang w:val="fr-FR"/>
        </w:rPr>
        <w:t xml:space="preserve">. Par ailleurs, pour assurer la pérennité du projet, à chaque nouveau cycle, le FEM finance la </w:t>
      </w:r>
      <w:r w:rsidR="00826461">
        <w:rPr>
          <w:lang w:val="fr-FR"/>
        </w:rPr>
        <w:t>F</w:t>
      </w:r>
      <w:r>
        <w:rPr>
          <w:lang w:val="fr-FR"/>
        </w:rPr>
        <w:t xml:space="preserve">ondation pour les </w:t>
      </w:r>
      <w:r w:rsidR="00826461">
        <w:rPr>
          <w:lang w:val="fr-FR"/>
        </w:rPr>
        <w:t>A</w:t>
      </w:r>
      <w:r>
        <w:rPr>
          <w:lang w:val="fr-FR"/>
        </w:rPr>
        <w:t xml:space="preserve">ires </w:t>
      </w:r>
      <w:r w:rsidR="00826461">
        <w:rPr>
          <w:lang w:val="fr-FR"/>
        </w:rPr>
        <w:t>P</w:t>
      </w:r>
      <w:r>
        <w:rPr>
          <w:lang w:val="fr-FR"/>
        </w:rPr>
        <w:t>rotégées</w:t>
      </w:r>
      <w:r w:rsidR="00826461">
        <w:rPr>
          <w:lang w:val="fr-FR"/>
        </w:rPr>
        <w:t xml:space="preserve"> et la Biodiversité de Madagascar (FAPBM)</w:t>
      </w:r>
      <w:r>
        <w:rPr>
          <w:lang w:val="fr-FR"/>
        </w:rPr>
        <w:t xml:space="preserve">. Toutefois, cela ne constitue pas une solution durable. La </w:t>
      </w:r>
      <w:r w:rsidR="00826461">
        <w:rPr>
          <w:lang w:val="fr-FR"/>
        </w:rPr>
        <w:t>FAPBM</w:t>
      </w:r>
      <w:r>
        <w:rPr>
          <w:lang w:val="fr-FR"/>
        </w:rPr>
        <w:t xml:space="preserve"> doit à termes mobiliser ses propres ressources de manière à pouvoir financer l’hébergement de l’OPT BD qui nécessite l’accès à un matériel informatique et un meilleur accès à internet. </w:t>
      </w:r>
    </w:p>
    <w:p w14:paraId="1A465E1C" w14:textId="6F7CA7CF" w:rsidR="006B11E5" w:rsidRPr="008F47A6" w:rsidRDefault="006B11E5" w:rsidP="00801272">
      <w:pPr>
        <w:rPr>
          <w:lang w:val="fr-FR"/>
        </w:rPr>
      </w:pPr>
      <w:r>
        <w:rPr>
          <w:lang w:val="fr-FR"/>
        </w:rPr>
        <w:t xml:space="preserve">Dans le cadre de la composante 2, des </w:t>
      </w:r>
      <w:r w:rsidR="005D0500">
        <w:rPr>
          <w:lang w:val="fr-FR"/>
        </w:rPr>
        <w:t>activités génératrices de revenus pour les communautés locales impliquées dans les APC doivent être promues, pourtant ces activités n’ont que peu progressé. La mission a néanmoins permis d’observer que le thème des activités alternatives génératrices de revenus étaient grandement discuté au sein de</w:t>
      </w:r>
      <w:r w:rsidR="00683BF1">
        <w:rPr>
          <w:lang w:val="fr-FR"/>
        </w:rPr>
        <w:t>s</w:t>
      </w:r>
      <w:r w:rsidR="005D0500">
        <w:rPr>
          <w:lang w:val="fr-FR"/>
        </w:rPr>
        <w:t xml:space="preserve"> </w:t>
      </w:r>
      <w:proofErr w:type="spellStart"/>
      <w:r w:rsidR="005D0500">
        <w:rPr>
          <w:lang w:val="fr-FR"/>
        </w:rPr>
        <w:t>APC</w:t>
      </w:r>
      <w:r w:rsidR="00683BF1">
        <w:rPr>
          <w:lang w:val="fr-FR"/>
        </w:rPr>
        <w:t>s</w:t>
      </w:r>
      <w:proofErr w:type="spellEnd"/>
      <w:r w:rsidR="005D0500">
        <w:rPr>
          <w:lang w:val="fr-FR"/>
        </w:rPr>
        <w:t xml:space="preserve">, en particulier la piste des villages écologiques doit être explorée et si les études s’avèrent concluantes devraient être mis en œuvre et répliqué puisqu’ils renforcent la durabilité de la structure. </w:t>
      </w:r>
      <w:r w:rsidR="00BB15B3">
        <w:rPr>
          <w:lang w:val="fr-FR"/>
        </w:rPr>
        <w:t xml:space="preserve">Par ailleurs, la fondation </w:t>
      </w:r>
      <w:proofErr w:type="spellStart"/>
      <w:r w:rsidR="00BB15B3">
        <w:rPr>
          <w:lang w:val="fr-FR"/>
        </w:rPr>
        <w:t>Tany</w:t>
      </w:r>
      <w:proofErr w:type="spellEnd"/>
      <w:r w:rsidR="00BB15B3">
        <w:rPr>
          <w:lang w:val="fr-FR"/>
        </w:rPr>
        <w:t xml:space="preserve"> </w:t>
      </w:r>
      <w:proofErr w:type="spellStart"/>
      <w:r w:rsidR="00BB15B3">
        <w:rPr>
          <w:lang w:val="fr-FR"/>
        </w:rPr>
        <w:t>Meva</w:t>
      </w:r>
      <w:proofErr w:type="spellEnd"/>
      <w:r w:rsidR="00BB15B3">
        <w:rPr>
          <w:lang w:val="fr-FR"/>
        </w:rPr>
        <w:t xml:space="preserve"> va mettre en place à </w:t>
      </w:r>
      <w:r w:rsidR="00194F3F">
        <w:rPr>
          <w:lang w:val="fr-FR"/>
        </w:rPr>
        <w:t>Tuléar</w:t>
      </w:r>
      <w:r w:rsidR="00BB15B3">
        <w:rPr>
          <w:lang w:val="fr-FR"/>
        </w:rPr>
        <w:t xml:space="preserve"> un </w:t>
      </w:r>
      <w:r w:rsidR="00BB15B3" w:rsidRPr="008F47A6">
        <w:rPr>
          <w:lang w:val="fr-FR"/>
        </w:rPr>
        <w:t>Centre de Compétences communautaires pour l’acquisition de compétences en gestion de projet, qui sera utile dans le contexte de création d’activités génératrices de revenus</w:t>
      </w:r>
      <w:r w:rsidR="00BB15B3" w:rsidRPr="008F47A6">
        <w:rPr>
          <w:vertAlign w:val="superscript"/>
        </w:rPr>
        <w:footnoteReference w:id="47"/>
      </w:r>
      <w:r w:rsidR="00BB15B3" w:rsidRPr="008F47A6">
        <w:rPr>
          <w:lang w:val="fr-FR"/>
        </w:rPr>
        <w:t xml:space="preserve">. </w:t>
      </w:r>
    </w:p>
    <w:p w14:paraId="1E648430" w14:textId="4ED59DC5" w:rsidR="00663D0E" w:rsidRDefault="00663D0E" w:rsidP="00801272">
      <w:pPr>
        <w:rPr>
          <w:lang w:val="fr-FR"/>
        </w:rPr>
      </w:pPr>
      <w:r w:rsidRPr="008F47A6">
        <w:rPr>
          <w:lang w:val="fr-FR"/>
        </w:rPr>
        <w:t xml:space="preserve">Il convient aussi de mentionner que le projet prévoit de développer l’accès à la micro finance, mais cette activité n’a pour l’instant pas été mise en œuvre. </w:t>
      </w:r>
    </w:p>
    <w:p w14:paraId="35330298" w14:textId="6758DFE4" w:rsidR="00A83BD3" w:rsidRPr="001817C7" w:rsidRDefault="00663D0E" w:rsidP="00CA44AE">
      <w:pPr>
        <w:rPr>
          <w:lang w:val="fr-FR"/>
        </w:rPr>
      </w:pPr>
      <w:r>
        <w:rPr>
          <w:lang w:val="fr-FR"/>
        </w:rPr>
        <w:t xml:space="preserve">Finalement, afin de favoriser la durabilité des résultats du projet, le </w:t>
      </w:r>
      <w:r w:rsidRPr="008F47A6">
        <w:rPr>
          <w:lang w:val="fr-FR"/>
        </w:rPr>
        <w:t xml:space="preserve">PNUD réfléchi sur la possibilité de synergie avec d’autres Projets de lutte de contre de la Pauvreté (comme le </w:t>
      </w:r>
      <w:r w:rsidR="00E25099">
        <w:rPr>
          <w:lang w:val="fr-FR"/>
        </w:rPr>
        <w:t xml:space="preserve">projet </w:t>
      </w:r>
      <w:r w:rsidR="00E25099" w:rsidRPr="00E25099">
        <w:rPr>
          <w:lang w:val="fr-FR"/>
        </w:rPr>
        <w:t xml:space="preserve">Planification Du Développement, Secteur Privé </w:t>
      </w:r>
      <w:r w:rsidR="00E25099">
        <w:rPr>
          <w:lang w:val="fr-FR"/>
        </w:rPr>
        <w:t>e</w:t>
      </w:r>
      <w:r w:rsidR="00E25099" w:rsidRPr="00E25099">
        <w:rPr>
          <w:lang w:val="fr-FR"/>
        </w:rPr>
        <w:t>t Emplo</w:t>
      </w:r>
      <w:r w:rsidR="00E25099">
        <w:rPr>
          <w:lang w:val="fr-FR"/>
        </w:rPr>
        <w:t>i</w:t>
      </w:r>
      <w:r w:rsidR="00E25099" w:rsidRPr="00E25099">
        <w:rPr>
          <w:lang w:val="fr-FR"/>
        </w:rPr>
        <w:t xml:space="preserve"> </w:t>
      </w:r>
      <w:r w:rsidR="00E25099">
        <w:rPr>
          <w:lang w:val="fr-FR"/>
        </w:rPr>
        <w:t xml:space="preserve">- </w:t>
      </w:r>
      <w:r w:rsidRPr="008F47A6">
        <w:rPr>
          <w:lang w:val="fr-FR"/>
        </w:rPr>
        <w:t>PDSPE) ou d’appui à la bonne gouvernance (</w:t>
      </w:r>
      <w:r w:rsidR="00E25099">
        <w:rPr>
          <w:lang w:val="fr-FR"/>
        </w:rPr>
        <w:t>Programme d’</w:t>
      </w:r>
      <w:r w:rsidR="00E25099" w:rsidRPr="00E25099">
        <w:rPr>
          <w:lang w:val="fr-FR"/>
        </w:rPr>
        <w:t xml:space="preserve">Appui à la Décentralisation et à la Résilience Communautaire </w:t>
      </w:r>
      <w:r w:rsidR="00E25099">
        <w:rPr>
          <w:lang w:val="fr-FR"/>
        </w:rPr>
        <w:t xml:space="preserve">- </w:t>
      </w:r>
      <w:r w:rsidRPr="008F47A6">
        <w:rPr>
          <w:lang w:val="fr-FR"/>
        </w:rPr>
        <w:t xml:space="preserve">PADRC) pour assurer la complémentarité au niveau des cibles du </w:t>
      </w:r>
      <w:r>
        <w:rPr>
          <w:lang w:val="fr-FR"/>
        </w:rPr>
        <w:t>p</w:t>
      </w:r>
      <w:r w:rsidRPr="008F47A6">
        <w:rPr>
          <w:lang w:val="fr-FR"/>
        </w:rPr>
        <w:t>rojet APAA</w:t>
      </w:r>
      <w:r>
        <w:rPr>
          <w:rStyle w:val="Appelnotedebasdep"/>
          <w:lang w:val="fr-FR"/>
        </w:rPr>
        <w:footnoteReference w:id="48"/>
      </w:r>
      <w:r>
        <w:rPr>
          <w:lang w:val="fr-FR"/>
        </w:rPr>
        <w:t xml:space="preserve">. Néanmoins, cela est encore à l’état de piste à ce-jour. </w:t>
      </w:r>
    </w:p>
    <w:p w14:paraId="584F7674" w14:textId="049A7B29" w:rsidR="005C550F" w:rsidRDefault="005C550F" w:rsidP="005C550F">
      <w:pPr>
        <w:pStyle w:val="Titre3"/>
        <w:rPr>
          <w:lang w:val="fr-FR"/>
        </w:rPr>
      </w:pPr>
      <w:r w:rsidRPr="005C550F">
        <w:rPr>
          <w:lang w:val="fr-FR"/>
        </w:rPr>
        <w:t xml:space="preserve">Risques socio-économiques pour la durabilité </w:t>
      </w:r>
    </w:p>
    <w:p w14:paraId="6F876FF5" w14:textId="6F2D0881" w:rsidR="00D85DDD" w:rsidRPr="008F47A6" w:rsidRDefault="00D85DDD" w:rsidP="00D85DDD">
      <w:pPr>
        <w:rPr>
          <w:i/>
          <w:iCs/>
          <w:szCs w:val="24"/>
          <w:lang w:val="fr-FR"/>
        </w:rPr>
      </w:pPr>
      <w:r w:rsidRPr="008F47A6">
        <w:rPr>
          <w:i/>
          <w:iCs/>
          <w:szCs w:val="24"/>
          <w:lang w:val="fr-FR"/>
        </w:rPr>
        <w:t>Q : Existe-t-il des risques sociaux ou politiques susceptibles de compromettre la durabilité des résultats du projet ?</w:t>
      </w:r>
    </w:p>
    <w:p w14:paraId="0534A901" w14:textId="2A538FA3" w:rsidR="00CA0113" w:rsidRDefault="00BA16DA" w:rsidP="00801272">
      <w:pPr>
        <w:rPr>
          <w:lang w:val="fr-FR"/>
        </w:rPr>
      </w:pPr>
      <w:r w:rsidRPr="008F47A6">
        <w:rPr>
          <w:lang w:val="fr-FR"/>
        </w:rPr>
        <w:t>Dans le cadre de la création des APC, le projet travaille de manière privilégiée avec les personnes alphabétisée</w:t>
      </w:r>
      <w:r w:rsidR="00300315" w:rsidRPr="008F47A6">
        <w:rPr>
          <w:lang w:val="fr-FR"/>
        </w:rPr>
        <w:t xml:space="preserve"> pour les activités de patrouillage et le remplissage des fiches de suivi écologique</w:t>
      </w:r>
      <w:r w:rsidR="00CA0113" w:rsidRPr="008F47A6">
        <w:rPr>
          <w:lang w:val="fr-FR"/>
        </w:rPr>
        <w:t xml:space="preserve">. </w:t>
      </w:r>
      <w:r w:rsidR="00300315" w:rsidRPr="008F47A6">
        <w:rPr>
          <w:lang w:val="fr-FR"/>
        </w:rPr>
        <w:t>Les informations récoltées devraient permettre le suivi des APC et devrait alimenter la prise de décision informée des communautés et du gouvernement. Le travail avec des personnes alphabétisées est aussi nécessaire pour la documentation et la systématisation de l’information relative au projet. Toutefois, l</w:t>
      </w:r>
      <w:r w:rsidR="00CA0113" w:rsidRPr="008F47A6">
        <w:rPr>
          <w:lang w:val="fr-FR"/>
        </w:rPr>
        <w:t xml:space="preserve">e taux d’alphabétisation faible des communautés locales partenaires est un facteur </w:t>
      </w:r>
      <w:r w:rsidR="00CA0113" w:rsidRPr="008F47A6">
        <w:rPr>
          <w:lang w:val="fr-FR"/>
        </w:rPr>
        <w:lastRenderedPageBreak/>
        <w:t>limitant d</w:t>
      </w:r>
      <w:r w:rsidR="00300315" w:rsidRPr="008F47A6">
        <w:rPr>
          <w:lang w:val="fr-FR"/>
        </w:rPr>
        <w:t>’inclusion dans le projet et d</w:t>
      </w:r>
      <w:r w:rsidR="00CA0113" w:rsidRPr="008F47A6">
        <w:rPr>
          <w:lang w:val="fr-FR"/>
        </w:rPr>
        <w:t xml:space="preserve">e transferts de connaissances et d’information. </w:t>
      </w:r>
      <w:r w:rsidR="00300315" w:rsidRPr="008F47A6">
        <w:rPr>
          <w:lang w:val="fr-FR"/>
        </w:rPr>
        <w:t>Pour renforcer la dynamique d’information, il serait utile d’explorer</w:t>
      </w:r>
      <w:r w:rsidR="00730A6C" w:rsidRPr="008F47A6">
        <w:rPr>
          <w:lang w:val="fr-FR"/>
        </w:rPr>
        <w:t xml:space="preserve"> les possibilités de réaliser une campagne d’alphabétisation ou de collaborer avec un projet ou un partenaire pertinent</w:t>
      </w:r>
      <w:r w:rsidR="00300315" w:rsidRPr="008F47A6">
        <w:rPr>
          <w:lang w:val="fr-FR"/>
        </w:rPr>
        <w:t xml:space="preserve">. </w:t>
      </w:r>
    </w:p>
    <w:p w14:paraId="3550FC70" w14:textId="743D41EB" w:rsidR="00730A6C" w:rsidRPr="008F47A6" w:rsidRDefault="00730A6C" w:rsidP="00801272">
      <w:pPr>
        <w:rPr>
          <w:lang w:val="fr-FR"/>
        </w:rPr>
      </w:pPr>
      <w:r>
        <w:rPr>
          <w:lang w:val="fr-FR"/>
        </w:rPr>
        <w:t xml:space="preserve">En termes de risque politique, le projet a efficacement anticipé et atténué les risques liés à l’instabilité politique en période électorale. Toutefois, la stabilité du personnel dirigeant demeure un défi qui peut mettre en danger la continuité des résultats du projet. </w:t>
      </w:r>
      <w:r w:rsidR="00DB30AA">
        <w:rPr>
          <w:lang w:val="fr-FR"/>
        </w:rPr>
        <w:t xml:space="preserve">Par ailleurs, alors que la conservation de la biodiversité était jusqu’alors une priorité affichée du gouvernement </w:t>
      </w:r>
      <w:r w:rsidR="00DB30AA" w:rsidRPr="008F47A6">
        <w:rPr>
          <w:lang w:val="fr-FR"/>
        </w:rPr>
        <w:t xml:space="preserve">la montée du secteur minier dans l’agenda politique pourrait avoir un impact négatif </w:t>
      </w:r>
      <w:r w:rsidR="00483AFF">
        <w:rPr>
          <w:lang w:val="fr-FR"/>
        </w:rPr>
        <w:t>sur la durabilité des résultats du projet</w:t>
      </w:r>
      <w:r w:rsidR="00DB30AA" w:rsidRPr="008F47A6">
        <w:rPr>
          <w:lang w:val="fr-FR"/>
        </w:rPr>
        <w:t>.</w:t>
      </w:r>
      <w:r w:rsidR="00DB30AA">
        <w:rPr>
          <w:lang w:val="fr-FR"/>
        </w:rPr>
        <w:t xml:space="preserve"> </w:t>
      </w:r>
    </w:p>
    <w:p w14:paraId="7B801F25" w14:textId="21D41E00" w:rsidR="005C550F" w:rsidRDefault="005C550F" w:rsidP="005C550F">
      <w:pPr>
        <w:pStyle w:val="Titre3"/>
        <w:rPr>
          <w:lang w:val="fr-FR"/>
        </w:rPr>
      </w:pPr>
      <w:r w:rsidRPr="005C550F">
        <w:rPr>
          <w:lang w:val="fr-FR"/>
        </w:rPr>
        <w:t xml:space="preserve">Cadre institutionnel et risques de gouvernance pour la durabilité </w:t>
      </w:r>
    </w:p>
    <w:p w14:paraId="618FB041" w14:textId="6D5FF69C" w:rsidR="00D85DDD" w:rsidRPr="008F47A6" w:rsidRDefault="00D85DDD" w:rsidP="00D85DDD">
      <w:pPr>
        <w:rPr>
          <w:sz w:val="20"/>
          <w:lang w:val="fr-FR"/>
        </w:rPr>
      </w:pPr>
      <w:r w:rsidRPr="008F47A6">
        <w:rPr>
          <w:i/>
          <w:iCs/>
          <w:szCs w:val="24"/>
          <w:lang w:val="fr-FR"/>
        </w:rPr>
        <w:t>Q : Les cadres juridiques, les politiques, les structures de gouvernance et les processus posent-ils des risques</w:t>
      </w:r>
      <w:r w:rsidRPr="008F47A6">
        <w:rPr>
          <w:sz w:val="20"/>
          <w:lang w:val="fr-FR"/>
        </w:rPr>
        <w:t xml:space="preserve"> </w:t>
      </w:r>
      <w:r w:rsidRPr="008F47A6">
        <w:rPr>
          <w:i/>
          <w:iCs/>
          <w:szCs w:val="24"/>
          <w:lang w:val="fr-FR"/>
        </w:rPr>
        <w:t>pouvant compromettre le maintien des avantages du projet ?</w:t>
      </w:r>
    </w:p>
    <w:p w14:paraId="0C6C1C40" w14:textId="3EAE44D8" w:rsidR="003D75D9" w:rsidRPr="008F47A6" w:rsidRDefault="00E25099" w:rsidP="003D75D9">
      <w:pPr>
        <w:rPr>
          <w:lang w:val="fr-FR"/>
        </w:rPr>
      </w:pPr>
      <w:r w:rsidRPr="00CA44AE">
        <w:rPr>
          <w:lang w:val="fr-FR"/>
        </w:rPr>
        <w:t xml:space="preserve">Il y a un intérêt au niveau national pour </w:t>
      </w:r>
      <w:r>
        <w:rPr>
          <w:lang w:val="fr-FR"/>
        </w:rPr>
        <w:t>la mise à l’échelle des</w:t>
      </w:r>
      <w:r w:rsidRPr="00CA44AE">
        <w:rPr>
          <w:lang w:val="fr-FR"/>
        </w:rPr>
        <w:t xml:space="preserve"> résultats du projet, en termes à la fois de processus de planification (composante 1) et de création d'APC (composante 2). Cependant, pour que le passage à grande échelle ait lieu, des structures institutionnelles doivent être mises en place.</w:t>
      </w:r>
      <w:r w:rsidR="00240E47">
        <w:rPr>
          <w:lang w:val="fr-FR"/>
        </w:rPr>
        <w:t xml:space="preserve"> </w:t>
      </w:r>
      <w:r w:rsidR="003D75D9" w:rsidRPr="008F47A6">
        <w:rPr>
          <w:lang w:val="fr-FR"/>
        </w:rPr>
        <w:t>La collaboration de toutes les parties prenantes au niveau régional et national telles que le MEDD et le DREDD, le Ministère des Finances et</w:t>
      </w:r>
      <w:r w:rsidR="002715D3" w:rsidRPr="008F47A6">
        <w:rPr>
          <w:lang w:val="fr-FR"/>
        </w:rPr>
        <w:t xml:space="preserve"> </w:t>
      </w:r>
      <w:r w:rsidR="00240E47">
        <w:rPr>
          <w:lang w:val="fr-FR"/>
        </w:rPr>
        <w:t xml:space="preserve">le </w:t>
      </w:r>
      <w:r w:rsidR="002715D3" w:rsidRPr="008F47A6">
        <w:rPr>
          <w:lang w:val="fr-FR"/>
        </w:rPr>
        <w:t>M</w:t>
      </w:r>
      <w:r w:rsidR="001811EF">
        <w:rPr>
          <w:lang w:val="fr-FR"/>
        </w:rPr>
        <w:t>NP</w:t>
      </w:r>
      <w:r w:rsidR="002715D3" w:rsidRPr="008F47A6">
        <w:rPr>
          <w:lang w:val="fr-FR"/>
        </w:rPr>
        <w:t xml:space="preserve"> </w:t>
      </w:r>
      <w:r w:rsidR="003D75D9" w:rsidRPr="008F47A6">
        <w:rPr>
          <w:lang w:val="fr-FR"/>
        </w:rPr>
        <w:t xml:space="preserve">est clé pour assurer un cadre institutionnel </w:t>
      </w:r>
      <w:r w:rsidR="00DB30AA" w:rsidRPr="008F47A6">
        <w:rPr>
          <w:lang w:val="fr-FR"/>
        </w:rPr>
        <w:t>favorisant</w:t>
      </w:r>
      <w:r w:rsidR="003D75D9" w:rsidRPr="008F47A6">
        <w:rPr>
          <w:lang w:val="fr-FR"/>
        </w:rPr>
        <w:t xml:space="preserve"> à la durabilité des résultats</w:t>
      </w:r>
      <w:r w:rsidR="00152E64" w:rsidRPr="008F47A6">
        <w:rPr>
          <w:lang w:val="fr-FR"/>
        </w:rPr>
        <w:t xml:space="preserve"> atteints en termes d’approches paysage</w:t>
      </w:r>
      <w:r w:rsidR="003D75D9" w:rsidRPr="008F47A6">
        <w:rPr>
          <w:lang w:val="fr-FR"/>
        </w:rPr>
        <w:t>.</w:t>
      </w:r>
      <w:r w:rsidR="00DB30AA" w:rsidRPr="008F47A6">
        <w:rPr>
          <w:lang w:val="fr-FR"/>
        </w:rPr>
        <w:t xml:space="preserve"> Or</w:t>
      </w:r>
      <w:r w:rsidR="00555AB3">
        <w:rPr>
          <w:lang w:val="fr-FR"/>
        </w:rPr>
        <w:t>, comme mentionné ci-dessus,</w:t>
      </w:r>
      <w:r w:rsidR="00DB30AA" w:rsidRPr="008F47A6">
        <w:rPr>
          <w:lang w:val="fr-FR"/>
        </w:rPr>
        <w:t xml:space="preserve"> à mi-parcours, le projet n’a pas mis en place un mécanisme de communication entre tous ces acteurs et le projet ne bénéficie pas d’une grande appropriation au niveau national</w:t>
      </w:r>
      <w:r w:rsidR="00152E64" w:rsidRPr="008F47A6">
        <w:rPr>
          <w:lang w:val="fr-FR"/>
        </w:rPr>
        <w:t>, où l’hébergement d’outils de planification territoriale intégrant la biodiversité n’est pas clairement défini.</w:t>
      </w:r>
      <w:r w:rsidR="00483AFF">
        <w:rPr>
          <w:lang w:val="fr-FR"/>
        </w:rPr>
        <w:t xml:space="preserve"> </w:t>
      </w:r>
      <w:r w:rsidR="00486320" w:rsidRPr="008F47A6">
        <w:rPr>
          <w:lang w:val="fr-FR"/>
        </w:rPr>
        <w:t xml:space="preserve">Il est prévu que l’Observatoire Régionale pour la BD et la préservation des écosystèmes soit localisé au sein du DREDD et </w:t>
      </w:r>
      <w:proofErr w:type="gramStart"/>
      <w:r w:rsidR="00486320" w:rsidRPr="008F47A6">
        <w:rPr>
          <w:lang w:val="fr-FR"/>
        </w:rPr>
        <w:t>soit en charge</w:t>
      </w:r>
      <w:proofErr w:type="gramEnd"/>
      <w:r w:rsidR="00486320" w:rsidRPr="008F47A6">
        <w:rPr>
          <w:lang w:val="fr-FR"/>
        </w:rPr>
        <w:t xml:space="preserve"> de l’administration de l’OPT BD. Toutefois, le MEDD ne prend pas le leadership sur ces questions. </w:t>
      </w:r>
      <w:r w:rsidR="00152E64" w:rsidRPr="008F47A6">
        <w:rPr>
          <w:lang w:val="fr-FR"/>
        </w:rPr>
        <w:t xml:space="preserve">Il convient donc de renforcer les synergies entre les parties prenantes au niveau national et régional, ainsi qu’entre les parties prenantes au niveau national. </w:t>
      </w:r>
      <w:r w:rsidR="00555AB3">
        <w:rPr>
          <w:lang w:val="fr-FR"/>
        </w:rPr>
        <w:t xml:space="preserve">Il y est aussi important de renforcer l’identification, </w:t>
      </w:r>
      <w:r w:rsidR="0062508B">
        <w:rPr>
          <w:lang w:val="fr-FR"/>
        </w:rPr>
        <w:t xml:space="preserve">la </w:t>
      </w:r>
      <w:r w:rsidR="00555AB3">
        <w:rPr>
          <w:lang w:val="fr-FR"/>
        </w:rPr>
        <w:t xml:space="preserve">systématisation et </w:t>
      </w:r>
      <w:r w:rsidR="0062508B">
        <w:rPr>
          <w:lang w:val="fr-FR"/>
        </w:rPr>
        <w:t>le partage</w:t>
      </w:r>
      <w:r w:rsidR="00555AB3">
        <w:rPr>
          <w:lang w:val="fr-FR"/>
        </w:rPr>
        <w:t xml:space="preserve"> des leçons apprises pour faciliter la durabilité et la mis</w:t>
      </w:r>
      <w:r w:rsidR="0062508B">
        <w:rPr>
          <w:lang w:val="fr-FR"/>
        </w:rPr>
        <w:t xml:space="preserve">e à </w:t>
      </w:r>
      <w:r w:rsidR="00971B89">
        <w:rPr>
          <w:lang w:val="fr-FR"/>
        </w:rPr>
        <w:t>l’échelle</w:t>
      </w:r>
      <w:r w:rsidR="00555AB3">
        <w:rPr>
          <w:lang w:val="fr-FR"/>
        </w:rPr>
        <w:t xml:space="preserve">. </w:t>
      </w:r>
    </w:p>
    <w:p w14:paraId="3860DD02" w14:textId="77777777" w:rsidR="003D75D9" w:rsidRPr="003D75D9" w:rsidRDefault="003D75D9" w:rsidP="003D75D9">
      <w:pPr>
        <w:rPr>
          <w:sz w:val="20"/>
          <w:lang w:val="fr-FR"/>
        </w:rPr>
      </w:pPr>
    </w:p>
    <w:p w14:paraId="7F66A6EA" w14:textId="148B0038" w:rsidR="00937AA0" w:rsidRDefault="005C550F" w:rsidP="005C550F">
      <w:pPr>
        <w:pStyle w:val="Titre3"/>
        <w:rPr>
          <w:lang w:val="fr-FR"/>
        </w:rPr>
      </w:pPr>
      <w:r w:rsidRPr="005C550F">
        <w:rPr>
          <w:lang w:val="fr-FR"/>
        </w:rPr>
        <w:t>Risques environnementaux pour la durabilité</w:t>
      </w:r>
    </w:p>
    <w:p w14:paraId="33943258" w14:textId="2327DFBE" w:rsidR="005C550F" w:rsidRPr="008F47A6" w:rsidRDefault="00D85DDD" w:rsidP="005C550F">
      <w:pPr>
        <w:rPr>
          <w:i/>
          <w:iCs/>
          <w:szCs w:val="24"/>
          <w:lang w:val="fr-FR"/>
        </w:rPr>
      </w:pPr>
      <w:r w:rsidRPr="008F47A6">
        <w:rPr>
          <w:i/>
          <w:iCs/>
          <w:szCs w:val="24"/>
          <w:lang w:val="fr-FR"/>
        </w:rPr>
        <w:t xml:space="preserve">Q : Existe-t-il des risques environnementaux pouvant compromettre la durabilité des résultats du </w:t>
      </w:r>
      <w:proofErr w:type="gramStart"/>
      <w:r w:rsidRPr="008F47A6">
        <w:rPr>
          <w:i/>
          <w:iCs/>
          <w:szCs w:val="24"/>
          <w:lang w:val="fr-FR"/>
        </w:rPr>
        <w:t>projet?</w:t>
      </w:r>
      <w:proofErr w:type="gramEnd"/>
    </w:p>
    <w:p w14:paraId="3079F827" w14:textId="64222DBE" w:rsidR="009404B4" w:rsidRDefault="007800ED" w:rsidP="005C550F">
      <w:pPr>
        <w:rPr>
          <w:sz w:val="20"/>
          <w:lang w:val="fr-FR"/>
        </w:rPr>
      </w:pPr>
      <w:r w:rsidRPr="008F47A6">
        <w:rPr>
          <w:lang w:val="fr-FR"/>
        </w:rPr>
        <w:t xml:space="preserve">Alors que les risques climatique et naturel </w:t>
      </w:r>
      <w:r w:rsidR="00555AB3">
        <w:rPr>
          <w:lang w:val="fr-FR"/>
        </w:rPr>
        <w:t>ont</w:t>
      </w:r>
      <w:r w:rsidRPr="008F47A6">
        <w:rPr>
          <w:lang w:val="fr-FR"/>
        </w:rPr>
        <w:t xml:space="preserve"> été évalué</w:t>
      </w:r>
      <w:r w:rsidR="00555AB3">
        <w:rPr>
          <w:lang w:val="fr-FR"/>
        </w:rPr>
        <w:t>s</w:t>
      </w:r>
      <w:r w:rsidRPr="008F47A6">
        <w:rPr>
          <w:lang w:val="fr-FR"/>
        </w:rPr>
        <w:t xml:space="preserve"> lors de la conception du projet comme de niveau moyen, cette dimension n’est pas vraiment considérée ni atténuée. Le Bureau </w:t>
      </w:r>
      <w:r w:rsidR="00BC5055" w:rsidRPr="008F47A6">
        <w:rPr>
          <w:lang w:val="fr-FR"/>
        </w:rPr>
        <w:t xml:space="preserve">National des Risques et Catastrophes </w:t>
      </w:r>
      <w:r w:rsidRPr="008F47A6">
        <w:rPr>
          <w:lang w:val="fr-FR"/>
        </w:rPr>
        <w:t>n’est d’ailleurs pas impliqué dans le projet et ne fait pas partie du Comité de Pilotage, ce qui est regrettable</w:t>
      </w:r>
      <w:r w:rsidR="00582B5D">
        <w:rPr>
          <w:lang w:val="fr-FR"/>
        </w:rPr>
        <w:t xml:space="preserve">. </w:t>
      </w:r>
    </w:p>
    <w:p w14:paraId="15B783B8" w14:textId="77777777" w:rsidR="00582B5D" w:rsidRDefault="00582B5D" w:rsidP="005C550F">
      <w:pPr>
        <w:rPr>
          <w:sz w:val="20"/>
          <w:lang w:val="fr-FR"/>
        </w:rPr>
      </w:pPr>
    </w:p>
    <w:p w14:paraId="5395F246" w14:textId="7CCB98EA" w:rsidR="00D85DDD" w:rsidRDefault="00D85DDD"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
          <w:color w:val="2F5496"/>
          <w:u w:val="single"/>
          <w:lang w:val="fr-FR"/>
        </w:rPr>
      </w:pPr>
      <w:r w:rsidRPr="00486C46">
        <w:rPr>
          <w:b/>
          <w:color w:val="2F5496"/>
          <w:u w:val="single"/>
          <w:lang w:val="fr-FR"/>
        </w:rPr>
        <w:lastRenderedPageBreak/>
        <w:t xml:space="preserve">Conclusion question évaluative </w:t>
      </w:r>
      <w:r>
        <w:rPr>
          <w:b/>
          <w:color w:val="2F5496"/>
          <w:u w:val="single"/>
          <w:lang w:val="fr-FR"/>
        </w:rPr>
        <w:t>4</w:t>
      </w:r>
      <w:r w:rsidRPr="00486C46">
        <w:rPr>
          <w:b/>
          <w:color w:val="2F5496"/>
          <w:u w:val="single"/>
          <w:lang w:val="fr-FR"/>
        </w:rPr>
        <w:t> :</w:t>
      </w:r>
    </w:p>
    <w:p w14:paraId="44B493E4" w14:textId="433F82C9" w:rsidR="00D85DDD" w:rsidRPr="00486C46" w:rsidRDefault="007800ED" w:rsidP="00D85DDD">
      <w:pPr>
        <w:pStyle w:val="Paragraphedeliste"/>
        <w:numPr>
          <w:ilvl w:val="0"/>
          <w:numId w:val="0"/>
        </w:numPr>
        <w:pBdr>
          <w:top w:val="single" w:sz="4" w:space="1" w:color="auto"/>
          <w:left w:val="single" w:sz="4" w:space="4" w:color="auto"/>
          <w:bottom w:val="single" w:sz="4" w:space="0" w:color="auto"/>
          <w:right w:val="single" w:sz="4" w:space="4" w:color="auto"/>
        </w:pBdr>
        <w:shd w:val="clear" w:color="auto" w:fill="F2F2F2" w:themeFill="background1" w:themeFillShade="F2"/>
        <w:contextualSpacing w:val="0"/>
        <w:rPr>
          <w:b/>
          <w:color w:val="2F5496"/>
          <w:u w:val="single"/>
          <w:lang w:val="fr-FR"/>
        </w:rPr>
      </w:pPr>
      <w:r w:rsidRPr="008F47A6">
        <w:rPr>
          <w:bCs/>
          <w:color w:val="2F5496"/>
          <w:lang w:val="fr-FR"/>
        </w:rPr>
        <w:t xml:space="preserve">Le projet APAA </w:t>
      </w:r>
      <w:r w:rsidR="00CD628C">
        <w:rPr>
          <w:bCs/>
          <w:color w:val="2F5496"/>
          <w:lang w:val="fr-FR"/>
        </w:rPr>
        <w:t xml:space="preserve">s’appuie en grande partie sur le FAPBM qui doit encore trouver un moyen de mobiliser </w:t>
      </w:r>
      <w:r w:rsidR="00CC02B8">
        <w:rPr>
          <w:bCs/>
          <w:color w:val="2F5496"/>
          <w:lang w:val="fr-FR"/>
        </w:rPr>
        <w:t>les ressources nécessaires</w:t>
      </w:r>
      <w:r w:rsidR="00CD628C">
        <w:rPr>
          <w:bCs/>
          <w:color w:val="2F5496"/>
          <w:lang w:val="fr-FR"/>
        </w:rPr>
        <w:t xml:space="preserve"> à l’hébergement durable de l’OPT BD et sur les activités génératrices de revenus pour lesquelles les pistes n’ont pas encore été explorées.</w:t>
      </w:r>
      <w:r>
        <w:rPr>
          <w:bCs/>
          <w:color w:val="2F5496"/>
          <w:lang w:val="fr-FR"/>
        </w:rPr>
        <w:t xml:space="preserve"> La durabilité socio-économique</w:t>
      </w:r>
      <w:r w:rsidR="00582B5D">
        <w:rPr>
          <w:bCs/>
          <w:color w:val="2F5496"/>
          <w:lang w:val="fr-FR"/>
        </w:rPr>
        <w:t xml:space="preserve"> s’inscrit dans la logique de création des APC puisque celles-ci visent à promouvoir le développement humain des communautés locales. Elle pourrait toutefois être renforcée par une campagne d’alphabétisation. </w:t>
      </w:r>
      <w:r w:rsidR="00CD628C" w:rsidRPr="00CA44AE">
        <w:rPr>
          <w:bCs/>
          <w:color w:val="2F5496"/>
          <w:lang w:val="fr-FR"/>
        </w:rPr>
        <w:t>Il est également possible d'améliorer la participation des principales institutions nationales, ce qui est essentiel à la fois pour la durabilité des résultats du projet et pour leur mise à l'échelle.</w:t>
      </w:r>
      <w:r w:rsidR="005525C3">
        <w:rPr>
          <w:bCs/>
          <w:color w:val="2F5496"/>
          <w:lang w:val="fr-FR"/>
        </w:rPr>
        <w:t xml:space="preserve"> </w:t>
      </w:r>
      <w:r w:rsidR="00582B5D">
        <w:rPr>
          <w:bCs/>
          <w:color w:val="2F5496"/>
          <w:lang w:val="fr-FR"/>
        </w:rPr>
        <w:t xml:space="preserve">Enfin, la durabilité environnementale ne sera garantie que si le projet s’inscrit dans un effort constant de lutte pour la conservation de la biodiversité et contre le changement climatique. </w:t>
      </w:r>
    </w:p>
    <w:p w14:paraId="5692D15C" w14:textId="77777777" w:rsidR="00D85DDD" w:rsidRPr="005C550F" w:rsidRDefault="00D85DDD" w:rsidP="005C550F">
      <w:pPr>
        <w:rPr>
          <w:lang w:val="fr-FR"/>
        </w:rPr>
      </w:pPr>
    </w:p>
    <w:p w14:paraId="54D1DF5D" w14:textId="77777777" w:rsidR="00937AA0" w:rsidRPr="008F47A6" w:rsidRDefault="00937AA0" w:rsidP="00937AA0">
      <w:pPr>
        <w:pStyle w:val="Titre1"/>
        <w:ind w:left="1134" w:hanging="1134"/>
      </w:pPr>
      <w:bookmarkStart w:id="25" w:name="_Toc501646712"/>
      <w:bookmarkStart w:id="26" w:name="_Toc31122561"/>
      <w:r w:rsidRPr="008F47A6">
        <w:t>Leçons apprises</w:t>
      </w:r>
      <w:bookmarkEnd w:id="25"/>
      <w:bookmarkEnd w:id="26"/>
    </w:p>
    <w:p w14:paraId="1E26EC1D" w14:textId="217C5664" w:rsidR="00911067" w:rsidRPr="008F47A6" w:rsidRDefault="00911067" w:rsidP="00911067">
      <w:pPr>
        <w:autoSpaceDE w:val="0"/>
        <w:autoSpaceDN w:val="0"/>
        <w:adjustRightInd w:val="0"/>
        <w:spacing w:before="0" w:after="0" w:line="240" w:lineRule="auto"/>
        <w:jc w:val="left"/>
        <w:rPr>
          <w:rFonts w:cs="Garamond"/>
          <w:lang w:val="fr-FR"/>
        </w:rPr>
      </w:pPr>
      <w:r w:rsidRPr="008F47A6">
        <w:rPr>
          <w:rFonts w:cs="Garamond"/>
          <w:lang w:val="fr-FR"/>
        </w:rPr>
        <w:t xml:space="preserve">L’évaluation a permis de mettre en évidence les leçons apprises suivantes en termes de mécanisme de gestion de projet et de processus de gestion des ressources naturelles : </w:t>
      </w:r>
    </w:p>
    <w:p w14:paraId="5CB555B3" w14:textId="1131BFF8" w:rsidR="00E63B60" w:rsidRPr="008F47A6" w:rsidRDefault="00911067" w:rsidP="00E63B60">
      <w:pPr>
        <w:pStyle w:val="Paragraphedeliste"/>
        <w:numPr>
          <w:ilvl w:val="0"/>
          <w:numId w:val="14"/>
        </w:numPr>
        <w:autoSpaceDE w:val="0"/>
        <w:autoSpaceDN w:val="0"/>
        <w:adjustRightInd w:val="0"/>
        <w:spacing w:before="0" w:after="0" w:line="240" w:lineRule="auto"/>
        <w:jc w:val="left"/>
        <w:rPr>
          <w:rFonts w:cs="Garamond"/>
          <w:lang w:val="fr-FR"/>
        </w:rPr>
      </w:pPr>
      <w:r w:rsidRPr="008F47A6">
        <w:rPr>
          <w:rFonts w:cs="Garamond"/>
          <w:lang w:val="fr-FR"/>
        </w:rPr>
        <w:t>Dans le cadre de la gestion de projet en modalité d’exécution nationale, une formation sur toutes les procédure</w:t>
      </w:r>
      <w:r w:rsidR="00E63B60" w:rsidRPr="008F47A6">
        <w:rPr>
          <w:rFonts w:cs="Garamond"/>
          <w:lang w:val="fr-FR"/>
        </w:rPr>
        <w:t>s</w:t>
      </w:r>
      <w:r w:rsidRPr="008F47A6">
        <w:rPr>
          <w:rFonts w:cs="Garamond"/>
          <w:lang w:val="fr-FR"/>
        </w:rPr>
        <w:t xml:space="preserve">, y compris </w:t>
      </w:r>
      <w:r w:rsidR="00307CC4">
        <w:rPr>
          <w:rFonts w:cs="Garamond"/>
          <w:lang w:val="fr-FR"/>
        </w:rPr>
        <w:t xml:space="preserve">un rafraîchissement sur la formation </w:t>
      </w:r>
      <w:r w:rsidRPr="008F47A6">
        <w:rPr>
          <w:rFonts w:cs="Garamond"/>
          <w:lang w:val="fr-FR"/>
        </w:rPr>
        <w:t>HACT est absolument nécessaire et doit être délivrée dès le lancement du projet</w:t>
      </w:r>
      <w:r w:rsidR="00E63B60" w:rsidRPr="008F47A6">
        <w:rPr>
          <w:rFonts w:cs="Garamond"/>
          <w:lang w:val="fr-FR"/>
        </w:rPr>
        <w:t xml:space="preserve">. Une formation de ‘rafraichissement » doit être donnée après quelques mois de mise en œuvre pour assurer la maitrise parfaite des procédures ; </w:t>
      </w:r>
    </w:p>
    <w:p w14:paraId="486FDFDA" w14:textId="509CC680" w:rsidR="00E63B60" w:rsidRPr="008F47A6" w:rsidRDefault="00E63B60" w:rsidP="00E63B60">
      <w:pPr>
        <w:pStyle w:val="Paragraphedeliste"/>
        <w:numPr>
          <w:ilvl w:val="0"/>
          <w:numId w:val="14"/>
        </w:numPr>
        <w:autoSpaceDE w:val="0"/>
        <w:autoSpaceDN w:val="0"/>
        <w:adjustRightInd w:val="0"/>
        <w:spacing w:before="0" w:after="0" w:line="240" w:lineRule="auto"/>
        <w:jc w:val="left"/>
        <w:rPr>
          <w:rFonts w:cs="Garamond"/>
          <w:lang w:val="fr-FR"/>
        </w:rPr>
      </w:pPr>
      <w:r w:rsidRPr="008F47A6">
        <w:rPr>
          <w:rFonts w:cs="Garamond"/>
          <w:lang w:val="fr-FR"/>
        </w:rPr>
        <w:t xml:space="preserve">Quand un projet est lancé tardivement après l’élaboration du document de projet, il est nécessaire de mettre à jour toutes les données et hypothèses et réajuster le projet en conséquence ; </w:t>
      </w:r>
    </w:p>
    <w:p w14:paraId="2977FF55" w14:textId="1E52AA07" w:rsidR="00E63B60" w:rsidRPr="008F47A6" w:rsidRDefault="00E63B60" w:rsidP="00E63B60">
      <w:pPr>
        <w:pStyle w:val="Paragraphedeliste"/>
        <w:numPr>
          <w:ilvl w:val="0"/>
          <w:numId w:val="14"/>
        </w:numPr>
        <w:autoSpaceDE w:val="0"/>
        <w:autoSpaceDN w:val="0"/>
        <w:adjustRightInd w:val="0"/>
        <w:spacing w:before="0" w:after="0" w:line="240" w:lineRule="auto"/>
        <w:jc w:val="left"/>
        <w:rPr>
          <w:rFonts w:cs="Garamond"/>
          <w:lang w:val="fr-FR"/>
        </w:rPr>
      </w:pPr>
      <w:r w:rsidRPr="008F47A6">
        <w:rPr>
          <w:rFonts w:cs="Garamond"/>
          <w:lang w:val="fr-FR"/>
        </w:rPr>
        <w:t xml:space="preserve">De manière à assurer la bonne compréhension des objectifs et de la stratégie du projet, si cela n’a pas été fait dans le document de projet, il est nécessaire de développer rapidement et de manière participative l’arbre des problèmes et des solutions, ainsi que la théorie du changement du projet ; </w:t>
      </w:r>
    </w:p>
    <w:p w14:paraId="4B4EEC80" w14:textId="62BF7CC0" w:rsidR="00E63B60" w:rsidRPr="008F47A6" w:rsidRDefault="00E63B60" w:rsidP="00E63B60">
      <w:pPr>
        <w:pStyle w:val="Paragraphedeliste"/>
        <w:numPr>
          <w:ilvl w:val="0"/>
          <w:numId w:val="14"/>
        </w:numPr>
        <w:autoSpaceDE w:val="0"/>
        <w:autoSpaceDN w:val="0"/>
        <w:adjustRightInd w:val="0"/>
        <w:spacing w:before="0" w:after="0" w:line="240" w:lineRule="auto"/>
        <w:jc w:val="left"/>
        <w:rPr>
          <w:rFonts w:cs="Garamond"/>
          <w:lang w:val="fr-FR"/>
        </w:rPr>
      </w:pPr>
      <w:r w:rsidRPr="008F47A6">
        <w:rPr>
          <w:rFonts w:cs="Garamond"/>
          <w:lang w:val="fr-FR"/>
        </w:rPr>
        <w:t xml:space="preserve">Si l’installation régionale d’un projet national est innovante, il convient de ne pas sous-estimer les défis que cela représente en termes d’intégration et de communication ; </w:t>
      </w:r>
    </w:p>
    <w:p w14:paraId="5E80B027" w14:textId="1CA0B96E" w:rsidR="00911067" w:rsidRPr="008F47A6" w:rsidRDefault="00E63B60" w:rsidP="008F47A6">
      <w:pPr>
        <w:pStyle w:val="Paragraphedeliste"/>
        <w:numPr>
          <w:ilvl w:val="0"/>
          <w:numId w:val="14"/>
        </w:numPr>
        <w:autoSpaceDE w:val="0"/>
        <w:autoSpaceDN w:val="0"/>
        <w:adjustRightInd w:val="0"/>
        <w:spacing w:before="0" w:after="0" w:line="240" w:lineRule="auto"/>
        <w:jc w:val="left"/>
        <w:rPr>
          <w:lang w:val="fr-FR"/>
        </w:rPr>
      </w:pPr>
      <w:r w:rsidRPr="008F47A6">
        <w:rPr>
          <w:rFonts w:cs="Garamond"/>
          <w:lang w:val="fr-FR"/>
        </w:rPr>
        <w:t xml:space="preserve">A fortiori quand les parties prenantes du projet </w:t>
      </w:r>
      <w:r w:rsidR="00BA0CA6" w:rsidRPr="008F47A6">
        <w:rPr>
          <w:rFonts w:cs="Garamond"/>
          <w:lang w:val="fr-FR"/>
        </w:rPr>
        <w:t xml:space="preserve">ne sont pas toutes basées au même endroit, il est utile d’élaborer une stratégie de communication tenant compte des contraintes matérielles et de la distance afin d’assurer l’efficacité et les échanges réguliers entre tous les acteurs. </w:t>
      </w:r>
    </w:p>
    <w:p w14:paraId="63DE3E16" w14:textId="77777777" w:rsidR="003234EA" w:rsidRPr="00486C46" w:rsidRDefault="003234EA" w:rsidP="00937AA0">
      <w:pPr>
        <w:pStyle w:val="Paragraphedeliste"/>
        <w:numPr>
          <w:ilvl w:val="0"/>
          <w:numId w:val="0"/>
        </w:numPr>
        <w:ind w:left="720"/>
        <w:contextualSpacing w:val="0"/>
        <w:rPr>
          <w:lang w:val="fr-FR"/>
        </w:rPr>
      </w:pPr>
    </w:p>
    <w:p w14:paraId="4EA05FBC" w14:textId="77777777" w:rsidR="005525C3" w:rsidRDefault="005525C3">
      <w:pPr>
        <w:spacing w:before="0" w:after="200"/>
        <w:jc w:val="left"/>
        <w:rPr>
          <w:rFonts w:eastAsiaTheme="majorEastAsia" w:cstheme="majorBidi"/>
          <w:b/>
          <w:bCs/>
          <w:color w:val="133C66"/>
          <w:sz w:val="48"/>
          <w:szCs w:val="28"/>
          <w:lang w:val="fr-FR"/>
        </w:rPr>
      </w:pPr>
      <w:bookmarkStart w:id="27" w:name="_Toc501646713"/>
      <w:r>
        <w:rPr>
          <w:lang w:val="fr-FR"/>
        </w:rPr>
        <w:br w:type="page"/>
      </w:r>
    </w:p>
    <w:p w14:paraId="0E1F36E0" w14:textId="72C6C5D5" w:rsidR="00937AA0" w:rsidRPr="008F47A6" w:rsidRDefault="00937AA0" w:rsidP="00937AA0">
      <w:pPr>
        <w:pStyle w:val="Titre1"/>
        <w:ind w:left="1134" w:hanging="1134"/>
        <w:rPr>
          <w:lang w:val="fr-FR"/>
        </w:rPr>
      </w:pPr>
      <w:bookmarkStart w:id="28" w:name="_Toc31122562"/>
      <w:r w:rsidRPr="008F47A6">
        <w:rPr>
          <w:lang w:val="fr-FR"/>
        </w:rPr>
        <w:lastRenderedPageBreak/>
        <w:t>Conclusions</w:t>
      </w:r>
      <w:bookmarkEnd w:id="27"/>
      <w:bookmarkEnd w:id="28"/>
      <w:r w:rsidRPr="008F47A6">
        <w:rPr>
          <w:lang w:val="fr-FR"/>
        </w:rPr>
        <w:t xml:space="preserve"> </w:t>
      </w:r>
    </w:p>
    <w:p w14:paraId="0EE403DD" w14:textId="4B8D3C71" w:rsidR="005C550F" w:rsidRPr="008F47A6" w:rsidRDefault="005C550F" w:rsidP="008F47A6">
      <w:pPr>
        <w:pStyle w:val="Paragraphedeliste"/>
        <w:numPr>
          <w:ilvl w:val="0"/>
          <w:numId w:val="14"/>
        </w:numPr>
        <w:autoSpaceDE w:val="0"/>
        <w:autoSpaceDN w:val="0"/>
        <w:adjustRightInd w:val="0"/>
        <w:spacing w:before="0" w:after="0" w:line="240" w:lineRule="auto"/>
        <w:jc w:val="left"/>
        <w:rPr>
          <w:rFonts w:cs="Garamond"/>
          <w:b/>
          <w:bCs/>
          <w:lang w:val="fr-FR"/>
        </w:rPr>
      </w:pPr>
      <w:bookmarkStart w:id="29" w:name="_Hlk501536242"/>
      <w:r w:rsidRPr="008F47A6">
        <w:rPr>
          <w:rFonts w:cs="Garamond"/>
          <w:b/>
          <w:bCs/>
          <w:lang w:val="fr-FR"/>
        </w:rPr>
        <w:t>Pertinence</w:t>
      </w:r>
    </w:p>
    <w:p w14:paraId="47BF7DDC" w14:textId="17448642" w:rsidR="00CC02B8" w:rsidRDefault="00337AD5" w:rsidP="00CA44AE">
      <w:pPr>
        <w:pStyle w:val="Paragraphedeliste"/>
        <w:numPr>
          <w:ilvl w:val="0"/>
          <w:numId w:val="0"/>
        </w:numPr>
        <w:autoSpaceDE w:val="0"/>
        <w:autoSpaceDN w:val="0"/>
        <w:adjustRightInd w:val="0"/>
        <w:spacing w:before="0" w:after="0" w:line="240" w:lineRule="auto"/>
        <w:ind w:left="720"/>
        <w:rPr>
          <w:rFonts w:cs="Garamond"/>
          <w:lang w:val="fr-FR"/>
        </w:rPr>
      </w:pPr>
      <w:r w:rsidRPr="00337AD5">
        <w:rPr>
          <w:rFonts w:cs="Garamond"/>
          <w:lang w:val="fr-FR"/>
        </w:rPr>
        <w:t xml:space="preserve">Le projet est pertinent et aligné sur les priorités nationales et la volonté des acteurs locaux. Toutefois l’absence de théorie du changement et arbres à problèmes et solutions rendent sa compréhension compliquée pour les acteurs clés de sa mise en œuvre. </w:t>
      </w:r>
      <w:r w:rsidR="00E56704">
        <w:rPr>
          <w:rFonts w:cs="Garamond"/>
          <w:lang w:val="fr-FR"/>
        </w:rPr>
        <w:t>L</w:t>
      </w:r>
      <w:r w:rsidR="00E56704" w:rsidRPr="00E56704">
        <w:rPr>
          <w:rFonts w:cs="Garamond"/>
          <w:lang w:val="fr-FR"/>
        </w:rPr>
        <w:t>e cadre logique</w:t>
      </w:r>
      <w:r w:rsidR="00E56704">
        <w:rPr>
          <w:rFonts w:cs="Garamond"/>
          <w:lang w:val="fr-FR"/>
        </w:rPr>
        <w:t xml:space="preserve"> révisé est plus approprié, même s’</w:t>
      </w:r>
      <w:r w:rsidR="00E56704" w:rsidRPr="00E56704">
        <w:rPr>
          <w:rFonts w:cs="Garamond"/>
          <w:lang w:val="fr-FR"/>
        </w:rPr>
        <w:t xml:space="preserve">il </w:t>
      </w:r>
      <w:r w:rsidR="00E56704">
        <w:rPr>
          <w:rFonts w:cs="Garamond"/>
          <w:lang w:val="fr-FR"/>
        </w:rPr>
        <w:t>reste</w:t>
      </w:r>
      <w:r w:rsidR="00E56704" w:rsidRPr="00E56704">
        <w:rPr>
          <w:rFonts w:cs="Garamond"/>
          <w:lang w:val="fr-FR"/>
        </w:rPr>
        <w:t xml:space="preserve"> urgent de définir précisément la valeur initiale de certains indicateurs et d'en ajuster d'autres. Il est également urgent de systématiser son utilisation dans le suivi des projets.</w:t>
      </w:r>
    </w:p>
    <w:p w14:paraId="454B9908" w14:textId="3C9E5028" w:rsidR="00337AD5" w:rsidRPr="008F47A6" w:rsidRDefault="00337AD5" w:rsidP="00CA44AE">
      <w:pPr>
        <w:pStyle w:val="Paragraphedeliste"/>
        <w:numPr>
          <w:ilvl w:val="0"/>
          <w:numId w:val="0"/>
        </w:numPr>
        <w:autoSpaceDE w:val="0"/>
        <w:autoSpaceDN w:val="0"/>
        <w:adjustRightInd w:val="0"/>
        <w:spacing w:before="0" w:after="0" w:line="240" w:lineRule="auto"/>
        <w:ind w:left="720"/>
        <w:rPr>
          <w:rFonts w:cs="Garamond"/>
          <w:lang w:val="fr-FR"/>
        </w:rPr>
      </w:pPr>
    </w:p>
    <w:p w14:paraId="5C74E460" w14:textId="71D2445E" w:rsidR="005C550F" w:rsidRPr="008F47A6" w:rsidRDefault="005C550F" w:rsidP="00CA44AE">
      <w:pPr>
        <w:pStyle w:val="Paragraphedeliste"/>
        <w:numPr>
          <w:ilvl w:val="0"/>
          <w:numId w:val="14"/>
        </w:numPr>
        <w:autoSpaceDE w:val="0"/>
        <w:autoSpaceDN w:val="0"/>
        <w:adjustRightInd w:val="0"/>
        <w:spacing w:before="0" w:after="0" w:line="240" w:lineRule="auto"/>
        <w:rPr>
          <w:rFonts w:cs="Garamond"/>
          <w:b/>
          <w:bCs/>
          <w:lang w:val="fr-FR"/>
        </w:rPr>
      </w:pPr>
      <w:r w:rsidRPr="008F47A6">
        <w:rPr>
          <w:rFonts w:cs="Garamond"/>
          <w:b/>
          <w:bCs/>
          <w:lang w:val="fr-FR"/>
        </w:rPr>
        <w:t xml:space="preserve">Efficacité </w:t>
      </w:r>
    </w:p>
    <w:p w14:paraId="11C6AEF8" w14:textId="2A167545" w:rsidR="002F538C" w:rsidRPr="008F47A6" w:rsidRDefault="00122487" w:rsidP="00CA44AE">
      <w:pPr>
        <w:pStyle w:val="Paragraphedeliste"/>
        <w:numPr>
          <w:ilvl w:val="0"/>
          <w:numId w:val="0"/>
        </w:numPr>
        <w:autoSpaceDE w:val="0"/>
        <w:autoSpaceDN w:val="0"/>
        <w:adjustRightInd w:val="0"/>
        <w:spacing w:before="0" w:after="0" w:line="240" w:lineRule="auto"/>
        <w:ind w:left="720"/>
        <w:rPr>
          <w:rFonts w:cs="Garamond"/>
          <w:lang w:val="fr-FR"/>
        </w:rPr>
      </w:pPr>
      <w:r w:rsidRPr="00122487">
        <w:rPr>
          <w:rFonts w:cs="Garamond"/>
          <w:lang w:val="fr-FR"/>
        </w:rPr>
        <w:t>Les progrès accomplis dans la réalisation de</w:t>
      </w:r>
      <w:r w:rsidR="00413904">
        <w:rPr>
          <w:rFonts w:cs="Garamond"/>
          <w:lang w:val="fr-FR"/>
        </w:rPr>
        <w:t>s</w:t>
      </w:r>
      <w:r w:rsidRPr="00122487">
        <w:rPr>
          <w:rFonts w:cs="Garamond"/>
          <w:lang w:val="fr-FR"/>
        </w:rPr>
        <w:t xml:space="preserve"> </w:t>
      </w:r>
      <w:r w:rsidR="00413904">
        <w:rPr>
          <w:rFonts w:cs="Garamond"/>
          <w:lang w:val="fr-FR"/>
        </w:rPr>
        <w:t>5</w:t>
      </w:r>
      <w:r w:rsidRPr="00122487">
        <w:rPr>
          <w:rFonts w:cs="Garamond"/>
          <w:lang w:val="fr-FR"/>
        </w:rPr>
        <w:t xml:space="preserve"> indicateurs de niveau objectif sont satisfaisants. </w:t>
      </w:r>
      <w:r w:rsidR="002F538C" w:rsidRPr="008F47A6">
        <w:rPr>
          <w:rFonts w:cs="Garamond"/>
          <w:lang w:val="fr-FR"/>
        </w:rPr>
        <w:t xml:space="preserve">Le projet est sur la bonne voie pour élaborer un cadre de gouvernance régionale axé sur la collaboration, les outils ayant déjà été développés. Toutefois, l’implication de certains partenaires clés au niveau national serait bénéfique. </w:t>
      </w:r>
    </w:p>
    <w:p w14:paraId="2FC10F1B" w14:textId="20772050" w:rsidR="002F538C" w:rsidRPr="008F47A6" w:rsidRDefault="00122487" w:rsidP="00CA44AE">
      <w:pPr>
        <w:pStyle w:val="Paragraphedeliste"/>
        <w:numPr>
          <w:ilvl w:val="0"/>
          <w:numId w:val="0"/>
        </w:numPr>
        <w:autoSpaceDE w:val="0"/>
        <w:autoSpaceDN w:val="0"/>
        <w:adjustRightInd w:val="0"/>
        <w:spacing w:before="0" w:after="0" w:line="240" w:lineRule="auto"/>
        <w:ind w:left="720"/>
        <w:rPr>
          <w:rFonts w:cs="Garamond"/>
          <w:lang w:val="fr-FR"/>
        </w:rPr>
      </w:pPr>
      <w:r w:rsidRPr="00122487">
        <w:rPr>
          <w:rFonts w:cs="Garamond"/>
          <w:lang w:val="fr-FR"/>
        </w:rPr>
        <w:t xml:space="preserve">Pour la composante 1, trois des indicateurs de résultats sont notés plutôt satisfaisant à très satisfaisant. En l’absence de méthodologie, l’indicateur de planification à l’échelle des paysages ne peut être évalué. L’indicateur 8 est lui, noté moyennement insatisfaisant car des progrès restent à faire en termes d’élaboration de l’EIE, mise en œuvre du DOGME et pilote public-privé. </w:t>
      </w:r>
      <w:r w:rsidR="002F538C" w:rsidRPr="008F47A6">
        <w:rPr>
          <w:rFonts w:cs="Garamond"/>
          <w:lang w:val="fr-FR"/>
        </w:rPr>
        <w:t>En termes de planification territoriale, le projet APAA a permis l’élaboration d’outils primordiaux tels que l’OPT BD et le PROSCB</w:t>
      </w:r>
      <w:r w:rsidR="00F3104A" w:rsidRPr="008F47A6">
        <w:rPr>
          <w:rFonts w:cs="Garamond"/>
          <w:lang w:val="fr-FR"/>
        </w:rPr>
        <w:t xml:space="preserve"> ainsi que l’élaboration du nouveau PRD, alignés sur le SRAT. L’objectif premier de cette composante pour l’année à venir sera de clarifier l’hébergement de l’OBER et son assise institutionnelle. </w:t>
      </w:r>
    </w:p>
    <w:p w14:paraId="110ECAFA" w14:textId="3A9D9BCD" w:rsidR="00F3104A" w:rsidRPr="008F47A6" w:rsidRDefault="00122487" w:rsidP="00CA44AE">
      <w:pPr>
        <w:pStyle w:val="Paragraphedeliste"/>
        <w:numPr>
          <w:ilvl w:val="0"/>
          <w:numId w:val="0"/>
        </w:numPr>
        <w:autoSpaceDE w:val="0"/>
        <w:autoSpaceDN w:val="0"/>
        <w:adjustRightInd w:val="0"/>
        <w:spacing w:before="0" w:after="0" w:line="240" w:lineRule="auto"/>
        <w:ind w:left="720"/>
        <w:rPr>
          <w:rFonts w:cs="Garamond"/>
          <w:lang w:val="fr-FR"/>
        </w:rPr>
      </w:pPr>
      <w:r w:rsidRPr="00122487">
        <w:rPr>
          <w:rFonts w:cs="Garamond"/>
          <w:lang w:val="fr-FR"/>
        </w:rPr>
        <w:t xml:space="preserve">Pour la composante 2, un indicateur a été noté satisfaisant (13), et un indicateur a été noté moyennement satisfaisant (11). L’indicateur 12 a été noté moyennement insatisfaisant et le 14 n’a pu être évalué en raison de l’absence de </w:t>
      </w:r>
      <w:proofErr w:type="spellStart"/>
      <w:r w:rsidRPr="00122487">
        <w:rPr>
          <w:rFonts w:cs="Garamond"/>
          <w:lang w:val="fr-FR"/>
        </w:rPr>
        <w:t>baseline</w:t>
      </w:r>
      <w:proofErr w:type="spellEnd"/>
      <w:r w:rsidRPr="00122487">
        <w:rPr>
          <w:rFonts w:cs="Garamond"/>
          <w:lang w:val="fr-FR"/>
        </w:rPr>
        <w:t xml:space="preserve"> et de la trop grande imprécision de l’indicateur.</w:t>
      </w:r>
      <w:r>
        <w:rPr>
          <w:rFonts w:cs="Garamond"/>
          <w:lang w:val="fr-FR"/>
        </w:rPr>
        <w:t xml:space="preserve"> </w:t>
      </w:r>
      <w:r w:rsidR="00F3104A" w:rsidRPr="008F47A6">
        <w:rPr>
          <w:rFonts w:cs="Garamond"/>
          <w:lang w:val="fr-FR"/>
        </w:rPr>
        <w:t xml:space="preserve">En termes de conservation communautaire, le projet a connu plus de difficultés, liées en partie au contexte de sites sélectionnés et leur statut de base, à des problèmes de disponibilités des fonds, de moyens humains et matériels limités et à l’inexpérience en matière de mise en œuvre de la fondation </w:t>
      </w:r>
      <w:proofErr w:type="spellStart"/>
      <w:r w:rsidR="00F3104A" w:rsidRPr="008F47A6">
        <w:rPr>
          <w:rFonts w:cs="Garamond"/>
          <w:lang w:val="fr-FR"/>
        </w:rPr>
        <w:t>Tany</w:t>
      </w:r>
      <w:proofErr w:type="spellEnd"/>
      <w:r w:rsidR="00F3104A" w:rsidRPr="008F47A6">
        <w:rPr>
          <w:rFonts w:cs="Garamond"/>
          <w:lang w:val="fr-FR"/>
        </w:rPr>
        <w:t xml:space="preserve"> </w:t>
      </w:r>
      <w:proofErr w:type="spellStart"/>
      <w:r w:rsidR="00F3104A" w:rsidRPr="008F47A6">
        <w:rPr>
          <w:rFonts w:cs="Garamond"/>
          <w:lang w:val="fr-FR"/>
        </w:rPr>
        <w:t>Meva</w:t>
      </w:r>
      <w:proofErr w:type="spellEnd"/>
      <w:r w:rsidR="00F3104A" w:rsidRPr="008F47A6">
        <w:rPr>
          <w:rFonts w:cs="Garamond"/>
          <w:lang w:val="fr-FR"/>
        </w:rPr>
        <w:t xml:space="preserve">. Toutefois, 7 futures APC / aires de </w:t>
      </w:r>
      <w:proofErr w:type="spellStart"/>
      <w:r w:rsidR="00F3104A" w:rsidRPr="008F47A6">
        <w:rPr>
          <w:rFonts w:cs="Garamond"/>
          <w:lang w:val="fr-FR"/>
        </w:rPr>
        <w:t>TdG</w:t>
      </w:r>
      <w:proofErr w:type="spellEnd"/>
      <w:r w:rsidR="00F3104A" w:rsidRPr="008F47A6">
        <w:rPr>
          <w:rFonts w:cs="Garamond"/>
          <w:lang w:val="fr-FR"/>
        </w:rPr>
        <w:t xml:space="preserve"> ont été identifiées, ce qui </w:t>
      </w:r>
      <w:r>
        <w:rPr>
          <w:rFonts w:cs="Garamond"/>
          <w:lang w:val="fr-FR"/>
        </w:rPr>
        <w:t>devrait représenter</w:t>
      </w:r>
      <w:r w:rsidRPr="008F47A6">
        <w:rPr>
          <w:rFonts w:cs="Garamond"/>
          <w:lang w:val="fr-FR"/>
        </w:rPr>
        <w:t xml:space="preserve"> </w:t>
      </w:r>
      <w:r w:rsidR="00F3104A" w:rsidRPr="008F47A6">
        <w:rPr>
          <w:rFonts w:cs="Garamond"/>
          <w:lang w:val="fr-FR"/>
        </w:rPr>
        <w:t xml:space="preserve">plus que la cible de 100 000 hectares fixée par le cadre logique. Elles bénéficient des lettres d’engagement des autorités régionales qui constituent leur dossier de demande de statut d’APC temporaire. Alors que des ateliers de renforcement de capacités ont déjà été donnés sur les aspects institutionnels et juridiques et que des consultations communautaires </w:t>
      </w:r>
      <w:r w:rsidR="003A41BA" w:rsidRPr="008F47A6">
        <w:rPr>
          <w:rFonts w:cs="Garamond"/>
          <w:lang w:val="fr-FR"/>
        </w:rPr>
        <w:t xml:space="preserve">ont déjà été menées, </w:t>
      </w:r>
      <w:proofErr w:type="spellStart"/>
      <w:r w:rsidR="003A41BA" w:rsidRPr="008F47A6">
        <w:rPr>
          <w:rFonts w:cs="Garamond"/>
          <w:lang w:val="fr-FR"/>
        </w:rPr>
        <w:t>Tany</w:t>
      </w:r>
      <w:proofErr w:type="spellEnd"/>
      <w:r w:rsidR="003A41BA" w:rsidRPr="008F47A6">
        <w:rPr>
          <w:rFonts w:cs="Garamond"/>
          <w:lang w:val="fr-FR"/>
        </w:rPr>
        <w:t xml:space="preserve"> </w:t>
      </w:r>
      <w:proofErr w:type="spellStart"/>
      <w:r w:rsidR="003A41BA" w:rsidRPr="008F47A6">
        <w:rPr>
          <w:rFonts w:cs="Garamond"/>
          <w:lang w:val="fr-FR"/>
        </w:rPr>
        <w:t>Meva</w:t>
      </w:r>
      <w:proofErr w:type="spellEnd"/>
      <w:r w:rsidR="003A41BA" w:rsidRPr="008F47A6">
        <w:rPr>
          <w:rFonts w:cs="Garamond"/>
          <w:lang w:val="fr-FR"/>
        </w:rPr>
        <w:t xml:space="preserve"> reste en retard sur la réalisation des inventaires. Des études complémentaires sur les villages écologiques doivent également être réalisées. </w:t>
      </w:r>
      <w:r w:rsidRPr="00122487">
        <w:rPr>
          <w:rFonts w:cs="Garamond"/>
          <w:lang w:val="fr-FR"/>
        </w:rPr>
        <w:t>Les travaux sur les activités génératrices de revenus doivent également être accélérés</w:t>
      </w:r>
      <w:r w:rsidR="00413904">
        <w:rPr>
          <w:rFonts w:cs="Garamond"/>
          <w:lang w:val="fr-FR"/>
        </w:rPr>
        <w:t>.</w:t>
      </w:r>
    </w:p>
    <w:p w14:paraId="2A95AFAE" w14:textId="6CAAE43A" w:rsidR="00097DA2" w:rsidRPr="00413904" w:rsidRDefault="00097DA2" w:rsidP="00CA44AE">
      <w:pPr>
        <w:pStyle w:val="Paragraphedeliste"/>
        <w:numPr>
          <w:ilvl w:val="0"/>
          <w:numId w:val="0"/>
        </w:numPr>
        <w:autoSpaceDE w:val="0"/>
        <w:autoSpaceDN w:val="0"/>
        <w:adjustRightInd w:val="0"/>
        <w:spacing w:before="0" w:after="0" w:line="240" w:lineRule="auto"/>
        <w:ind w:left="720"/>
        <w:rPr>
          <w:rFonts w:cs="Garamond"/>
          <w:lang w:val="fr-FR"/>
        </w:rPr>
      </w:pPr>
    </w:p>
    <w:p w14:paraId="0B6A2A15" w14:textId="7671FA05" w:rsidR="005C550F" w:rsidRPr="00CA44AE" w:rsidRDefault="005C550F" w:rsidP="00CA44AE">
      <w:pPr>
        <w:pStyle w:val="Paragraphedeliste"/>
        <w:numPr>
          <w:ilvl w:val="0"/>
          <w:numId w:val="14"/>
        </w:numPr>
        <w:autoSpaceDE w:val="0"/>
        <w:autoSpaceDN w:val="0"/>
        <w:adjustRightInd w:val="0"/>
        <w:spacing w:before="0" w:after="0" w:line="240" w:lineRule="auto"/>
        <w:rPr>
          <w:rFonts w:cs="Garamond"/>
          <w:b/>
          <w:bCs/>
          <w:lang w:val="fr-FR"/>
        </w:rPr>
      </w:pPr>
      <w:r w:rsidRPr="00CA44AE">
        <w:rPr>
          <w:rFonts w:cs="Garamond"/>
          <w:b/>
          <w:bCs/>
          <w:lang w:val="fr-FR"/>
        </w:rPr>
        <w:t>Efficience</w:t>
      </w:r>
    </w:p>
    <w:p w14:paraId="5621DD36" w14:textId="77777777" w:rsidR="001D5460" w:rsidRDefault="00413904" w:rsidP="00CA44AE">
      <w:pPr>
        <w:pStyle w:val="Paragraphedeliste"/>
        <w:numPr>
          <w:ilvl w:val="0"/>
          <w:numId w:val="0"/>
        </w:numPr>
        <w:autoSpaceDE w:val="0"/>
        <w:autoSpaceDN w:val="0"/>
        <w:adjustRightInd w:val="0"/>
        <w:spacing w:before="0" w:after="0" w:line="240" w:lineRule="auto"/>
        <w:ind w:left="720"/>
        <w:rPr>
          <w:rFonts w:cs="Garamond"/>
          <w:lang w:val="fr-FR"/>
        </w:rPr>
      </w:pPr>
      <w:r w:rsidRPr="00413904">
        <w:rPr>
          <w:rFonts w:cs="Garamond"/>
          <w:lang w:val="fr-FR"/>
        </w:rPr>
        <w:t>La mise en</w:t>
      </w:r>
      <w:r>
        <w:rPr>
          <w:rFonts w:cs="Garamond"/>
          <w:lang w:val="fr-FR"/>
        </w:rPr>
        <w:t xml:space="preserve"> œuvre</w:t>
      </w:r>
      <w:r w:rsidRPr="008F47A6">
        <w:rPr>
          <w:rFonts w:cs="Garamond"/>
          <w:lang w:val="fr-FR"/>
        </w:rPr>
        <w:t xml:space="preserve"> du projet a été mise à mal au lancement du projet par des mécanismes de gestion peu clairs, la distance du bureau PNUD et la complexité des procédures requises ainsi que les problèmes de recrutement de personnel clé du projet. Toutefois la gestion réactive du projet a permis de traiter la plupart des problèmes qui se présentaient. </w:t>
      </w:r>
    </w:p>
    <w:p w14:paraId="13EB8D66" w14:textId="4E9C45B7" w:rsidR="001D5460" w:rsidRDefault="001D5460" w:rsidP="00CA44AE">
      <w:pPr>
        <w:pStyle w:val="Paragraphedeliste"/>
        <w:numPr>
          <w:ilvl w:val="0"/>
          <w:numId w:val="0"/>
        </w:numPr>
        <w:autoSpaceDE w:val="0"/>
        <w:autoSpaceDN w:val="0"/>
        <w:adjustRightInd w:val="0"/>
        <w:spacing w:before="0" w:after="0" w:line="240" w:lineRule="auto"/>
        <w:ind w:left="720"/>
        <w:rPr>
          <w:rFonts w:cs="Garamond"/>
          <w:lang w:val="fr-FR"/>
        </w:rPr>
      </w:pPr>
      <w:r w:rsidRPr="00C101E0">
        <w:rPr>
          <w:bCs/>
          <w:color w:val="2F5496"/>
          <w:lang w:val="fr-FR"/>
        </w:rPr>
        <w:t xml:space="preserve">Au 31 octobre 2019, le projet avait dépensé 2 767 335 USD, soit 74 % du budget prévu pour 2017, 2018 et les </w:t>
      </w:r>
      <w:r>
        <w:rPr>
          <w:bCs/>
          <w:color w:val="2F5496"/>
          <w:lang w:val="fr-FR"/>
        </w:rPr>
        <w:t>10</w:t>
      </w:r>
      <w:r w:rsidRPr="00C101E0">
        <w:rPr>
          <w:bCs/>
          <w:color w:val="2F5496"/>
          <w:lang w:val="fr-FR"/>
        </w:rPr>
        <w:t xml:space="preserve"> premiers mois de 2019. Le total des dépenses effectives en octobre 2019 représentait 52 % du financement total du</w:t>
      </w:r>
      <w:r>
        <w:rPr>
          <w:bCs/>
          <w:color w:val="2F5496"/>
          <w:lang w:val="fr-FR"/>
        </w:rPr>
        <w:t xml:space="preserve"> </w:t>
      </w:r>
      <w:r w:rsidRPr="00C101E0">
        <w:rPr>
          <w:bCs/>
          <w:color w:val="2F5496"/>
          <w:lang w:val="fr-FR"/>
        </w:rPr>
        <w:t>FEM, alors que 47 % du temps de mise en œuvre avait été consacré à ce projet. En octobre 2019, le</w:t>
      </w:r>
      <w:r>
        <w:rPr>
          <w:bCs/>
          <w:color w:val="2F5496"/>
          <w:lang w:val="fr-FR"/>
        </w:rPr>
        <w:t xml:space="preserve">s </w:t>
      </w:r>
      <w:r w:rsidRPr="00C101E0">
        <w:rPr>
          <w:bCs/>
          <w:color w:val="2F5496"/>
          <w:lang w:val="fr-FR"/>
        </w:rPr>
        <w:t>coûts</w:t>
      </w:r>
      <w:r>
        <w:rPr>
          <w:bCs/>
          <w:color w:val="2F5496"/>
          <w:lang w:val="fr-FR"/>
        </w:rPr>
        <w:t xml:space="preserve"> </w:t>
      </w:r>
      <w:r w:rsidRPr="00C101E0">
        <w:rPr>
          <w:bCs/>
          <w:color w:val="2F5496"/>
          <w:lang w:val="fr-FR"/>
        </w:rPr>
        <w:t>réel</w:t>
      </w:r>
      <w:r>
        <w:rPr>
          <w:bCs/>
          <w:color w:val="2F5496"/>
          <w:lang w:val="fr-FR"/>
        </w:rPr>
        <w:t>s</w:t>
      </w:r>
      <w:r w:rsidRPr="00C101E0">
        <w:rPr>
          <w:bCs/>
          <w:color w:val="2F5496"/>
          <w:lang w:val="fr-FR"/>
        </w:rPr>
        <w:t xml:space="preserve"> </w:t>
      </w:r>
      <w:proofErr w:type="gramStart"/>
      <w:r>
        <w:rPr>
          <w:bCs/>
          <w:color w:val="2F5496"/>
          <w:lang w:val="fr-FR"/>
        </w:rPr>
        <w:t>du gestion</w:t>
      </w:r>
      <w:proofErr w:type="gramEnd"/>
      <w:r>
        <w:rPr>
          <w:bCs/>
          <w:color w:val="2F5496"/>
          <w:lang w:val="fr-FR"/>
        </w:rPr>
        <w:t xml:space="preserve"> du projet </w:t>
      </w:r>
      <w:r w:rsidRPr="00C101E0">
        <w:rPr>
          <w:bCs/>
          <w:color w:val="2F5496"/>
          <w:lang w:val="fr-FR"/>
        </w:rPr>
        <w:lastRenderedPageBreak/>
        <w:t>représentait 3 % du total des coûts réels de mise en œuvre, ce qui est conforme aux directives du FEM. En octobre 2019, le projet avait mobilisé 0,4 % du cofinancement prévu. Cela s'explique par la suppression de certains projets complémentaires avant le démarrage effectif d</w:t>
      </w:r>
      <w:r>
        <w:rPr>
          <w:bCs/>
          <w:color w:val="2F5496"/>
          <w:lang w:val="fr-FR"/>
        </w:rPr>
        <w:t>e l’APPA</w:t>
      </w:r>
      <w:r w:rsidRPr="00C101E0">
        <w:rPr>
          <w:bCs/>
          <w:color w:val="2F5496"/>
          <w:lang w:val="fr-FR"/>
        </w:rPr>
        <w:t xml:space="preserve"> et, surtout, par l'absence d'estimation du coût des activités complémentaires que le gouvernement et certains donateurs entreprennent</w:t>
      </w:r>
    </w:p>
    <w:p w14:paraId="0D917FBD" w14:textId="78D4E7C4" w:rsidR="00097DA2" w:rsidRDefault="00413904" w:rsidP="00CA44AE">
      <w:pPr>
        <w:pStyle w:val="Paragraphedeliste"/>
        <w:numPr>
          <w:ilvl w:val="0"/>
          <w:numId w:val="0"/>
        </w:numPr>
        <w:autoSpaceDE w:val="0"/>
        <w:autoSpaceDN w:val="0"/>
        <w:adjustRightInd w:val="0"/>
        <w:spacing w:before="0" w:after="0" w:line="240" w:lineRule="auto"/>
        <w:ind w:left="720"/>
        <w:rPr>
          <w:rFonts w:cs="Garamond"/>
          <w:lang w:val="fr-FR"/>
        </w:rPr>
      </w:pPr>
      <w:r w:rsidRPr="008F47A6">
        <w:rPr>
          <w:rFonts w:cs="Garamond"/>
          <w:lang w:val="fr-FR"/>
        </w:rPr>
        <w:t xml:space="preserve">Le suivi et évaluation du projet reste à améliorer pour permettre le suivi plus efficace des activités, notamment le suivi rapproché des deux partenaires de mise en œuvre, et pour permettre la capitalisation des leçons apprises. </w:t>
      </w:r>
      <w:r w:rsidR="001D5460">
        <w:rPr>
          <w:rFonts w:cs="Garamond"/>
          <w:lang w:val="fr-FR"/>
        </w:rPr>
        <w:t xml:space="preserve">Le suivi du financement et co-financement est faible. </w:t>
      </w:r>
      <w:r w:rsidRPr="008F47A6">
        <w:rPr>
          <w:rFonts w:cs="Garamond"/>
          <w:lang w:val="fr-FR"/>
        </w:rPr>
        <w:t>Les faiblesses en termes de partage des connaissances et de communication interne pourraient également jouer un rôle important dans les retards de mise en œuvre, aussi il convient de les renforcer.</w:t>
      </w:r>
    </w:p>
    <w:p w14:paraId="428685FC" w14:textId="77777777" w:rsidR="00CC02B8" w:rsidRPr="008F47A6" w:rsidRDefault="00CC02B8" w:rsidP="00CA44AE">
      <w:pPr>
        <w:pStyle w:val="Paragraphedeliste"/>
        <w:numPr>
          <w:ilvl w:val="0"/>
          <w:numId w:val="0"/>
        </w:numPr>
        <w:autoSpaceDE w:val="0"/>
        <w:autoSpaceDN w:val="0"/>
        <w:adjustRightInd w:val="0"/>
        <w:spacing w:before="0" w:after="0" w:line="240" w:lineRule="auto"/>
        <w:ind w:left="720"/>
        <w:rPr>
          <w:rFonts w:cs="Garamond"/>
          <w:lang w:val="fr-FR"/>
        </w:rPr>
      </w:pPr>
    </w:p>
    <w:p w14:paraId="02DD1258" w14:textId="21DE3B1F" w:rsidR="005C550F" w:rsidRPr="008F47A6" w:rsidRDefault="005C550F" w:rsidP="00CA44AE">
      <w:pPr>
        <w:pStyle w:val="Paragraphedeliste"/>
        <w:numPr>
          <w:ilvl w:val="0"/>
          <w:numId w:val="14"/>
        </w:numPr>
        <w:autoSpaceDE w:val="0"/>
        <w:autoSpaceDN w:val="0"/>
        <w:adjustRightInd w:val="0"/>
        <w:spacing w:before="0" w:after="0" w:line="240" w:lineRule="auto"/>
        <w:rPr>
          <w:rFonts w:cs="Garamond"/>
          <w:b/>
          <w:bCs/>
          <w:lang w:val="fr-FR"/>
        </w:rPr>
      </w:pPr>
      <w:r w:rsidRPr="008F47A6">
        <w:rPr>
          <w:rFonts w:cs="Garamond"/>
          <w:b/>
          <w:bCs/>
          <w:lang w:val="fr-FR"/>
        </w:rPr>
        <w:t>Durabilité</w:t>
      </w:r>
    </w:p>
    <w:p w14:paraId="658ED659" w14:textId="5E923EE4" w:rsidR="00097DA2" w:rsidRDefault="00097DA2" w:rsidP="00CA44AE">
      <w:pPr>
        <w:pStyle w:val="Paragraphedeliste"/>
        <w:numPr>
          <w:ilvl w:val="0"/>
          <w:numId w:val="0"/>
        </w:numPr>
        <w:autoSpaceDE w:val="0"/>
        <w:autoSpaceDN w:val="0"/>
        <w:adjustRightInd w:val="0"/>
        <w:spacing w:before="0" w:after="0" w:line="240" w:lineRule="auto"/>
        <w:ind w:left="720"/>
        <w:rPr>
          <w:rFonts w:cs="Garamond"/>
          <w:lang w:val="fr-FR"/>
        </w:rPr>
      </w:pPr>
      <w:r w:rsidRPr="008F47A6">
        <w:rPr>
          <w:rFonts w:cs="Garamond"/>
          <w:lang w:val="fr-FR"/>
        </w:rPr>
        <w:t>L</w:t>
      </w:r>
      <w:r w:rsidR="003A41BA" w:rsidRPr="008F47A6">
        <w:rPr>
          <w:rFonts w:cs="Garamond"/>
          <w:lang w:val="fr-FR"/>
        </w:rPr>
        <w:t xml:space="preserve">e succès de l’approche APC repose en grande partie sur la génération d’activités génératrices de revenus qui sont prévues par le document de projet mais sur lesquelles le projet n’a encore que peu avancé. </w:t>
      </w:r>
      <w:r w:rsidR="00122487" w:rsidRPr="00122487">
        <w:rPr>
          <w:rFonts w:cs="Garamond"/>
          <w:lang w:val="fr-FR"/>
        </w:rPr>
        <w:t xml:space="preserve">De plus, l’apport de financement de la fondation </w:t>
      </w:r>
      <w:proofErr w:type="spellStart"/>
      <w:r w:rsidR="00122487" w:rsidRPr="00122487">
        <w:rPr>
          <w:rFonts w:cs="Garamond"/>
          <w:lang w:val="fr-FR"/>
        </w:rPr>
        <w:t>Tany</w:t>
      </w:r>
      <w:proofErr w:type="spellEnd"/>
      <w:r w:rsidR="00122487" w:rsidRPr="00122487">
        <w:rPr>
          <w:rFonts w:cs="Garamond"/>
          <w:lang w:val="fr-FR"/>
        </w:rPr>
        <w:t xml:space="preserve"> </w:t>
      </w:r>
      <w:proofErr w:type="spellStart"/>
      <w:r w:rsidR="00122487" w:rsidRPr="00122487">
        <w:rPr>
          <w:rFonts w:cs="Garamond"/>
          <w:lang w:val="fr-FR"/>
        </w:rPr>
        <w:t>Meva</w:t>
      </w:r>
      <w:proofErr w:type="spellEnd"/>
      <w:r w:rsidR="00122487" w:rsidRPr="00122487">
        <w:rPr>
          <w:rFonts w:cs="Garamond"/>
          <w:lang w:val="fr-FR"/>
        </w:rPr>
        <w:t xml:space="preserve"> pour la totalité des APC ainsi que pour la création du Centre de Compétences Communautaires pourra se révéler être un gage de durabilité financière et socioéconomique, si la fondation trouve les moyens de mobiliser ses propres ressources</w:t>
      </w:r>
      <w:r w:rsidR="003A41BA" w:rsidRPr="008F47A6">
        <w:rPr>
          <w:rFonts w:cs="Garamond"/>
          <w:lang w:val="fr-FR"/>
        </w:rPr>
        <w:t xml:space="preserve">. Cependant, </w:t>
      </w:r>
      <w:r w:rsidR="00122487">
        <w:rPr>
          <w:rFonts w:cs="Garamond"/>
          <w:lang w:val="fr-FR"/>
        </w:rPr>
        <w:t>la participation limitée au niveau national</w:t>
      </w:r>
      <w:r w:rsidR="003A41BA" w:rsidRPr="008F47A6">
        <w:rPr>
          <w:rFonts w:cs="Garamond"/>
          <w:lang w:val="fr-FR"/>
        </w:rPr>
        <w:t xml:space="preserve"> met en cause la durabilité institutionnelle du projet. De même, </w:t>
      </w:r>
      <w:r w:rsidR="00234E33" w:rsidRPr="00346FE6">
        <w:rPr>
          <w:rFonts w:cs="Garamond"/>
          <w:lang w:val="fr-FR"/>
        </w:rPr>
        <w:t>la durabilité environnementale ne sera garantie que si le projet s’inscrit dans un effort constant de lutte pour la conservation de la biodiversité et contre le changement climatique</w:t>
      </w:r>
      <w:r w:rsidR="003A41BA" w:rsidRPr="008F47A6">
        <w:rPr>
          <w:rFonts w:cs="Garamond"/>
          <w:lang w:val="fr-FR"/>
        </w:rPr>
        <w:t xml:space="preserve">. </w:t>
      </w:r>
    </w:p>
    <w:p w14:paraId="3DCEEDF0" w14:textId="77777777" w:rsidR="00CC02B8" w:rsidRPr="008F47A6" w:rsidRDefault="00CC02B8" w:rsidP="00CA44AE">
      <w:pPr>
        <w:pStyle w:val="Paragraphedeliste"/>
        <w:numPr>
          <w:ilvl w:val="0"/>
          <w:numId w:val="0"/>
        </w:numPr>
        <w:autoSpaceDE w:val="0"/>
        <w:autoSpaceDN w:val="0"/>
        <w:adjustRightInd w:val="0"/>
        <w:spacing w:before="0" w:after="0" w:line="240" w:lineRule="auto"/>
        <w:ind w:left="720"/>
        <w:rPr>
          <w:rFonts w:cs="Garamond"/>
          <w:lang w:val="fr-FR"/>
        </w:rPr>
      </w:pPr>
    </w:p>
    <w:p w14:paraId="76155B9C" w14:textId="77777777" w:rsidR="005C550F" w:rsidRPr="008F47A6" w:rsidRDefault="005C550F" w:rsidP="00CA44AE">
      <w:pPr>
        <w:pStyle w:val="Paragraphedeliste"/>
        <w:numPr>
          <w:ilvl w:val="0"/>
          <w:numId w:val="14"/>
        </w:numPr>
        <w:autoSpaceDE w:val="0"/>
        <w:autoSpaceDN w:val="0"/>
        <w:adjustRightInd w:val="0"/>
        <w:spacing w:before="0" w:after="0" w:line="240" w:lineRule="auto"/>
        <w:rPr>
          <w:rFonts w:cs="Garamond"/>
          <w:b/>
          <w:bCs/>
          <w:lang w:val="fr-FR"/>
        </w:rPr>
      </w:pPr>
      <w:r w:rsidRPr="008F47A6">
        <w:rPr>
          <w:rFonts w:cs="Garamond"/>
          <w:b/>
          <w:bCs/>
          <w:lang w:val="fr-FR"/>
        </w:rPr>
        <w:t>Aspects transversaux</w:t>
      </w:r>
    </w:p>
    <w:p w14:paraId="3EAB8C28" w14:textId="1AC8E976" w:rsidR="005221F2" w:rsidRPr="008F47A6" w:rsidRDefault="003A41BA" w:rsidP="00CA44AE">
      <w:pPr>
        <w:pStyle w:val="Paragraphedeliste"/>
        <w:numPr>
          <w:ilvl w:val="0"/>
          <w:numId w:val="0"/>
        </w:numPr>
        <w:autoSpaceDE w:val="0"/>
        <w:autoSpaceDN w:val="0"/>
        <w:adjustRightInd w:val="0"/>
        <w:spacing w:before="0" w:after="0" w:line="240" w:lineRule="auto"/>
        <w:ind w:left="720"/>
        <w:rPr>
          <w:rFonts w:cs="Garamond"/>
          <w:lang w:val="fr-FR"/>
        </w:rPr>
      </w:pPr>
      <w:r w:rsidRPr="008F47A6">
        <w:rPr>
          <w:rFonts w:cs="Garamond"/>
          <w:lang w:val="fr-FR"/>
        </w:rPr>
        <w:t xml:space="preserve">Le projet a </w:t>
      </w:r>
      <w:r w:rsidR="005221F2" w:rsidRPr="008F47A6">
        <w:rPr>
          <w:rFonts w:cs="Garamond"/>
          <w:lang w:val="fr-FR"/>
        </w:rPr>
        <w:t>renforcé les</w:t>
      </w:r>
      <w:r w:rsidRPr="008F47A6">
        <w:rPr>
          <w:rFonts w:cs="Garamond"/>
          <w:lang w:val="fr-FR"/>
        </w:rPr>
        <w:t xml:space="preserve"> capacités</w:t>
      </w:r>
      <w:r w:rsidR="005221F2" w:rsidRPr="008F47A6">
        <w:rPr>
          <w:rFonts w:cs="Garamond"/>
          <w:lang w:val="fr-FR"/>
        </w:rPr>
        <w:t xml:space="preserve"> des membres de la CER-APAA sur la législation environnementale. Il a aussi appuyé le personnel du MEDD et </w:t>
      </w:r>
      <w:r w:rsidR="00234E33">
        <w:rPr>
          <w:rFonts w:cs="Garamond"/>
          <w:lang w:val="fr-FR"/>
        </w:rPr>
        <w:t xml:space="preserve">sa </w:t>
      </w:r>
      <w:r w:rsidR="00234E33" w:rsidRPr="00346FE6">
        <w:rPr>
          <w:rFonts w:cs="Garamond"/>
          <w:lang w:val="fr-FR"/>
        </w:rPr>
        <w:t xml:space="preserve">ramification régionale </w:t>
      </w:r>
      <w:r w:rsidR="005221F2" w:rsidRPr="008F47A6">
        <w:rPr>
          <w:rFonts w:cs="Garamond"/>
          <w:lang w:val="fr-FR"/>
        </w:rPr>
        <w:t>DREDD en notion de base du SIG et en collecte de données, et des gestionnaires d’AP en techniques de zonage, utilisation du METT et en planification territoriale de la gouvernance des paysages locaux et des cadres de gestion des menaces.</w:t>
      </w:r>
    </w:p>
    <w:p w14:paraId="4FD89638" w14:textId="524A7A2B" w:rsidR="005221F2" w:rsidRPr="008F47A6" w:rsidRDefault="005221F2" w:rsidP="00CA44AE">
      <w:pPr>
        <w:pStyle w:val="Paragraphedeliste"/>
        <w:numPr>
          <w:ilvl w:val="0"/>
          <w:numId w:val="0"/>
        </w:numPr>
        <w:autoSpaceDE w:val="0"/>
        <w:autoSpaceDN w:val="0"/>
        <w:adjustRightInd w:val="0"/>
        <w:spacing w:before="0" w:after="0" w:line="240" w:lineRule="auto"/>
        <w:ind w:left="720"/>
        <w:rPr>
          <w:rFonts w:cs="Garamond"/>
          <w:lang w:val="fr-FR"/>
        </w:rPr>
      </w:pPr>
      <w:r w:rsidRPr="008F47A6">
        <w:rPr>
          <w:rFonts w:cs="Garamond"/>
          <w:lang w:val="fr-FR"/>
        </w:rPr>
        <w:t>Si le projet promeut la participation des femmes dans la gestion des AP</w:t>
      </w:r>
      <w:r w:rsidR="00122487">
        <w:rPr>
          <w:rFonts w:cs="Garamond"/>
          <w:lang w:val="fr-FR"/>
        </w:rPr>
        <w:t>C</w:t>
      </w:r>
      <w:r w:rsidRPr="008F47A6">
        <w:rPr>
          <w:rFonts w:cs="Garamond"/>
          <w:lang w:val="fr-FR"/>
        </w:rPr>
        <w:t xml:space="preserve"> et veille à consulter les femmes dans les sites sélectionnés, il ne compte malheureusement pas avec un stratégie genre précise et ambitieuse et le cadre logique n’intègre pas la thématique genre. </w:t>
      </w:r>
    </w:p>
    <w:p w14:paraId="2A8D2206" w14:textId="232B7A56" w:rsidR="00796494" w:rsidRDefault="005221F2" w:rsidP="00CA44AE">
      <w:pPr>
        <w:pStyle w:val="Paragraphedeliste"/>
        <w:numPr>
          <w:ilvl w:val="0"/>
          <w:numId w:val="0"/>
        </w:numPr>
        <w:autoSpaceDE w:val="0"/>
        <w:autoSpaceDN w:val="0"/>
        <w:adjustRightInd w:val="0"/>
        <w:spacing w:before="0" w:after="0" w:line="240" w:lineRule="auto"/>
        <w:ind w:left="720"/>
        <w:rPr>
          <w:rFonts w:cs="Garamond"/>
          <w:lang w:val="fr-FR"/>
        </w:rPr>
      </w:pPr>
      <w:r w:rsidRPr="008F47A6">
        <w:rPr>
          <w:rFonts w:cs="Garamond"/>
          <w:lang w:val="fr-FR"/>
        </w:rPr>
        <w:t>La c</w:t>
      </w:r>
      <w:r w:rsidR="003A41BA" w:rsidRPr="008F47A6">
        <w:rPr>
          <w:rFonts w:cs="Garamond"/>
          <w:lang w:val="fr-FR"/>
        </w:rPr>
        <w:t xml:space="preserve">ommunication interne du projet entre les acteurs au niveau régional, ainsi qu’entre les acteurs régionaux et nationaux </w:t>
      </w:r>
      <w:r w:rsidRPr="008F47A6">
        <w:rPr>
          <w:rFonts w:cs="Garamond"/>
          <w:lang w:val="fr-FR"/>
        </w:rPr>
        <w:t>a fait défaut</w:t>
      </w:r>
      <w:r w:rsidR="003A41BA" w:rsidRPr="008F47A6">
        <w:rPr>
          <w:rFonts w:cs="Garamond"/>
          <w:lang w:val="fr-FR"/>
        </w:rPr>
        <w:t>.</w:t>
      </w:r>
      <w:r w:rsidRPr="008F47A6">
        <w:rPr>
          <w:rFonts w:cs="Garamond"/>
          <w:lang w:val="fr-FR"/>
        </w:rPr>
        <w:t xml:space="preserve"> Alors que les équipes sont dispersées et que le projet dispose de deux partenaires de mise en œuvre qui travaillent en parallèle, il convient de renforcer la communication à tous les niveaux. </w:t>
      </w:r>
    </w:p>
    <w:p w14:paraId="5600EB44" w14:textId="77777777" w:rsidR="00796494" w:rsidRDefault="00796494">
      <w:pPr>
        <w:spacing w:before="0" w:after="200"/>
        <w:jc w:val="left"/>
        <w:rPr>
          <w:rFonts w:cs="Garamond"/>
          <w:lang w:val="fr-FR"/>
        </w:rPr>
      </w:pPr>
      <w:r>
        <w:rPr>
          <w:rFonts w:cs="Garamond"/>
          <w:lang w:val="fr-FR"/>
        </w:rPr>
        <w:br w:type="page"/>
      </w:r>
    </w:p>
    <w:p w14:paraId="6E110995" w14:textId="77777777" w:rsidR="00937AA0" w:rsidRPr="008F47A6" w:rsidRDefault="00937AA0" w:rsidP="00937AA0">
      <w:pPr>
        <w:pStyle w:val="Titre1"/>
        <w:ind w:left="1134" w:hanging="1134"/>
        <w:rPr>
          <w:lang w:val="fr-FR"/>
        </w:rPr>
      </w:pPr>
      <w:bookmarkStart w:id="30" w:name="_Toc26804237"/>
      <w:bookmarkStart w:id="31" w:name="_Toc26804315"/>
      <w:bookmarkStart w:id="32" w:name="_Toc26213980"/>
      <w:bookmarkStart w:id="33" w:name="_Toc501646714"/>
      <w:bookmarkStart w:id="34" w:name="_Toc31122563"/>
      <w:bookmarkEnd w:id="30"/>
      <w:bookmarkEnd w:id="31"/>
      <w:bookmarkEnd w:id="32"/>
      <w:r w:rsidRPr="008F47A6">
        <w:rPr>
          <w:lang w:val="fr-FR"/>
        </w:rPr>
        <w:lastRenderedPageBreak/>
        <w:t>Recommandations</w:t>
      </w:r>
      <w:bookmarkEnd w:id="33"/>
      <w:bookmarkEnd w:id="34"/>
    </w:p>
    <w:p w14:paraId="1EA98C5F" w14:textId="68665FE1" w:rsidR="00937AA0" w:rsidRDefault="00937AA0" w:rsidP="00937AA0">
      <w:pPr>
        <w:rPr>
          <w:lang w:val="fr-FR"/>
        </w:rPr>
      </w:pPr>
      <w:r>
        <w:rPr>
          <w:lang w:val="fr-FR"/>
        </w:rPr>
        <w:t xml:space="preserve">A la lumière des conclusions ci-dessus, et afin de pérenniser les acquis du projet </w:t>
      </w:r>
      <w:r w:rsidR="003772E9">
        <w:rPr>
          <w:lang w:val="fr-FR"/>
        </w:rPr>
        <w:t xml:space="preserve">APAA </w:t>
      </w:r>
      <w:r>
        <w:rPr>
          <w:lang w:val="fr-FR"/>
        </w:rPr>
        <w:t>et d’informer toutes initiatives futures, l’équipe d’évaluation émet les recommandations suivantes :</w:t>
      </w:r>
    </w:p>
    <w:p w14:paraId="66FBE6C1" w14:textId="1CAA24AF" w:rsidR="005B4DD6" w:rsidRPr="002B677E" w:rsidRDefault="00612910" w:rsidP="00937AA0">
      <w:pPr>
        <w:rPr>
          <w:lang w:val="fr-FR"/>
        </w:rPr>
      </w:pPr>
      <w:r w:rsidRPr="00CA44AE">
        <w:rPr>
          <w:lang w:val="fr-FR"/>
        </w:rPr>
        <w:t xml:space="preserve">Un certain nombre de recommandations liées à la coordination et la gestion administrative et </w:t>
      </w:r>
      <w:r w:rsidRPr="001D5460">
        <w:rPr>
          <w:lang w:val="fr-FR"/>
        </w:rPr>
        <w:t>financiè</w:t>
      </w:r>
      <w:r w:rsidRPr="002B677E">
        <w:rPr>
          <w:lang w:val="fr-FR"/>
        </w:rPr>
        <w:t xml:space="preserve">re du projet se dégagent. Les plus urgentes sont : </w:t>
      </w:r>
    </w:p>
    <w:p w14:paraId="464E1581" w14:textId="10AC197A" w:rsidR="00612910" w:rsidRPr="001D5460" w:rsidRDefault="00612910" w:rsidP="00612910">
      <w:pPr>
        <w:pStyle w:val="Paragraphedeliste"/>
        <w:numPr>
          <w:ilvl w:val="0"/>
          <w:numId w:val="29"/>
        </w:numPr>
        <w:rPr>
          <w:lang w:val="fr-FR"/>
        </w:rPr>
      </w:pPr>
      <w:r w:rsidRPr="002B677E">
        <w:rPr>
          <w:lang w:val="fr-FR"/>
        </w:rPr>
        <w:t xml:space="preserve">Alléger les procédures administratives et financières pour faciliter et accélérer les échanges entre l’UCP et le PNUD. Il est aussi conseillé d’ouvrir un compte bancaire alloué au projet pour le MEDD et de permettre et faciliter les transferts de fonds vers </w:t>
      </w:r>
      <w:proofErr w:type="spellStart"/>
      <w:r w:rsidRPr="002B677E">
        <w:rPr>
          <w:lang w:val="fr-FR"/>
        </w:rPr>
        <w:t>Tany</w:t>
      </w:r>
      <w:proofErr w:type="spellEnd"/>
      <w:r w:rsidRPr="002B677E">
        <w:rPr>
          <w:lang w:val="fr-FR"/>
        </w:rPr>
        <w:t xml:space="preserve"> </w:t>
      </w:r>
      <w:proofErr w:type="spellStart"/>
      <w:r w:rsidRPr="002B677E">
        <w:rPr>
          <w:lang w:val="fr-FR"/>
        </w:rPr>
        <w:t>Meva</w:t>
      </w:r>
      <w:proofErr w:type="spellEnd"/>
      <w:r w:rsidRPr="002B677E">
        <w:rPr>
          <w:lang w:val="fr-FR"/>
        </w:rPr>
        <w:t xml:space="preserve"> et peut être SAGE tous les 6 mois plutôt que tous les 3 mois</w:t>
      </w:r>
      <w:r w:rsidRPr="001D5460">
        <w:rPr>
          <w:lang w:val="fr-FR"/>
        </w:rPr>
        <w:t>.</w:t>
      </w:r>
    </w:p>
    <w:p w14:paraId="355A10F2" w14:textId="663DA6F2" w:rsidR="00612910" w:rsidRPr="00CA44AE" w:rsidRDefault="00612910" w:rsidP="00612910">
      <w:pPr>
        <w:pStyle w:val="Paragraphedeliste"/>
        <w:numPr>
          <w:ilvl w:val="0"/>
          <w:numId w:val="29"/>
        </w:numPr>
        <w:rPr>
          <w:lang w:val="fr-FR"/>
        </w:rPr>
      </w:pPr>
      <w:r w:rsidRPr="002B677E">
        <w:rPr>
          <w:lang w:val="fr-FR"/>
        </w:rPr>
        <w:t>Améliorer le suivi et la qualité du rapportage en général</w:t>
      </w:r>
      <w:r w:rsidRPr="00CA44AE">
        <w:rPr>
          <w:lang w:val="fr-FR"/>
        </w:rPr>
        <w:t xml:space="preserve"> (PNUD, UCP, </w:t>
      </w:r>
      <w:proofErr w:type="spellStart"/>
      <w:r w:rsidRPr="00CA44AE">
        <w:rPr>
          <w:lang w:val="fr-FR"/>
        </w:rPr>
        <w:t>Tany</w:t>
      </w:r>
      <w:proofErr w:type="spellEnd"/>
      <w:r w:rsidRPr="00CA44AE">
        <w:rPr>
          <w:lang w:val="fr-FR"/>
        </w:rPr>
        <w:t xml:space="preserve"> </w:t>
      </w:r>
      <w:proofErr w:type="spellStart"/>
      <w:r w:rsidRPr="00CA44AE">
        <w:rPr>
          <w:lang w:val="fr-FR"/>
        </w:rPr>
        <w:t>Meva</w:t>
      </w:r>
      <w:proofErr w:type="spellEnd"/>
      <w:r w:rsidRPr="00CA44AE">
        <w:rPr>
          <w:lang w:val="fr-FR"/>
        </w:rPr>
        <w:t xml:space="preserve"> et SAGE). Il est aussi absolument nécessaire que tous les acteurs utilisent les mêmes indicateurs et donc du même cadre logique.</w:t>
      </w:r>
      <w:r w:rsidR="00E56704" w:rsidRPr="00E56704">
        <w:t xml:space="preserve"> </w:t>
      </w:r>
      <w:r w:rsidR="00E56704" w:rsidRPr="00E56704">
        <w:rPr>
          <w:lang w:val="fr-FR"/>
        </w:rPr>
        <w:t xml:space="preserve">Renforcer d'urgence </w:t>
      </w:r>
      <w:r w:rsidR="00E56704">
        <w:rPr>
          <w:lang w:val="fr-FR"/>
        </w:rPr>
        <w:t xml:space="preserve">le rapportage de </w:t>
      </w:r>
      <w:r w:rsidR="00E56704" w:rsidRPr="00E56704">
        <w:rPr>
          <w:lang w:val="fr-FR"/>
        </w:rPr>
        <w:t xml:space="preserve">l'information financière. </w:t>
      </w:r>
      <w:r w:rsidR="001D5460">
        <w:rPr>
          <w:lang w:val="fr-FR"/>
        </w:rPr>
        <w:t>Le</w:t>
      </w:r>
      <w:r w:rsidR="00E56704" w:rsidRPr="00E56704">
        <w:rPr>
          <w:lang w:val="fr-FR"/>
        </w:rPr>
        <w:t xml:space="preserve"> tableau indiquant les décaissements prévus et effectifs par année et par composante devrait être</w:t>
      </w:r>
      <w:r w:rsidR="001D5460">
        <w:rPr>
          <w:lang w:val="fr-FR"/>
        </w:rPr>
        <w:t xml:space="preserve"> </w:t>
      </w:r>
      <w:r w:rsidR="001D5460" w:rsidRPr="001D5460">
        <w:rPr>
          <w:lang w:val="fr-FR"/>
        </w:rPr>
        <w:t xml:space="preserve">mis à jour </w:t>
      </w:r>
      <w:proofErr w:type="gramStart"/>
      <w:r w:rsidR="001D5460" w:rsidRPr="001D5460">
        <w:rPr>
          <w:lang w:val="fr-FR"/>
        </w:rPr>
        <w:t>régulièrement</w:t>
      </w:r>
      <w:r w:rsidR="001D5460" w:rsidRPr="00E56704" w:rsidDel="001D5460">
        <w:rPr>
          <w:lang w:val="fr-FR"/>
        </w:rPr>
        <w:t xml:space="preserve"> </w:t>
      </w:r>
      <w:r w:rsidR="00E56704" w:rsidRPr="00E56704">
        <w:rPr>
          <w:lang w:val="fr-FR"/>
        </w:rPr>
        <w:t>.</w:t>
      </w:r>
      <w:proofErr w:type="gramEnd"/>
      <w:r w:rsidR="00E56704" w:rsidRPr="00E56704">
        <w:rPr>
          <w:lang w:val="fr-FR"/>
        </w:rPr>
        <w:t xml:space="preserve"> </w:t>
      </w:r>
      <w:r w:rsidR="008E6AFA" w:rsidRPr="008E6AFA">
        <w:rPr>
          <w:lang w:val="fr-FR"/>
        </w:rPr>
        <w:t>Les cofinancements pertinents doivent être estimés et contrôlés et faire l'objet de rapports réguliers</w:t>
      </w:r>
      <w:r w:rsidR="00E56704" w:rsidRPr="00E56704">
        <w:rPr>
          <w:lang w:val="fr-FR"/>
        </w:rPr>
        <w:t>.</w:t>
      </w:r>
    </w:p>
    <w:p w14:paraId="1FE30BE9" w14:textId="0813A950" w:rsidR="00612910" w:rsidRPr="00CA44AE" w:rsidRDefault="00612910" w:rsidP="00612910">
      <w:pPr>
        <w:pStyle w:val="Paragraphedeliste"/>
        <w:numPr>
          <w:ilvl w:val="0"/>
          <w:numId w:val="29"/>
        </w:numPr>
        <w:rPr>
          <w:lang w:val="fr-FR"/>
        </w:rPr>
      </w:pPr>
      <w:r w:rsidRPr="00CA44AE">
        <w:rPr>
          <w:lang w:val="fr-FR"/>
        </w:rPr>
        <w:t>Travailler sur les aspects institutionnels, légaux et le renforcement de capacités au niveau national liés à la planification territoriale à l’échelle des paysages</w:t>
      </w:r>
      <w:r w:rsidR="00ED1960" w:rsidRPr="00CA44AE">
        <w:rPr>
          <w:lang w:val="fr-FR"/>
        </w:rPr>
        <w:t xml:space="preserve"> en impliquant le MEDD et les autres acteurs gouvernementaux pertinents</w:t>
      </w:r>
      <w:r w:rsidRPr="00CA44AE">
        <w:rPr>
          <w:lang w:val="fr-FR"/>
        </w:rPr>
        <w:t xml:space="preserve">. A travers cette recommandation c’est l’engagement des acteurs nationaux, la durabilité et la mise à l’échelle des résultats du projet qui sont en jeu. </w:t>
      </w:r>
    </w:p>
    <w:p w14:paraId="69448892" w14:textId="3ADF5EA1" w:rsidR="00612910" w:rsidRPr="00CA44AE" w:rsidRDefault="00612910" w:rsidP="00CA44AE">
      <w:pPr>
        <w:pStyle w:val="Paragraphedeliste"/>
        <w:numPr>
          <w:ilvl w:val="0"/>
          <w:numId w:val="29"/>
        </w:numPr>
        <w:rPr>
          <w:lang w:val="fr-FR"/>
        </w:rPr>
      </w:pPr>
      <w:r w:rsidRPr="00CA44AE">
        <w:rPr>
          <w:lang w:val="fr-FR"/>
        </w:rPr>
        <w:t>Élaborer la théorie du changement et l’arbre à problèmes du projet, en les connectant au niveau national. Si possible le faire sous forme d’atelier participatif</w:t>
      </w:r>
      <w:r w:rsidR="004E2205" w:rsidRPr="00CA44AE">
        <w:rPr>
          <w:lang w:val="fr-FR"/>
        </w:rPr>
        <w:t xml:space="preserve"> en impliquant l’UCP, l’équipe du PNUD, MEDD, </w:t>
      </w:r>
      <w:r w:rsidR="004E2205" w:rsidRPr="00DC5044">
        <w:rPr>
          <w:lang w:val="fr-FR"/>
        </w:rPr>
        <w:t>DREDD</w:t>
      </w:r>
      <w:r w:rsidR="004E2205" w:rsidRPr="00CA44AE">
        <w:rPr>
          <w:lang w:val="fr-FR"/>
        </w:rPr>
        <w:t xml:space="preserve">, </w:t>
      </w:r>
      <w:proofErr w:type="spellStart"/>
      <w:r w:rsidR="004E2205" w:rsidRPr="00CA44AE">
        <w:rPr>
          <w:lang w:val="fr-FR"/>
        </w:rPr>
        <w:t>Tany</w:t>
      </w:r>
      <w:proofErr w:type="spellEnd"/>
      <w:r w:rsidR="004E2205" w:rsidRPr="00CA44AE">
        <w:rPr>
          <w:lang w:val="fr-FR"/>
        </w:rPr>
        <w:t xml:space="preserve"> </w:t>
      </w:r>
      <w:proofErr w:type="spellStart"/>
      <w:r w:rsidR="004E2205" w:rsidRPr="00CA44AE">
        <w:rPr>
          <w:lang w:val="fr-FR"/>
        </w:rPr>
        <w:t>Meva</w:t>
      </w:r>
      <w:proofErr w:type="spellEnd"/>
      <w:r w:rsidR="004E2205" w:rsidRPr="00CA44AE">
        <w:rPr>
          <w:lang w:val="fr-FR"/>
        </w:rPr>
        <w:t xml:space="preserve"> et SAGE</w:t>
      </w:r>
      <w:r w:rsidR="00413904">
        <w:rPr>
          <w:lang w:val="fr-FR"/>
        </w:rPr>
        <w:t xml:space="preserve">. D’autres entités nationales doivent être invitées aussi. </w:t>
      </w:r>
      <w:r w:rsidR="00E56704" w:rsidRPr="00E56704">
        <w:rPr>
          <w:lang w:val="fr-FR"/>
        </w:rPr>
        <w:t>Lié à R2, réviser le cadre de résultats en conséquence</w:t>
      </w:r>
      <w:r w:rsidR="00E56704">
        <w:rPr>
          <w:lang w:val="fr-FR"/>
        </w:rPr>
        <w:t>.</w:t>
      </w:r>
    </w:p>
    <w:p w14:paraId="0308FB56" w14:textId="002F336E" w:rsidR="004E2205" w:rsidRPr="00CA44AE" w:rsidRDefault="004E2205" w:rsidP="004E2205">
      <w:pPr>
        <w:rPr>
          <w:lang w:val="fr-FR"/>
        </w:rPr>
      </w:pPr>
      <w:r w:rsidRPr="00CA44AE">
        <w:rPr>
          <w:lang w:val="fr-FR"/>
        </w:rPr>
        <w:t xml:space="preserve">Dans un second temps, il est recommandé que le projet s’applique à améliorer les points suivants : </w:t>
      </w:r>
    </w:p>
    <w:p w14:paraId="0EB02F3A" w14:textId="290F5EEC" w:rsidR="004E2205" w:rsidRPr="00CA44AE" w:rsidRDefault="004E2205" w:rsidP="004E2205">
      <w:pPr>
        <w:pStyle w:val="Paragraphedeliste"/>
        <w:numPr>
          <w:ilvl w:val="0"/>
          <w:numId w:val="29"/>
        </w:numPr>
        <w:rPr>
          <w:lang w:val="fr-FR"/>
        </w:rPr>
      </w:pPr>
      <w:r w:rsidRPr="00CA44AE">
        <w:rPr>
          <w:lang w:val="fr-FR"/>
        </w:rPr>
        <w:t xml:space="preserve">L’UCP </w:t>
      </w:r>
      <w:r w:rsidR="00ED1960" w:rsidRPr="00CA44AE">
        <w:rPr>
          <w:lang w:val="fr-FR"/>
        </w:rPr>
        <w:t>devrait</w:t>
      </w:r>
      <w:r w:rsidRPr="00CA44AE">
        <w:rPr>
          <w:lang w:val="fr-FR"/>
        </w:rPr>
        <w:t xml:space="preserve"> accompagner </w:t>
      </w:r>
      <w:proofErr w:type="spellStart"/>
      <w:r w:rsidRPr="00CA44AE">
        <w:rPr>
          <w:lang w:val="fr-FR"/>
        </w:rPr>
        <w:t>Tany</w:t>
      </w:r>
      <w:proofErr w:type="spellEnd"/>
      <w:r w:rsidRPr="00CA44AE">
        <w:rPr>
          <w:lang w:val="fr-FR"/>
        </w:rPr>
        <w:t xml:space="preserve"> </w:t>
      </w:r>
      <w:proofErr w:type="spellStart"/>
      <w:r w:rsidRPr="00CA44AE">
        <w:rPr>
          <w:lang w:val="fr-FR"/>
        </w:rPr>
        <w:t>Meva</w:t>
      </w:r>
      <w:proofErr w:type="spellEnd"/>
      <w:r w:rsidRPr="00CA44AE">
        <w:rPr>
          <w:lang w:val="fr-FR"/>
        </w:rPr>
        <w:t xml:space="preserve"> et SAGE dans l’identification des bonnes pratiques, et le partage d’expériences pertinentes. Un atelier commun doit être conduit chaque année. Des rapports identifiants les leçons apprises doivent être produits trimestriellement et circulés entre les deux organisations.</w:t>
      </w:r>
    </w:p>
    <w:p w14:paraId="2BC03315" w14:textId="5C610F73" w:rsidR="004E2205" w:rsidRPr="00CA44AE" w:rsidRDefault="004E2205" w:rsidP="004E2205">
      <w:pPr>
        <w:pStyle w:val="Paragraphedeliste"/>
        <w:numPr>
          <w:ilvl w:val="0"/>
          <w:numId w:val="29"/>
        </w:numPr>
        <w:rPr>
          <w:lang w:val="fr-FR"/>
        </w:rPr>
      </w:pPr>
      <w:r w:rsidRPr="00CA44AE">
        <w:rPr>
          <w:lang w:val="fr-FR"/>
        </w:rPr>
        <w:t xml:space="preserve">L’UCP, SAGE et </w:t>
      </w:r>
      <w:proofErr w:type="spellStart"/>
      <w:r w:rsidRPr="00CA44AE">
        <w:rPr>
          <w:lang w:val="fr-FR"/>
        </w:rPr>
        <w:t>Tany</w:t>
      </w:r>
      <w:proofErr w:type="spellEnd"/>
      <w:r w:rsidRPr="00CA44AE">
        <w:rPr>
          <w:lang w:val="fr-FR"/>
        </w:rPr>
        <w:t xml:space="preserve"> </w:t>
      </w:r>
      <w:proofErr w:type="spellStart"/>
      <w:r w:rsidRPr="00CA44AE">
        <w:rPr>
          <w:lang w:val="fr-FR"/>
        </w:rPr>
        <w:t>Meva</w:t>
      </w:r>
      <w:proofErr w:type="spellEnd"/>
      <w:r w:rsidRPr="00CA44AE">
        <w:rPr>
          <w:lang w:val="fr-FR"/>
        </w:rPr>
        <w:t xml:space="preserve"> </w:t>
      </w:r>
      <w:r w:rsidR="00ED1960" w:rsidRPr="00CA44AE">
        <w:rPr>
          <w:lang w:val="fr-FR"/>
        </w:rPr>
        <w:t>devraient</w:t>
      </w:r>
      <w:r w:rsidRPr="00CA44AE">
        <w:rPr>
          <w:lang w:val="fr-FR"/>
        </w:rPr>
        <w:t xml:space="preserve"> développer une feuille de route commune aux deux partenaires de mise en œuvre permettant d’aligner les efforts, définir les bonnes pratiques selon les sites et permettre un meilleur partage des expériences entre les deux.</w:t>
      </w:r>
    </w:p>
    <w:p w14:paraId="260AC4EA" w14:textId="699D2993" w:rsidR="004E2205" w:rsidRPr="00CA44AE" w:rsidRDefault="004E2205" w:rsidP="004E2205">
      <w:pPr>
        <w:pStyle w:val="Paragraphedeliste"/>
        <w:numPr>
          <w:ilvl w:val="0"/>
          <w:numId w:val="29"/>
        </w:numPr>
        <w:rPr>
          <w:lang w:val="fr-FR"/>
        </w:rPr>
      </w:pPr>
      <w:r w:rsidRPr="00CA44AE">
        <w:rPr>
          <w:lang w:val="fr-FR"/>
        </w:rPr>
        <w:t xml:space="preserve">Le PNUD </w:t>
      </w:r>
      <w:r w:rsidR="00ED1960" w:rsidRPr="00CA44AE">
        <w:rPr>
          <w:lang w:val="fr-FR"/>
        </w:rPr>
        <w:t>devrait</w:t>
      </w:r>
      <w:r w:rsidRPr="00CA44AE">
        <w:rPr>
          <w:lang w:val="fr-FR"/>
        </w:rPr>
        <w:t xml:space="preserve"> recruter un conseiller technique principal, tel que prévu dans le document de projet, pour superviser les aspects techniques de la composante 1. Cette personne servira de réfèrent aux membres de l’OBER et assurera le lien entre les différents outils élaborés par le projet. Il ou elle renforcera également l’intégration des niveaux national et régional et conseillera l’équipe sur </w:t>
      </w:r>
      <w:r w:rsidR="00ED1960" w:rsidRPr="00CA44AE">
        <w:rPr>
          <w:lang w:val="fr-FR"/>
        </w:rPr>
        <w:t xml:space="preserve">la stratégie de mise à l’échelle des résultats. </w:t>
      </w:r>
    </w:p>
    <w:p w14:paraId="2B8FD641" w14:textId="06BAAF15" w:rsidR="00ED1960" w:rsidRPr="00CA44AE" w:rsidRDefault="00ED1960" w:rsidP="00ED1960">
      <w:pPr>
        <w:rPr>
          <w:lang w:val="fr-FR"/>
        </w:rPr>
      </w:pPr>
      <w:r w:rsidRPr="00CA44AE">
        <w:rPr>
          <w:lang w:val="fr-FR"/>
        </w:rPr>
        <w:t xml:space="preserve">Enfin deux recommandations sont formulées afin de renforcer les aspects liés aux risques socioéconomiques et plus largement de durabilité : </w:t>
      </w:r>
    </w:p>
    <w:p w14:paraId="42DB7F83" w14:textId="4892653D" w:rsidR="00ED1960" w:rsidRPr="00CA44AE" w:rsidRDefault="00ED1960" w:rsidP="00ED1960">
      <w:pPr>
        <w:pStyle w:val="Paragraphedeliste"/>
        <w:numPr>
          <w:ilvl w:val="0"/>
          <w:numId w:val="29"/>
        </w:numPr>
        <w:rPr>
          <w:lang w:val="fr-FR"/>
        </w:rPr>
      </w:pPr>
      <w:r w:rsidRPr="00CA44AE">
        <w:rPr>
          <w:lang w:val="fr-FR"/>
        </w:rPr>
        <w:lastRenderedPageBreak/>
        <w:t xml:space="preserve">En ce qui concerne les travaux de </w:t>
      </w:r>
      <w:proofErr w:type="spellStart"/>
      <w:r w:rsidRPr="00CA44AE">
        <w:rPr>
          <w:lang w:val="fr-FR"/>
        </w:rPr>
        <w:t>Tany</w:t>
      </w:r>
      <w:proofErr w:type="spellEnd"/>
      <w:r w:rsidRPr="00CA44AE">
        <w:rPr>
          <w:lang w:val="fr-FR"/>
        </w:rPr>
        <w:t xml:space="preserve"> </w:t>
      </w:r>
      <w:proofErr w:type="spellStart"/>
      <w:r w:rsidRPr="00CA44AE">
        <w:rPr>
          <w:lang w:val="fr-FR"/>
        </w:rPr>
        <w:t>Meva</w:t>
      </w:r>
      <w:proofErr w:type="spellEnd"/>
      <w:r w:rsidRPr="00CA44AE">
        <w:rPr>
          <w:lang w:val="fr-FR"/>
        </w:rPr>
        <w:t xml:space="preserve"> et SAGE, il s’agit de commencer les activités liées aux activités économiques et</w:t>
      </w:r>
      <w:r w:rsidR="00311A7C">
        <w:rPr>
          <w:lang w:val="fr-FR"/>
        </w:rPr>
        <w:t>, incluent le MEDD,</w:t>
      </w:r>
      <w:r w:rsidRPr="00CA44AE">
        <w:rPr>
          <w:lang w:val="fr-FR"/>
        </w:rPr>
        <w:t xml:space="preserve"> villages écologiques au plus vite et de manière substantielle. Choisir des activités économiques réalistes, durables et stratégiques qui sont non seulement attrayantes mais que les communautés peuvent maintenir dans le temps. Des analyses de chaîne de valeur et / ou analyse du marché devraient être réalisées afin d’assurer la faisabilité et la durabilité des options considérées.</w:t>
      </w:r>
    </w:p>
    <w:p w14:paraId="44A21032" w14:textId="7DF9AFD5" w:rsidR="009A575A" w:rsidRPr="00346FE6" w:rsidRDefault="009A575A" w:rsidP="009A575A">
      <w:pPr>
        <w:pStyle w:val="Paragraphedeliste"/>
        <w:numPr>
          <w:ilvl w:val="0"/>
          <w:numId w:val="29"/>
        </w:numPr>
        <w:rPr>
          <w:lang w:val="fr-FR"/>
        </w:rPr>
      </w:pPr>
      <w:r>
        <w:rPr>
          <w:lang w:val="fr-FR"/>
        </w:rPr>
        <w:t xml:space="preserve">Améliorer l’échange de l’information produit par les communautés puis qu’elle puisse être utilisée aussi para les institutions publiques, notamment, mais pas seulement, la DREDD, et pas seulement par les partenaires de mis en œuvre. </w:t>
      </w:r>
    </w:p>
    <w:p w14:paraId="05CF23BB" w14:textId="6A5C948F" w:rsidR="00937AA0" w:rsidRPr="00B60D0E" w:rsidRDefault="00ED1960" w:rsidP="00923739">
      <w:pPr>
        <w:pStyle w:val="Paragraphedeliste"/>
        <w:numPr>
          <w:ilvl w:val="0"/>
          <w:numId w:val="29"/>
        </w:numPr>
        <w:spacing w:before="0" w:after="200"/>
        <w:jc w:val="left"/>
        <w:rPr>
          <w:lang w:val="fr-FR"/>
        </w:rPr>
      </w:pPr>
      <w:r w:rsidRPr="00346FE6">
        <w:rPr>
          <w:lang w:val="fr-FR"/>
        </w:rPr>
        <w:t>Dynamique d’information – alphabétisation : le PNUD et l’UCP devraient explorer les possibilités de partenariats avec une organisation qui travaille sur l’alphabétisation afin de dynamiser l’information autour du projet et assurer son inclusivité. Il pourrait s’agir de campagnes de formation de professeurs</w:t>
      </w:r>
      <w:bookmarkEnd w:id="29"/>
    </w:p>
    <w:p w14:paraId="769A6731" w14:textId="77777777" w:rsidR="00937AA0" w:rsidRPr="00B301D4" w:rsidRDefault="00937AA0" w:rsidP="00937AA0">
      <w:pPr>
        <w:pStyle w:val="Titre1"/>
        <w:ind w:left="1134" w:hanging="1134"/>
        <w:rPr>
          <w:lang w:val="fr-FR"/>
        </w:rPr>
        <w:sectPr w:rsidR="00937AA0" w:rsidRPr="00B301D4" w:rsidSect="00937AA0">
          <w:pgSz w:w="11906" w:h="16838" w:code="9"/>
          <w:pgMar w:top="1440" w:right="1440" w:bottom="1440" w:left="1440" w:header="576" w:footer="432" w:gutter="0"/>
          <w:cols w:space="720"/>
          <w:docGrid w:linePitch="360"/>
        </w:sectPr>
      </w:pPr>
    </w:p>
    <w:p w14:paraId="1C75C4B8" w14:textId="77777777" w:rsidR="00937AA0" w:rsidRPr="00486C46" w:rsidRDefault="00937AA0" w:rsidP="00937AA0">
      <w:pPr>
        <w:pStyle w:val="Titre1"/>
        <w:ind w:left="1134" w:hanging="1134"/>
        <w:rPr>
          <w:lang w:val="fr-FR"/>
        </w:rPr>
      </w:pPr>
      <w:bookmarkStart w:id="35" w:name="_Toc501646715"/>
      <w:bookmarkStart w:id="36" w:name="_Toc31122564"/>
      <w:r w:rsidRPr="00486C46">
        <w:rPr>
          <w:lang w:val="fr-FR"/>
        </w:rPr>
        <w:lastRenderedPageBreak/>
        <w:t>Annexes</w:t>
      </w:r>
      <w:bookmarkEnd w:id="35"/>
      <w:bookmarkEnd w:id="36"/>
    </w:p>
    <w:p w14:paraId="6D089032" w14:textId="4A3265FC" w:rsidR="00937AA0" w:rsidRPr="00486C46" w:rsidRDefault="00937AA0" w:rsidP="00937AA0">
      <w:pPr>
        <w:spacing w:before="0" w:after="200"/>
        <w:jc w:val="left"/>
        <w:rPr>
          <w:lang w:val="fr-FR"/>
        </w:rPr>
      </w:pPr>
    </w:p>
    <w:p w14:paraId="7C90C7B2" w14:textId="331ABD57" w:rsidR="00937AA0" w:rsidRDefault="00937AA0" w:rsidP="00937AA0">
      <w:pPr>
        <w:pStyle w:val="Titre2"/>
        <w:rPr>
          <w:lang w:val="fr-FR"/>
        </w:rPr>
      </w:pPr>
      <w:bookmarkStart w:id="37" w:name="_Ref499540759"/>
      <w:bookmarkStart w:id="38" w:name="_Toc501646716"/>
      <w:bookmarkStart w:id="39" w:name="_Toc31122565"/>
      <w:r w:rsidRPr="00486C46">
        <w:rPr>
          <w:lang w:val="fr-FR"/>
        </w:rPr>
        <w:t>Annexe</w:t>
      </w:r>
      <w:r>
        <w:rPr>
          <w:lang w:val="fr-FR"/>
        </w:rPr>
        <w:t xml:space="preserve"> </w:t>
      </w:r>
      <w:r w:rsidR="00971B89">
        <w:rPr>
          <w:lang w:val="fr-FR"/>
        </w:rPr>
        <w:t>1</w:t>
      </w:r>
      <w:r w:rsidR="00971B89" w:rsidRPr="00486C46">
        <w:rPr>
          <w:lang w:val="fr-FR"/>
        </w:rPr>
        <w:t xml:space="preserve"> :</w:t>
      </w:r>
      <w:r w:rsidRPr="00486C46">
        <w:rPr>
          <w:lang w:val="fr-FR"/>
        </w:rPr>
        <w:t xml:space="preserve"> </w:t>
      </w:r>
      <w:bookmarkEnd w:id="37"/>
      <w:bookmarkEnd w:id="38"/>
      <w:r w:rsidR="00944544">
        <w:rPr>
          <w:lang w:val="fr-FR"/>
        </w:rPr>
        <w:t>Matrice d’évaluation</w:t>
      </w:r>
      <w:bookmarkEnd w:id="39"/>
    </w:p>
    <w:tbl>
      <w:tblPr>
        <w:tblStyle w:val="Grilledutableau"/>
        <w:tblW w:w="5000" w:type="pct"/>
        <w:tblLook w:val="04A0" w:firstRow="1" w:lastRow="0" w:firstColumn="1" w:lastColumn="0" w:noHBand="0" w:noVBand="1"/>
      </w:tblPr>
      <w:tblGrid>
        <w:gridCol w:w="3204"/>
        <w:gridCol w:w="4662"/>
        <w:gridCol w:w="3367"/>
        <w:gridCol w:w="1717"/>
      </w:tblGrid>
      <w:tr w:rsidR="001715ED" w:rsidRPr="00A761B1" w14:paraId="3D5B4C50" w14:textId="77777777" w:rsidTr="001715ED">
        <w:trPr>
          <w:tblHeader/>
        </w:trPr>
        <w:tc>
          <w:tcPr>
            <w:tcW w:w="1237" w:type="pct"/>
            <w:shd w:val="clear" w:color="auto" w:fill="595959" w:themeFill="text1" w:themeFillTint="A6"/>
          </w:tcPr>
          <w:p w14:paraId="2190D3A9" w14:textId="77777777" w:rsidR="001715ED" w:rsidRPr="00A761B1" w:rsidRDefault="001715ED" w:rsidP="001715ED">
            <w:pPr>
              <w:rPr>
                <w:b/>
                <w:color w:val="FFFFFF" w:themeColor="background1"/>
                <w:sz w:val="20"/>
                <w:lang w:val="fr-FR"/>
              </w:rPr>
            </w:pPr>
            <w:r w:rsidRPr="00A761B1">
              <w:rPr>
                <w:b/>
                <w:color w:val="FFFFFF" w:themeColor="background1"/>
                <w:sz w:val="20"/>
                <w:lang w:val="fr-FR"/>
              </w:rPr>
              <w:t xml:space="preserve">Questions évaluatives </w:t>
            </w:r>
          </w:p>
        </w:tc>
        <w:tc>
          <w:tcPr>
            <w:tcW w:w="1800" w:type="pct"/>
            <w:shd w:val="clear" w:color="auto" w:fill="595959" w:themeFill="text1" w:themeFillTint="A6"/>
          </w:tcPr>
          <w:p w14:paraId="4C14BDDE" w14:textId="77777777" w:rsidR="001715ED" w:rsidRPr="00A761B1" w:rsidRDefault="001715ED" w:rsidP="001715ED">
            <w:pPr>
              <w:rPr>
                <w:b/>
                <w:color w:val="FFFFFF" w:themeColor="background1"/>
                <w:sz w:val="20"/>
                <w:lang w:val="fr-FR"/>
              </w:rPr>
            </w:pPr>
            <w:r w:rsidRPr="00A761B1">
              <w:rPr>
                <w:b/>
                <w:color w:val="FFFFFF" w:themeColor="background1"/>
                <w:sz w:val="20"/>
                <w:lang w:val="fr-FR"/>
              </w:rPr>
              <w:t>Indicateurs</w:t>
            </w:r>
          </w:p>
        </w:tc>
        <w:tc>
          <w:tcPr>
            <w:tcW w:w="1300" w:type="pct"/>
            <w:shd w:val="clear" w:color="auto" w:fill="595959" w:themeFill="text1" w:themeFillTint="A6"/>
          </w:tcPr>
          <w:p w14:paraId="52C4CA12" w14:textId="77777777" w:rsidR="001715ED" w:rsidRPr="00A761B1" w:rsidRDefault="001715ED" w:rsidP="001715ED">
            <w:pPr>
              <w:rPr>
                <w:b/>
                <w:color w:val="FFFFFF" w:themeColor="background1"/>
                <w:sz w:val="20"/>
                <w:lang w:val="fr-FR"/>
              </w:rPr>
            </w:pPr>
            <w:r w:rsidRPr="00A761B1">
              <w:rPr>
                <w:b/>
                <w:color w:val="FFFFFF" w:themeColor="background1"/>
                <w:sz w:val="20"/>
                <w:lang w:val="fr-FR"/>
              </w:rPr>
              <w:t>Sources</w:t>
            </w:r>
          </w:p>
        </w:tc>
        <w:tc>
          <w:tcPr>
            <w:tcW w:w="663" w:type="pct"/>
            <w:shd w:val="clear" w:color="auto" w:fill="595959" w:themeFill="text1" w:themeFillTint="A6"/>
          </w:tcPr>
          <w:p w14:paraId="62890395" w14:textId="77777777" w:rsidR="001715ED" w:rsidRPr="00A761B1" w:rsidRDefault="001715ED" w:rsidP="001715ED">
            <w:pPr>
              <w:rPr>
                <w:b/>
                <w:color w:val="FFFFFF" w:themeColor="background1"/>
                <w:sz w:val="20"/>
                <w:lang w:val="fr-FR"/>
              </w:rPr>
            </w:pPr>
            <w:r w:rsidRPr="00A761B1">
              <w:rPr>
                <w:b/>
                <w:color w:val="FFFFFF" w:themeColor="background1"/>
                <w:sz w:val="20"/>
                <w:lang w:val="fr-FR"/>
              </w:rPr>
              <w:t>Méthodologie</w:t>
            </w:r>
          </w:p>
        </w:tc>
      </w:tr>
      <w:tr w:rsidR="001715ED" w:rsidRPr="00BE1549" w14:paraId="686554E0" w14:textId="77777777" w:rsidTr="001715ED">
        <w:tc>
          <w:tcPr>
            <w:tcW w:w="5000" w:type="pct"/>
            <w:gridSpan w:val="4"/>
            <w:shd w:val="clear" w:color="auto" w:fill="8DB3E2" w:themeFill="text2" w:themeFillTint="66"/>
          </w:tcPr>
          <w:p w14:paraId="728B6317" w14:textId="77777777" w:rsidR="001715ED" w:rsidRPr="00A761B1" w:rsidRDefault="001715ED" w:rsidP="001715ED">
            <w:pPr>
              <w:pStyle w:val="Paragraphedeliste"/>
              <w:numPr>
                <w:ilvl w:val="0"/>
                <w:numId w:val="35"/>
              </w:numPr>
              <w:spacing w:before="0" w:after="0"/>
              <w:ind w:left="306" w:hanging="306"/>
              <w:jc w:val="left"/>
              <w:rPr>
                <w:b/>
                <w:sz w:val="20"/>
                <w:lang w:val="fr-FR"/>
              </w:rPr>
            </w:pPr>
            <w:r w:rsidRPr="00A761B1">
              <w:rPr>
                <w:b/>
                <w:sz w:val="20"/>
                <w:lang w:val="fr-FR"/>
              </w:rPr>
              <w:t>Stratégie du projet</w:t>
            </w:r>
            <w:r>
              <w:rPr>
                <w:b/>
                <w:sz w:val="20"/>
                <w:lang w:val="fr-FR"/>
              </w:rPr>
              <w:t xml:space="preserve"> </w:t>
            </w:r>
            <w:r w:rsidRPr="00A761B1">
              <w:rPr>
                <w:b/>
                <w:sz w:val="20"/>
                <w:lang w:val="fr-FR"/>
              </w:rPr>
              <w:t>: dans quelle mesure la stratégie du projet est</w:t>
            </w:r>
            <w:r>
              <w:rPr>
                <w:b/>
                <w:sz w:val="20"/>
                <w:lang w:val="fr-FR"/>
              </w:rPr>
              <w:t>-</w:t>
            </w:r>
            <w:r w:rsidRPr="00A761B1">
              <w:rPr>
                <w:b/>
                <w:sz w:val="20"/>
                <w:lang w:val="fr-FR"/>
              </w:rPr>
              <w:t>elle adaptée aux priorités du pays, à l’appropriation nationale et au meilleur moyen d’atteindre les résultats escomptés ?</w:t>
            </w:r>
          </w:p>
        </w:tc>
      </w:tr>
      <w:tr w:rsidR="001715ED" w:rsidRPr="00A761B1" w14:paraId="552CB733" w14:textId="77777777" w:rsidTr="001715ED">
        <w:trPr>
          <w:trHeight w:val="357"/>
        </w:trPr>
        <w:tc>
          <w:tcPr>
            <w:tcW w:w="5000" w:type="pct"/>
            <w:gridSpan w:val="4"/>
          </w:tcPr>
          <w:p w14:paraId="12760865" w14:textId="77777777" w:rsidR="001715ED" w:rsidRPr="00A761B1" w:rsidRDefault="001715ED" w:rsidP="001715ED">
            <w:pPr>
              <w:spacing w:before="60" w:after="60"/>
              <w:rPr>
                <w:sz w:val="20"/>
                <w:lang w:val="fr-FR"/>
              </w:rPr>
            </w:pPr>
            <w:r w:rsidRPr="00A761B1">
              <w:rPr>
                <w:b/>
                <w:sz w:val="20"/>
                <w:lang w:val="fr-FR"/>
              </w:rPr>
              <w:t>1.1 Conception de projet</w:t>
            </w:r>
          </w:p>
        </w:tc>
      </w:tr>
      <w:tr w:rsidR="001715ED" w:rsidRPr="00EE3F99" w14:paraId="2D60C5E7" w14:textId="77777777" w:rsidTr="001715ED">
        <w:tc>
          <w:tcPr>
            <w:tcW w:w="1237" w:type="pct"/>
          </w:tcPr>
          <w:p w14:paraId="2F7CF552" w14:textId="77777777" w:rsidR="001715ED" w:rsidRPr="00A761B1" w:rsidRDefault="001715ED" w:rsidP="001715ED">
            <w:pPr>
              <w:pStyle w:val="Paragraphedeliste"/>
              <w:numPr>
                <w:ilvl w:val="2"/>
                <w:numId w:val="36"/>
              </w:numPr>
              <w:spacing w:before="0" w:after="0"/>
              <w:ind w:left="589" w:hanging="567"/>
              <w:jc w:val="left"/>
              <w:rPr>
                <w:sz w:val="20"/>
                <w:lang w:val="fr-FR"/>
              </w:rPr>
            </w:pPr>
            <w:r w:rsidRPr="00A761B1">
              <w:rPr>
                <w:sz w:val="20"/>
                <w:lang w:val="fr-FR"/>
              </w:rPr>
              <w:t xml:space="preserve">Le problème auquel s’attaque le projet est-il pertinent par rapport au contexte national et aux hypothèses de base ? </w:t>
            </w:r>
          </w:p>
        </w:tc>
        <w:tc>
          <w:tcPr>
            <w:tcW w:w="1800" w:type="pct"/>
          </w:tcPr>
          <w:p w14:paraId="67DC23CD"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Pertinence du problème sur les différents sites d’intervention du projet - cohérence avec les besoins de développement humain des bénéficiaires visés</w:t>
            </w:r>
          </w:p>
          <w:p w14:paraId="03566796"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 xml:space="preserve">Niveau d'alignement entre les hypothèses clés formulées dans le </w:t>
            </w:r>
            <w:proofErr w:type="spellStart"/>
            <w:r w:rsidRPr="00A761B1">
              <w:rPr>
                <w:sz w:val="20"/>
                <w:lang w:val="fr-FR"/>
              </w:rPr>
              <w:t>prodoc</w:t>
            </w:r>
            <w:proofErr w:type="spellEnd"/>
            <w:r w:rsidRPr="00A761B1">
              <w:rPr>
                <w:sz w:val="20"/>
                <w:lang w:val="fr-FR"/>
              </w:rPr>
              <w:t xml:space="preserve"> et la situation sur les sites de projet</w:t>
            </w:r>
          </w:p>
        </w:tc>
        <w:tc>
          <w:tcPr>
            <w:tcW w:w="1300" w:type="pct"/>
          </w:tcPr>
          <w:p w14:paraId="24D09F7D"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PAD, documents de projet</w:t>
            </w:r>
          </w:p>
          <w:p w14:paraId="72834883"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 xml:space="preserve">Equipe de mise en œuvre local et partenaires d’exécution </w:t>
            </w:r>
          </w:p>
          <w:p w14:paraId="3181BC15"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Acteurs gouvernementaux</w:t>
            </w:r>
          </w:p>
        </w:tc>
        <w:tc>
          <w:tcPr>
            <w:tcW w:w="663" w:type="pct"/>
          </w:tcPr>
          <w:p w14:paraId="59193A15"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Revue documentaire</w:t>
            </w:r>
          </w:p>
          <w:p w14:paraId="37D62A45"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Entretiens</w:t>
            </w:r>
          </w:p>
          <w:p w14:paraId="2E206F76" w14:textId="77777777" w:rsidR="001715ED" w:rsidRPr="00A761B1" w:rsidRDefault="001715ED" w:rsidP="001715ED">
            <w:pPr>
              <w:pStyle w:val="Paragraphedeliste"/>
              <w:numPr>
                <w:ilvl w:val="0"/>
                <w:numId w:val="37"/>
              </w:numPr>
              <w:spacing w:before="0" w:after="0"/>
              <w:ind w:left="342" w:hanging="284"/>
              <w:jc w:val="left"/>
              <w:rPr>
                <w:sz w:val="20"/>
                <w:lang w:val="fr-FR"/>
              </w:rPr>
            </w:pPr>
            <w:r w:rsidRPr="00A761B1">
              <w:rPr>
                <w:sz w:val="20"/>
                <w:lang w:val="fr-FR"/>
              </w:rPr>
              <w:t>Visites de terrain</w:t>
            </w:r>
          </w:p>
        </w:tc>
      </w:tr>
      <w:tr w:rsidR="001715ED" w:rsidRPr="00EE3F99" w14:paraId="33C54FC8" w14:textId="77777777" w:rsidTr="001715ED">
        <w:tc>
          <w:tcPr>
            <w:tcW w:w="1237" w:type="pct"/>
          </w:tcPr>
          <w:p w14:paraId="7495060F" w14:textId="77777777" w:rsidR="001715ED" w:rsidRPr="00C80BA7" w:rsidRDefault="001715ED" w:rsidP="001715ED">
            <w:pPr>
              <w:pStyle w:val="Paragraphedeliste"/>
              <w:numPr>
                <w:ilvl w:val="2"/>
                <w:numId w:val="36"/>
              </w:numPr>
              <w:spacing w:before="0" w:after="0"/>
              <w:ind w:left="589" w:hanging="567"/>
              <w:jc w:val="left"/>
              <w:rPr>
                <w:sz w:val="20"/>
                <w:lang w:val="fr-FR"/>
              </w:rPr>
            </w:pPr>
            <w:r w:rsidRPr="00C80BA7">
              <w:rPr>
                <w:sz w:val="20"/>
                <w:lang w:val="fr-FR"/>
              </w:rPr>
              <w:t>Quel</w:t>
            </w:r>
            <w:r>
              <w:rPr>
                <w:sz w:val="20"/>
                <w:lang w:val="fr-FR"/>
              </w:rPr>
              <w:t>l</w:t>
            </w:r>
            <w:r w:rsidRPr="00C80BA7">
              <w:rPr>
                <w:sz w:val="20"/>
                <w:lang w:val="fr-FR"/>
              </w:rPr>
              <w:t>e est l’efficacité de l</w:t>
            </w:r>
            <w:r>
              <w:rPr>
                <w:sz w:val="20"/>
                <w:lang w:val="fr-FR"/>
              </w:rPr>
              <w:t>a stratégie choisie pour atteindre les résultats escomptés ? La théorie de changement (y compris les hypothèses et risques identifiés) demeure-t-elle pertinente ?</w:t>
            </w:r>
          </w:p>
        </w:tc>
        <w:tc>
          <w:tcPr>
            <w:tcW w:w="1800" w:type="pct"/>
          </w:tcPr>
          <w:p w14:paraId="141650CF" w14:textId="77777777" w:rsidR="001715ED" w:rsidRDefault="001715ED" w:rsidP="001715ED">
            <w:pPr>
              <w:pStyle w:val="Paragraphedeliste"/>
              <w:numPr>
                <w:ilvl w:val="0"/>
                <w:numId w:val="37"/>
              </w:numPr>
              <w:spacing w:before="0" w:after="0"/>
              <w:ind w:left="342" w:hanging="284"/>
              <w:jc w:val="left"/>
              <w:rPr>
                <w:sz w:val="20"/>
                <w:lang w:val="fr-FR"/>
              </w:rPr>
            </w:pPr>
            <w:r w:rsidRPr="003B2B63">
              <w:rPr>
                <w:sz w:val="20"/>
                <w:lang w:val="fr-FR"/>
              </w:rPr>
              <w:t xml:space="preserve">Mesure dans laquelle la </w:t>
            </w:r>
            <w:r>
              <w:rPr>
                <w:sz w:val="20"/>
                <w:lang w:val="fr-FR"/>
              </w:rPr>
              <w:t xml:space="preserve">stratégie </w:t>
            </w:r>
            <w:r w:rsidRPr="003B2B63">
              <w:rPr>
                <w:sz w:val="20"/>
                <w:lang w:val="fr-FR"/>
              </w:rPr>
              <w:t>choisie est appropriée au contexte de développement</w:t>
            </w:r>
          </w:p>
          <w:p w14:paraId="3726C348" w14:textId="77777777" w:rsidR="001715ED" w:rsidRDefault="001715ED" w:rsidP="001715ED">
            <w:pPr>
              <w:pStyle w:val="Paragraphedeliste"/>
              <w:numPr>
                <w:ilvl w:val="0"/>
                <w:numId w:val="37"/>
              </w:numPr>
              <w:spacing w:before="0" w:after="0"/>
              <w:ind w:left="342" w:hanging="284"/>
              <w:jc w:val="left"/>
              <w:rPr>
                <w:sz w:val="20"/>
                <w:lang w:val="fr-FR"/>
              </w:rPr>
            </w:pPr>
            <w:r w:rsidRPr="003B2B63">
              <w:rPr>
                <w:sz w:val="20"/>
                <w:lang w:val="fr-FR"/>
              </w:rPr>
              <w:t>Niveau de cohérence entre les activités prévues et les résultats attendus</w:t>
            </w:r>
          </w:p>
          <w:p w14:paraId="651E6FD4" w14:textId="77777777" w:rsidR="001715ED" w:rsidRPr="003B2B63" w:rsidRDefault="001715ED" w:rsidP="001715ED">
            <w:pPr>
              <w:pStyle w:val="Paragraphedeliste"/>
              <w:numPr>
                <w:ilvl w:val="0"/>
                <w:numId w:val="37"/>
              </w:numPr>
              <w:spacing w:before="0" w:after="0"/>
              <w:ind w:left="342" w:hanging="284"/>
              <w:jc w:val="left"/>
              <w:rPr>
                <w:sz w:val="20"/>
                <w:lang w:val="fr-FR"/>
              </w:rPr>
            </w:pPr>
            <w:r w:rsidRPr="003B2B63">
              <w:rPr>
                <w:sz w:val="20"/>
                <w:lang w:val="fr-FR"/>
              </w:rPr>
              <w:t>Preuves de documents de planification utilisant les leçons tirées / recommandations de projets antérieurs comme contribution au processus de planification / stratégie</w:t>
            </w:r>
          </w:p>
        </w:tc>
        <w:tc>
          <w:tcPr>
            <w:tcW w:w="1300" w:type="pct"/>
          </w:tcPr>
          <w:p w14:paraId="5BB50D94"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PAD, documents de projet</w:t>
            </w:r>
          </w:p>
          <w:p w14:paraId="4BD6C061" w14:textId="77777777" w:rsidR="001715ED" w:rsidRPr="008964CE" w:rsidRDefault="001715ED" w:rsidP="001715ED">
            <w:pPr>
              <w:pStyle w:val="Paragraphedeliste"/>
              <w:numPr>
                <w:ilvl w:val="0"/>
                <w:numId w:val="37"/>
              </w:numPr>
              <w:spacing w:before="0" w:after="0"/>
              <w:ind w:left="342" w:hanging="284"/>
              <w:jc w:val="left"/>
              <w:rPr>
                <w:sz w:val="20"/>
                <w:lang w:val="fr-FR"/>
              </w:rPr>
            </w:pPr>
            <w:r w:rsidRPr="008964CE">
              <w:rPr>
                <w:sz w:val="20"/>
                <w:lang w:val="fr-FR"/>
              </w:rPr>
              <w:t xml:space="preserve">Equipe de mise en </w:t>
            </w:r>
            <w:r>
              <w:rPr>
                <w:sz w:val="20"/>
                <w:lang w:val="fr-FR"/>
              </w:rPr>
              <w:t xml:space="preserve">œuvre local et partenaires d’exécution </w:t>
            </w:r>
          </w:p>
          <w:p w14:paraId="089F2C5F"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Acteurs gouvernementaux</w:t>
            </w:r>
          </w:p>
        </w:tc>
        <w:tc>
          <w:tcPr>
            <w:tcW w:w="663" w:type="pct"/>
          </w:tcPr>
          <w:p w14:paraId="5D75F7E6"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11B42606"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47236422"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Visites de terrain</w:t>
            </w:r>
          </w:p>
        </w:tc>
      </w:tr>
      <w:tr w:rsidR="001715ED" w:rsidRPr="00EE3F99" w14:paraId="27F4F8AB" w14:textId="77777777" w:rsidTr="001715ED">
        <w:tc>
          <w:tcPr>
            <w:tcW w:w="1237" w:type="pct"/>
          </w:tcPr>
          <w:p w14:paraId="339286EC" w14:textId="77777777" w:rsidR="001715ED" w:rsidRPr="00C80BA7" w:rsidRDefault="001715ED" w:rsidP="001715ED">
            <w:pPr>
              <w:pStyle w:val="Paragraphedeliste"/>
              <w:numPr>
                <w:ilvl w:val="2"/>
                <w:numId w:val="36"/>
              </w:numPr>
              <w:spacing w:before="0" w:after="0"/>
              <w:ind w:left="589" w:hanging="567"/>
              <w:jc w:val="left"/>
              <w:rPr>
                <w:sz w:val="20"/>
                <w:lang w:val="fr-FR"/>
              </w:rPr>
            </w:pPr>
            <w:r w:rsidRPr="00C80BA7">
              <w:rPr>
                <w:sz w:val="20"/>
                <w:lang w:val="fr-FR"/>
              </w:rPr>
              <w:t xml:space="preserve">Dans quelle mesure le </w:t>
            </w:r>
            <w:r>
              <w:rPr>
                <w:sz w:val="20"/>
                <w:lang w:val="fr-FR"/>
              </w:rPr>
              <w:t xml:space="preserve">projet répond-il aux priorités et plans nationaux et sous-nationaux ? </w:t>
            </w:r>
          </w:p>
        </w:tc>
        <w:tc>
          <w:tcPr>
            <w:tcW w:w="1800" w:type="pct"/>
          </w:tcPr>
          <w:p w14:paraId="174EC85B" w14:textId="77777777" w:rsidR="001715ED" w:rsidRPr="003B2B63" w:rsidRDefault="001715ED" w:rsidP="001715ED">
            <w:pPr>
              <w:pStyle w:val="Paragraphedeliste"/>
              <w:numPr>
                <w:ilvl w:val="0"/>
                <w:numId w:val="37"/>
              </w:numPr>
              <w:spacing w:before="0" w:after="0"/>
              <w:ind w:left="342" w:hanging="284"/>
              <w:jc w:val="left"/>
              <w:rPr>
                <w:sz w:val="20"/>
                <w:lang w:val="fr-FR"/>
              </w:rPr>
            </w:pPr>
            <w:r w:rsidRPr="003B2B63">
              <w:rPr>
                <w:sz w:val="20"/>
                <w:lang w:val="fr-FR"/>
              </w:rPr>
              <w:t>Niveau d'alignement des résultats et des produits du projet sur les priorités nationales (a) au début du projet</w:t>
            </w:r>
            <w:r>
              <w:rPr>
                <w:sz w:val="20"/>
                <w:lang w:val="fr-FR"/>
              </w:rPr>
              <w:t xml:space="preserve"> </w:t>
            </w:r>
            <w:r w:rsidRPr="003B2B63">
              <w:rPr>
                <w:sz w:val="20"/>
                <w:lang w:val="fr-FR"/>
              </w:rPr>
              <w:t>; b) à mi-parcours</w:t>
            </w:r>
          </w:p>
        </w:tc>
        <w:tc>
          <w:tcPr>
            <w:tcW w:w="1300" w:type="pct"/>
          </w:tcPr>
          <w:p w14:paraId="4468FC83" w14:textId="77777777" w:rsidR="001715ED" w:rsidRDefault="001715ED" w:rsidP="001715ED">
            <w:pPr>
              <w:pStyle w:val="Paragraphedeliste"/>
              <w:numPr>
                <w:ilvl w:val="0"/>
                <w:numId w:val="37"/>
              </w:numPr>
              <w:spacing w:before="0" w:after="0"/>
              <w:ind w:left="342" w:hanging="284"/>
              <w:jc w:val="left"/>
              <w:rPr>
                <w:sz w:val="20"/>
                <w:lang w:val="fr-FR"/>
              </w:rPr>
            </w:pPr>
            <w:r w:rsidRPr="008964CE">
              <w:rPr>
                <w:sz w:val="20"/>
                <w:lang w:val="fr-FR"/>
              </w:rPr>
              <w:t>Politiques,</w:t>
            </w:r>
            <w:r>
              <w:rPr>
                <w:sz w:val="20"/>
                <w:lang w:val="fr-FR"/>
              </w:rPr>
              <w:t xml:space="preserve"> stratégies et plans nationaux</w:t>
            </w:r>
            <w:r w:rsidRPr="008964CE">
              <w:rPr>
                <w:sz w:val="20"/>
                <w:lang w:val="fr-FR"/>
              </w:rPr>
              <w:t xml:space="preserve"> et infranationa</w:t>
            </w:r>
            <w:r>
              <w:rPr>
                <w:sz w:val="20"/>
                <w:lang w:val="fr-FR"/>
              </w:rPr>
              <w:t>ux</w:t>
            </w:r>
          </w:p>
          <w:p w14:paraId="0AAC02F0"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PAD, documents de projet</w:t>
            </w:r>
          </w:p>
          <w:p w14:paraId="03F96065" w14:textId="77777777" w:rsidR="001715ED" w:rsidRPr="008964CE" w:rsidRDefault="001715ED" w:rsidP="001715ED">
            <w:pPr>
              <w:pStyle w:val="Paragraphedeliste"/>
              <w:numPr>
                <w:ilvl w:val="0"/>
                <w:numId w:val="37"/>
              </w:numPr>
              <w:spacing w:before="0" w:after="0"/>
              <w:ind w:left="342" w:hanging="284"/>
              <w:jc w:val="left"/>
              <w:rPr>
                <w:sz w:val="20"/>
                <w:lang w:val="fr-FR"/>
              </w:rPr>
            </w:pPr>
            <w:r w:rsidRPr="008964CE">
              <w:rPr>
                <w:sz w:val="20"/>
                <w:lang w:val="fr-FR"/>
              </w:rPr>
              <w:t xml:space="preserve">Equipe de mise en </w:t>
            </w:r>
            <w:r>
              <w:rPr>
                <w:sz w:val="20"/>
                <w:lang w:val="fr-FR"/>
              </w:rPr>
              <w:t xml:space="preserve">œuvre local et partenaires d’exécution </w:t>
            </w:r>
          </w:p>
          <w:p w14:paraId="10F3C6C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Acteurs gouvernementaux</w:t>
            </w:r>
          </w:p>
        </w:tc>
        <w:tc>
          <w:tcPr>
            <w:tcW w:w="663" w:type="pct"/>
          </w:tcPr>
          <w:p w14:paraId="731E8494"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74D1275C"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16DFEF88" w14:textId="77777777" w:rsidR="001715ED" w:rsidRPr="00C50F13" w:rsidRDefault="001715ED" w:rsidP="001715ED">
            <w:pPr>
              <w:pStyle w:val="Paragraphedeliste"/>
              <w:numPr>
                <w:ilvl w:val="0"/>
                <w:numId w:val="0"/>
              </w:numPr>
              <w:spacing w:before="0" w:after="0"/>
              <w:ind w:left="342"/>
              <w:jc w:val="left"/>
              <w:rPr>
                <w:sz w:val="20"/>
                <w:lang w:val="fr-FR"/>
              </w:rPr>
            </w:pPr>
          </w:p>
        </w:tc>
      </w:tr>
      <w:tr w:rsidR="001715ED" w:rsidRPr="00EE3F99" w14:paraId="5EAC1578" w14:textId="77777777" w:rsidTr="001715ED">
        <w:tc>
          <w:tcPr>
            <w:tcW w:w="1237" w:type="pct"/>
          </w:tcPr>
          <w:p w14:paraId="7BF47DCD" w14:textId="77777777" w:rsidR="001715ED" w:rsidRPr="00E3004F" w:rsidRDefault="001715ED" w:rsidP="001715ED">
            <w:pPr>
              <w:pStyle w:val="Paragraphedeliste"/>
              <w:numPr>
                <w:ilvl w:val="2"/>
                <w:numId w:val="36"/>
              </w:numPr>
              <w:spacing w:before="0" w:after="0"/>
              <w:ind w:left="589" w:hanging="567"/>
              <w:jc w:val="left"/>
              <w:rPr>
                <w:sz w:val="20"/>
                <w:lang w:val="fr-FR"/>
              </w:rPr>
            </w:pPr>
            <w:r w:rsidRPr="00E3004F">
              <w:rPr>
                <w:sz w:val="20"/>
                <w:lang w:val="fr-FR"/>
              </w:rPr>
              <w:lastRenderedPageBreak/>
              <w:t>Dans quelle mesure les points de vue de toutes les parties prena</w:t>
            </w:r>
            <w:r>
              <w:rPr>
                <w:sz w:val="20"/>
                <w:lang w:val="fr-FR"/>
              </w:rPr>
              <w:t>ntes concernées par le projet</w:t>
            </w:r>
            <w:r w:rsidRPr="00E3004F">
              <w:rPr>
                <w:sz w:val="20"/>
                <w:lang w:val="fr-FR"/>
              </w:rPr>
              <w:t xml:space="preserve"> </w:t>
            </w:r>
            <w:r>
              <w:rPr>
                <w:sz w:val="20"/>
                <w:lang w:val="fr-FR"/>
              </w:rPr>
              <w:t>ont-ils été pris en compte lors de la conception ?</w:t>
            </w:r>
          </w:p>
        </w:tc>
        <w:tc>
          <w:tcPr>
            <w:tcW w:w="1800" w:type="pct"/>
          </w:tcPr>
          <w:p w14:paraId="6D8B1ED3" w14:textId="77777777" w:rsidR="001715ED" w:rsidRDefault="001715ED" w:rsidP="001715ED">
            <w:pPr>
              <w:pStyle w:val="Paragraphedeliste"/>
              <w:numPr>
                <w:ilvl w:val="0"/>
                <w:numId w:val="37"/>
              </w:numPr>
              <w:spacing w:before="0" w:after="0"/>
              <w:ind w:left="342" w:hanging="284"/>
              <w:jc w:val="left"/>
              <w:rPr>
                <w:sz w:val="20"/>
                <w:lang w:val="fr-FR"/>
              </w:rPr>
            </w:pPr>
            <w:r w:rsidRPr="003B2B63">
              <w:rPr>
                <w:sz w:val="20"/>
                <w:lang w:val="fr-FR"/>
              </w:rPr>
              <w:t>Nombre et types de parties prenantes consultées lors de la conception du projet</w:t>
            </w:r>
          </w:p>
          <w:p w14:paraId="0D2A8083" w14:textId="77777777" w:rsidR="001715ED" w:rsidRPr="003B2B63" w:rsidRDefault="001715ED" w:rsidP="001715ED">
            <w:pPr>
              <w:pStyle w:val="Paragraphedeliste"/>
              <w:numPr>
                <w:ilvl w:val="0"/>
                <w:numId w:val="37"/>
              </w:numPr>
              <w:spacing w:before="0" w:after="0"/>
              <w:ind w:left="342" w:hanging="284"/>
              <w:jc w:val="left"/>
              <w:rPr>
                <w:sz w:val="20"/>
                <w:lang w:val="fr-FR"/>
              </w:rPr>
            </w:pPr>
            <w:r>
              <w:rPr>
                <w:sz w:val="20"/>
                <w:lang w:val="fr-FR"/>
              </w:rPr>
              <w:t>P</w:t>
            </w:r>
            <w:r w:rsidRPr="003B2B63">
              <w:rPr>
                <w:sz w:val="20"/>
                <w:lang w:val="fr-FR"/>
              </w:rPr>
              <w:t xml:space="preserve">reuves </w:t>
            </w:r>
            <w:r>
              <w:rPr>
                <w:sz w:val="20"/>
                <w:lang w:val="fr-FR"/>
              </w:rPr>
              <w:t>que les</w:t>
            </w:r>
            <w:r w:rsidRPr="003B2B63">
              <w:rPr>
                <w:sz w:val="20"/>
                <w:lang w:val="fr-FR"/>
              </w:rPr>
              <w:t xml:space="preserve"> préoccupations exprimées </w:t>
            </w:r>
            <w:r>
              <w:rPr>
                <w:sz w:val="20"/>
                <w:lang w:val="fr-FR"/>
              </w:rPr>
              <w:t>ont</w:t>
            </w:r>
            <w:r w:rsidRPr="003B2B63">
              <w:rPr>
                <w:sz w:val="20"/>
                <w:lang w:val="fr-FR"/>
              </w:rPr>
              <w:t xml:space="preserve"> servi à ajuster la stratégie du projet</w:t>
            </w:r>
          </w:p>
        </w:tc>
        <w:tc>
          <w:tcPr>
            <w:tcW w:w="1300" w:type="pct"/>
          </w:tcPr>
          <w:p w14:paraId="3290DECF" w14:textId="77777777" w:rsidR="001715ED" w:rsidRPr="008964CE" w:rsidRDefault="001715ED" w:rsidP="001715ED">
            <w:pPr>
              <w:pStyle w:val="Paragraphedeliste"/>
              <w:numPr>
                <w:ilvl w:val="0"/>
                <w:numId w:val="37"/>
              </w:numPr>
              <w:spacing w:before="0" w:after="0"/>
              <w:ind w:left="342" w:hanging="284"/>
              <w:jc w:val="left"/>
              <w:rPr>
                <w:sz w:val="20"/>
                <w:lang w:val="fr-FR"/>
              </w:rPr>
            </w:pPr>
            <w:r w:rsidRPr="008964CE">
              <w:rPr>
                <w:sz w:val="20"/>
                <w:lang w:val="fr-FR"/>
              </w:rPr>
              <w:t>Partenaires d’exécution locaux, incl. membres communautaires e</w:t>
            </w:r>
            <w:r>
              <w:rPr>
                <w:sz w:val="20"/>
                <w:lang w:val="fr-FR"/>
              </w:rPr>
              <w:t>t groupes, acteurs gouvernementaux et autres acteurs locaux</w:t>
            </w:r>
          </w:p>
          <w:p w14:paraId="7AC06E08"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Comptes-rendus d’atelier et r</w:t>
            </w:r>
            <w:r>
              <w:rPr>
                <w:sz w:val="20"/>
                <w:lang w:val="fr-FR"/>
              </w:rPr>
              <w:t>éunion de planification ou d’activités</w:t>
            </w:r>
          </w:p>
        </w:tc>
        <w:tc>
          <w:tcPr>
            <w:tcW w:w="663" w:type="pct"/>
          </w:tcPr>
          <w:p w14:paraId="434A2A02"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0F3A675F"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4E9C566B"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Visites de terrain</w:t>
            </w:r>
          </w:p>
        </w:tc>
      </w:tr>
      <w:tr w:rsidR="001715ED" w:rsidRPr="00EE3F99" w14:paraId="7D64F81E" w14:textId="77777777" w:rsidTr="001715ED">
        <w:tc>
          <w:tcPr>
            <w:tcW w:w="1237" w:type="pct"/>
          </w:tcPr>
          <w:p w14:paraId="0AC08B31" w14:textId="77777777" w:rsidR="001715ED" w:rsidRPr="00E3004F" w:rsidRDefault="001715ED" w:rsidP="001715ED">
            <w:pPr>
              <w:pStyle w:val="Paragraphedeliste"/>
              <w:numPr>
                <w:ilvl w:val="2"/>
                <w:numId w:val="36"/>
              </w:numPr>
              <w:spacing w:before="0" w:after="0"/>
              <w:ind w:left="589" w:hanging="567"/>
              <w:jc w:val="left"/>
              <w:rPr>
                <w:sz w:val="20"/>
                <w:lang w:val="fr-FR"/>
              </w:rPr>
            </w:pPr>
            <w:r w:rsidRPr="00E3004F">
              <w:rPr>
                <w:sz w:val="20"/>
                <w:lang w:val="fr-FR"/>
              </w:rPr>
              <w:t>Dans quelle mesure les q</w:t>
            </w:r>
            <w:r>
              <w:rPr>
                <w:sz w:val="20"/>
                <w:lang w:val="fr-FR"/>
              </w:rPr>
              <w:t>uestions pertinentes en matière de genre ont-elles -été prise en compte lors de la conception du projet ?</w:t>
            </w:r>
          </w:p>
        </w:tc>
        <w:tc>
          <w:tcPr>
            <w:tcW w:w="1800" w:type="pct"/>
          </w:tcPr>
          <w:p w14:paraId="17A88E2D" w14:textId="77777777" w:rsidR="001715ED" w:rsidRPr="003B2B63" w:rsidRDefault="001715ED" w:rsidP="001715ED">
            <w:pPr>
              <w:pStyle w:val="Paragraphedeliste"/>
              <w:numPr>
                <w:ilvl w:val="0"/>
                <w:numId w:val="37"/>
              </w:numPr>
              <w:spacing w:before="0" w:after="0"/>
              <w:ind w:left="342" w:hanging="284"/>
              <w:jc w:val="left"/>
              <w:rPr>
                <w:sz w:val="20"/>
                <w:lang w:val="fr-FR"/>
              </w:rPr>
            </w:pPr>
            <w:r w:rsidRPr="003B2B63">
              <w:rPr>
                <w:sz w:val="20"/>
                <w:lang w:val="fr-FR"/>
              </w:rPr>
              <w:t xml:space="preserve">Nombre et types d'activités entreprises lors de la conception du projet pour évaluer les besoins du projet liés au genre </w:t>
            </w:r>
          </w:p>
          <w:p w14:paraId="386310BE" w14:textId="77777777" w:rsidR="001715ED" w:rsidRPr="003B2B63" w:rsidRDefault="001715ED" w:rsidP="001715ED">
            <w:pPr>
              <w:pStyle w:val="Paragraphedeliste"/>
              <w:numPr>
                <w:ilvl w:val="0"/>
                <w:numId w:val="37"/>
              </w:numPr>
              <w:spacing w:before="0" w:after="0"/>
              <w:ind w:left="342" w:hanging="284"/>
              <w:jc w:val="left"/>
              <w:rPr>
                <w:sz w:val="20"/>
                <w:lang w:val="fr-FR"/>
              </w:rPr>
            </w:pPr>
            <w:r w:rsidRPr="003B2B63">
              <w:rPr>
                <w:sz w:val="20"/>
                <w:lang w:val="fr-FR"/>
              </w:rPr>
              <w:t>Preuve de l'intégration de ces besoins dans le document de projet</w:t>
            </w:r>
          </w:p>
        </w:tc>
        <w:tc>
          <w:tcPr>
            <w:tcW w:w="1300" w:type="pct"/>
          </w:tcPr>
          <w:p w14:paraId="4B860BEF" w14:textId="77777777" w:rsidR="001715ED" w:rsidRPr="008964CE" w:rsidRDefault="001715ED" w:rsidP="001715ED">
            <w:pPr>
              <w:pStyle w:val="Paragraphedeliste"/>
              <w:numPr>
                <w:ilvl w:val="0"/>
                <w:numId w:val="37"/>
              </w:numPr>
              <w:spacing w:before="0" w:after="0"/>
              <w:ind w:left="342" w:hanging="284"/>
              <w:jc w:val="left"/>
              <w:rPr>
                <w:sz w:val="20"/>
                <w:lang w:val="fr-FR"/>
              </w:rPr>
            </w:pPr>
            <w:r w:rsidRPr="008964CE">
              <w:rPr>
                <w:sz w:val="20"/>
                <w:lang w:val="fr-FR"/>
              </w:rPr>
              <w:t>Partenaires d’exécution locaux, incl. membres communautaires e</w:t>
            </w:r>
            <w:r>
              <w:rPr>
                <w:sz w:val="20"/>
                <w:lang w:val="fr-FR"/>
              </w:rPr>
              <w:t>t groupes, acteurs gouvernementaux et autres acteurs locaux (non gouvernementaux)</w:t>
            </w:r>
          </w:p>
          <w:p w14:paraId="7084B187"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Comptes-rendus d’atelier et r</w:t>
            </w:r>
            <w:r>
              <w:rPr>
                <w:sz w:val="20"/>
                <w:lang w:val="fr-FR"/>
              </w:rPr>
              <w:t>éunion de planification ou d’activités</w:t>
            </w:r>
          </w:p>
        </w:tc>
        <w:tc>
          <w:tcPr>
            <w:tcW w:w="663" w:type="pct"/>
          </w:tcPr>
          <w:p w14:paraId="2D9B82DA"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41F7B3F2"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56BF2115"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Visites de terrain</w:t>
            </w:r>
          </w:p>
        </w:tc>
      </w:tr>
      <w:tr w:rsidR="001715ED" w:rsidRPr="00BE1549" w14:paraId="12176170" w14:textId="77777777" w:rsidTr="001715ED">
        <w:tc>
          <w:tcPr>
            <w:tcW w:w="5000" w:type="pct"/>
            <w:gridSpan w:val="4"/>
          </w:tcPr>
          <w:p w14:paraId="258FA0C5" w14:textId="77777777" w:rsidR="001715ED" w:rsidRPr="00C50F13" w:rsidRDefault="001715ED" w:rsidP="001715ED">
            <w:pPr>
              <w:spacing w:before="60" w:after="60"/>
              <w:rPr>
                <w:b/>
                <w:sz w:val="20"/>
                <w:lang w:val="fr-FR"/>
              </w:rPr>
            </w:pPr>
            <w:r w:rsidRPr="00C50F13">
              <w:rPr>
                <w:b/>
                <w:sz w:val="20"/>
                <w:lang w:val="fr-FR"/>
              </w:rPr>
              <w:t xml:space="preserve">1.2 </w:t>
            </w:r>
            <w:r>
              <w:rPr>
                <w:b/>
                <w:sz w:val="20"/>
                <w:lang w:val="fr-FR"/>
              </w:rPr>
              <w:t>Cadre de résultats / cadre logique</w:t>
            </w:r>
          </w:p>
        </w:tc>
      </w:tr>
      <w:tr w:rsidR="001715ED" w:rsidRPr="00EE3F99" w14:paraId="28A3F076" w14:textId="77777777" w:rsidTr="001715ED">
        <w:tc>
          <w:tcPr>
            <w:tcW w:w="1237" w:type="pct"/>
          </w:tcPr>
          <w:p w14:paraId="2601BE2F" w14:textId="77777777" w:rsidR="001715ED" w:rsidRPr="00820FD8" w:rsidRDefault="001715ED" w:rsidP="001715ED">
            <w:pPr>
              <w:spacing w:after="0"/>
              <w:rPr>
                <w:vanish/>
                <w:sz w:val="20"/>
                <w:lang w:val="fr-FR"/>
              </w:rPr>
            </w:pPr>
            <w:r w:rsidRPr="00820FD8">
              <w:rPr>
                <w:sz w:val="20"/>
                <w:lang w:val="fr-FR"/>
              </w:rPr>
              <w:t>1..2.1 Dans quelle mesure les r</w:t>
            </w:r>
            <w:r>
              <w:rPr>
                <w:sz w:val="20"/>
                <w:lang w:val="fr-FR"/>
              </w:rPr>
              <w:t xml:space="preserve">ésultats et les objectifs du projet sont-ils clairs, applicable dans la pratique et mesurables ? Dans quelle mesure les cibles et les délais sont-ils réalistes ?  </w:t>
            </w:r>
            <w:proofErr w:type="spellStart"/>
            <w:r>
              <w:rPr>
                <w:sz w:val="20"/>
                <w:lang w:val="fr-FR"/>
              </w:rPr>
              <w:t>ToC</w:t>
            </w:r>
            <w:proofErr w:type="spellEnd"/>
            <w:r>
              <w:rPr>
                <w:sz w:val="20"/>
                <w:lang w:val="fr-FR"/>
              </w:rPr>
              <w:t> : Les hypothèses établies au départ se sont-elles révélées exactes ? Si non, quels impacts sur l’atteinte des résultats et quelles actions de redressement ?</w:t>
            </w:r>
          </w:p>
        </w:tc>
        <w:tc>
          <w:tcPr>
            <w:tcW w:w="1800" w:type="pct"/>
          </w:tcPr>
          <w:p w14:paraId="2BE9E944" w14:textId="77777777" w:rsidR="001715ED" w:rsidRDefault="001715ED" w:rsidP="001715ED">
            <w:pPr>
              <w:pStyle w:val="Paragraphedeliste"/>
              <w:numPr>
                <w:ilvl w:val="0"/>
                <w:numId w:val="37"/>
              </w:numPr>
              <w:spacing w:before="0" w:after="0"/>
              <w:ind w:left="342" w:hanging="284"/>
              <w:jc w:val="left"/>
              <w:rPr>
                <w:sz w:val="20"/>
                <w:lang w:val="fr-FR"/>
              </w:rPr>
            </w:pPr>
            <w:r w:rsidRPr="002A7027">
              <w:rPr>
                <w:sz w:val="20"/>
                <w:lang w:val="fr-FR"/>
              </w:rPr>
              <w:t>Cohérence/différence entre les cibles, les résultats et les obje</w:t>
            </w:r>
            <w:r>
              <w:rPr>
                <w:sz w:val="20"/>
                <w:lang w:val="fr-FR"/>
              </w:rPr>
              <w:t>ctifs du projet</w:t>
            </w:r>
            <w:r w:rsidRPr="002A7027">
              <w:rPr>
                <w:sz w:val="20"/>
                <w:lang w:val="fr-FR"/>
              </w:rPr>
              <w:t xml:space="preserve"> </w:t>
            </w:r>
          </w:p>
          <w:p w14:paraId="47A6A786" w14:textId="77777777" w:rsidR="001715ED" w:rsidRDefault="001715ED" w:rsidP="001715ED">
            <w:pPr>
              <w:pStyle w:val="Paragraphedeliste"/>
              <w:numPr>
                <w:ilvl w:val="0"/>
                <w:numId w:val="37"/>
              </w:numPr>
              <w:spacing w:before="0" w:after="0"/>
              <w:ind w:left="342" w:hanging="284"/>
              <w:jc w:val="left"/>
              <w:rPr>
                <w:sz w:val="20"/>
                <w:lang w:val="fr-FR"/>
              </w:rPr>
            </w:pPr>
            <w:r w:rsidRPr="0068631B">
              <w:rPr>
                <w:sz w:val="20"/>
                <w:lang w:val="fr-FR"/>
              </w:rPr>
              <w:t xml:space="preserve">Faisabilité des </w:t>
            </w:r>
            <w:r>
              <w:rPr>
                <w:sz w:val="20"/>
                <w:lang w:val="fr-FR"/>
              </w:rPr>
              <w:t>cibles</w:t>
            </w:r>
            <w:r w:rsidRPr="0068631B">
              <w:rPr>
                <w:sz w:val="20"/>
                <w:lang w:val="fr-FR"/>
              </w:rPr>
              <w:t>, résultats et objectifs déclarés dans les délais impartis au projet</w:t>
            </w:r>
            <w:r>
              <w:rPr>
                <w:sz w:val="20"/>
                <w:lang w:val="fr-FR"/>
              </w:rPr>
              <w:t xml:space="preserve"> </w:t>
            </w:r>
          </w:p>
          <w:p w14:paraId="5F75A701"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Compréhension des objectifs, des c</w:t>
            </w:r>
            <w:r>
              <w:rPr>
                <w:sz w:val="20"/>
                <w:lang w:val="fr-FR"/>
              </w:rPr>
              <w:t>ibles et du calendrier par le personnel des agences d’exécution</w:t>
            </w:r>
          </w:p>
          <w:p w14:paraId="3F94BDB6"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Compréhension par les partenaires locaux des objectifs, des cibles et du calendrier</w:t>
            </w:r>
          </w:p>
        </w:tc>
        <w:tc>
          <w:tcPr>
            <w:tcW w:w="1300" w:type="pct"/>
          </w:tcPr>
          <w:p w14:paraId="483EBB9E" w14:textId="77777777" w:rsidR="001715ED"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Documents de planification de projet, rapports de suivi </w:t>
            </w:r>
          </w:p>
          <w:p w14:paraId="29B087B3" w14:textId="41F09FA1"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Equipe de </w:t>
            </w:r>
            <w:r>
              <w:rPr>
                <w:sz w:val="20"/>
                <w:lang w:val="fr-FR"/>
              </w:rPr>
              <w:t>coordination locale</w:t>
            </w:r>
            <w:r w:rsidRPr="000B79B8">
              <w:rPr>
                <w:sz w:val="20"/>
                <w:lang w:val="fr-FR"/>
              </w:rPr>
              <w:t xml:space="preserve">, </w:t>
            </w:r>
            <w:r>
              <w:rPr>
                <w:sz w:val="20"/>
                <w:lang w:val="fr-FR"/>
              </w:rPr>
              <w:t>équipe du PNUD</w:t>
            </w:r>
            <w:r w:rsidRPr="000B79B8">
              <w:rPr>
                <w:sz w:val="20"/>
                <w:lang w:val="fr-FR"/>
              </w:rPr>
              <w:t xml:space="preserve">, </w:t>
            </w:r>
            <w:r>
              <w:rPr>
                <w:sz w:val="20"/>
                <w:lang w:val="fr-FR"/>
              </w:rPr>
              <w:t>personnel du MEDD</w:t>
            </w:r>
            <w:r w:rsidRPr="000B79B8">
              <w:rPr>
                <w:sz w:val="20"/>
                <w:lang w:val="fr-FR"/>
              </w:rPr>
              <w:t>/</w:t>
            </w:r>
            <w:r w:rsidR="00971B89" w:rsidRPr="000B79B8">
              <w:rPr>
                <w:sz w:val="20"/>
                <w:lang w:val="fr-FR"/>
              </w:rPr>
              <w:t>DRE</w:t>
            </w:r>
            <w:r w:rsidR="00971B89">
              <w:rPr>
                <w:sz w:val="20"/>
                <w:lang w:val="fr-FR"/>
              </w:rPr>
              <w:t>DD</w:t>
            </w:r>
            <w:r w:rsidRPr="000B79B8">
              <w:rPr>
                <w:sz w:val="20"/>
                <w:lang w:val="fr-FR"/>
              </w:rPr>
              <w:t xml:space="preserve">, Equipe de SAGE et de </w:t>
            </w:r>
            <w:proofErr w:type="spellStart"/>
            <w:r w:rsidRPr="000B79B8">
              <w:rPr>
                <w:sz w:val="20"/>
                <w:lang w:val="fr-FR"/>
              </w:rPr>
              <w:t>Tany</w:t>
            </w:r>
            <w:proofErr w:type="spellEnd"/>
            <w:r w:rsidRPr="000B79B8">
              <w:rPr>
                <w:sz w:val="20"/>
                <w:lang w:val="fr-FR"/>
              </w:rPr>
              <w:t xml:space="preserve"> </w:t>
            </w:r>
            <w:proofErr w:type="spellStart"/>
            <w:r w:rsidRPr="000B79B8">
              <w:rPr>
                <w:sz w:val="20"/>
                <w:lang w:val="fr-FR"/>
              </w:rPr>
              <w:t>Meva</w:t>
            </w:r>
            <w:proofErr w:type="spellEnd"/>
          </w:p>
        </w:tc>
        <w:tc>
          <w:tcPr>
            <w:tcW w:w="663" w:type="pct"/>
          </w:tcPr>
          <w:p w14:paraId="745295B2"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1F45CC4C"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53BB322F"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 xml:space="preserve">Groupes de discussion </w:t>
            </w:r>
          </w:p>
          <w:p w14:paraId="4F81263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Visites de terrain</w:t>
            </w:r>
            <w:r w:rsidRPr="00C50F13">
              <w:rPr>
                <w:sz w:val="20"/>
                <w:lang w:val="fr-FR"/>
              </w:rPr>
              <w:t xml:space="preserve"> </w:t>
            </w:r>
          </w:p>
        </w:tc>
      </w:tr>
      <w:tr w:rsidR="001715ED" w:rsidRPr="00EE3F99" w14:paraId="625AA305" w14:textId="77777777" w:rsidTr="001715ED">
        <w:tc>
          <w:tcPr>
            <w:tcW w:w="1237" w:type="pct"/>
          </w:tcPr>
          <w:p w14:paraId="344CA899" w14:textId="77777777" w:rsidR="001715ED" w:rsidRPr="00820FD8" w:rsidRDefault="001715ED" w:rsidP="001715ED">
            <w:pPr>
              <w:rPr>
                <w:sz w:val="20"/>
                <w:lang w:val="fr-FR"/>
              </w:rPr>
            </w:pPr>
            <w:r w:rsidRPr="00820FD8">
              <w:rPr>
                <w:sz w:val="20"/>
                <w:lang w:val="fr-FR"/>
              </w:rPr>
              <w:t>1.2.2 Quelle est l’efficacité</w:t>
            </w:r>
            <w:r>
              <w:rPr>
                <w:sz w:val="20"/>
                <w:lang w:val="fr-FR"/>
              </w:rPr>
              <w:t>/la pertinence</w:t>
            </w:r>
            <w:r w:rsidRPr="00820FD8">
              <w:rPr>
                <w:sz w:val="20"/>
                <w:lang w:val="fr-FR"/>
              </w:rPr>
              <w:t xml:space="preserve"> des indicateurs, bases de référence et cibles du cadre logique pour mesurer les effets du projet</w:t>
            </w:r>
            <w:r>
              <w:rPr>
                <w:sz w:val="20"/>
                <w:lang w:val="fr-FR"/>
              </w:rPr>
              <w:t xml:space="preserve"> </w:t>
            </w:r>
            <w:r w:rsidRPr="00820FD8">
              <w:rPr>
                <w:sz w:val="20"/>
                <w:lang w:val="fr-FR"/>
              </w:rPr>
              <w:t>?</w:t>
            </w:r>
          </w:p>
        </w:tc>
        <w:tc>
          <w:tcPr>
            <w:tcW w:w="1800" w:type="pct"/>
          </w:tcPr>
          <w:p w14:paraId="7BECC53A" w14:textId="77777777" w:rsidR="001715ED" w:rsidRDefault="001715ED" w:rsidP="001715ED">
            <w:pPr>
              <w:pStyle w:val="Paragraphedeliste"/>
              <w:numPr>
                <w:ilvl w:val="0"/>
                <w:numId w:val="37"/>
              </w:numPr>
              <w:spacing w:before="0" w:after="0"/>
              <w:ind w:left="342" w:hanging="284"/>
              <w:jc w:val="left"/>
              <w:rPr>
                <w:sz w:val="20"/>
                <w:lang w:val="en-US"/>
              </w:rPr>
            </w:pPr>
            <w:r w:rsidRPr="0068631B">
              <w:rPr>
                <w:sz w:val="20"/>
                <w:lang w:val="fr-FR"/>
              </w:rPr>
              <w:t>Utilisation d’indicateurs et cibles</w:t>
            </w:r>
            <w:r w:rsidRPr="002A7027">
              <w:rPr>
                <w:sz w:val="20"/>
                <w:lang w:val="en-US"/>
              </w:rPr>
              <w:t xml:space="preserve"> </w:t>
            </w:r>
            <w:r>
              <w:rPr>
                <w:sz w:val="20"/>
                <w:lang w:val="en-US"/>
              </w:rPr>
              <w:t>S</w:t>
            </w:r>
            <w:r w:rsidRPr="002A7027">
              <w:rPr>
                <w:sz w:val="20"/>
                <w:lang w:val="en-US"/>
              </w:rPr>
              <w:t>MART</w:t>
            </w:r>
          </w:p>
          <w:p w14:paraId="4557457F"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Utilisation d’indicateurs et d’objectifs v</w:t>
            </w:r>
            <w:r>
              <w:rPr>
                <w:sz w:val="20"/>
                <w:lang w:val="fr-FR"/>
              </w:rPr>
              <w:t xml:space="preserve">entilés par genre </w:t>
            </w:r>
          </w:p>
          <w:p w14:paraId="4011E3B1"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Éléments de preuve des effets du projet sur le développement ou l'environnement non mesurés par les indicateurs actuels.</w:t>
            </w:r>
          </w:p>
        </w:tc>
        <w:tc>
          <w:tcPr>
            <w:tcW w:w="1300" w:type="pct"/>
          </w:tcPr>
          <w:p w14:paraId="0958CCE1" w14:textId="77777777" w:rsidR="001715ED"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Documents de planification de projet, rapports de suivi </w:t>
            </w:r>
          </w:p>
          <w:p w14:paraId="2EB88378" w14:textId="4728B2C3"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Equipe de </w:t>
            </w:r>
            <w:r>
              <w:rPr>
                <w:sz w:val="20"/>
                <w:lang w:val="fr-FR"/>
              </w:rPr>
              <w:t>coordination locale</w:t>
            </w:r>
            <w:r w:rsidRPr="000B79B8">
              <w:rPr>
                <w:sz w:val="20"/>
                <w:lang w:val="fr-FR"/>
              </w:rPr>
              <w:t xml:space="preserve">, </w:t>
            </w:r>
            <w:r>
              <w:rPr>
                <w:sz w:val="20"/>
                <w:lang w:val="fr-FR"/>
              </w:rPr>
              <w:t>équipe du PNUD</w:t>
            </w:r>
            <w:r w:rsidRPr="000B79B8">
              <w:rPr>
                <w:sz w:val="20"/>
                <w:lang w:val="fr-FR"/>
              </w:rPr>
              <w:t xml:space="preserve">, </w:t>
            </w:r>
            <w:r>
              <w:rPr>
                <w:sz w:val="20"/>
                <w:lang w:val="fr-FR"/>
              </w:rPr>
              <w:t>personnel du MEDD</w:t>
            </w:r>
            <w:r w:rsidRPr="000B79B8">
              <w:rPr>
                <w:sz w:val="20"/>
                <w:lang w:val="fr-FR"/>
              </w:rPr>
              <w:t>/</w:t>
            </w:r>
            <w:r w:rsidR="00971B89" w:rsidRPr="000B79B8">
              <w:rPr>
                <w:sz w:val="20"/>
                <w:lang w:val="fr-FR"/>
              </w:rPr>
              <w:t>DRE</w:t>
            </w:r>
            <w:r w:rsidR="00971B89">
              <w:rPr>
                <w:sz w:val="20"/>
                <w:lang w:val="fr-FR"/>
              </w:rPr>
              <w:t>DD</w:t>
            </w:r>
            <w:r w:rsidRPr="000B79B8">
              <w:rPr>
                <w:sz w:val="20"/>
                <w:lang w:val="fr-FR"/>
              </w:rPr>
              <w:t xml:space="preserve">, Equipe de SAGE et de </w:t>
            </w:r>
            <w:proofErr w:type="spellStart"/>
            <w:r w:rsidRPr="000B79B8">
              <w:rPr>
                <w:sz w:val="20"/>
                <w:lang w:val="fr-FR"/>
              </w:rPr>
              <w:t>Tany</w:t>
            </w:r>
            <w:proofErr w:type="spellEnd"/>
            <w:r w:rsidRPr="000B79B8">
              <w:rPr>
                <w:sz w:val="20"/>
                <w:lang w:val="fr-FR"/>
              </w:rPr>
              <w:t xml:space="preserve"> </w:t>
            </w:r>
            <w:proofErr w:type="spellStart"/>
            <w:r w:rsidRPr="000B79B8">
              <w:rPr>
                <w:sz w:val="20"/>
                <w:lang w:val="fr-FR"/>
              </w:rPr>
              <w:t>Meva</w:t>
            </w:r>
            <w:proofErr w:type="spellEnd"/>
          </w:p>
        </w:tc>
        <w:tc>
          <w:tcPr>
            <w:tcW w:w="663" w:type="pct"/>
          </w:tcPr>
          <w:p w14:paraId="7798611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2BD2A38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4AD82D9C"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Visites de terrain</w:t>
            </w:r>
          </w:p>
        </w:tc>
      </w:tr>
      <w:tr w:rsidR="001715ED" w:rsidRPr="00820FD8" w14:paraId="3686B519" w14:textId="77777777" w:rsidTr="001715ED">
        <w:tc>
          <w:tcPr>
            <w:tcW w:w="5000" w:type="pct"/>
            <w:gridSpan w:val="4"/>
            <w:shd w:val="clear" w:color="auto" w:fill="8DB3E2" w:themeFill="text2" w:themeFillTint="66"/>
          </w:tcPr>
          <w:p w14:paraId="4A2CDF7E" w14:textId="77777777" w:rsidR="001715ED" w:rsidRPr="00820FD8" w:rsidRDefault="001715ED" w:rsidP="001715ED">
            <w:pPr>
              <w:pStyle w:val="Paragraphedeliste"/>
              <w:numPr>
                <w:ilvl w:val="0"/>
                <w:numId w:val="35"/>
              </w:numPr>
              <w:spacing w:before="0" w:after="0"/>
              <w:ind w:left="306" w:hanging="306"/>
              <w:jc w:val="left"/>
              <w:rPr>
                <w:b/>
                <w:sz w:val="20"/>
                <w:lang w:val="fr-FR"/>
              </w:rPr>
            </w:pPr>
            <w:r w:rsidRPr="00820FD8">
              <w:rPr>
                <w:b/>
                <w:sz w:val="20"/>
                <w:lang w:val="fr-FR"/>
              </w:rPr>
              <w:lastRenderedPageBreak/>
              <w:t>Progrès vers la réalisation des résultats</w:t>
            </w:r>
            <w:r>
              <w:rPr>
                <w:b/>
                <w:sz w:val="20"/>
                <w:lang w:val="fr-FR"/>
              </w:rPr>
              <w:t xml:space="preserve"> </w:t>
            </w:r>
            <w:r w:rsidRPr="00820FD8">
              <w:rPr>
                <w:b/>
                <w:sz w:val="20"/>
                <w:lang w:val="fr-FR"/>
              </w:rPr>
              <w:t xml:space="preserve">: Dans quelle mesure les résultats attendus et les objectifs du projet ont-ils été atteints jusqu'à </w:t>
            </w:r>
            <w:proofErr w:type="gramStart"/>
            <w:r w:rsidRPr="00820FD8">
              <w:rPr>
                <w:b/>
                <w:sz w:val="20"/>
                <w:lang w:val="fr-FR"/>
              </w:rPr>
              <w:t>présent?</w:t>
            </w:r>
            <w:proofErr w:type="gramEnd"/>
            <w:r w:rsidRPr="00820FD8">
              <w:rPr>
                <w:b/>
                <w:sz w:val="20"/>
                <w:lang w:val="fr-FR"/>
              </w:rPr>
              <w:t xml:space="preserve"> (</w:t>
            </w:r>
            <w:proofErr w:type="gramStart"/>
            <w:r w:rsidRPr="00820FD8">
              <w:rPr>
                <w:b/>
                <w:sz w:val="20"/>
                <w:lang w:val="fr-FR"/>
              </w:rPr>
              <w:t>efficacité</w:t>
            </w:r>
            <w:proofErr w:type="gramEnd"/>
            <w:r w:rsidRPr="00820FD8">
              <w:rPr>
                <w:b/>
                <w:sz w:val="20"/>
                <w:lang w:val="fr-FR"/>
              </w:rPr>
              <w:t>)</w:t>
            </w:r>
          </w:p>
        </w:tc>
      </w:tr>
      <w:tr w:rsidR="001715ED" w:rsidRPr="00EE3F99" w14:paraId="5EC6B695" w14:textId="77777777" w:rsidTr="001715ED">
        <w:tc>
          <w:tcPr>
            <w:tcW w:w="1237" w:type="pct"/>
          </w:tcPr>
          <w:p w14:paraId="68DE4F21" w14:textId="77777777" w:rsidR="001715ED" w:rsidRDefault="001715ED" w:rsidP="001715ED">
            <w:pPr>
              <w:rPr>
                <w:sz w:val="20"/>
                <w:lang w:val="fr-FR"/>
              </w:rPr>
            </w:pPr>
            <w:r w:rsidRPr="00820FD8">
              <w:rPr>
                <w:sz w:val="20"/>
                <w:lang w:val="fr-FR"/>
              </w:rPr>
              <w:t>2.1 Dans quelle mesure les produits, résultats et objectifs attendus du projet ont-ils été atteints jusqu'à présent</w:t>
            </w:r>
            <w:r>
              <w:rPr>
                <w:sz w:val="20"/>
                <w:lang w:val="fr-FR"/>
              </w:rPr>
              <w:t xml:space="preserve"> </w:t>
            </w:r>
            <w:r w:rsidRPr="00820FD8">
              <w:rPr>
                <w:sz w:val="20"/>
                <w:lang w:val="fr-FR"/>
              </w:rPr>
              <w:t>?</w:t>
            </w:r>
            <w:r>
              <w:rPr>
                <w:sz w:val="20"/>
                <w:lang w:val="fr-FR"/>
              </w:rPr>
              <w:t xml:space="preserve"> Dans la situation actuelle du projet, quels résultats risquent de ne pas être atteints, et quels devraient être les actions de redressement à prendre ?</w:t>
            </w:r>
          </w:p>
          <w:p w14:paraId="338E9708" w14:textId="77777777" w:rsidR="001715ED" w:rsidRPr="00820FD8" w:rsidRDefault="001715ED" w:rsidP="001715ED">
            <w:pPr>
              <w:rPr>
                <w:sz w:val="20"/>
                <w:lang w:val="fr-FR"/>
              </w:rPr>
            </w:pPr>
          </w:p>
        </w:tc>
        <w:tc>
          <w:tcPr>
            <w:tcW w:w="1800" w:type="pct"/>
          </w:tcPr>
          <w:p w14:paraId="0044D2EB" w14:textId="77777777" w:rsidR="001715ED" w:rsidRDefault="001715ED" w:rsidP="001715ED">
            <w:pPr>
              <w:pStyle w:val="Paragraphedeliste"/>
              <w:numPr>
                <w:ilvl w:val="0"/>
                <w:numId w:val="37"/>
              </w:numPr>
              <w:spacing w:before="0" w:after="0"/>
              <w:ind w:left="342" w:hanging="284"/>
              <w:jc w:val="left"/>
              <w:rPr>
                <w:sz w:val="20"/>
                <w:lang w:val="fr-FR"/>
              </w:rPr>
            </w:pPr>
            <w:r w:rsidRPr="002A7027">
              <w:rPr>
                <w:sz w:val="20"/>
                <w:lang w:val="fr-FR"/>
              </w:rPr>
              <w:t xml:space="preserve">Mesure dans laquelle les objectifs, résultats et produits déclarés ont été atteints </w:t>
            </w:r>
          </w:p>
          <w:p w14:paraId="6B5C4002"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Progression entre le dernier outil de suivi du FEM et sa version de base</w:t>
            </w:r>
          </w:p>
        </w:tc>
        <w:tc>
          <w:tcPr>
            <w:tcW w:w="1300" w:type="pct"/>
          </w:tcPr>
          <w:p w14:paraId="4D10873C"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Planification du projet, rapports d'avancement et rapports de suivi</w:t>
            </w:r>
          </w:p>
          <w:p w14:paraId="0E20F06D"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p w14:paraId="20B44118" w14:textId="77777777" w:rsidR="001715ED" w:rsidRPr="00C50F13" w:rsidRDefault="001715ED" w:rsidP="001715ED">
            <w:pPr>
              <w:pStyle w:val="Paragraphedeliste"/>
              <w:numPr>
                <w:ilvl w:val="0"/>
                <w:numId w:val="37"/>
              </w:numPr>
              <w:spacing w:before="0" w:after="0"/>
              <w:ind w:left="342" w:hanging="284"/>
              <w:jc w:val="left"/>
              <w:rPr>
                <w:sz w:val="20"/>
                <w:lang w:val="fr-FR"/>
              </w:rPr>
            </w:pPr>
            <w:r w:rsidRPr="000B79B8">
              <w:rPr>
                <w:sz w:val="20"/>
                <w:lang w:val="fr-FR"/>
              </w:rPr>
              <w:t>Parties prenantes locales et nationales</w:t>
            </w:r>
          </w:p>
        </w:tc>
        <w:tc>
          <w:tcPr>
            <w:tcW w:w="663" w:type="pct"/>
          </w:tcPr>
          <w:p w14:paraId="3E31F1BD"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1D13A618"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15D7B6AC"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 xml:space="preserve">Groupes de discussion </w:t>
            </w:r>
          </w:p>
          <w:p w14:paraId="0F8790B2" w14:textId="77777777" w:rsidR="001715ED" w:rsidRPr="00C50F13" w:rsidRDefault="001715ED" w:rsidP="001715ED">
            <w:pPr>
              <w:numPr>
                <w:ilvl w:val="0"/>
                <w:numId w:val="37"/>
              </w:numPr>
              <w:spacing w:before="0" w:after="160" w:line="259" w:lineRule="auto"/>
              <w:ind w:left="342" w:hanging="284"/>
              <w:contextualSpacing/>
              <w:jc w:val="left"/>
              <w:rPr>
                <w:sz w:val="20"/>
                <w:lang w:val="fr-FR"/>
              </w:rPr>
            </w:pPr>
            <w:r>
              <w:rPr>
                <w:sz w:val="20"/>
                <w:lang w:val="fr-FR"/>
              </w:rPr>
              <w:t>Visites de terrain</w:t>
            </w:r>
          </w:p>
        </w:tc>
      </w:tr>
      <w:tr w:rsidR="001715ED" w:rsidRPr="00EE3F99" w14:paraId="7802CF99" w14:textId="77777777" w:rsidTr="001715ED">
        <w:tc>
          <w:tcPr>
            <w:tcW w:w="1237" w:type="pct"/>
          </w:tcPr>
          <w:p w14:paraId="08575BA2" w14:textId="77777777" w:rsidR="001715ED" w:rsidRPr="00820FD8" w:rsidRDefault="001715ED" w:rsidP="001715ED">
            <w:pPr>
              <w:rPr>
                <w:sz w:val="20"/>
                <w:lang w:val="fr-FR"/>
              </w:rPr>
            </w:pPr>
            <w:r w:rsidRPr="00820FD8">
              <w:rPr>
                <w:sz w:val="20"/>
                <w:lang w:val="fr-FR"/>
              </w:rPr>
              <w:t>2.2 Quels sont les principaux obstacles à surmonter et les principales opportunités à exploiter en fonction des progrès actuels vers les résultats</w:t>
            </w:r>
            <w:r>
              <w:rPr>
                <w:sz w:val="20"/>
                <w:lang w:val="fr-FR"/>
              </w:rPr>
              <w:t xml:space="preserve"> </w:t>
            </w:r>
            <w:r w:rsidRPr="00820FD8">
              <w:rPr>
                <w:sz w:val="20"/>
                <w:lang w:val="fr-FR"/>
              </w:rPr>
              <w:t>?</w:t>
            </w:r>
          </w:p>
        </w:tc>
        <w:tc>
          <w:tcPr>
            <w:tcW w:w="1800" w:type="pct"/>
          </w:tcPr>
          <w:p w14:paraId="1A62FFBD"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Nature et étendue des obstacles entravant les progrès vers les résultats</w:t>
            </w:r>
          </w:p>
          <w:p w14:paraId="62F9BDBD"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 xml:space="preserve">Nature et étendue des opportunités générées par les réalisations les plus </w:t>
            </w:r>
            <w:r>
              <w:rPr>
                <w:sz w:val="20"/>
                <w:lang w:val="fr-FR"/>
              </w:rPr>
              <w:t>abouties</w:t>
            </w:r>
            <w:r w:rsidRPr="002A7027">
              <w:rPr>
                <w:sz w:val="20"/>
                <w:lang w:val="fr-FR"/>
              </w:rPr>
              <w:t xml:space="preserve"> à ce jour</w:t>
            </w:r>
          </w:p>
        </w:tc>
        <w:tc>
          <w:tcPr>
            <w:tcW w:w="1300" w:type="pct"/>
          </w:tcPr>
          <w:p w14:paraId="21F0F1D3"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Planification du projet, rapports d'avancement et rapports de suivi</w:t>
            </w:r>
          </w:p>
          <w:p w14:paraId="3379F04A"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p w14:paraId="6804090B" w14:textId="77777777" w:rsidR="001715ED" w:rsidRPr="00C50F13" w:rsidRDefault="001715ED" w:rsidP="001715ED">
            <w:pPr>
              <w:pStyle w:val="Paragraphedeliste"/>
              <w:numPr>
                <w:ilvl w:val="0"/>
                <w:numId w:val="37"/>
              </w:numPr>
              <w:spacing w:before="0" w:after="0"/>
              <w:ind w:left="342" w:hanging="284"/>
              <w:jc w:val="left"/>
              <w:rPr>
                <w:sz w:val="20"/>
                <w:lang w:val="fr-FR"/>
              </w:rPr>
            </w:pPr>
            <w:r w:rsidRPr="000B79B8">
              <w:rPr>
                <w:sz w:val="20"/>
                <w:lang w:val="fr-FR"/>
              </w:rPr>
              <w:t>Parties prenantes locales et nationales</w:t>
            </w:r>
          </w:p>
        </w:tc>
        <w:tc>
          <w:tcPr>
            <w:tcW w:w="663" w:type="pct"/>
          </w:tcPr>
          <w:p w14:paraId="7DDBD3B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75571DAD"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2A1A6737"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 xml:space="preserve">Groupes de discussion </w:t>
            </w:r>
          </w:p>
          <w:p w14:paraId="51F67C13" w14:textId="77777777" w:rsidR="001715ED" w:rsidRPr="00C50F13" w:rsidRDefault="001715ED" w:rsidP="001715ED">
            <w:pPr>
              <w:numPr>
                <w:ilvl w:val="0"/>
                <w:numId w:val="37"/>
              </w:numPr>
              <w:spacing w:before="0" w:after="160" w:line="259" w:lineRule="auto"/>
              <w:ind w:left="342" w:hanging="284"/>
              <w:contextualSpacing/>
              <w:jc w:val="left"/>
              <w:rPr>
                <w:sz w:val="20"/>
                <w:lang w:val="fr-FR"/>
              </w:rPr>
            </w:pPr>
            <w:r>
              <w:rPr>
                <w:sz w:val="20"/>
                <w:lang w:val="fr-FR"/>
              </w:rPr>
              <w:t>Visites de terrain</w:t>
            </w:r>
          </w:p>
        </w:tc>
      </w:tr>
      <w:tr w:rsidR="001715ED" w:rsidRPr="003A0F0B" w14:paraId="0873A788" w14:textId="77777777" w:rsidTr="001715ED">
        <w:tc>
          <w:tcPr>
            <w:tcW w:w="5000" w:type="pct"/>
            <w:gridSpan w:val="4"/>
            <w:shd w:val="clear" w:color="auto" w:fill="8DB3E2" w:themeFill="text2" w:themeFillTint="66"/>
          </w:tcPr>
          <w:p w14:paraId="1EE31399" w14:textId="77777777" w:rsidR="001715ED" w:rsidRPr="00C50F13" w:rsidRDefault="001715ED" w:rsidP="001715ED">
            <w:pPr>
              <w:pStyle w:val="Paragraphedeliste"/>
              <w:numPr>
                <w:ilvl w:val="0"/>
                <w:numId w:val="35"/>
              </w:numPr>
              <w:spacing w:before="0" w:after="0"/>
              <w:ind w:left="306" w:hanging="306"/>
              <w:jc w:val="left"/>
              <w:rPr>
                <w:b/>
                <w:sz w:val="20"/>
                <w:lang w:val="fr-FR"/>
              </w:rPr>
            </w:pPr>
            <w:r w:rsidRPr="00820FD8">
              <w:rPr>
                <w:b/>
                <w:sz w:val="20"/>
                <w:lang w:val="fr-FR"/>
              </w:rPr>
              <w:t>Mise en œuvre du projet et gestion adaptative</w:t>
            </w:r>
            <w:r>
              <w:rPr>
                <w:b/>
                <w:sz w:val="20"/>
                <w:lang w:val="fr-FR"/>
              </w:rPr>
              <w:t xml:space="preserve">/réactive </w:t>
            </w:r>
            <w:r w:rsidRPr="00820FD8">
              <w:rPr>
                <w:b/>
                <w:sz w:val="20"/>
                <w:lang w:val="fr-FR"/>
              </w:rPr>
              <w:t>: le projet a-t-il été mis en œuvre de manière efficace, rentable et a-t-il été en mesure de s'adapter aux conditions en constante évolution</w:t>
            </w:r>
            <w:r>
              <w:rPr>
                <w:b/>
                <w:sz w:val="20"/>
                <w:lang w:val="fr-FR"/>
              </w:rPr>
              <w:t xml:space="preserve"> </w:t>
            </w:r>
            <w:r w:rsidRPr="00820FD8">
              <w:rPr>
                <w:b/>
                <w:sz w:val="20"/>
                <w:lang w:val="fr-FR"/>
              </w:rPr>
              <w:t>? Dans quelle mesure les systèmes de suivi et d’évaluation au niveau du projet, les rapports et les communications du projet soutiennent-ils la mise en œuvre du projet</w:t>
            </w:r>
            <w:r>
              <w:rPr>
                <w:b/>
                <w:sz w:val="20"/>
                <w:lang w:val="fr-FR"/>
              </w:rPr>
              <w:t xml:space="preserve"> ?</w:t>
            </w:r>
            <w:r w:rsidRPr="00820FD8">
              <w:rPr>
                <w:b/>
                <w:sz w:val="20"/>
                <w:lang w:val="fr-FR"/>
              </w:rPr>
              <w:t xml:space="preserve"> </w:t>
            </w:r>
            <w:r w:rsidRPr="0068631B">
              <w:rPr>
                <w:b/>
                <w:sz w:val="20"/>
                <w:lang w:val="fr-FR"/>
              </w:rPr>
              <w:t>(Efficacité)</w:t>
            </w:r>
          </w:p>
        </w:tc>
      </w:tr>
      <w:tr w:rsidR="001715ED" w:rsidRPr="00EE3F99" w14:paraId="7DB42DBA" w14:textId="77777777" w:rsidTr="001715ED">
        <w:tc>
          <w:tcPr>
            <w:tcW w:w="5000" w:type="pct"/>
            <w:gridSpan w:val="4"/>
          </w:tcPr>
          <w:p w14:paraId="57EEC2CE" w14:textId="77777777" w:rsidR="001715ED" w:rsidRPr="00C50F13" w:rsidRDefault="001715ED" w:rsidP="001715ED">
            <w:pPr>
              <w:spacing w:before="60" w:after="60"/>
              <w:rPr>
                <w:b/>
                <w:sz w:val="20"/>
                <w:lang w:val="fr-FR"/>
              </w:rPr>
            </w:pPr>
            <w:r w:rsidRPr="00C50F13">
              <w:rPr>
                <w:b/>
                <w:sz w:val="20"/>
                <w:lang w:val="fr-FR"/>
              </w:rPr>
              <w:t>3.1 M</w:t>
            </w:r>
            <w:r>
              <w:rPr>
                <w:b/>
                <w:sz w:val="20"/>
                <w:lang w:val="fr-FR"/>
              </w:rPr>
              <w:t>écanismes de gestion</w:t>
            </w:r>
          </w:p>
        </w:tc>
      </w:tr>
      <w:tr w:rsidR="001715ED" w:rsidRPr="00EE3F99" w14:paraId="6E8F204E" w14:textId="77777777" w:rsidTr="001715ED">
        <w:tc>
          <w:tcPr>
            <w:tcW w:w="1237" w:type="pct"/>
          </w:tcPr>
          <w:p w14:paraId="044B310F" w14:textId="77777777" w:rsidR="001715ED" w:rsidRPr="00460BE4" w:rsidRDefault="001715ED" w:rsidP="001715ED">
            <w:pPr>
              <w:rPr>
                <w:sz w:val="20"/>
                <w:lang w:val="fr-FR"/>
              </w:rPr>
            </w:pPr>
            <w:r w:rsidRPr="00460BE4">
              <w:rPr>
                <w:sz w:val="20"/>
                <w:lang w:val="fr-FR"/>
              </w:rPr>
              <w:t>3.1.1 Quelle est l’efficacité des</w:t>
            </w:r>
            <w:r>
              <w:rPr>
                <w:sz w:val="20"/>
                <w:lang w:val="fr-FR"/>
              </w:rPr>
              <w:t xml:space="preserve"> mécanismes de gestion ? </w:t>
            </w:r>
          </w:p>
        </w:tc>
        <w:tc>
          <w:tcPr>
            <w:tcW w:w="1800" w:type="pct"/>
          </w:tcPr>
          <w:p w14:paraId="53A5C2EC"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Preuve</w:t>
            </w:r>
            <w:r>
              <w:rPr>
                <w:sz w:val="20"/>
                <w:lang w:val="fr-FR"/>
              </w:rPr>
              <w:t>s</w:t>
            </w:r>
            <w:r w:rsidRPr="002A7027">
              <w:rPr>
                <w:sz w:val="20"/>
                <w:lang w:val="fr-FR"/>
              </w:rPr>
              <w:t xml:space="preserve"> </w:t>
            </w:r>
            <w:r>
              <w:rPr>
                <w:sz w:val="20"/>
                <w:lang w:val="fr-FR"/>
              </w:rPr>
              <w:t>que les</w:t>
            </w:r>
            <w:r w:rsidRPr="002A7027">
              <w:rPr>
                <w:sz w:val="20"/>
                <w:lang w:val="fr-FR"/>
              </w:rPr>
              <w:t xml:space="preserve"> rôles et responsabilités </w:t>
            </w:r>
            <w:r>
              <w:rPr>
                <w:sz w:val="20"/>
                <w:lang w:val="fr-FR"/>
              </w:rPr>
              <w:t xml:space="preserve">sont </w:t>
            </w:r>
            <w:r w:rsidRPr="002A7027">
              <w:rPr>
                <w:sz w:val="20"/>
                <w:lang w:val="fr-FR"/>
              </w:rPr>
              <w:t xml:space="preserve">clairement définis </w:t>
            </w:r>
          </w:p>
          <w:p w14:paraId="1933B399"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Preuves d’une prise de d</w:t>
            </w:r>
            <w:r>
              <w:rPr>
                <w:sz w:val="20"/>
                <w:lang w:val="fr-FR"/>
              </w:rPr>
              <w:t>é</w:t>
            </w:r>
            <w:r w:rsidRPr="000B79B8">
              <w:rPr>
                <w:sz w:val="20"/>
                <w:lang w:val="fr-FR"/>
              </w:rPr>
              <w:t xml:space="preserve">cision transparente et opportune </w:t>
            </w:r>
          </w:p>
          <w:p w14:paraId="6F7DC294" w14:textId="77777777" w:rsidR="001715ED" w:rsidRPr="002A7027" w:rsidRDefault="001715ED" w:rsidP="001715ED">
            <w:pPr>
              <w:pStyle w:val="Paragraphedeliste"/>
              <w:numPr>
                <w:ilvl w:val="0"/>
                <w:numId w:val="37"/>
              </w:numPr>
              <w:spacing w:before="0" w:after="0"/>
              <w:ind w:left="342" w:hanging="284"/>
              <w:jc w:val="left"/>
              <w:rPr>
                <w:sz w:val="20"/>
                <w:lang w:val="fr-FR"/>
              </w:rPr>
            </w:pPr>
            <w:r w:rsidRPr="002A7027">
              <w:rPr>
                <w:sz w:val="20"/>
                <w:lang w:val="fr-FR"/>
              </w:rPr>
              <w:t>Niveau de réactivité de l'équipe de projet et des organes de mise en œuvre respectifs face à l'évolution des besoins du projet</w:t>
            </w:r>
          </w:p>
        </w:tc>
        <w:tc>
          <w:tcPr>
            <w:tcW w:w="1300" w:type="pct"/>
          </w:tcPr>
          <w:p w14:paraId="469EAB57"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Planification du projet, rapports d'avancement et rapports de suivi</w:t>
            </w:r>
          </w:p>
          <w:p w14:paraId="502000F2"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p w14:paraId="76D123AB" w14:textId="77777777" w:rsidR="001715ED" w:rsidRPr="001B0D4E" w:rsidRDefault="001715ED" w:rsidP="001715ED">
            <w:pPr>
              <w:rPr>
                <w:sz w:val="20"/>
                <w:lang w:val="fr-FR"/>
              </w:rPr>
            </w:pPr>
          </w:p>
        </w:tc>
        <w:tc>
          <w:tcPr>
            <w:tcW w:w="663" w:type="pct"/>
          </w:tcPr>
          <w:p w14:paraId="50525C91"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02B613DA"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1E243843" w14:textId="77777777" w:rsidR="001715ED" w:rsidRPr="00C50F13" w:rsidRDefault="001715ED" w:rsidP="001715ED">
            <w:pPr>
              <w:rPr>
                <w:sz w:val="20"/>
                <w:lang w:val="fr-FR"/>
              </w:rPr>
            </w:pPr>
          </w:p>
        </w:tc>
      </w:tr>
      <w:tr w:rsidR="001715ED" w:rsidRPr="00EE3F99" w14:paraId="5787EADD" w14:textId="77777777" w:rsidTr="001715ED">
        <w:tc>
          <w:tcPr>
            <w:tcW w:w="1237" w:type="pct"/>
          </w:tcPr>
          <w:p w14:paraId="03D74980" w14:textId="77777777" w:rsidR="001715ED" w:rsidRPr="00460BE4" w:rsidRDefault="001715ED" w:rsidP="001715ED">
            <w:pPr>
              <w:rPr>
                <w:sz w:val="20"/>
                <w:lang w:val="fr-FR"/>
              </w:rPr>
            </w:pPr>
            <w:r w:rsidRPr="00460BE4">
              <w:rPr>
                <w:sz w:val="20"/>
                <w:lang w:val="fr-FR"/>
              </w:rPr>
              <w:t>3.1.2 Quelle est la qualité d</w:t>
            </w:r>
            <w:r>
              <w:rPr>
                <w:sz w:val="20"/>
                <w:lang w:val="fr-FR"/>
              </w:rPr>
              <w:t xml:space="preserve">’exécution du projet par l’agence </w:t>
            </w:r>
            <w:r>
              <w:rPr>
                <w:sz w:val="20"/>
                <w:lang w:val="fr-FR"/>
              </w:rPr>
              <w:lastRenderedPageBreak/>
              <w:t xml:space="preserve">d’exécution et le partenaire de mise en œuvre ? </w:t>
            </w:r>
          </w:p>
        </w:tc>
        <w:tc>
          <w:tcPr>
            <w:tcW w:w="1800" w:type="pct"/>
          </w:tcPr>
          <w:p w14:paraId="752B5C09" w14:textId="77777777" w:rsidR="001715ED" w:rsidRDefault="001715ED" w:rsidP="001715ED">
            <w:pPr>
              <w:pStyle w:val="Paragraphedeliste"/>
              <w:numPr>
                <w:ilvl w:val="0"/>
                <w:numId w:val="37"/>
              </w:numPr>
              <w:spacing w:before="0" w:after="0"/>
              <w:ind w:left="342" w:hanging="284"/>
              <w:jc w:val="left"/>
              <w:rPr>
                <w:sz w:val="20"/>
                <w:lang w:val="fr-FR"/>
              </w:rPr>
            </w:pPr>
            <w:r w:rsidRPr="002A7027">
              <w:rPr>
                <w:sz w:val="20"/>
                <w:lang w:val="fr-FR"/>
              </w:rPr>
              <w:lastRenderedPageBreak/>
              <w:t xml:space="preserve">Niveau d'alignement </w:t>
            </w:r>
            <w:r>
              <w:rPr>
                <w:sz w:val="20"/>
                <w:lang w:val="fr-FR"/>
              </w:rPr>
              <w:t>du</w:t>
            </w:r>
            <w:r w:rsidRPr="002A7027">
              <w:rPr>
                <w:sz w:val="20"/>
                <w:lang w:val="fr-FR"/>
              </w:rPr>
              <w:t xml:space="preserve"> budget réel et prévu et </w:t>
            </w:r>
            <w:r>
              <w:rPr>
                <w:sz w:val="20"/>
                <w:lang w:val="fr-FR"/>
              </w:rPr>
              <w:t>du</w:t>
            </w:r>
            <w:r w:rsidRPr="002A7027">
              <w:rPr>
                <w:sz w:val="20"/>
                <w:lang w:val="fr-FR"/>
              </w:rPr>
              <w:t xml:space="preserve"> temps consacré par le personnel au projet</w:t>
            </w:r>
          </w:p>
          <w:p w14:paraId="1B76A960" w14:textId="77777777" w:rsidR="001715ED" w:rsidRDefault="001715ED" w:rsidP="001715ED">
            <w:pPr>
              <w:pStyle w:val="Paragraphedeliste"/>
              <w:numPr>
                <w:ilvl w:val="0"/>
                <w:numId w:val="37"/>
              </w:numPr>
              <w:spacing w:before="0" w:after="0"/>
              <w:ind w:left="342" w:hanging="284"/>
              <w:jc w:val="left"/>
              <w:rPr>
                <w:sz w:val="20"/>
                <w:lang w:val="fr-FR"/>
              </w:rPr>
            </w:pPr>
            <w:r w:rsidRPr="002A7027">
              <w:rPr>
                <w:sz w:val="20"/>
                <w:lang w:val="fr-FR"/>
              </w:rPr>
              <w:lastRenderedPageBreak/>
              <w:t xml:space="preserve">Qualité perçue de la réponse de la direction </w:t>
            </w:r>
            <w:r>
              <w:rPr>
                <w:sz w:val="20"/>
                <w:lang w:val="fr-FR"/>
              </w:rPr>
              <w:t xml:space="preserve">du projet </w:t>
            </w:r>
            <w:r w:rsidRPr="002A7027">
              <w:rPr>
                <w:sz w:val="20"/>
                <w:lang w:val="fr-FR"/>
              </w:rPr>
              <w:t>aux demandes des membres de l’équipe</w:t>
            </w:r>
            <w:r>
              <w:rPr>
                <w:sz w:val="20"/>
                <w:lang w:val="fr-FR"/>
              </w:rPr>
              <w:t xml:space="preserve"> et à leurs </w:t>
            </w:r>
            <w:r w:rsidRPr="002A7027">
              <w:rPr>
                <w:sz w:val="20"/>
                <w:lang w:val="fr-FR"/>
              </w:rPr>
              <w:t>besoins</w:t>
            </w:r>
          </w:p>
          <w:p w14:paraId="324C9521" w14:textId="77777777" w:rsidR="001715ED" w:rsidRDefault="001715ED" w:rsidP="001715ED">
            <w:pPr>
              <w:pStyle w:val="Paragraphedeliste"/>
              <w:numPr>
                <w:ilvl w:val="0"/>
                <w:numId w:val="37"/>
              </w:numPr>
              <w:spacing w:before="0" w:after="0"/>
              <w:ind w:left="342" w:hanging="284"/>
              <w:jc w:val="left"/>
              <w:rPr>
                <w:sz w:val="20"/>
                <w:lang w:val="fr-FR"/>
              </w:rPr>
            </w:pPr>
            <w:r w:rsidRPr="002A7027">
              <w:rPr>
                <w:sz w:val="20"/>
                <w:lang w:val="fr-FR"/>
              </w:rPr>
              <w:t xml:space="preserve">Qualité de la supervision </w:t>
            </w:r>
            <w:r>
              <w:rPr>
                <w:sz w:val="20"/>
                <w:lang w:val="fr-FR"/>
              </w:rPr>
              <w:t>de l’agence d’exécution et de l’agence de mise en œuvre</w:t>
            </w:r>
            <w:r w:rsidRPr="002A7027">
              <w:rPr>
                <w:sz w:val="20"/>
                <w:lang w:val="fr-FR"/>
              </w:rPr>
              <w:t xml:space="preserve"> (</w:t>
            </w:r>
            <w:r>
              <w:rPr>
                <w:sz w:val="20"/>
                <w:lang w:val="fr-FR"/>
              </w:rPr>
              <w:t>note</w:t>
            </w:r>
            <w:r w:rsidRPr="002A7027">
              <w:rPr>
                <w:sz w:val="20"/>
                <w:lang w:val="fr-FR"/>
              </w:rPr>
              <w:t xml:space="preserve"> sur une échelle), respectivement</w:t>
            </w:r>
          </w:p>
          <w:p w14:paraId="3F01D0E1" w14:textId="77777777" w:rsidR="001715ED" w:rsidRDefault="001715ED" w:rsidP="001715ED">
            <w:pPr>
              <w:pStyle w:val="CM58"/>
              <w:widowControl/>
              <w:numPr>
                <w:ilvl w:val="0"/>
                <w:numId w:val="37"/>
              </w:numPr>
              <w:autoSpaceDE/>
              <w:autoSpaceDN/>
              <w:adjustRightInd/>
              <w:spacing w:line="240" w:lineRule="auto"/>
              <w:ind w:left="342" w:hanging="284"/>
              <w:contextualSpacing/>
              <w:rPr>
                <w:rFonts w:ascii="Corbel" w:eastAsiaTheme="minorEastAsia" w:hAnsi="Corbel" w:cstheme="minorBidi"/>
                <w:sz w:val="20"/>
                <w:szCs w:val="22"/>
                <w:lang w:val="fr-FR" w:eastAsia="en-US"/>
              </w:rPr>
            </w:pPr>
            <w:r>
              <w:rPr>
                <w:rFonts w:ascii="Corbel" w:eastAsiaTheme="minorEastAsia" w:hAnsi="Corbel" w:cstheme="minorBidi"/>
                <w:sz w:val="20"/>
                <w:szCs w:val="22"/>
                <w:lang w:val="fr-FR" w:eastAsia="en-US"/>
              </w:rPr>
              <w:t>Q</w:t>
            </w:r>
            <w:r w:rsidRPr="002A7027">
              <w:rPr>
                <w:rFonts w:ascii="Corbel" w:eastAsiaTheme="minorEastAsia" w:hAnsi="Corbel" w:cstheme="minorBidi"/>
                <w:sz w:val="20"/>
                <w:szCs w:val="22"/>
                <w:lang w:val="fr-FR" w:eastAsia="en-US"/>
              </w:rPr>
              <w:t>ualité de la gestion des risques par l'Agence de mise en œuvre et de l'Agence d'exécution (note sur une échelle)</w:t>
            </w:r>
          </w:p>
          <w:p w14:paraId="43B722ED" w14:textId="77777777" w:rsidR="001715ED" w:rsidRPr="00343D35" w:rsidRDefault="001715ED" w:rsidP="001715ED">
            <w:pPr>
              <w:pStyle w:val="CM58"/>
              <w:widowControl/>
              <w:numPr>
                <w:ilvl w:val="0"/>
                <w:numId w:val="37"/>
              </w:numPr>
              <w:autoSpaceDE/>
              <w:autoSpaceDN/>
              <w:adjustRightInd/>
              <w:spacing w:line="240" w:lineRule="auto"/>
              <w:ind w:left="342" w:hanging="284"/>
              <w:contextualSpacing/>
              <w:rPr>
                <w:rFonts w:ascii="Corbel" w:eastAsiaTheme="minorEastAsia" w:hAnsi="Corbel" w:cstheme="minorBidi"/>
                <w:sz w:val="20"/>
                <w:szCs w:val="22"/>
                <w:lang w:val="fr-FR" w:eastAsia="en-US"/>
              </w:rPr>
            </w:pPr>
            <w:r w:rsidRPr="00343D35">
              <w:rPr>
                <w:rFonts w:ascii="Corbel" w:eastAsiaTheme="minorEastAsia" w:hAnsi="Corbel" w:cstheme="minorBidi"/>
                <w:sz w:val="20"/>
                <w:szCs w:val="22"/>
                <w:lang w:val="fr-FR" w:eastAsia="en-US"/>
              </w:rPr>
              <w:t>Qualité de la gestion sociale et environnementale par les agences de mise en œuvre et d’</w:t>
            </w:r>
            <w:r>
              <w:rPr>
                <w:rFonts w:ascii="Corbel" w:eastAsiaTheme="minorEastAsia" w:hAnsi="Corbel" w:cstheme="minorBidi"/>
                <w:sz w:val="20"/>
                <w:szCs w:val="22"/>
                <w:lang w:val="fr-FR" w:eastAsia="en-US"/>
              </w:rPr>
              <w:t>e</w:t>
            </w:r>
            <w:r w:rsidRPr="00343D35">
              <w:rPr>
                <w:rFonts w:ascii="Corbel" w:eastAsiaTheme="minorEastAsia" w:hAnsi="Corbel" w:cstheme="minorBidi"/>
                <w:sz w:val="20"/>
                <w:szCs w:val="22"/>
                <w:lang w:val="fr-FR" w:eastAsia="en-US"/>
              </w:rPr>
              <w:t>x</w:t>
            </w:r>
            <w:r>
              <w:rPr>
                <w:rFonts w:ascii="Corbel" w:eastAsiaTheme="minorEastAsia" w:hAnsi="Corbel" w:cstheme="minorBidi"/>
                <w:sz w:val="20"/>
                <w:szCs w:val="22"/>
                <w:lang w:val="fr-FR" w:eastAsia="en-US"/>
              </w:rPr>
              <w:t>é</w:t>
            </w:r>
            <w:r w:rsidRPr="00343D35">
              <w:rPr>
                <w:rFonts w:ascii="Corbel" w:eastAsiaTheme="minorEastAsia" w:hAnsi="Corbel" w:cstheme="minorBidi"/>
                <w:sz w:val="20"/>
                <w:szCs w:val="22"/>
                <w:lang w:val="fr-FR" w:eastAsia="en-US"/>
              </w:rPr>
              <w:t>cution (note sur une échelle)</w:t>
            </w:r>
          </w:p>
          <w:p w14:paraId="63C3BA1C" w14:textId="77777777" w:rsidR="001715ED" w:rsidRPr="00343D35" w:rsidRDefault="001715ED" w:rsidP="001715ED">
            <w:pPr>
              <w:pStyle w:val="CM58"/>
              <w:widowControl/>
              <w:numPr>
                <w:ilvl w:val="0"/>
                <w:numId w:val="37"/>
              </w:numPr>
              <w:autoSpaceDE/>
              <w:autoSpaceDN/>
              <w:adjustRightInd/>
              <w:spacing w:line="240" w:lineRule="auto"/>
              <w:ind w:left="342" w:hanging="284"/>
              <w:contextualSpacing/>
              <w:rPr>
                <w:sz w:val="20"/>
                <w:lang w:val="fr-FR"/>
              </w:rPr>
            </w:pPr>
            <w:r w:rsidRPr="00343D35">
              <w:rPr>
                <w:rFonts w:ascii="Corbel" w:eastAsiaTheme="minorEastAsia" w:hAnsi="Corbel" w:cstheme="minorBidi"/>
                <w:sz w:val="20"/>
                <w:szCs w:val="22"/>
                <w:lang w:val="fr-FR" w:eastAsia="en-US"/>
              </w:rPr>
              <w:t>Nombre de techniques innovantes et de meilleures pratiques utilisées dans la gestion de projet</w:t>
            </w:r>
          </w:p>
        </w:tc>
        <w:tc>
          <w:tcPr>
            <w:tcW w:w="1300" w:type="pct"/>
          </w:tcPr>
          <w:p w14:paraId="66C7A01B"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lastRenderedPageBreak/>
              <w:t>Planification du projet, rapports d'avancement et rapports de suivi</w:t>
            </w:r>
          </w:p>
          <w:p w14:paraId="13562725"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lastRenderedPageBreak/>
              <w:t xml:space="preserve">Équipe </w:t>
            </w:r>
            <w:r>
              <w:rPr>
                <w:sz w:val="20"/>
                <w:lang w:val="fr-FR"/>
              </w:rPr>
              <w:t>de mise en œuvre</w:t>
            </w:r>
            <w:r w:rsidRPr="000B79B8">
              <w:rPr>
                <w:sz w:val="20"/>
                <w:lang w:val="fr-FR"/>
              </w:rPr>
              <w:t xml:space="preserve"> locale et partenaires </w:t>
            </w:r>
            <w:r>
              <w:rPr>
                <w:sz w:val="20"/>
                <w:lang w:val="fr-FR"/>
              </w:rPr>
              <w:t>de mise en œuvre</w:t>
            </w:r>
          </w:p>
          <w:p w14:paraId="6B28692A" w14:textId="77777777" w:rsidR="001715ED" w:rsidRPr="001B0D4E" w:rsidRDefault="001715ED" w:rsidP="001715ED">
            <w:pPr>
              <w:rPr>
                <w:sz w:val="20"/>
                <w:lang w:val="fr-FR"/>
              </w:rPr>
            </w:pPr>
          </w:p>
        </w:tc>
        <w:tc>
          <w:tcPr>
            <w:tcW w:w="663" w:type="pct"/>
          </w:tcPr>
          <w:p w14:paraId="08576F5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lastRenderedPageBreak/>
              <w:t>Revue documentaire</w:t>
            </w:r>
          </w:p>
          <w:p w14:paraId="1D57127B"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306CC32A" w14:textId="77777777" w:rsidR="001715ED" w:rsidRPr="00C50F13" w:rsidRDefault="001715ED" w:rsidP="001715ED">
            <w:pPr>
              <w:rPr>
                <w:sz w:val="20"/>
                <w:lang w:val="fr-FR"/>
              </w:rPr>
            </w:pPr>
          </w:p>
        </w:tc>
      </w:tr>
      <w:tr w:rsidR="001715ED" w:rsidRPr="00EE3F99" w14:paraId="751BCEA6" w14:textId="77777777" w:rsidTr="001715ED">
        <w:tc>
          <w:tcPr>
            <w:tcW w:w="5000" w:type="pct"/>
            <w:gridSpan w:val="4"/>
          </w:tcPr>
          <w:p w14:paraId="1449FA80" w14:textId="77777777" w:rsidR="001715ED" w:rsidRPr="00C50F13" w:rsidRDefault="001715ED" w:rsidP="001715ED">
            <w:pPr>
              <w:spacing w:before="60" w:after="60"/>
              <w:rPr>
                <w:b/>
                <w:sz w:val="20"/>
                <w:lang w:val="fr-FR"/>
              </w:rPr>
            </w:pPr>
            <w:r w:rsidRPr="00C50F13">
              <w:rPr>
                <w:b/>
                <w:sz w:val="20"/>
                <w:lang w:val="fr-FR"/>
              </w:rPr>
              <w:lastRenderedPageBreak/>
              <w:t>3.2</w:t>
            </w:r>
            <w:r>
              <w:rPr>
                <w:b/>
                <w:sz w:val="20"/>
                <w:lang w:val="fr-FR"/>
              </w:rPr>
              <w:t xml:space="preserve"> Planification des activités </w:t>
            </w:r>
          </w:p>
        </w:tc>
      </w:tr>
      <w:tr w:rsidR="001715ED" w:rsidRPr="00EE3F99" w14:paraId="2394F4FD" w14:textId="77777777" w:rsidTr="001715ED">
        <w:tc>
          <w:tcPr>
            <w:tcW w:w="1237" w:type="pct"/>
          </w:tcPr>
          <w:p w14:paraId="46D3A174" w14:textId="77777777" w:rsidR="001715ED" w:rsidRPr="00460BE4" w:rsidRDefault="001715ED" w:rsidP="001715ED">
            <w:pPr>
              <w:rPr>
                <w:sz w:val="20"/>
                <w:lang w:val="fr-FR"/>
              </w:rPr>
            </w:pPr>
            <w:r w:rsidRPr="00460BE4">
              <w:rPr>
                <w:sz w:val="20"/>
                <w:lang w:val="fr-FR"/>
              </w:rPr>
              <w:t>3.2.1 Y a</w:t>
            </w:r>
            <w:r>
              <w:rPr>
                <w:sz w:val="20"/>
                <w:lang w:val="fr-FR"/>
              </w:rPr>
              <w:t>-t</w:t>
            </w:r>
            <w:r w:rsidRPr="00460BE4">
              <w:rPr>
                <w:sz w:val="20"/>
                <w:lang w:val="fr-FR"/>
              </w:rPr>
              <w:t xml:space="preserve">-il eu des </w:t>
            </w:r>
            <w:r>
              <w:rPr>
                <w:sz w:val="20"/>
                <w:lang w:val="fr-FR"/>
              </w:rPr>
              <w:t xml:space="preserve">retards dans la mise en œuvre du projet ? Si oui, pour quelles raisons ? </w:t>
            </w:r>
          </w:p>
        </w:tc>
        <w:tc>
          <w:tcPr>
            <w:tcW w:w="1800" w:type="pct"/>
          </w:tcPr>
          <w:p w14:paraId="3FE5AF64"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t>Calendrier et s</w:t>
            </w:r>
            <w:r>
              <w:rPr>
                <w:sz w:val="20"/>
                <w:lang w:val="fr-FR"/>
              </w:rPr>
              <w:t>é</w:t>
            </w:r>
            <w:r w:rsidRPr="001B472F">
              <w:rPr>
                <w:sz w:val="20"/>
                <w:lang w:val="fr-FR"/>
              </w:rPr>
              <w:t>quence des résultats par rapport au plan de trav</w:t>
            </w:r>
            <w:r>
              <w:rPr>
                <w:sz w:val="20"/>
                <w:lang w:val="fr-FR"/>
              </w:rPr>
              <w:t>ail</w:t>
            </w:r>
          </w:p>
          <w:p w14:paraId="69865768" w14:textId="77777777" w:rsidR="001715ED" w:rsidRPr="001B472F" w:rsidRDefault="001715ED" w:rsidP="001715ED">
            <w:pPr>
              <w:pStyle w:val="Paragraphedeliste"/>
              <w:numPr>
                <w:ilvl w:val="0"/>
                <w:numId w:val="37"/>
              </w:numPr>
              <w:spacing w:before="0" w:after="0"/>
              <w:ind w:left="342" w:hanging="284"/>
              <w:jc w:val="left"/>
              <w:rPr>
                <w:sz w:val="20"/>
                <w:lang w:val="fr-FR"/>
              </w:rPr>
            </w:pPr>
            <w:r>
              <w:rPr>
                <w:sz w:val="20"/>
                <w:lang w:val="fr-FR"/>
              </w:rPr>
              <w:t xml:space="preserve">Cause et nombre / fréquence des retards totaux (en mois) </w:t>
            </w:r>
            <w:r w:rsidRPr="001B472F">
              <w:rPr>
                <w:sz w:val="20"/>
                <w:lang w:val="fr-FR"/>
              </w:rPr>
              <w:t xml:space="preserve"> </w:t>
            </w:r>
          </w:p>
        </w:tc>
        <w:tc>
          <w:tcPr>
            <w:tcW w:w="1300" w:type="pct"/>
          </w:tcPr>
          <w:p w14:paraId="61D426F1"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Planification du projet, rapports d'avancement et rapports de suivi</w:t>
            </w:r>
          </w:p>
          <w:p w14:paraId="22E6D68D"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0CC1A163"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7B591559"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5296AC2B" w14:textId="77777777" w:rsidTr="001715ED">
        <w:trPr>
          <w:trHeight w:val="409"/>
        </w:trPr>
        <w:tc>
          <w:tcPr>
            <w:tcW w:w="1237" w:type="pct"/>
          </w:tcPr>
          <w:p w14:paraId="248758EA" w14:textId="77777777" w:rsidR="001715ED" w:rsidRPr="00460BE4" w:rsidRDefault="001715ED" w:rsidP="001715ED">
            <w:pPr>
              <w:rPr>
                <w:sz w:val="20"/>
                <w:lang w:val="fr-FR"/>
              </w:rPr>
            </w:pPr>
            <w:r w:rsidRPr="00460BE4">
              <w:rPr>
                <w:sz w:val="20"/>
                <w:lang w:val="fr-FR"/>
              </w:rPr>
              <w:t>3.2.2 Les processus de planification d</w:t>
            </w:r>
            <w:r>
              <w:rPr>
                <w:sz w:val="20"/>
                <w:lang w:val="fr-FR"/>
              </w:rPr>
              <w:t xml:space="preserve">u travail sont-ils basés sur les résultats ? </w:t>
            </w:r>
          </w:p>
        </w:tc>
        <w:tc>
          <w:tcPr>
            <w:tcW w:w="1800" w:type="pct"/>
          </w:tcPr>
          <w:p w14:paraId="776ADC06"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Proportion de documents de planification et de rapport axés sur les résultats</w:t>
            </w:r>
          </w:p>
        </w:tc>
        <w:tc>
          <w:tcPr>
            <w:tcW w:w="1300" w:type="pct"/>
          </w:tcPr>
          <w:p w14:paraId="5987DC45"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0B79B8">
              <w:rPr>
                <w:sz w:val="20"/>
                <w:lang w:val="fr-FR"/>
              </w:rPr>
              <w:t>Planification du projet, rapports d'avancement et rapports de suivi</w:t>
            </w:r>
          </w:p>
        </w:tc>
        <w:tc>
          <w:tcPr>
            <w:tcW w:w="663" w:type="pct"/>
          </w:tcPr>
          <w:p w14:paraId="4C1A3A4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253A8F42" w14:textId="77777777" w:rsidR="001715ED" w:rsidRPr="00C50F13" w:rsidRDefault="001715ED" w:rsidP="001715ED">
            <w:pPr>
              <w:spacing w:before="0" w:after="160" w:line="259" w:lineRule="auto"/>
              <w:contextualSpacing/>
              <w:jc w:val="left"/>
              <w:rPr>
                <w:sz w:val="20"/>
                <w:lang w:val="fr-FR"/>
              </w:rPr>
            </w:pPr>
          </w:p>
        </w:tc>
      </w:tr>
      <w:tr w:rsidR="001715ED" w:rsidRPr="00EE3F99" w14:paraId="2D8FEB4F" w14:textId="77777777" w:rsidTr="001715ED">
        <w:tc>
          <w:tcPr>
            <w:tcW w:w="1237" w:type="pct"/>
          </w:tcPr>
          <w:p w14:paraId="7957DB9D" w14:textId="77777777" w:rsidR="001715ED" w:rsidRPr="00460BE4" w:rsidRDefault="001715ED" w:rsidP="001715ED">
            <w:pPr>
              <w:rPr>
                <w:sz w:val="20"/>
                <w:lang w:val="fr-FR"/>
              </w:rPr>
            </w:pPr>
            <w:r w:rsidRPr="00460BE4">
              <w:rPr>
                <w:sz w:val="20"/>
                <w:lang w:val="fr-FR"/>
              </w:rPr>
              <w:t>3.2.3 Le cadre logique a-t-il été utilisé lors de la mise en œuvre en tant qu'outil de gestion et de suivi-évaluation</w:t>
            </w:r>
            <w:r>
              <w:rPr>
                <w:sz w:val="20"/>
                <w:lang w:val="fr-FR"/>
              </w:rPr>
              <w:t xml:space="preserve"> </w:t>
            </w:r>
            <w:r w:rsidRPr="00460BE4">
              <w:rPr>
                <w:sz w:val="20"/>
                <w:lang w:val="fr-FR"/>
              </w:rPr>
              <w:t>?</w:t>
            </w:r>
          </w:p>
        </w:tc>
        <w:tc>
          <w:tcPr>
            <w:tcW w:w="1800" w:type="pct"/>
          </w:tcPr>
          <w:p w14:paraId="3A9108C0"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Étendue de l'utilisation du cadre logique par le gestionnaire (nombre et type d'utilisation)</w:t>
            </w:r>
          </w:p>
        </w:tc>
        <w:tc>
          <w:tcPr>
            <w:tcW w:w="1300" w:type="pct"/>
          </w:tcPr>
          <w:p w14:paraId="69098B2F"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Planification du projet, rapports d'avancement et rapports de suivi</w:t>
            </w:r>
          </w:p>
          <w:p w14:paraId="2E2D7752"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21475830"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490EE348"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5B3223B0" w14:textId="77777777" w:rsidR="001715ED" w:rsidRPr="00C50F13" w:rsidRDefault="001715ED" w:rsidP="001715ED">
            <w:pPr>
              <w:spacing w:before="0" w:after="160" w:line="259" w:lineRule="auto"/>
              <w:ind w:left="58"/>
              <w:contextualSpacing/>
              <w:jc w:val="left"/>
              <w:rPr>
                <w:sz w:val="20"/>
                <w:lang w:val="fr-FR"/>
              </w:rPr>
            </w:pPr>
          </w:p>
        </w:tc>
      </w:tr>
      <w:tr w:rsidR="001715ED" w:rsidRPr="00EE3F99" w14:paraId="76005219" w14:textId="77777777" w:rsidTr="001715ED">
        <w:tc>
          <w:tcPr>
            <w:tcW w:w="5000" w:type="pct"/>
            <w:gridSpan w:val="4"/>
          </w:tcPr>
          <w:p w14:paraId="0542FD69" w14:textId="77777777" w:rsidR="001715ED" w:rsidRPr="00C50F13" w:rsidRDefault="001715ED" w:rsidP="001715ED">
            <w:pPr>
              <w:spacing w:before="60" w:after="60"/>
              <w:rPr>
                <w:b/>
                <w:sz w:val="20"/>
                <w:lang w:val="fr-FR"/>
              </w:rPr>
            </w:pPr>
            <w:r w:rsidRPr="00C50F13">
              <w:rPr>
                <w:b/>
                <w:sz w:val="20"/>
                <w:lang w:val="fr-FR"/>
              </w:rPr>
              <w:t xml:space="preserve">3.3 </w:t>
            </w:r>
            <w:r>
              <w:rPr>
                <w:b/>
                <w:sz w:val="20"/>
                <w:lang w:val="fr-FR"/>
              </w:rPr>
              <w:t>Financement et co-financement</w:t>
            </w:r>
          </w:p>
        </w:tc>
      </w:tr>
      <w:tr w:rsidR="001715ED" w:rsidRPr="00EE3F99" w14:paraId="1A61B7A0" w14:textId="77777777" w:rsidTr="001715ED">
        <w:tc>
          <w:tcPr>
            <w:tcW w:w="1237" w:type="pct"/>
          </w:tcPr>
          <w:p w14:paraId="055A88B0" w14:textId="77777777" w:rsidR="001715ED" w:rsidRPr="00460BE4" w:rsidRDefault="001715ED" w:rsidP="001715ED">
            <w:pPr>
              <w:rPr>
                <w:sz w:val="20"/>
                <w:lang w:val="fr-FR"/>
              </w:rPr>
            </w:pPr>
            <w:r w:rsidRPr="00460BE4">
              <w:rPr>
                <w:sz w:val="20"/>
                <w:lang w:val="fr-FR"/>
              </w:rPr>
              <w:t xml:space="preserve">3.3.1 Dans quelle mesure les </w:t>
            </w:r>
            <w:r>
              <w:rPr>
                <w:sz w:val="20"/>
                <w:lang w:val="fr-FR"/>
              </w:rPr>
              <w:t xml:space="preserve">extrants (produits) sont-ils réalisés de manière rentable ? (La stratégie </w:t>
            </w:r>
            <w:r>
              <w:rPr>
                <w:sz w:val="20"/>
                <w:lang w:val="fr-FR"/>
              </w:rPr>
              <w:lastRenderedPageBreak/>
              <w:t>adoptée a-t-elle été la plus adaptée compte tenu de la situation réelle sur terrain ?</w:t>
            </w:r>
          </w:p>
        </w:tc>
        <w:tc>
          <w:tcPr>
            <w:tcW w:w="1800" w:type="pct"/>
          </w:tcPr>
          <w:p w14:paraId="7D3A884C"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lastRenderedPageBreak/>
              <w:t xml:space="preserve">Coût par </w:t>
            </w:r>
            <w:r>
              <w:rPr>
                <w:sz w:val="20"/>
                <w:lang w:val="fr-FR"/>
              </w:rPr>
              <w:t>extrant</w:t>
            </w:r>
            <w:r w:rsidRPr="001B472F">
              <w:rPr>
                <w:sz w:val="20"/>
                <w:lang w:val="fr-FR"/>
              </w:rPr>
              <w:t xml:space="preserve"> comparé aux coûts de projets similaires d’autres organisations</w:t>
            </w:r>
          </w:p>
          <w:p w14:paraId="498BCCEF"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lastRenderedPageBreak/>
              <w:t>Niveau d'alignement entre les coûts de mise en œuvre prévus et encourus et la nature des divergences</w:t>
            </w:r>
          </w:p>
          <w:p w14:paraId="1341DA73"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Coût associé au mécanisme de livraison et à la structure de gestion par rapport aux solutions de remplacement</w:t>
            </w:r>
          </w:p>
        </w:tc>
        <w:tc>
          <w:tcPr>
            <w:tcW w:w="1300" w:type="pct"/>
          </w:tcPr>
          <w:p w14:paraId="60661749"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lastRenderedPageBreak/>
              <w:t>Planification du projet, rapports d'avancement et rapports de suivi</w:t>
            </w:r>
          </w:p>
          <w:p w14:paraId="47983D7C"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0B79B8">
              <w:rPr>
                <w:sz w:val="20"/>
                <w:lang w:val="fr-FR"/>
              </w:rPr>
              <w:lastRenderedPageBreak/>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367BA274"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lastRenderedPageBreak/>
              <w:t>Revue documentaire</w:t>
            </w:r>
          </w:p>
          <w:p w14:paraId="4013FEE7"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5A26B7B0" w14:textId="77777777" w:rsidR="001715ED" w:rsidRPr="00C50F13" w:rsidRDefault="001715ED" w:rsidP="001715ED">
            <w:pPr>
              <w:spacing w:before="0" w:after="0"/>
              <w:ind w:left="58"/>
              <w:contextualSpacing/>
              <w:jc w:val="left"/>
              <w:rPr>
                <w:sz w:val="20"/>
                <w:lang w:val="fr-FR"/>
              </w:rPr>
            </w:pPr>
          </w:p>
        </w:tc>
      </w:tr>
      <w:tr w:rsidR="001715ED" w:rsidRPr="00EE3F99" w14:paraId="48D7C319" w14:textId="77777777" w:rsidTr="001715ED">
        <w:tc>
          <w:tcPr>
            <w:tcW w:w="1237" w:type="pct"/>
          </w:tcPr>
          <w:p w14:paraId="31CE430D" w14:textId="77777777" w:rsidR="001715ED" w:rsidRPr="00460BE4" w:rsidRDefault="001715ED" w:rsidP="001715ED">
            <w:pPr>
              <w:rPr>
                <w:sz w:val="20"/>
                <w:lang w:val="fr-FR"/>
              </w:rPr>
            </w:pPr>
            <w:r w:rsidRPr="00460BE4">
              <w:rPr>
                <w:sz w:val="20"/>
                <w:lang w:val="fr-FR"/>
              </w:rPr>
              <w:lastRenderedPageBreak/>
              <w:t>3.3.2 Existe-il un écart e</w:t>
            </w:r>
            <w:r>
              <w:rPr>
                <w:sz w:val="20"/>
                <w:lang w:val="fr-FR"/>
              </w:rPr>
              <w:t xml:space="preserve">ntre les dépenses prévues et les dépenses réelles ? Pourquoi ? </w:t>
            </w:r>
          </w:p>
        </w:tc>
        <w:tc>
          <w:tcPr>
            <w:tcW w:w="1800" w:type="pct"/>
          </w:tcPr>
          <w:p w14:paraId="50EF1FF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Budget prévu par an et par activité</w:t>
            </w:r>
          </w:p>
          <w:p w14:paraId="00AA2332"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Exécution réelle du budget par a</w:t>
            </w:r>
            <w:r>
              <w:rPr>
                <w:sz w:val="20"/>
                <w:lang w:val="fr-FR"/>
              </w:rPr>
              <w:t xml:space="preserve">n, par </w:t>
            </w:r>
            <w:r w:rsidRPr="001B472F">
              <w:rPr>
                <w:sz w:val="20"/>
                <w:lang w:val="fr-FR"/>
              </w:rPr>
              <w:t>activité</w:t>
            </w:r>
          </w:p>
        </w:tc>
        <w:tc>
          <w:tcPr>
            <w:tcW w:w="1300" w:type="pct"/>
          </w:tcPr>
          <w:p w14:paraId="1A14EE30"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p w14:paraId="300263AF"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66B6F10C"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134A51F6"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2536F813" w14:textId="77777777" w:rsidR="001715ED" w:rsidRPr="00C50F13" w:rsidRDefault="001715ED" w:rsidP="001715ED">
            <w:pPr>
              <w:spacing w:before="0" w:after="160" w:line="259" w:lineRule="auto"/>
              <w:ind w:left="58"/>
              <w:contextualSpacing/>
              <w:jc w:val="left"/>
              <w:rPr>
                <w:sz w:val="20"/>
                <w:lang w:val="fr-FR"/>
              </w:rPr>
            </w:pPr>
          </w:p>
        </w:tc>
      </w:tr>
      <w:tr w:rsidR="001715ED" w:rsidRPr="00EE3F99" w14:paraId="4FF58AE9" w14:textId="77777777" w:rsidTr="001715ED">
        <w:tc>
          <w:tcPr>
            <w:tcW w:w="1237" w:type="pct"/>
          </w:tcPr>
          <w:p w14:paraId="186479E4" w14:textId="77777777" w:rsidR="001715ED" w:rsidRPr="00460BE4" w:rsidRDefault="001715ED" w:rsidP="001715ED">
            <w:pPr>
              <w:rPr>
                <w:sz w:val="20"/>
                <w:lang w:val="fr-FR"/>
              </w:rPr>
            </w:pPr>
            <w:r w:rsidRPr="00460BE4">
              <w:rPr>
                <w:sz w:val="20"/>
                <w:lang w:val="fr-FR"/>
              </w:rPr>
              <w:t>3.3.3 Le projet dispose-t-il des contrôles financiers appropriés pour prendre des décisions de gestion informées concernant le budget et les flux de fonds</w:t>
            </w:r>
            <w:r>
              <w:rPr>
                <w:sz w:val="20"/>
                <w:lang w:val="fr-FR"/>
              </w:rPr>
              <w:t xml:space="preserve"> ? </w:t>
            </w:r>
          </w:p>
        </w:tc>
        <w:tc>
          <w:tcPr>
            <w:tcW w:w="1800" w:type="pct"/>
          </w:tcPr>
          <w:p w14:paraId="61A4D134"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 xml:space="preserve">Nombre et proportion de rapports financiers disponibles </w:t>
            </w:r>
          </w:p>
          <w:p w14:paraId="0AFAACA2"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 xml:space="preserve">Qualité et ponctualité des rapports financiers disponibles </w:t>
            </w:r>
          </w:p>
          <w:p w14:paraId="4DBD762D"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Disponibilité des rapports d'audit annuels</w:t>
            </w:r>
          </w:p>
        </w:tc>
        <w:tc>
          <w:tcPr>
            <w:tcW w:w="1300" w:type="pct"/>
          </w:tcPr>
          <w:p w14:paraId="786B8671"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tc>
        <w:tc>
          <w:tcPr>
            <w:tcW w:w="663" w:type="pct"/>
          </w:tcPr>
          <w:p w14:paraId="5011A50C"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tc>
      </w:tr>
      <w:tr w:rsidR="001715ED" w:rsidRPr="00EE3F99" w14:paraId="6546B2BF" w14:textId="77777777" w:rsidTr="001715ED">
        <w:tc>
          <w:tcPr>
            <w:tcW w:w="1237" w:type="pct"/>
          </w:tcPr>
          <w:p w14:paraId="19DEE669" w14:textId="77777777" w:rsidR="001715ED" w:rsidRPr="0068631B" w:rsidRDefault="001715ED" w:rsidP="001715ED">
            <w:pPr>
              <w:spacing w:line="276" w:lineRule="auto"/>
              <w:rPr>
                <w:sz w:val="20"/>
                <w:lang w:val="fr-FR"/>
              </w:rPr>
            </w:pPr>
            <w:r w:rsidRPr="0068631B">
              <w:rPr>
                <w:sz w:val="20"/>
                <w:lang w:val="fr-FR"/>
              </w:rPr>
              <w:t>3.3.4 Dans quelle mesure le pr</w:t>
            </w:r>
            <w:r>
              <w:rPr>
                <w:sz w:val="20"/>
                <w:lang w:val="fr-FR"/>
              </w:rPr>
              <w:t>ojet bénéficie-t-il des cofinancements prévus</w:t>
            </w:r>
            <w:r w:rsidRPr="0068631B">
              <w:rPr>
                <w:sz w:val="20"/>
                <w:lang w:val="fr-FR"/>
              </w:rPr>
              <w:t xml:space="preserve"> ?</w:t>
            </w:r>
          </w:p>
        </w:tc>
        <w:tc>
          <w:tcPr>
            <w:tcW w:w="1800" w:type="pct"/>
          </w:tcPr>
          <w:p w14:paraId="173A14DA"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Quantité de ressources que le projet a exploitées depuis le début (</w:t>
            </w:r>
            <w:r>
              <w:rPr>
                <w:sz w:val="20"/>
                <w:lang w:val="fr-FR"/>
              </w:rPr>
              <w:t>et</w:t>
            </w:r>
            <w:r w:rsidRPr="001B472F">
              <w:rPr>
                <w:sz w:val="20"/>
                <w:lang w:val="fr-FR"/>
              </w:rPr>
              <w:t xml:space="preserve"> source(s))</w:t>
            </w:r>
          </w:p>
          <w:p w14:paraId="2A3EA658"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t>Nombre et différence entre les activités de cofinancement exécutées prévues et réelles</w:t>
            </w:r>
          </w:p>
          <w:p w14:paraId="40804BD2"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Degré d'intégration des composants financés par l'extérieur dans la stratégie / conception globale du projet</w:t>
            </w:r>
          </w:p>
        </w:tc>
        <w:tc>
          <w:tcPr>
            <w:tcW w:w="1300" w:type="pct"/>
          </w:tcPr>
          <w:p w14:paraId="14E98691"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p w14:paraId="5DDC22E5" w14:textId="77777777" w:rsidR="001715ED"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r w:rsidRPr="001B0D4E">
              <w:rPr>
                <w:sz w:val="20"/>
                <w:lang w:val="fr-FR"/>
              </w:rPr>
              <w:t xml:space="preserve"> </w:t>
            </w:r>
          </w:p>
          <w:p w14:paraId="61338A33"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1B0D4E">
              <w:rPr>
                <w:sz w:val="20"/>
                <w:lang w:val="fr-FR"/>
              </w:rPr>
              <w:t>Equipe de gestion des p</w:t>
            </w:r>
            <w:r>
              <w:rPr>
                <w:sz w:val="20"/>
                <w:lang w:val="fr-FR"/>
              </w:rPr>
              <w:t>rojets en co-financement</w:t>
            </w:r>
          </w:p>
        </w:tc>
        <w:tc>
          <w:tcPr>
            <w:tcW w:w="663" w:type="pct"/>
          </w:tcPr>
          <w:p w14:paraId="1149ACA8"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5271729C"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BE1549" w14:paraId="26C005F5" w14:textId="77777777" w:rsidTr="001715ED">
        <w:tc>
          <w:tcPr>
            <w:tcW w:w="5000" w:type="pct"/>
            <w:gridSpan w:val="4"/>
          </w:tcPr>
          <w:p w14:paraId="64442EB0" w14:textId="77777777" w:rsidR="001715ED" w:rsidRPr="00460BE4" w:rsidRDefault="001715ED" w:rsidP="001715ED">
            <w:pPr>
              <w:spacing w:before="60" w:after="60"/>
              <w:rPr>
                <w:b/>
                <w:sz w:val="20"/>
                <w:lang w:val="fr-FR"/>
              </w:rPr>
            </w:pPr>
            <w:r w:rsidRPr="00460BE4">
              <w:rPr>
                <w:b/>
                <w:sz w:val="20"/>
                <w:lang w:val="fr-FR"/>
              </w:rPr>
              <w:t>3.4 Systèmes de suivi et d</w:t>
            </w:r>
            <w:r>
              <w:rPr>
                <w:b/>
                <w:sz w:val="20"/>
                <w:lang w:val="fr-FR"/>
              </w:rPr>
              <w:t>’évaluation au niveau du projet</w:t>
            </w:r>
          </w:p>
        </w:tc>
      </w:tr>
      <w:tr w:rsidR="001715ED" w:rsidRPr="00EE3F99" w14:paraId="7C269B8E" w14:textId="77777777" w:rsidTr="001715ED">
        <w:tc>
          <w:tcPr>
            <w:tcW w:w="1237" w:type="pct"/>
          </w:tcPr>
          <w:p w14:paraId="2FB150B0" w14:textId="77777777" w:rsidR="001715ED" w:rsidRPr="00DB7C07" w:rsidRDefault="001715ED" w:rsidP="001715ED">
            <w:pPr>
              <w:rPr>
                <w:sz w:val="20"/>
                <w:lang w:val="fr-FR"/>
              </w:rPr>
            </w:pPr>
            <w:r w:rsidRPr="00DB7C07">
              <w:rPr>
                <w:sz w:val="20"/>
                <w:lang w:val="fr-FR"/>
              </w:rPr>
              <w:t>3.4.1 Le système de S&amp;E</w:t>
            </w:r>
            <w:r>
              <w:rPr>
                <w:sz w:val="20"/>
                <w:lang w:val="fr-FR"/>
              </w:rPr>
              <w:t xml:space="preserve"> est-il opérationnel et efficace ? </w:t>
            </w:r>
          </w:p>
        </w:tc>
        <w:tc>
          <w:tcPr>
            <w:tcW w:w="1800" w:type="pct"/>
          </w:tcPr>
          <w:p w14:paraId="40712AC2" w14:textId="77777777" w:rsidR="001715ED" w:rsidRPr="00C50F13" w:rsidRDefault="001715ED" w:rsidP="001715ED">
            <w:pPr>
              <w:pStyle w:val="Paragraphedeliste"/>
              <w:numPr>
                <w:ilvl w:val="0"/>
                <w:numId w:val="37"/>
              </w:numPr>
              <w:spacing w:before="0" w:after="0"/>
              <w:ind w:left="342" w:hanging="284"/>
              <w:jc w:val="left"/>
              <w:rPr>
                <w:sz w:val="20"/>
                <w:lang w:val="fr-FR"/>
              </w:rPr>
            </w:pPr>
            <w:r w:rsidRPr="00C50F13">
              <w:rPr>
                <w:sz w:val="20"/>
                <w:lang w:val="fr-FR"/>
              </w:rPr>
              <w:t xml:space="preserve">Existence </w:t>
            </w:r>
            <w:r>
              <w:rPr>
                <w:sz w:val="20"/>
                <w:lang w:val="fr-FR"/>
              </w:rPr>
              <w:t>et qualité de(s</w:t>
            </w:r>
            <w:proofErr w:type="gramStart"/>
            <w:r>
              <w:rPr>
                <w:sz w:val="20"/>
                <w:lang w:val="fr-FR"/>
              </w:rPr>
              <w:t>)</w:t>
            </w:r>
            <w:r w:rsidRPr="00C50F13">
              <w:rPr>
                <w:sz w:val="20"/>
                <w:lang w:val="fr-FR"/>
              </w:rPr>
              <w:t>:</w:t>
            </w:r>
            <w:proofErr w:type="gramEnd"/>
          </w:p>
          <w:p w14:paraId="50821E81" w14:textId="77777777" w:rsidR="001715ED" w:rsidRPr="00C50F13" w:rsidRDefault="001715ED" w:rsidP="001715ED">
            <w:pPr>
              <w:pStyle w:val="Paragraphedeliste"/>
              <w:numPr>
                <w:ilvl w:val="1"/>
                <w:numId w:val="37"/>
              </w:numPr>
              <w:spacing w:before="0" w:after="0"/>
              <w:ind w:left="625" w:hanging="283"/>
              <w:jc w:val="left"/>
              <w:rPr>
                <w:sz w:val="20"/>
                <w:lang w:val="fr-FR"/>
              </w:rPr>
            </w:pPr>
            <w:r w:rsidRPr="00C50F13">
              <w:rPr>
                <w:sz w:val="20"/>
                <w:lang w:val="fr-FR"/>
              </w:rPr>
              <w:t>R</w:t>
            </w:r>
            <w:r>
              <w:rPr>
                <w:sz w:val="20"/>
                <w:lang w:val="fr-FR"/>
              </w:rPr>
              <w:t>ô</w:t>
            </w:r>
            <w:r w:rsidRPr="00C50F13">
              <w:rPr>
                <w:sz w:val="20"/>
                <w:lang w:val="fr-FR"/>
              </w:rPr>
              <w:t xml:space="preserve">les </w:t>
            </w:r>
            <w:r>
              <w:rPr>
                <w:sz w:val="20"/>
                <w:lang w:val="fr-FR"/>
              </w:rPr>
              <w:t>et</w:t>
            </w:r>
            <w:r w:rsidRPr="00C50F13">
              <w:rPr>
                <w:sz w:val="20"/>
                <w:lang w:val="fr-FR"/>
              </w:rPr>
              <w:t xml:space="preserve"> respons</w:t>
            </w:r>
            <w:r>
              <w:rPr>
                <w:sz w:val="20"/>
                <w:lang w:val="fr-FR"/>
              </w:rPr>
              <w:t>a</w:t>
            </w:r>
            <w:r w:rsidRPr="00C50F13">
              <w:rPr>
                <w:sz w:val="20"/>
                <w:lang w:val="fr-FR"/>
              </w:rPr>
              <w:t>bilit</w:t>
            </w:r>
            <w:r>
              <w:rPr>
                <w:sz w:val="20"/>
                <w:lang w:val="fr-FR"/>
              </w:rPr>
              <w:t>é</w:t>
            </w:r>
            <w:r w:rsidRPr="00C50F13">
              <w:rPr>
                <w:sz w:val="20"/>
                <w:lang w:val="fr-FR"/>
              </w:rPr>
              <w:t>s ;</w:t>
            </w:r>
          </w:p>
          <w:p w14:paraId="2AD92663" w14:textId="77777777" w:rsidR="001715ED" w:rsidRPr="001B472F" w:rsidRDefault="001715ED" w:rsidP="001715ED">
            <w:pPr>
              <w:pStyle w:val="Paragraphedeliste"/>
              <w:numPr>
                <w:ilvl w:val="1"/>
                <w:numId w:val="37"/>
              </w:numPr>
              <w:spacing w:before="0" w:after="0"/>
              <w:ind w:left="625" w:hanging="283"/>
              <w:jc w:val="left"/>
              <w:rPr>
                <w:sz w:val="20"/>
                <w:lang w:val="fr-FR"/>
              </w:rPr>
            </w:pPr>
            <w:r w:rsidRPr="001B472F">
              <w:rPr>
                <w:sz w:val="20"/>
                <w:lang w:val="fr-FR"/>
              </w:rPr>
              <w:t>Budget et calendrier/ plan d</w:t>
            </w:r>
            <w:r>
              <w:rPr>
                <w:sz w:val="20"/>
                <w:lang w:val="fr-FR"/>
              </w:rPr>
              <w:t>e travail</w:t>
            </w:r>
          </w:p>
          <w:p w14:paraId="67A2708A"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t>Proportion et types de matériel de rapport de suivi et d'évaluation soumis a) correctement et b) à temps</w:t>
            </w:r>
          </w:p>
          <w:p w14:paraId="5DC45066"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Qualité des matériels de rapport</w:t>
            </w:r>
            <w:r>
              <w:rPr>
                <w:sz w:val="20"/>
                <w:lang w:val="fr-FR"/>
              </w:rPr>
              <w:t>age</w:t>
            </w:r>
            <w:r w:rsidRPr="001B472F">
              <w:rPr>
                <w:sz w:val="20"/>
                <w:lang w:val="fr-FR"/>
              </w:rPr>
              <w:t xml:space="preserve"> de suivi et d’évaluation</w:t>
            </w:r>
          </w:p>
          <w:p w14:paraId="4F4D32F8"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lastRenderedPageBreak/>
              <w:t>Preuve de la consultation de toutes les parties prenantes concernées, y compris les femmes et les populations vulnérables</w:t>
            </w:r>
          </w:p>
          <w:p w14:paraId="5FA92CBB"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t>Proportion du budget de S &amp; E exécuté par rapport au montant prévu</w:t>
            </w:r>
          </w:p>
          <w:p w14:paraId="7825FD90"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Degré de conformité de la mise en œuvre du plan de S &amp; E av</w:t>
            </w:r>
            <w:r>
              <w:rPr>
                <w:sz w:val="20"/>
                <w:lang w:val="fr-FR"/>
              </w:rPr>
              <w:t>ec le</w:t>
            </w:r>
            <w:r w:rsidRPr="001B472F">
              <w:rPr>
                <w:sz w:val="20"/>
                <w:lang w:val="fr-FR"/>
              </w:rPr>
              <w:t xml:space="preserve"> calendrier prévu</w:t>
            </w:r>
          </w:p>
          <w:p w14:paraId="647D7246"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Mesure dans laquelle les systèmes de suivi et d'évaluation mis en place par le projet ont contribué à garantir que les programmes sont gérés de manière à rendre compte des résultats de manière appropriée.</w:t>
            </w:r>
          </w:p>
        </w:tc>
        <w:tc>
          <w:tcPr>
            <w:tcW w:w="1300" w:type="pct"/>
          </w:tcPr>
          <w:p w14:paraId="3B95D619"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lastRenderedPageBreak/>
              <w:t xml:space="preserve">Planification du projet, rapports d'avancement, rapports d'audit et rapports de </w:t>
            </w:r>
            <w:r>
              <w:rPr>
                <w:sz w:val="20"/>
                <w:lang w:val="fr-FR"/>
              </w:rPr>
              <w:t>suivi</w:t>
            </w:r>
          </w:p>
          <w:p w14:paraId="7E4361C8" w14:textId="77777777" w:rsidR="001715ED" w:rsidRPr="001B0D4E"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r w:rsidRPr="001B0D4E">
              <w:rPr>
                <w:sz w:val="20"/>
                <w:lang w:val="fr-FR"/>
              </w:rPr>
              <w:t xml:space="preserve"> </w:t>
            </w:r>
          </w:p>
        </w:tc>
        <w:tc>
          <w:tcPr>
            <w:tcW w:w="663" w:type="pct"/>
          </w:tcPr>
          <w:p w14:paraId="7A0B3AA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1BD60265"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296F5D2B" w14:textId="77777777" w:rsidTr="001715ED">
        <w:tc>
          <w:tcPr>
            <w:tcW w:w="5000" w:type="pct"/>
            <w:gridSpan w:val="4"/>
          </w:tcPr>
          <w:p w14:paraId="702A7FA2" w14:textId="77777777" w:rsidR="001715ED" w:rsidRPr="00C50F13" w:rsidRDefault="001715ED" w:rsidP="001715ED">
            <w:pPr>
              <w:spacing w:before="60" w:after="60"/>
              <w:rPr>
                <w:b/>
                <w:sz w:val="20"/>
                <w:lang w:val="fr-FR"/>
              </w:rPr>
            </w:pPr>
            <w:r w:rsidRPr="00C50F13">
              <w:rPr>
                <w:b/>
                <w:sz w:val="20"/>
                <w:lang w:val="fr-FR"/>
              </w:rPr>
              <w:t xml:space="preserve">3.5 </w:t>
            </w:r>
            <w:r>
              <w:rPr>
                <w:b/>
                <w:sz w:val="20"/>
                <w:lang w:val="fr-FR"/>
              </w:rPr>
              <w:t>Participation des parties prenantes</w:t>
            </w:r>
          </w:p>
        </w:tc>
      </w:tr>
      <w:tr w:rsidR="001715ED" w:rsidRPr="00EE3F99" w14:paraId="5E2D1981" w14:textId="77777777" w:rsidTr="001715ED">
        <w:tc>
          <w:tcPr>
            <w:tcW w:w="1237" w:type="pct"/>
          </w:tcPr>
          <w:p w14:paraId="30560314" w14:textId="77777777" w:rsidR="001715ED" w:rsidRPr="00DB7C07" w:rsidRDefault="001715ED" w:rsidP="001715ED">
            <w:pPr>
              <w:rPr>
                <w:sz w:val="20"/>
                <w:lang w:val="fr-FR"/>
              </w:rPr>
            </w:pPr>
            <w:r w:rsidRPr="00DB7C07">
              <w:rPr>
                <w:sz w:val="20"/>
                <w:lang w:val="fr-FR"/>
              </w:rPr>
              <w:t xml:space="preserve">3.5.1 Dans quelle mesure des accords de partenariat efficaces ont-ils été établis pour la mise en œuvre du projet avec les parties prenantes impliquées dans </w:t>
            </w:r>
            <w:r>
              <w:rPr>
                <w:sz w:val="20"/>
                <w:lang w:val="fr-FR"/>
              </w:rPr>
              <w:t xml:space="preserve">le pays, les districts et les conseils communautaires ? </w:t>
            </w:r>
          </w:p>
        </w:tc>
        <w:tc>
          <w:tcPr>
            <w:tcW w:w="1800" w:type="pct"/>
          </w:tcPr>
          <w:p w14:paraId="6EC0E28A"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t xml:space="preserve">Nombre et types de partenariats développés entre le projet et les organismes / organisations locaux </w:t>
            </w:r>
          </w:p>
          <w:p w14:paraId="78BFC4E3"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Ampleur et qualité des interactions / échanges entre les exécutants du projet et les partenaires locaux</w:t>
            </w:r>
          </w:p>
        </w:tc>
        <w:tc>
          <w:tcPr>
            <w:tcW w:w="1300" w:type="pct"/>
          </w:tcPr>
          <w:p w14:paraId="6FF122EF" w14:textId="77777777" w:rsidR="001715ED" w:rsidRPr="001B0D4E" w:rsidRDefault="001715ED" w:rsidP="001715ED">
            <w:pPr>
              <w:pStyle w:val="Paragraphedeliste"/>
              <w:numPr>
                <w:ilvl w:val="0"/>
                <w:numId w:val="37"/>
              </w:numPr>
              <w:spacing w:before="0" w:after="0"/>
              <w:ind w:left="362" w:hanging="283"/>
              <w:jc w:val="left"/>
              <w:rPr>
                <w:sz w:val="20"/>
                <w:lang w:val="fr-FR"/>
              </w:rPr>
            </w:pPr>
            <w:r w:rsidRPr="001B0D4E">
              <w:rPr>
                <w:sz w:val="20"/>
                <w:lang w:val="fr-FR"/>
              </w:rPr>
              <w:t xml:space="preserve">Compte rendu des réunions / ateliers (Comité </w:t>
            </w:r>
            <w:r>
              <w:rPr>
                <w:sz w:val="20"/>
                <w:lang w:val="fr-FR"/>
              </w:rPr>
              <w:t>de pilotage</w:t>
            </w:r>
            <w:r w:rsidRPr="001B0D4E">
              <w:rPr>
                <w:sz w:val="20"/>
                <w:lang w:val="fr-FR"/>
              </w:rPr>
              <w:t>)</w:t>
            </w:r>
          </w:p>
          <w:p w14:paraId="10D62F60" w14:textId="77777777" w:rsidR="001715ED" w:rsidRPr="001B0D4E" w:rsidRDefault="001715ED" w:rsidP="001715ED">
            <w:pPr>
              <w:pStyle w:val="Paragraphedeliste"/>
              <w:numPr>
                <w:ilvl w:val="0"/>
                <w:numId w:val="37"/>
              </w:numPr>
              <w:spacing w:before="0" w:after="0"/>
              <w:ind w:left="362" w:hanging="283"/>
              <w:jc w:val="left"/>
              <w:rPr>
                <w:sz w:val="20"/>
                <w:lang w:val="fr-FR"/>
              </w:rPr>
            </w:pPr>
            <w:r w:rsidRPr="001B0D4E">
              <w:rPr>
                <w:sz w:val="20"/>
                <w:lang w:val="fr-FR"/>
              </w:rPr>
              <w:t>Partenaires de mise œuvre locaux</w:t>
            </w:r>
          </w:p>
          <w:p w14:paraId="03E435CB" w14:textId="77777777" w:rsidR="001715ED" w:rsidRPr="001B0D4E" w:rsidRDefault="001715ED" w:rsidP="001715ED">
            <w:pPr>
              <w:pStyle w:val="Paragraphedeliste"/>
              <w:numPr>
                <w:ilvl w:val="0"/>
                <w:numId w:val="37"/>
              </w:numPr>
              <w:spacing w:before="0" w:after="0"/>
              <w:ind w:left="362" w:hanging="283"/>
              <w:jc w:val="left"/>
              <w:rPr>
                <w:sz w:val="20"/>
                <w:lang w:val="fr-FR"/>
              </w:rPr>
            </w:pPr>
            <w:proofErr w:type="gramStart"/>
            <w:r w:rsidRPr="001B0D4E">
              <w:rPr>
                <w:sz w:val="20"/>
                <w:lang w:val="fr-FR"/>
              </w:rPr>
              <w:t>bénéficiaires</w:t>
            </w:r>
            <w:proofErr w:type="gramEnd"/>
            <w:r w:rsidRPr="001B0D4E">
              <w:rPr>
                <w:sz w:val="20"/>
                <w:lang w:val="fr-FR"/>
              </w:rPr>
              <w:t xml:space="preserve"> du projet</w:t>
            </w:r>
          </w:p>
          <w:p w14:paraId="64F05DE6" w14:textId="77777777" w:rsidR="001715ED" w:rsidRPr="001B0D4E" w:rsidRDefault="001715ED" w:rsidP="001715ED">
            <w:pPr>
              <w:pStyle w:val="Paragraphedeliste"/>
              <w:numPr>
                <w:ilvl w:val="0"/>
                <w:numId w:val="37"/>
              </w:numPr>
              <w:spacing w:before="0" w:after="0"/>
              <w:ind w:left="362" w:hanging="283"/>
              <w:jc w:val="left"/>
              <w:rPr>
                <w:sz w:val="20"/>
                <w:lang w:val="fr-FR"/>
              </w:rPr>
            </w:pPr>
            <w:r w:rsidRPr="001B0D4E">
              <w:rPr>
                <w:sz w:val="20"/>
                <w:lang w:val="fr-FR"/>
              </w:rPr>
              <w:t>UCP</w:t>
            </w:r>
          </w:p>
          <w:p w14:paraId="744F2063" w14:textId="77777777" w:rsidR="001715ED" w:rsidRPr="00C50F13" w:rsidRDefault="001715ED" w:rsidP="001715ED">
            <w:pPr>
              <w:pStyle w:val="Paragraphedeliste"/>
              <w:numPr>
                <w:ilvl w:val="0"/>
                <w:numId w:val="37"/>
              </w:numPr>
              <w:spacing w:before="0" w:after="0"/>
              <w:ind w:left="362" w:hanging="283"/>
              <w:jc w:val="left"/>
              <w:rPr>
                <w:sz w:val="20"/>
                <w:lang w:val="fr-FR"/>
              </w:rPr>
            </w:pPr>
            <w:r w:rsidRPr="001B0D4E">
              <w:rPr>
                <w:sz w:val="20"/>
                <w:lang w:val="fr-FR"/>
              </w:rPr>
              <w:t>Personnel du PNUD</w:t>
            </w:r>
          </w:p>
        </w:tc>
        <w:tc>
          <w:tcPr>
            <w:tcW w:w="663" w:type="pct"/>
          </w:tcPr>
          <w:p w14:paraId="1A9A5C05"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2EC8EE94"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6D757788"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 xml:space="preserve">Groupes de discussion </w:t>
            </w:r>
          </w:p>
          <w:p w14:paraId="4E779F75" w14:textId="77777777" w:rsidR="001715ED" w:rsidRPr="00C50F13" w:rsidRDefault="001715ED" w:rsidP="001715ED">
            <w:pPr>
              <w:numPr>
                <w:ilvl w:val="0"/>
                <w:numId w:val="37"/>
              </w:numPr>
              <w:spacing w:before="0" w:after="160" w:line="259" w:lineRule="auto"/>
              <w:ind w:left="342" w:hanging="284"/>
              <w:contextualSpacing/>
              <w:jc w:val="left"/>
              <w:rPr>
                <w:sz w:val="20"/>
                <w:lang w:val="fr-FR"/>
              </w:rPr>
            </w:pPr>
            <w:r>
              <w:rPr>
                <w:sz w:val="20"/>
                <w:lang w:val="fr-FR"/>
              </w:rPr>
              <w:t>Visites de terrain</w:t>
            </w:r>
          </w:p>
        </w:tc>
      </w:tr>
      <w:tr w:rsidR="001715ED" w:rsidRPr="00EE3F99" w14:paraId="5E17D9CE" w14:textId="77777777" w:rsidTr="001715ED">
        <w:tc>
          <w:tcPr>
            <w:tcW w:w="1237" w:type="pct"/>
          </w:tcPr>
          <w:p w14:paraId="03384714" w14:textId="77777777" w:rsidR="001715ED" w:rsidRPr="00687B9C" w:rsidRDefault="001715ED" w:rsidP="001715ED">
            <w:pPr>
              <w:rPr>
                <w:sz w:val="20"/>
                <w:lang w:val="fr-FR"/>
              </w:rPr>
            </w:pPr>
            <w:r w:rsidRPr="00687B9C">
              <w:rPr>
                <w:sz w:val="20"/>
                <w:lang w:val="fr-FR"/>
              </w:rPr>
              <w:t>3.5.2 Dans quelle mesure le p</w:t>
            </w:r>
            <w:r>
              <w:rPr>
                <w:sz w:val="20"/>
                <w:lang w:val="fr-FR"/>
              </w:rPr>
              <w:t xml:space="preserve">rojet est-il impulsé par le pays ? </w:t>
            </w:r>
          </w:p>
        </w:tc>
        <w:tc>
          <w:tcPr>
            <w:tcW w:w="1800" w:type="pct"/>
          </w:tcPr>
          <w:p w14:paraId="210B7C3F" w14:textId="77777777" w:rsidR="001715ED" w:rsidRDefault="001715ED" w:rsidP="001715ED">
            <w:pPr>
              <w:pStyle w:val="Paragraphedeliste"/>
              <w:numPr>
                <w:ilvl w:val="0"/>
                <w:numId w:val="37"/>
              </w:numPr>
              <w:spacing w:before="0" w:after="0"/>
              <w:ind w:left="342" w:hanging="284"/>
              <w:jc w:val="left"/>
              <w:rPr>
                <w:sz w:val="20"/>
                <w:lang w:val="fr-FR"/>
              </w:rPr>
            </w:pPr>
            <w:r w:rsidRPr="001B472F">
              <w:rPr>
                <w:sz w:val="20"/>
                <w:lang w:val="fr-FR"/>
              </w:rPr>
              <w:t>Appréciation des parties prenantes nationales en ce qui concerne l'adéquation de la conception et de la mise en œuvre du projet aux réalités nationales et aux capacités existantes</w:t>
            </w:r>
          </w:p>
          <w:p w14:paraId="50AA3649"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Existence et utilisation de mécanismes garantissant que les parties prenantes du gouvernement national jouent un rôle actif dans la prise de décision concernant les projets.</w:t>
            </w:r>
          </w:p>
        </w:tc>
        <w:tc>
          <w:tcPr>
            <w:tcW w:w="1300" w:type="pct"/>
          </w:tcPr>
          <w:p w14:paraId="2CF15E3F"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Documents de planification et de gestion</w:t>
            </w:r>
          </w:p>
          <w:p w14:paraId="42B9548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 xml:space="preserve">Partenaires clés du projet </w:t>
            </w:r>
          </w:p>
        </w:tc>
        <w:tc>
          <w:tcPr>
            <w:tcW w:w="663" w:type="pct"/>
          </w:tcPr>
          <w:p w14:paraId="5AED91D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6701DA06"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p w14:paraId="4D15F2FE" w14:textId="77777777" w:rsidR="001715ED" w:rsidRPr="00C50F13" w:rsidRDefault="001715ED" w:rsidP="001715ED">
            <w:pPr>
              <w:rPr>
                <w:sz w:val="20"/>
                <w:lang w:val="fr-FR"/>
              </w:rPr>
            </w:pPr>
          </w:p>
        </w:tc>
      </w:tr>
      <w:tr w:rsidR="001715ED" w:rsidRPr="00EE3F99" w14:paraId="1BB9D98F" w14:textId="77777777" w:rsidTr="001715ED">
        <w:tc>
          <w:tcPr>
            <w:tcW w:w="1237" w:type="pct"/>
          </w:tcPr>
          <w:p w14:paraId="540BA461" w14:textId="77777777" w:rsidR="001715ED" w:rsidRPr="00687B9C" w:rsidRDefault="001715ED" w:rsidP="001715ED">
            <w:pPr>
              <w:rPr>
                <w:sz w:val="20"/>
                <w:lang w:val="fr-FR"/>
              </w:rPr>
            </w:pPr>
            <w:r w:rsidRPr="00687B9C">
              <w:rPr>
                <w:sz w:val="20"/>
                <w:lang w:val="fr-FR"/>
              </w:rPr>
              <w:t>3.5.3 Dans quelle mesure le p</w:t>
            </w:r>
            <w:r>
              <w:rPr>
                <w:sz w:val="20"/>
                <w:lang w:val="fr-FR"/>
              </w:rPr>
              <w:t xml:space="preserve">ublic / les acteurs communautaires sont-ils conscients des objectifs du projet et les soutiennent-ils ? </w:t>
            </w:r>
          </w:p>
        </w:tc>
        <w:tc>
          <w:tcPr>
            <w:tcW w:w="1800" w:type="pct"/>
          </w:tcPr>
          <w:p w14:paraId="5DADF055"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Nombre et type d'activités de sensibilisation du public</w:t>
            </w:r>
          </w:p>
          <w:p w14:paraId="74E9D793" w14:textId="77777777" w:rsidR="001715ED" w:rsidRPr="001B472F" w:rsidRDefault="001715ED" w:rsidP="001715ED">
            <w:pPr>
              <w:pStyle w:val="Paragraphedeliste"/>
              <w:numPr>
                <w:ilvl w:val="0"/>
                <w:numId w:val="37"/>
              </w:numPr>
              <w:spacing w:before="0" w:after="0"/>
              <w:ind w:left="342" w:hanging="284"/>
              <w:jc w:val="left"/>
              <w:rPr>
                <w:sz w:val="20"/>
                <w:lang w:val="fr-FR"/>
              </w:rPr>
            </w:pPr>
            <w:r w:rsidRPr="001B472F">
              <w:rPr>
                <w:sz w:val="20"/>
                <w:lang w:val="fr-FR"/>
              </w:rPr>
              <w:t>Nombre de personnes touchées par ces activités</w:t>
            </w:r>
          </w:p>
          <w:p w14:paraId="4A00156B" w14:textId="77777777" w:rsidR="001715ED" w:rsidRPr="001B472F" w:rsidRDefault="001715ED" w:rsidP="001715ED">
            <w:pPr>
              <w:pStyle w:val="Paragraphedeliste"/>
              <w:numPr>
                <w:ilvl w:val="0"/>
                <w:numId w:val="37"/>
              </w:numPr>
              <w:spacing w:before="0" w:after="0"/>
              <w:ind w:left="342" w:hanging="284"/>
              <w:jc w:val="left"/>
              <w:rPr>
                <w:sz w:val="20"/>
                <w:lang w:val="fr-FR"/>
              </w:rPr>
            </w:pPr>
            <w:r>
              <w:rPr>
                <w:sz w:val="20"/>
                <w:lang w:val="fr-FR"/>
              </w:rPr>
              <w:t>Bénéfices</w:t>
            </w:r>
            <w:r w:rsidRPr="001B472F">
              <w:rPr>
                <w:sz w:val="20"/>
                <w:lang w:val="fr-FR"/>
              </w:rPr>
              <w:t xml:space="preserve"> perçus du projet par le public</w:t>
            </w:r>
          </w:p>
        </w:tc>
        <w:tc>
          <w:tcPr>
            <w:tcW w:w="1300" w:type="pct"/>
          </w:tcPr>
          <w:p w14:paraId="00427CD2" w14:textId="77777777" w:rsidR="001715ED" w:rsidRDefault="001715ED" w:rsidP="001715ED">
            <w:pPr>
              <w:pStyle w:val="Paragraphedeliste"/>
              <w:numPr>
                <w:ilvl w:val="0"/>
                <w:numId w:val="37"/>
              </w:numPr>
              <w:spacing w:before="0" w:after="0"/>
              <w:ind w:left="362" w:hanging="283"/>
              <w:jc w:val="left"/>
              <w:rPr>
                <w:sz w:val="20"/>
                <w:lang w:val="fr-FR"/>
              </w:rPr>
            </w:pPr>
            <w:r>
              <w:rPr>
                <w:sz w:val="20"/>
                <w:lang w:val="fr-FR"/>
              </w:rPr>
              <w:t>Rapports de suivi</w:t>
            </w:r>
          </w:p>
          <w:p w14:paraId="11BB3AB1" w14:textId="77777777" w:rsidR="001715ED" w:rsidRPr="00AD3FBD" w:rsidRDefault="001715ED" w:rsidP="001715ED">
            <w:pPr>
              <w:pStyle w:val="Paragraphedeliste"/>
              <w:numPr>
                <w:ilvl w:val="0"/>
                <w:numId w:val="37"/>
              </w:numPr>
              <w:spacing w:before="0" w:after="0"/>
              <w:ind w:left="362" w:hanging="283"/>
              <w:jc w:val="left"/>
              <w:rPr>
                <w:sz w:val="20"/>
                <w:lang w:val="fr-FR"/>
              </w:rPr>
            </w:pPr>
            <w:r>
              <w:rPr>
                <w:sz w:val="20"/>
                <w:lang w:val="fr-FR"/>
              </w:rPr>
              <w:t>Acteurs communautaires</w:t>
            </w:r>
          </w:p>
        </w:tc>
        <w:tc>
          <w:tcPr>
            <w:tcW w:w="663" w:type="pct"/>
          </w:tcPr>
          <w:p w14:paraId="56C746D5"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35F539DE"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6B696429" w14:textId="77777777" w:rsidTr="001715ED">
        <w:tc>
          <w:tcPr>
            <w:tcW w:w="5000" w:type="pct"/>
            <w:gridSpan w:val="4"/>
          </w:tcPr>
          <w:p w14:paraId="43DC099B" w14:textId="77777777" w:rsidR="001715ED" w:rsidRPr="00C50F13" w:rsidRDefault="001715ED" w:rsidP="001715ED">
            <w:pPr>
              <w:spacing w:before="60" w:after="60"/>
              <w:rPr>
                <w:b/>
                <w:sz w:val="20"/>
                <w:lang w:val="fr-FR"/>
              </w:rPr>
            </w:pPr>
            <w:r w:rsidRPr="00C50F13">
              <w:rPr>
                <w:b/>
                <w:sz w:val="20"/>
                <w:lang w:val="fr-FR"/>
              </w:rPr>
              <w:lastRenderedPageBreak/>
              <w:t xml:space="preserve">3.6 </w:t>
            </w:r>
            <w:r>
              <w:rPr>
                <w:b/>
                <w:sz w:val="20"/>
                <w:lang w:val="fr-FR"/>
              </w:rPr>
              <w:t xml:space="preserve">Communication des données </w:t>
            </w:r>
          </w:p>
        </w:tc>
      </w:tr>
      <w:tr w:rsidR="001715ED" w:rsidRPr="00EE3F99" w14:paraId="6F2979A0" w14:textId="77777777" w:rsidTr="001715ED">
        <w:tc>
          <w:tcPr>
            <w:tcW w:w="1237" w:type="pct"/>
          </w:tcPr>
          <w:p w14:paraId="45346577" w14:textId="77777777" w:rsidR="001715ED" w:rsidRPr="00687B9C" w:rsidRDefault="001715ED" w:rsidP="001715ED">
            <w:pPr>
              <w:rPr>
                <w:sz w:val="20"/>
                <w:lang w:val="fr-FR"/>
              </w:rPr>
            </w:pPr>
            <w:r w:rsidRPr="00687B9C">
              <w:rPr>
                <w:sz w:val="20"/>
                <w:lang w:val="fr-FR"/>
              </w:rPr>
              <w:t xml:space="preserve">3.6.1 Les rapports d’avancement ont-ils été </w:t>
            </w:r>
            <w:r>
              <w:rPr>
                <w:sz w:val="20"/>
                <w:lang w:val="fr-FR"/>
              </w:rPr>
              <w:t xml:space="preserve">produits avec précision, en temps opportun et ont-ils répondu aux exigences en matière de rapportage, y compris sur les changements répondant à la gestion adaptive / réactive ? </w:t>
            </w:r>
          </w:p>
        </w:tc>
        <w:tc>
          <w:tcPr>
            <w:tcW w:w="1800" w:type="pct"/>
          </w:tcPr>
          <w:p w14:paraId="062567B7" w14:textId="77777777" w:rsidR="001715ED" w:rsidRPr="003302F5" w:rsidRDefault="001715ED" w:rsidP="001715ED">
            <w:pPr>
              <w:pStyle w:val="Paragraphedeliste"/>
              <w:numPr>
                <w:ilvl w:val="0"/>
                <w:numId w:val="37"/>
              </w:numPr>
              <w:spacing w:before="0" w:after="0"/>
              <w:ind w:left="342" w:hanging="284"/>
              <w:jc w:val="left"/>
              <w:rPr>
                <w:sz w:val="20"/>
                <w:lang w:val="fr-FR"/>
              </w:rPr>
            </w:pPr>
            <w:r w:rsidRPr="003302F5">
              <w:rPr>
                <w:sz w:val="20"/>
                <w:lang w:val="fr-FR"/>
              </w:rPr>
              <w:t xml:space="preserve">Qualité et </w:t>
            </w:r>
            <w:r>
              <w:rPr>
                <w:sz w:val="20"/>
                <w:lang w:val="fr-FR"/>
              </w:rPr>
              <w:t>ponctualité</w:t>
            </w:r>
            <w:r w:rsidRPr="003302F5">
              <w:rPr>
                <w:sz w:val="20"/>
                <w:lang w:val="fr-FR"/>
              </w:rPr>
              <w:t xml:space="preserve"> des progrès et des rapports</w:t>
            </w:r>
          </w:p>
          <w:p w14:paraId="64089705" w14:textId="77777777" w:rsidR="001715ED" w:rsidRPr="003302F5" w:rsidRDefault="001715ED" w:rsidP="001715ED">
            <w:pPr>
              <w:pStyle w:val="Paragraphedeliste"/>
              <w:numPr>
                <w:ilvl w:val="0"/>
                <w:numId w:val="37"/>
              </w:numPr>
              <w:spacing w:before="0" w:after="0"/>
              <w:ind w:left="342" w:hanging="284"/>
              <w:jc w:val="left"/>
              <w:rPr>
                <w:sz w:val="20"/>
                <w:lang w:val="fr-FR"/>
              </w:rPr>
            </w:pPr>
            <w:r w:rsidRPr="003302F5">
              <w:rPr>
                <w:sz w:val="20"/>
                <w:lang w:val="fr-FR"/>
              </w:rPr>
              <w:t xml:space="preserve">Niveau d'alignement sur les exigences du FEM en matière </w:t>
            </w:r>
            <w:r>
              <w:rPr>
                <w:sz w:val="20"/>
                <w:lang w:val="fr-FR"/>
              </w:rPr>
              <w:t>de rapportage</w:t>
            </w:r>
          </w:p>
        </w:tc>
        <w:tc>
          <w:tcPr>
            <w:tcW w:w="1300" w:type="pct"/>
          </w:tcPr>
          <w:p w14:paraId="389675DB"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p w14:paraId="7F3420A1" w14:textId="77777777" w:rsidR="001715ED" w:rsidRPr="00585104"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0DD4CB09"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377DC634"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00421BA6" w14:textId="77777777" w:rsidTr="001715ED">
        <w:tc>
          <w:tcPr>
            <w:tcW w:w="1237" w:type="pct"/>
          </w:tcPr>
          <w:p w14:paraId="252BECEE" w14:textId="77777777" w:rsidR="001715ED" w:rsidRPr="00687B9C" w:rsidRDefault="001715ED" w:rsidP="001715ED">
            <w:pPr>
              <w:rPr>
                <w:sz w:val="20"/>
                <w:lang w:val="fr-FR"/>
              </w:rPr>
            </w:pPr>
            <w:r w:rsidRPr="00687B9C">
              <w:rPr>
                <w:sz w:val="20"/>
                <w:lang w:val="fr-FR"/>
              </w:rPr>
              <w:t>3.6.2 Comment les leçons tirées du processus de gestion adaptative ont-elles été documentées, partagées avec des partenaires clés et internalisées par ceux-ci</w:t>
            </w:r>
            <w:r>
              <w:rPr>
                <w:sz w:val="20"/>
                <w:lang w:val="fr-FR"/>
              </w:rPr>
              <w:t xml:space="preserve"> </w:t>
            </w:r>
            <w:r w:rsidRPr="00687B9C">
              <w:rPr>
                <w:sz w:val="20"/>
                <w:lang w:val="fr-FR"/>
              </w:rPr>
              <w:t>?</w:t>
            </w:r>
          </w:p>
        </w:tc>
        <w:tc>
          <w:tcPr>
            <w:tcW w:w="1800" w:type="pct"/>
          </w:tcPr>
          <w:p w14:paraId="212D3F67" w14:textId="77777777" w:rsidR="001715ED" w:rsidRPr="00C50F13" w:rsidRDefault="001715ED" w:rsidP="001715ED">
            <w:pPr>
              <w:pStyle w:val="Paragraphedeliste"/>
              <w:numPr>
                <w:ilvl w:val="0"/>
                <w:numId w:val="37"/>
              </w:numPr>
              <w:spacing w:before="0" w:after="0"/>
              <w:ind w:left="342" w:hanging="284"/>
              <w:jc w:val="left"/>
              <w:rPr>
                <w:sz w:val="20"/>
                <w:lang w:val="fr-FR"/>
              </w:rPr>
            </w:pPr>
            <w:r w:rsidRPr="00C50F13">
              <w:rPr>
                <w:sz w:val="20"/>
                <w:lang w:val="fr-FR"/>
              </w:rPr>
              <w:t xml:space="preserve">Proportion </w:t>
            </w:r>
            <w:r>
              <w:rPr>
                <w:sz w:val="20"/>
                <w:lang w:val="fr-FR"/>
              </w:rPr>
              <w:t>de processus de gestion adaptative / réactive documentée</w:t>
            </w:r>
          </w:p>
          <w:p w14:paraId="5FE61D32"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Proportion de ces processus partagée avec les partenaires</w:t>
            </w:r>
          </w:p>
          <w:p w14:paraId="19FAEBA5"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Preuves de l'utilisation des leçons de ces rapports par les partenaires</w:t>
            </w:r>
          </w:p>
        </w:tc>
        <w:tc>
          <w:tcPr>
            <w:tcW w:w="1300" w:type="pct"/>
          </w:tcPr>
          <w:p w14:paraId="4A2EE2AC"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p w14:paraId="03BAB023" w14:textId="77777777" w:rsidR="001715ED" w:rsidRPr="00585104"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2C03E56A"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2C84DDEA"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3325DC92" w14:textId="77777777" w:rsidTr="001715ED">
        <w:tc>
          <w:tcPr>
            <w:tcW w:w="5000" w:type="pct"/>
            <w:gridSpan w:val="4"/>
          </w:tcPr>
          <w:p w14:paraId="032B6748" w14:textId="77777777" w:rsidR="001715ED" w:rsidRPr="00C50F13" w:rsidRDefault="001715ED" w:rsidP="001715ED">
            <w:pPr>
              <w:spacing w:before="60" w:after="60"/>
              <w:rPr>
                <w:b/>
                <w:sz w:val="20"/>
                <w:lang w:val="fr-FR"/>
              </w:rPr>
            </w:pPr>
            <w:r w:rsidRPr="00C50F13">
              <w:rPr>
                <w:b/>
                <w:sz w:val="20"/>
                <w:lang w:val="fr-FR"/>
              </w:rPr>
              <w:t>3.7 Communication</w:t>
            </w:r>
          </w:p>
        </w:tc>
      </w:tr>
      <w:tr w:rsidR="001715ED" w:rsidRPr="00EE3F99" w14:paraId="24BD16A1" w14:textId="77777777" w:rsidTr="001715ED">
        <w:tc>
          <w:tcPr>
            <w:tcW w:w="1237" w:type="pct"/>
          </w:tcPr>
          <w:p w14:paraId="4E8BA3B8" w14:textId="77777777" w:rsidR="001715ED" w:rsidRPr="00687B9C" w:rsidRDefault="001715ED" w:rsidP="001715ED">
            <w:pPr>
              <w:rPr>
                <w:sz w:val="20"/>
                <w:lang w:val="fr-FR"/>
              </w:rPr>
            </w:pPr>
            <w:r w:rsidRPr="00687B9C">
              <w:rPr>
                <w:sz w:val="20"/>
                <w:lang w:val="fr-FR"/>
              </w:rPr>
              <w:t>3.7.1 Quelle est l’efficacité des c</w:t>
            </w:r>
            <w:r>
              <w:rPr>
                <w:sz w:val="20"/>
                <w:lang w:val="fr-FR"/>
              </w:rPr>
              <w:t xml:space="preserve">ommunications pour sensibiliser les parties prenantes au projet ? </w:t>
            </w:r>
          </w:p>
        </w:tc>
        <w:tc>
          <w:tcPr>
            <w:tcW w:w="1800" w:type="pct"/>
          </w:tcPr>
          <w:p w14:paraId="5E14A9DD" w14:textId="77777777" w:rsidR="001715ED" w:rsidRDefault="001715ED" w:rsidP="001715ED">
            <w:pPr>
              <w:pStyle w:val="Paragraphedeliste"/>
              <w:numPr>
                <w:ilvl w:val="0"/>
                <w:numId w:val="37"/>
              </w:numPr>
              <w:spacing w:before="0" w:after="0"/>
              <w:ind w:left="342" w:hanging="284"/>
              <w:jc w:val="left"/>
              <w:rPr>
                <w:sz w:val="20"/>
                <w:lang w:val="fr-FR"/>
              </w:rPr>
            </w:pPr>
            <w:r w:rsidRPr="000C1C0F">
              <w:rPr>
                <w:sz w:val="20"/>
                <w:lang w:val="fr-FR"/>
              </w:rPr>
              <w:t xml:space="preserve">Existence d’un plan de communication interne, de protocoles de communication et de mécanismes de retour d’information </w:t>
            </w:r>
          </w:p>
          <w:p w14:paraId="59C5678A"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Niveau perçu de sensibilisation des parties prenantes aux résultats et activités du projet</w:t>
            </w:r>
          </w:p>
        </w:tc>
        <w:tc>
          <w:tcPr>
            <w:tcW w:w="1300" w:type="pct"/>
          </w:tcPr>
          <w:p w14:paraId="0521F453"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p w14:paraId="02A6C9CE" w14:textId="77777777" w:rsidR="001715ED" w:rsidRPr="00585104" w:rsidRDefault="001715ED" w:rsidP="001715ED">
            <w:pPr>
              <w:pStyle w:val="Paragraphedeliste"/>
              <w:numPr>
                <w:ilvl w:val="0"/>
                <w:numId w:val="37"/>
              </w:numPr>
              <w:spacing w:before="0" w:after="0"/>
              <w:ind w:left="342" w:hanging="284"/>
              <w:jc w:val="left"/>
              <w:rPr>
                <w:b/>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tc>
        <w:tc>
          <w:tcPr>
            <w:tcW w:w="663" w:type="pct"/>
          </w:tcPr>
          <w:p w14:paraId="53989969"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2042261E"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065F9AC2" w14:textId="77777777" w:rsidTr="001715ED">
        <w:tc>
          <w:tcPr>
            <w:tcW w:w="1237" w:type="pct"/>
          </w:tcPr>
          <w:p w14:paraId="0519EE24" w14:textId="77777777" w:rsidR="001715ED" w:rsidRPr="00687B9C" w:rsidRDefault="001715ED" w:rsidP="001715ED">
            <w:pPr>
              <w:rPr>
                <w:sz w:val="20"/>
                <w:lang w:val="fr-FR"/>
              </w:rPr>
            </w:pPr>
            <w:r w:rsidRPr="00687B9C">
              <w:rPr>
                <w:sz w:val="20"/>
                <w:lang w:val="fr-FR"/>
              </w:rPr>
              <w:t>3.7.2 Des mécanismes de communication e</w:t>
            </w:r>
            <w:r>
              <w:rPr>
                <w:sz w:val="20"/>
                <w:lang w:val="fr-FR"/>
              </w:rPr>
              <w:t xml:space="preserve">xternes efficaces sont-ils en place ? </w:t>
            </w:r>
          </w:p>
        </w:tc>
        <w:tc>
          <w:tcPr>
            <w:tcW w:w="1800" w:type="pct"/>
          </w:tcPr>
          <w:p w14:paraId="4ED191C6" w14:textId="77777777" w:rsidR="001715ED" w:rsidRDefault="001715ED" w:rsidP="001715ED">
            <w:pPr>
              <w:pStyle w:val="Paragraphedeliste"/>
              <w:numPr>
                <w:ilvl w:val="0"/>
                <w:numId w:val="37"/>
              </w:numPr>
              <w:spacing w:before="0" w:after="0"/>
              <w:ind w:left="342" w:hanging="284"/>
              <w:jc w:val="left"/>
              <w:rPr>
                <w:sz w:val="20"/>
                <w:lang w:val="fr-FR"/>
              </w:rPr>
            </w:pPr>
            <w:r w:rsidRPr="000C1C0F">
              <w:rPr>
                <w:sz w:val="20"/>
                <w:lang w:val="fr-FR"/>
              </w:rPr>
              <w:t xml:space="preserve">Nombre et type de mécanismes de communication externes ou d'activités mises en œuvre </w:t>
            </w:r>
          </w:p>
          <w:p w14:paraId="58D249B2" w14:textId="77777777" w:rsidR="001715ED" w:rsidRPr="000B79B8"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Utilité perçue des communications des parties prenantes </w:t>
            </w:r>
          </w:p>
        </w:tc>
        <w:tc>
          <w:tcPr>
            <w:tcW w:w="1300" w:type="pct"/>
          </w:tcPr>
          <w:p w14:paraId="166219AB" w14:textId="77777777" w:rsidR="001715ED" w:rsidRDefault="001715ED" w:rsidP="001715ED">
            <w:pPr>
              <w:pStyle w:val="Paragraphedeliste"/>
              <w:numPr>
                <w:ilvl w:val="0"/>
                <w:numId w:val="37"/>
              </w:numPr>
              <w:spacing w:before="0" w:after="0"/>
              <w:ind w:left="342" w:hanging="284"/>
              <w:jc w:val="left"/>
              <w:rPr>
                <w:sz w:val="20"/>
                <w:lang w:val="fr-FR"/>
              </w:rPr>
            </w:pPr>
            <w:r w:rsidRPr="001B0D4E">
              <w:rPr>
                <w:sz w:val="20"/>
                <w:lang w:val="fr-FR"/>
              </w:rPr>
              <w:t xml:space="preserve">Planification du projet, rapports d'avancement, rapports d'audit et rapports de </w:t>
            </w:r>
            <w:r>
              <w:rPr>
                <w:sz w:val="20"/>
                <w:lang w:val="fr-FR"/>
              </w:rPr>
              <w:t>suivi</w:t>
            </w:r>
          </w:p>
          <w:p w14:paraId="4C7F6D18" w14:textId="77777777" w:rsidR="001715ED" w:rsidRPr="00C50F13" w:rsidRDefault="001715ED" w:rsidP="001715ED">
            <w:pPr>
              <w:pStyle w:val="Paragraphedeliste"/>
              <w:numPr>
                <w:ilvl w:val="0"/>
                <w:numId w:val="37"/>
              </w:numPr>
              <w:spacing w:before="0" w:after="0"/>
              <w:ind w:left="342" w:hanging="284"/>
              <w:jc w:val="left"/>
              <w:rPr>
                <w:b/>
                <w:sz w:val="20"/>
                <w:lang w:val="fr-FR"/>
              </w:rPr>
            </w:pPr>
            <w:r w:rsidRPr="000B79B8">
              <w:rPr>
                <w:sz w:val="20"/>
                <w:lang w:val="fr-FR"/>
              </w:rPr>
              <w:t xml:space="preserve">Équipe </w:t>
            </w:r>
            <w:r>
              <w:rPr>
                <w:sz w:val="20"/>
                <w:lang w:val="fr-FR"/>
              </w:rPr>
              <w:t>de mise en œuvre</w:t>
            </w:r>
            <w:r w:rsidRPr="000B79B8">
              <w:rPr>
                <w:sz w:val="20"/>
                <w:lang w:val="fr-FR"/>
              </w:rPr>
              <w:t xml:space="preserve"> locale</w:t>
            </w:r>
          </w:p>
        </w:tc>
        <w:tc>
          <w:tcPr>
            <w:tcW w:w="663" w:type="pct"/>
          </w:tcPr>
          <w:p w14:paraId="4F88FF7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55BE7371" w14:textId="77777777" w:rsidR="001715ED" w:rsidRPr="001B0D4E"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BE1549" w14:paraId="2915D50A" w14:textId="77777777" w:rsidTr="001715ED">
        <w:tc>
          <w:tcPr>
            <w:tcW w:w="5000" w:type="pct"/>
            <w:gridSpan w:val="4"/>
            <w:shd w:val="clear" w:color="auto" w:fill="8DB3E2" w:themeFill="text2" w:themeFillTint="66"/>
          </w:tcPr>
          <w:p w14:paraId="1CC0BCC0" w14:textId="77777777" w:rsidR="001715ED" w:rsidRPr="00460BE4" w:rsidRDefault="001715ED" w:rsidP="001715ED">
            <w:pPr>
              <w:pStyle w:val="Paragraphedeliste"/>
              <w:numPr>
                <w:ilvl w:val="0"/>
                <w:numId w:val="35"/>
              </w:numPr>
              <w:spacing w:before="0" w:after="0"/>
              <w:ind w:left="306" w:hanging="306"/>
              <w:jc w:val="left"/>
              <w:rPr>
                <w:b/>
                <w:sz w:val="20"/>
                <w:lang w:val="fr-FR"/>
              </w:rPr>
            </w:pPr>
            <w:r w:rsidRPr="00460BE4">
              <w:rPr>
                <w:b/>
                <w:sz w:val="20"/>
                <w:lang w:val="fr-FR"/>
              </w:rPr>
              <w:t>Durabilité</w:t>
            </w:r>
            <w:r>
              <w:rPr>
                <w:b/>
                <w:sz w:val="20"/>
                <w:lang w:val="fr-FR"/>
              </w:rPr>
              <w:t xml:space="preserve"> </w:t>
            </w:r>
            <w:r w:rsidRPr="00460BE4">
              <w:rPr>
                <w:b/>
                <w:sz w:val="20"/>
                <w:lang w:val="fr-FR"/>
              </w:rPr>
              <w:t>: dans quelle mesure existe-t-il des risques financiers, institutionnels, socio-économiques et / ou environnementaux pour la durabilité des résultats d'un projet</w:t>
            </w:r>
            <w:r>
              <w:rPr>
                <w:b/>
                <w:sz w:val="20"/>
                <w:lang w:val="fr-FR"/>
              </w:rPr>
              <w:t xml:space="preserve"> </w:t>
            </w:r>
            <w:r w:rsidRPr="00460BE4">
              <w:rPr>
                <w:b/>
                <w:sz w:val="20"/>
                <w:lang w:val="fr-FR"/>
              </w:rPr>
              <w:t>?</w:t>
            </w:r>
          </w:p>
        </w:tc>
      </w:tr>
      <w:tr w:rsidR="001715ED" w:rsidRPr="00EE3F99" w14:paraId="0801A5C7" w14:textId="77777777" w:rsidTr="001715ED">
        <w:tc>
          <w:tcPr>
            <w:tcW w:w="1237" w:type="pct"/>
          </w:tcPr>
          <w:p w14:paraId="459A9874" w14:textId="77777777" w:rsidR="001715ED" w:rsidRPr="00C50F13" w:rsidRDefault="001715ED" w:rsidP="001715ED">
            <w:pPr>
              <w:rPr>
                <w:sz w:val="20"/>
                <w:lang w:val="fr-FR"/>
              </w:rPr>
            </w:pPr>
            <w:r w:rsidRPr="00687B9C">
              <w:rPr>
                <w:sz w:val="20"/>
                <w:lang w:val="fr-FR"/>
              </w:rPr>
              <w:t>4.1 Les risques identifiés dans le document de projet sont-ils les plus importants</w:t>
            </w:r>
            <w:r>
              <w:rPr>
                <w:sz w:val="20"/>
                <w:lang w:val="fr-FR"/>
              </w:rPr>
              <w:t xml:space="preserve"> </w:t>
            </w:r>
            <w:r w:rsidRPr="00687B9C">
              <w:rPr>
                <w:sz w:val="20"/>
                <w:lang w:val="fr-FR"/>
              </w:rPr>
              <w:t xml:space="preserve">? </w:t>
            </w:r>
            <w:r w:rsidRPr="001A7C9A">
              <w:rPr>
                <w:sz w:val="20"/>
                <w:lang w:val="fr-FR"/>
              </w:rPr>
              <w:t xml:space="preserve">Sont-ils toujours </w:t>
            </w:r>
            <w:r w:rsidRPr="001A7C9A">
              <w:rPr>
                <w:sz w:val="20"/>
                <w:lang w:val="fr-FR"/>
              </w:rPr>
              <w:lastRenderedPageBreak/>
              <w:t>pertinent</w:t>
            </w:r>
            <w:r>
              <w:rPr>
                <w:sz w:val="20"/>
                <w:lang w:val="fr-FR"/>
              </w:rPr>
              <w:t>s</w:t>
            </w:r>
            <w:r w:rsidRPr="001A7C9A">
              <w:rPr>
                <w:sz w:val="20"/>
                <w:lang w:val="fr-FR"/>
              </w:rPr>
              <w:t xml:space="preserve"> à ce jour ?</w:t>
            </w:r>
            <w:r>
              <w:rPr>
                <w:sz w:val="20"/>
                <w:lang w:val="fr-FR"/>
              </w:rPr>
              <w:t xml:space="preserve"> Yen a-t-il de nouveaux ? </w:t>
            </w:r>
          </w:p>
        </w:tc>
        <w:tc>
          <w:tcPr>
            <w:tcW w:w="1800" w:type="pct"/>
          </w:tcPr>
          <w:p w14:paraId="56D78057"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lastRenderedPageBreak/>
              <w:t>Existence d'une stratégie de sortie</w:t>
            </w:r>
          </w:p>
          <w:p w14:paraId="24638085"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Robustesse de la stratégie de sortie</w:t>
            </w:r>
          </w:p>
          <w:p w14:paraId="18462BE9"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Niveau d'alignement des risques identifié</w:t>
            </w:r>
            <w:r>
              <w:rPr>
                <w:sz w:val="20"/>
                <w:lang w:val="fr-FR"/>
              </w:rPr>
              <w:t>s</w:t>
            </w:r>
            <w:r w:rsidRPr="000C1C0F">
              <w:rPr>
                <w:sz w:val="20"/>
                <w:lang w:val="fr-FR"/>
              </w:rPr>
              <w:t xml:space="preserve"> dans le document de projet avec (a) les risques réels au début du projet et (b) les risques actuels</w:t>
            </w:r>
          </w:p>
        </w:tc>
        <w:tc>
          <w:tcPr>
            <w:tcW w:w="1300" w:type="pct"/>
          </w:tcPr>
          <w:p w14:paraId="570F48F5" w14:textId="77777777" w:rsidR="001715ED"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p w14:paraId="006ECB81"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Documents de projet et rapports d’avancement</w:t>
            </w:r>
          </w:p>
        </w:tc>
        <w:tc>
          <w:tcPr>
            <w:tcW w:w="663" w:type="pct"/>
          </w:tcPr>
          <w:p w14:paraId="3581C7F0"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4EE0253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54DDD8A4" w14:textId="77777777" w:rsidTr="001715ED">
        <w:tc>
          <w:tcPr>
            <w:tcW w:w="1237" w:type="pct"/>
          </w:tcPr>
          <w:p w14:paraId="42416623" w14:textId="77777777" w:rsidR="001715ED" w:rsidRPr="007C2574" w:rsidRDefault="001715ED" w:rsidP="001715ED">
            <w:pPr>
              <w:rPr>
                <w:sz w:val="20"/>
                <w:lang w:val="fr-FR"/>
              </w:rPr>
            </w:pPr>
            <w:r w:rsidRPr="007C2574">
              <w:rPr>
                <w:sz w:val="20"/>
                <w:lang w:val="fr-FR"/>
              </w:rPr>
              <w:t>4.2 Quelle est la probabilité que des ressources financières et économiques ne soient pas disponibles une fois l'assistance du FEM terminée</w:t>
            </w:r>
            <w:r>
              <w:rPr>
                <w:sz w:val="20"/>
                <w:lang w:val="fr-FR"/>
              </w:rPr>
              <w:t xml:space="preserve"> </w:t>
            </w:r>
            <w:r w:rsidRPr="007C2574">
              <w:rPr>
                <w:sz w:val="20"/>
                <w:lang w:val="fr-FR"/>
              </w:rPr>
              <w:t>?</w:t>
            </w:r>
          </w:p>
        </w:tc>
        <w:tc>
          <w:tcPr>
            <w:tcW w:w="1800" w:type="pct"/>
          </w:tcPr>
          <w:p w14:paraId="61F811F2"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Type et coût des activités qui nécessiteraient un soutien financier continu après la fin du projet pour maintenir les résultats</w:t>
            </w:r>
          </w:p>
          <w:p w14:paraId="04D56AD4"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Existence de sources de financement alternatives possibles pour ces activités</w:t>
            </w:r>
          </w:p>
        </w:tc>
        <w:tc>
          <w:tcPr>
            <w:tcW w:w="1300" w:type="pct"/>
          </w:tcPr>
          <w:p w14:paraId="0A6FE870" w14:textId="77777777" w:rsidR="001715ED" w:rsidRDefault="001715ED" w:rsidP="001715ED">
            <w:pPr>
              <w:pStyle w:val="Paragraphedeliste"/>
              <w:numPr>
                <w:ilvl w:val="0"/>
                <w:numId w:val="37"/>
              </w:numPr>
              <w:spacing w:before="0" w:after="0"/>
              <w:ind w:left="342" w:hanging="284"/>
              <w:jc w:val="left"/>
              <w:rPr>
                <w:sz w:val="20"/>
                <w:lang w:val="fr-FR"/>
              </w:rPr>
            </w:pPr>
            <w:r w:rsidRPr="000B79B8">
              <w:rPr>
                <w:sz w:val="20"/>
                <w:lang w:val="fr-FR"/>
              </w:rPr>
              <w:t xml:space="preserve">Équipe </w:t>
            </w:r>
            <w:r>
              <w:rPr>
                <w:sz w:val="20"/>
                <w:lang w:val="fr-FR"/>
              </w:rPr>
              <w:t>de mise en œuvre</w:t>
            </w:r>
            <w:r w:rsidRPr="000B79B8">
              <w:rPr>
                <w:sz w:val="20"/>
                <w:lang w:val="fr-FR"/>
              </w:rPr>
              <w:t xml:space="preserve"> locale et partenaires </w:t>
            </w:r>
            <w:r>
              <w:rPr>
                <w:sz w:val="20"/>
                <w:lang w:val="fr-FR"/>
              </w:rPr>
              <w:t>de mise en œuvre</w:t>
            </w:r>
          </w:p>
          <w:p w14:paraId="0234C49E"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Documents de projet et rapports d’avancement</w:t>
            </w:r>
          </w:p>
        </w:tc>
        <w:tc>
          <w:tcPr>
            <w:tcW w:w="663" w:type="pct"/>
          </w:tcPr>
          <w:p w14:paraId="3D679027"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49120F32"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08137551" w14:textId="77777777" w:rsidTr="001715ED">
        <w:tc>
          <w:tcPr>
            <w:tcW w:w="1237" w:type="pct"/>
          </w:tcPr>
          <w:p w14:paraId="5DCCDF7F" w14:textId="77777777" w:rsidR="001715ED" w:rsidRPr="007C2574" w:rsidRDefault="001715ED" w:rsidP="001715ED">
            <w:pPr>
              <w:rPr>
                <w:sz w:val="20"/>
                <w:lang w:val="fr-FR"/>
              </w:rPr>
            </w:pPr>
            <w:r w:rsidRPr="007C2574">
              <w:rPr>
                <w:sz w:val="20"/>
                <w:lang w:val="fr-FR"/>
              </w:rPr>
              <w:t>4.3 Existe-t-il des risques sociaux ou politiques susceptibles de compromettre la durabilité des résultats du projet</w:t>
            </w:r>
            <w:r>
              <w:rPr>
                <w:sz w:val="20"/>
                <w:lang w:val="fr-FR"/>
              </w:rPr>
              <w:t xml:space="preserve"> </w:t>
            </w:r>
            <w:r w:rsidRPr="007C2574">
              <w:rPr>
                <w:sz w:val="20"/>
                <w:lang w:val="fr-FR"/>
              </w:rPr>
              <w:t>?</w:t>
            </w:r>
          </w:p>
        </w:tc>
        <w:tc>
          <w:tcPr>
            <w:tcW w:w="1800" w:type="pct"/>
          </w:tcPr>
          <w:p w14:paraId="17A6F5C3"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Existence et type de conditions politiques et sociales susceptibles d’affecter la durabilité des résultats directs</w:t>
            </w:r>
          </w:p>
          <w:p w14:paraId="7B2EFF85"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Existence de champions pouvant promouvoir la durabilité des résultats du projet</w:t>
            </w:r>
          </w:p>
        </w:tc>
        <w:tc>
          <w:tcPr>
            <w:tcW w:w="1300" w:type="pct"/>
          </w:tcPr>
          <w:p w14:paraId="550D8EAC"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P</w:t>
            </w:r>
            <w:r w:rsidRPr="000B79B8">
              <w:rPr>
                <w:sz w:val="20"/>
                <w:lang w:val="fr-FR"/>
              </w:rPr>
              <w:t xml:space="preserve">artenaires </w:t>
            </w:r>
            <w:r>
              <w:rPr>
                <w:sz w:val="20"/>
                <w:lang w:val="fr-FR"/>
              </w:rPr>
              <w:t>locaux de mise en œuvre</w:t>
            </w:r>
            <w:r w:rsidRPr="00C50F13">
              <w:rPr>
                <w:sz w:val="20"/>
                <w:lang w:val="fr-FR"/>
              </w:rPr>
              <w:t xml:space="preserve"> </w:t>
            </w:r>
          </w:p>
          <w:p w14:paraId="042731FB"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Communautés locales</w:t>
            </w:r>
          </w:p>
          <w:p w14:paraId="6EB52753" w14:textId="77777777" w:rsidR="001715ED" w:rsidRPr="00585104" w:rsidRDefault="001715ED" w:rsidP="001715ED">
            <w:pPr>
              <w:pStyle w:val="Paragraphedeliste"/>
              <w:numPr>
                <w:ilvl w:val="0"/>
                <w:numId w:val="37"/>
              </w:numPr>
              <w:spacing w:before="0" w:after="0"/>
              <w:ind w:left="342" w:hanging="284"/>
              <w:jc w:val="left"/>
              <w:rPr>
                <w:sz w:val="20"/>
                <w:lang w:val="fr-FR"/>
              </w:rPr>
            </w:pPr>
            <w:r w:rsidRPr="00585104">
              <w:rPr>
                <w:sz w:val="20"/>
                <w:lang w:val="fr-FR"/>
              </w:rPr>
              <w:t>Documents et données de sui</w:t>
            </w:r>
            <w:r>
              <w:rPr>
                <w:sz w:val="20"/>
                <w:lang w:val="fr-FR"/>
              </w:rPr>
              <w:t>vi de projet</w:t>
            </w:r>
          </w:p>
          <w:p w14:paraId="36B27D62"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Parties prenantes gouvernementales</w:t>
            </w:r>
          </w:p>
        </w:tc>
        <w:tc>
          <w:tcPr>
            <w:tcW w:w="663" w:type="pct"/>
          </w:tcPr>
          <w:p w14:paraId="7880F788"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06A521EF"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7680334E" w14:textId="77777777" w:rsidTr="001715ED">
        <w:tc>
          <w:tcPr>
            <w:tcW w:w="1237" w:type="pct"/>
          </w:tcPr>
          <w:p w14:paraId="6D884D56" w14:textId="77777777" w:rsidR="001715ED" w:rsidRPr="007C2574" w:rsidRDefault="001715ED" w:rsidP="001715ED">
            <w:pPr>
              <w:rPr>
                <w:sz w:val="20"/>
                <w:lang w:val="fr-FR"/>
              </w:rPr>
            </w:pPr>
            <w:r w:rsidRPr="007C2574">
              <w:rPr>
                <w:sz w:val="20"/>
                <w:lang w:val="fr-FR"/>
              </w:rPr>
              <w:t>4.4 Les cadres juridiques, les politiques, les structures de gouvernance et les processus posent-ils des risques pouvant compromettre le maintien des avantages du projet</w:t>
            </w:r>
            <w:r>
              <w:rPr>
                <w:sz w:val="20"/>
                <w:lang w:val="fr-FR"/>
              </w:rPr>
              <w:t xml:space="preserve"> </w:t>
            </w:r>
            <w:r w:rsidRPr="007C2574">
              <w:rPr>
                <w:sz w:val="20"/>
                <w:lang w:val="fr-FR"/>
              </w:rPr>
              <w:t>?</w:t>
            </w:r>
          </w:p>
        </w:tc>
        <w:tc>
          <w:tcPr>
            <w:tcW w:w="1800" w:type="pct"/>
          </w:tcPr>
          <w:p w14:paraId="210BBCD4"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 xml:space="preserve">Existence et type de cadres, politiques, structures de gouvernance et processus susceptibles de compromettre les </w:t>
            </w:r>
            <w:r>
              <w:rPr>
                <w:sz w:val="20"/>
                <w:lang w:val="fr-FR"/>
              </w:rPr>
              <w:t xml:space="preserve">bénéfices </w:t>
            </w:r>
            <w:r w:rsidRPr="000C1C0F">
              <w:rPr>
                <w:sz w:val="20"/>
                <w:lang w:val="fr-FR"/>
              </w:rPr>
              <w:t>du projet</w:t>
            </w:r>
          </w:p>
          <w:p w14:paraId="5A57C9BC" w14:textId="77777777" w:rsidR="001715ED" w:rsidRPr="000C1C0F" w:rsidRDefault="001715ED" w:rsidP="001715ED">
            <w:pPr>
              <w:pStyle w:val="Paragraphedeliste"/>
              <w:numPr>
                <w:ilvl w:val="0"/>
                <w:numId w:val="37"/>
              </w:numPr>
              <w:spacing w:before="0" w:after="0"/>
              <w:ind w:left="342" w:hanging="284"/>
              <w:jc w:val="left"/>
              <w:rPr>
                <w:sz w:val="20"/>
                <w:lang w:val="fr-FR"/>
              </w:rPr>
            </w:pPr>
            <w:r>
              <w:rPr>
                <w:sz w:val="20"/>
                <w:lang w:val="fr-FR"/>
              </w:rPr>
              <w:t>T</w:t>
            </w:r>
            <w:r w:rsidRPr="000C1C0F">
              <w:rPr>
                <w:sz w:val="20"/>
                <w:lang w:val="fr-FR"/>
              </w:rPr>
              <w:t>ypes de cadres, politiques, structures de gouvernance et processus manqu</w:t>
            </w:r>
            <w:r>
              <w:rPr>
                <w:sz w:val="20"/>
                <w:lang w:val="fr-FR"/>
              </w:rPr>
              <w:t>a</w:t>
            </w:r>
            <w:r w:rsidRPr="000C1C0F">
              <w:rPr>
                <w:sz w:val="20"/>
                <w:lang w:val="fr-FR"/>
              </w:rPr>
              <w:t>nt actuellement pour assurer la durabilité des avantages du projet</w:t>
            </w:r>
          </w:p>
        </w:tc>
        <w:tc>
          <w:tcPr>
            <w:tcW w:w="1300" w:type="pct"/>
          </w:tcPr>
          <w:p w14:paraId="74E31E64"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P</w:t>
            </w:r>
            <w:r w:rsidRPr="000B79B8">
              <w:rPr>
                <w:sz w:val="20"/>
                <w:lang w:val="fr-FR"/>
              </w:rPr>
              <w:t xml:space="preserve">artenaires </w:t>
            </w:r>
            <w:r>
              <w:rPr>
                <w:sz w:val="20"/>
                <w:lang w:val="fr-FR"/>
              </w:rPr>
              <w:t>locaux de mise en œuvre</w:t>
            </w:r>
            <w:r w:rsidRPr="00C50F13">
              <w:rPr>
                <w:sz w:val="20"/>
                <w:lang w:val="fr-FR"/>
              </w:rPr>
              <w:t xml:space="preserve"> </w:t>
            </w:r>
          </w:p>
          <w:p w14:paraId="4811CE26"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 xml:space="preserve">Parties prenantes gouvernementales, équipes techniques </w:t>
            </w:r>
          </w:p>
          <w:p w14:paraId="6E1E7054"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Documents de politiques et stratégies nationales</w:t>
            </w:r>
          </w:p>
        </w:tc>
        <w:tc>
          <w:tcPr>
            <w:tcW w:w="663" w:type="pct"/>
          </w:tcPr>
          <w:p w14:paraId="20C82F45"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3ACA1B25"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r w:rsidR="001715ED" w:rsidRPr="00EE3F99" w14:paraId="20BA4E46" w14:textId="77777777" w:rsidTr="001715ED">
        <w:tc>
          <w:tcPr>
            <w:tcW w:w="1237" w:type="pct"/>
          </w:tcPr>
          <w:p w14:paraId="2F3D2183" w14:textId="77777777" w:rsidR="001715ED" w:rsidRPr="007C2574" w:rsidRDefault="001715ED" w:rsidP="001715ED">
            <w:pPr>
              <w:rPr>
                <w:sz w:val="20"/>
                <w:lang w:val="fr-FR"/>
              </w:rPr>
            </w:pPr>
            <w:r w:rsidRPr="007C2574">
              <w:rPr>
                <w:sz w:val="20"/>
                <w:lang w:val="fr-FR"/>
              </w:rPr>
              <w:t>4.5 Existe-t-il des risques environnementaux pouvant compromettre la durabilité des résultats du projet</w:t>
            </w:r>
            <w:r>
              <w:rPr>
                <w:sz w:val="20"/>
                <w:lang w:val="fr-FR"/>
              </w:rPr>
              <w:t xml:space="preserve"> </w:t>
            </w:r>
            <w:r w:rsidRPr="007C2574">
              <w:rPr>
                <w:sz w:val="20"/>
                <w:lang w:val="fr-FR"/>
              </w:rPr>
              <w:t>?</w:t>
            </w:r>
          </w:p>
        </w:tc>
        <w:tc>
          <w:tcPr>
            <w:tcW w:w="1800" w:type="pct"/>
          </w:tcPr>
          <w:p w14:paraId="573B60E6" w14:textId="77777777" w:rsidR="001715ED" w:rsidRPr="000C1C0F" w:rsidRDefault="001715ED" w:rsidP="001715ED">
            <w:pPr>
              <w:pStyle w:val="Paragraphedeliste"/>
              <w:numPr>
                <w:ilvl w:val="0"/>
                <w:numId w:val="37"/>
              </w:numPr>
              <w:spacing w:before="0" w:after="0"/>
              <w:ind w:left="342" w:hanging="284"/>
              <w:jc w:val="left"/>
              <w:rPr>
                <w:sz w:val="20"/>
                <w:lang w:val="fr-FR"/>
              </w:rPr>
            </w:pPr>
            <w:r w:rsidRPr="000C1C0F">
              <w:rPr>
                <w:sz w:val="20"/>
                <w:lang w:val="fr-FR"/>
              </w:rPr>
              <w:t>Existence et intensité de conditions biophysiques affectant la durabilité des résultats du projet</w:t>
            </w:r>
          </w:p>
        </w:tc>
        <w:tc>
          <w:tcPr>
            <w:tcW w:w="1300" w:type="pct"/>
          </w:tcPr>
          <w:p w14:paraId="1C014E3E"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P</w:t>
            </w:r>
            <w:r w:rsidRPr="000B79B8">
              <w:rPr>
                <w:sz w:val="20"/>
                <w:lang w:val="fr-FR"/>
              </w:rPr>
              <w:t xml:space="preserve">artenaires </w:t>
            </w:r>
            <w:r>
              <w:rPr>
                <w:sz w:val="20"/>
                <w:lang w:val="fr-FR"/>
              </w:rPr>
              <w:t>locaux de mise en œuvre</w:t>
            </w:r>
            <w:r w:rsidRPr="00C50F13">
              <w:rPr>
                <w:sz w:val="20"/>
                <w:lang w:val="fr-FR"/>
              </w:rPr>
              <w:t xml:space="preserve"> </w:t>
            </w:r>
          </w:p>
          <w:p w14:paraId="79236F92" w14:textId="77777777" w:rsidR="001715ED" w:rsidRDefault="001715ED" w:rsidP="001715ED">
            <w:pPr>
              <w:pStyle w:val="Paragraphedeliste"/>
              <w:numPr>
                <w:ilvl w:val="0"/>
                <w:numId w:val="37"/>
              </w:numPr>
              <w:spacing w:before="0" w:after="0"/>
              <w:ind w:left="342" w:hanging="284"/>
              <w:jc w:val="left"/>
              <w:rPr>
                <w:sz w:val="20"/>
                <w:lang w:val="fr-FR"/>
              </w:rPr>
            </w:pPr>
            <w:r>
              <w:rPr>
                <w:sz w:val="20"/>
                <w:lang w:val="fr-FR"/>
              </w:rPr>
              <w:t xml:space="preserve">Parties prenantes gouvernementales, équipes techniques </w:t>
            </w:r>
          </w:p>
          <w:p w14:paraId="5F7C2614"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Documents de politiques et stratégies nationales</w:t>
            </w:r>
          </w:p>
        </w:tc>
        <w:tc>
          <w:tcPr>
            <w:tcW w:w="663" w:type="pct"/>
          </w:tcPr>
          <w:p w14:paraId="38CDB8CA"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Revue documentaire</w:t>
            </w:r>
          </w:p>
          <w:p w14:paraId="4736E9F6" w14:textId="77777777" w:rsidR="001715ED" w:rsidRPr="00C50F13" w:rsidRDefault="001715ED" w:rsidP="001715ED">
            <w:pPr>
              <w:pStyle w:val="Paragraphedeliste"/>
              <w:numPr>
                <w:ilvl w:val="0"/>
                <w:numId w:val="37"/>
              </w:numPr>
              <w:spacing w:before="0" w:after="0"/>
              <w:ind w:left="342" w:hanging="284"/>
              <w:jc w:val="left"/>
              <w:rPr>
                <w:sz w:val="20"/>
                <w:lang w:val="fr-FR"/>
              </w:rPr>
            </w:pPr>
            <w:r>
              <w:rPr>
                <w:sz w:val="20"/>
                <w:lang w:val="fr-FR"/>
              </w:rPr>
              <w:t>Entretiens</w:t>
            </w:r>
          </w:p>
        </w:tc>
      </w:tr>
    </w:tbl>
    <w:p w14:paraId="65F9561D" w14:textId="77777777" w:rsidR="00F40EEF" w:rsidRPr="00C50F13" w:rsidRDefault="00F40EEF" w:rsidP="00F40EEF">
      <w:pPr>
        <w:rPr>
          <w:lang w:val="fr-FR"/>
        </w:rPr>
      </w:pPr>
    </w:p>
    <w:p w14:paraId="296983B5" w14:textId="77777777" w:rsidR="00E56AC3" w:rsidRPr="00C50F13" w:rsidRDefault="00E56AC3" w:rsidP="00D253E4">
      <w:pPr>
        <w:rPr>
          <w:lang w:val="fr-FR"/>
        </w:rPr>
      </w:pPr>
    </w:p>
    <w:p w14:paraId="4FEE832E" w14:textId="77777777" w:rsidR="00E56AC3" w:rsidRPr="00C50F13" w:rsidRDefault="00E56AC3" w:rsidP="00D253E4">
      <w:pPr>
        <w:rPr>
          <w:lang w:val="fr-FR"/>
        </w:rPr>
        <w:sectPr w:rsidR="00E56AC3" w:rsidRPr="00C50F13" w:rsidSect="00CA44AE">
          <w:footerReference w:type="default" r:id="rId18"/>
          <w:pgSz w:w="15840" w:h="12240" w:orient="landscape"/>
          <w:pgMar w:top="1440" w:right="1440" w:bottom="1440" w:left="1440" w:header="576" w:footer="432" w:gutter="0"/>
          <w:cols w:space="720"/>
          <w:docGrid w:linePitch="360"/>
        </w:sectPr>
      </w:pPr>
    </w:p>
    <w:p w14:paraId="5ACEEBD1" w14:textId="24BEDB3B" w:rsidR="00E35F73" w:rsidRPr="00CA44AE" w:rsidRDefault="00944544" w:rsidP="00561C23">
      <w:pPr>
        <w:pStyle w:val="Titre2"/>
        <w:rPr>
          <w:lang w:val="fr-FR"/>
        </w:rPr>
      </w:pPr>
      <w:bookmarkStart w:id="40" w:name="_Toc26804241"/>
      <w:bookmarkStart w:id="41" w:name="_Toc26804319"/>
      <w:bookmarkStart w:id="42" w:name="_Toc26804242"/>
      <w:bookmarkStart w:id="43" w:name="_Toc26804320"/>
      <w:bookmarkStart w:id="44" w:name="_Toc26804243"/>
      <w:bookmarkStart w:id="45" w:name="_Toc26804321"/>
      <w:bookmarkStart w:id="46" w:name="_Toc31122566"/>
      <w:bookmarkEnd w:id="40"/>
      <w:bookmarkEnd w:id="41"/>
      <w:bookmarkEnd w:id="42"/>
      <w:bookmarkEnd w:id="43"/>
      <w:bookmarkEnd w:id="44"/>
      <w:bookmarkEnd w:id="45"/>
      <w:r w:rsidRPr="001715ED">
        <w:rPr>
          <w:lang w:val="fr-FR"/>
        </w:rPr>
        <w:lastRenderedPageBreak/>
        <w:t xml:space="preserve">Annexe 2 : </w:t>
      </w:r>
      <w:r w:rsidRPr="00CA44AE">
        <w:rPr>
          <w:lang w:val="fr-FR"/>
        </w:rPr>
        <w:t>Liste des documents analysés</w:t>
      </w:r>
      <w:bookmarkEnd w:id="46"/>
      <w:r w:rsidRPr="00CA44AE">
        <w:rPr>
          <w:lang w:val="fr-FR"/>
        </w:rPr>
        <w:t xml:space="preserve"> </w:t>
      </w: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72"/>
      </w:tblGrid>
      <w:tr w:rsidR="00732F5D" w:rsidRPr="00BE1549" w14:paraId="0E93FE15" w14:textId="77777777" w:rsidTr="001715ED">
        <w:tc>
          <w:tcPr>
            <w:tcW w:w="8772" w:type="dxa"/>
          </w:tcPr>
          <w:p w14:paraId="63A3662F" w14:textId="77777777" w:rsidR="00732F5D" w:rsidRPr="003B47E8" w:rsidRDefault="00732F5D" w:rsidP="00732F5D">
            <w:pPr>
              <w:pStyle w:val="Paragraphedeliste"/>
              <w:numPr>
                <w:ilvl w:val="0"/>
                <w:numId w:val="33"/>
              </w:numPr>
              <w:spacing w:after="0"/>
              <w:rPr>
                <w:lang w:val="fr-FR"/>
              </w:rPr>
            </w:pPr>
            <w:r w:rsidRPr="003B47E8">
              <w:rPr>
                <w:lang w:val="fr-FR"/>
              </w:rPr>
              <w:t>Fiche d’identité du projet (FIP)</w:t>
            </w:r>
          </w:p>
        </w:tc>
      </w:tr>
      <w:tr w:rsidR="00732F5D" w:rsidRPr="00BE1549" w14:paraId="7FE6AA4E" w14:textId="77777777" w:rsidTr="001715ED">
        <w:tc>
          <w:tcPr>
            <w:tcW w:w="8772" w:type="dxa"/>
          </w:tcPr>
          <w:p w14:paraId="5E871969" w14:textId="77777777" w:rsidR="00732F5D" w:rsidRPr="003B47E8" w:rsidRDefault="00732F5D" w:rsidP="00732F5D">
            <w:pPr>
              <w:pStyle w:val="Paragraphedeliste"/>
              <w:numPr>
                <w:ilvl w:val="0"/>
                <w:numId w:val="33"/>
              </w:numPr>
              <w:spacing w:after="0"/>
              <w:rPr>
                <w:lang w:val="fr-FR"/>
              </w:rPr>
            </w:pPr>
            <w:r w:rsidRPr="003B47E8">
              <w:rPr>
                <w:lang w:val="fr-FR"/>
              </w:rPr>
              <w:t xml:space="preserve">Plan d’initiation du projet du PNUD </w:t>
            </w:r>
          </w:p>
        </w:tc>
      </w:tr>
      <w:tr w:rsidR="00732F5D" w:rsidRPr="00BE1549" w14:paraId="2BB71FCB" w14:textId="77777777" w:rsidTr="001715ED">
        <w:tc>
          <w:tcPr>
            <w:tcW w:w="8772" w:type="dxa"/>
          </w:tcPr>
          <w:p w14:paraId="4F207862" w14:textId="77777777" w:rsidR="00732F5D" w:rsidRPr="003B47E8" w:rsidRDefault="00732F5D" w:rsidP="00732F5D">
            <w:pPr>
              <w:pStyle w:val="Paragraphedeliste"/>
              <w:numPr>
                <w:ilvl w:val="0"/>
                <w:numId w:val="33"/>
              </w:numPr>
              <w:spacing w:after="0"/>
              <w:rPr>
                <w:lang w:val="fr-FR"/>
              </w:rPr>
            </w:pPr>
            <w:r w:rsidRPr="003B47E8">
              <w:rPr>
                <w:lang w:val="fr-FR"/>
              </w:rPr>
              <w:t>Document de projet (français, anglais et addenda)</w:t>
            </w:r>
          </w:p>
        </w:tc>
      </w:tr>
      <w:tr w:rsidR="00732F5D" w:rsidRPr="00BE1549" w14:paraId="6C1890D5" w14:textId="77777777" w:rsidTr="001715ED">
        <w:tc>
          <w:tcPr>
            <w:tcW w:w="8772" w:type="dxa"/>
          </w:tcPr>
          <w:p w14:paraId="56754658" w14:textId="77777777" w:rsidR="00732F5D" w:rsidRPr="003B47E8" w:rsidRDefault="00732F5D" w:rsidP="00732F5D">
            <w:pPr>
              <w:pStyle w:val="Paragraphedeliste"/>
              <w:numPr>
                <w:ilvl w:val="0"/>
                <w:numId w:val="33"/>
              </w:numPr>
              <w:spacing w:after="0"/>
              <w:rPr>
                <w:lang w:val="fr-FR"/>
              </w:rPr>
            </w:pPr>
            <w:r w:rsidRPr="003B47E8">
              <w:rPr>
                <w:lang w:val="fr-FR"/>
              </w:rPr>
              <w:t>Rapport d’initiation de projet (juin 2017)</w:t>
            </w:r>
          </w:p>
        </w:tc>
      </w:tr>
      <w:tr w:rsidR="00732F5D" w:rsidRPr="00BE1549" w14:paraId="516EEE5E" w14:textId="77777777" w:rsidTr="001715ED">
        <w:tc>
          <w:tcPr>
            <w:tcW w:w="8772" w:type="dxa"/>
          </w:tcPr>
          <w:p w14:paraId="057926AE" w14:textId="77777777" w:rsidR="00732F5D" w:rsidRDefault="00732F5D" w:rsidP="00732F5D">
            <w:pPr>
              <w:pStyle w:val="Paragraphedeliste"/>
              <w:numPr>
                <w:ilvl w:val="0"/>
                <w:numId w:val="33"/>
              </w:numPr>
              <w:spacing w:after="0"/>
              <w:rPr>
                <w:lang w:val="fr-FR"/>
              </w:rPr>
            </w:pPr>
            <w:r w:rsidRPr="003B47E8">
              <w:rPr>
                <w:lang w:val="fr-FR"/>
              </w:rPr>
              <w:t>Rapports de mise en œuvre de projets (PIR) 2018 et draft 2019</w:t>
            </w:r>
          </w:p>
          <w:p w14:paraId="13CD98E3" w14:textId="77777777" w:rsidR="00732F5D" w:rsidRPr="003B47E8" w:rsidRDefault="00732F5D" w:rsidP="001715ED">
            <w:pPr>
              <w:pStyle w:val="Paragraphedeliste"/>
              <w:numPr>
                <w:ilvl w:val="0"/>
                <w:numId w:val="0"/>
              </w:numPr>
              <w:spacing w:after="0"/>
              <w:ind w:left="360"/>
              <w:rPr>
                <w:rFonts w:eastAsiaTheme="minorEastAsia"/>
                <w:lang w:val="fr-FR"/>
              </w:rPr>
            </w:pPr>
          </w:p>
        </w:tc>
      </w:tr>
      <w:tr w:rsidR="00732F5D" w:rsidRPr="00732F5D" w14:paraId="2353D28E" w14:textId="77777777" w:rsidTr="001715ED">
        <w:tc>
          <w:tcPr>
            <w:tcW w:w="8772" w:type="dxa"/>
          </w:tcPr>
          <w:p w14:paraId="27BB64F1" w14:textId="77777777" w:rsidR="00732F5D" w:rsidRPr="003B47E8" w:rsidRDefault="00732F5D" w:rsidP="00732F5D">
            <w:pPr>
              <w:pStyle w:val="Corpsdetexte"/>
              <w:numPr>
                <w:ilvl w:val="0"/>
                <w:numId w:val="33"/>
              </w:numPr>
              <w:spacing w:before="0" w:after="0"/>
              <w:jc w:val="both"/>
              <w:rPr>
                <w:rFonts w:ascii="Corbel" w:hAnsi="Corbel"/>
                <w:szCs w:val="22"/>
                <w:lang w:val="fr-FR"/>
              </w:rPr>
            </w:pPr>
            <w:r w:rsidRPr="003B47E8">
              <w:rPr>
                <w:rFonts w:ascii="Corbel" w:hAnsi="Corbel"/>
                <w:szCs w:val="22"/>
                <w:lang w:val="fr-FR"/>
              </w:rPr>
              <w:t xml:space="preserve">Rapports d’activité et plans de travail </w:t>
            </w:r>
            <w:r>
              <w:rPr>
                <w:rFonts w:ascii="Corbel" w:hAnsi="Corbel"/>
                <w:szCs w:val="22"/>
                <w:lang w:val="fr-FR"/>
              </w:rPr>
              <w:t xml:space="preserve">annuels (PTA) et </w:t>
            </w:r>
            <w:r w:rsidRPr="003B47E8">
              <w:rPr>
                <w:rFonts w:ascii="Corbel" w:hAnsi="Corbel"/>
                <w:szCs w:val="22"/>
                <w:lang w:val="fr-FR"/>
              </w:rPr>
              <w:t xml:space="preserve">trimestriels des différentes équipes de travail </w:t>
            </w:r>
          </w:p>
          <w:p w14:paraId="5B1C2E64" w14:textId="77777777" w:rsidR="00732F5D" w:rsidRPr="003B47E8" w:rsidRDefault="00732F5D" w:rsidP="00732F5D">
            <w:pPr>
              <w:pStyle w:val="Paragraphedeliste"/>
              <w:numPr>
                <w:ilvl w:val="0"/>
                <w:numId w:val="32"/>
              </w:numPr>
              <w:rPr>
                <w:lang w:val="fr-FR"/>
              </w:rPr>
            </w:pPr>
            <w:proofErr w:type="spellStart"/>
            <w:r w:rsidRPr="003B47E8">
              <w:rPr>
                <w:lang w:val="fr-FR"/>
              </w:rPr>
              <w:t>PTAs</w:t>
            </w:r>
            <w:proofErr w:type="spellEnd"/>
          </w:p>
          <w:p w14:paraId="632C9F0C" w14:textId="77777777" w:rsidR="00732F5D" w:rsidRPr="003B47E8" w:rsidRDefault="00732F5D" w:rsidP="001715ED">
            <w:pPr>
              <w:pStyle w:val="Paragraphedeliste"/>
              <w:numPr>
                <w:ilvl w:val="0"/>
                <w:numId w:val="0"/>
              </w:numPr>
              <w:spacing w:before="0" w:after="0"/>
              <w:ind w:left="720"/>
              <w:jc w:val="left"/>
              <w:rPr>
                <w:color w:val="0070C0"/>
                <w:lang w:val="fr-FR"/>
              </w:rPr>
            </w:pPr>
            <w:r w:rsidRPr="003B47E8">
              <w:rPr>
                <w:lang w:val="fr-FR"/>
              </w:rPr>
              <w:t>PTA 2017 </w:t>
            </w:r>
          </w:p>
          <w:p w14:paraId="0FAF9616" w14:textId="400F3C36" w:rsidR="00732F5D" w:rsidRPr="001715ED" w:rsidRDefault="00732F5D" w:rsidP="001715ED">
            <w:pPr>
              <w:pStyle w:val="Paragraphedeliste"/>
              <w:numPr>
                <w:ilvl w:val="0"/>
                <w:numId w:val="0"/>
              </w:numPr>
              <w:spacing w:before="0" w:after="0"/>
              <w:ind w:left="720"/>
              <w:jc w:val="left"/>
              <w:rPr>
                <w:lang w:val="fr-FR"/>
              </w:rPr>
            </w:pPr>
            <w:r w:rsidRPr="003B47E8">
              <w:rPr>
                <w:lang w:val="fr-FR"/>
              </w:rPr>
              <w:t>PTA 2018 </w:t>
            </w:r>
          </w:p>
          <w:p w14:paraId="5E1D8389" w14:textId="77777777" w:rsidR="00732F5D" w:rsidRPr="003B47E8" w:rsidRDefault="00732F5D" w:rsidP="00732F5D">
            <w:pPr>
              <w:pStyle w:val="Paragraphedeliste"/>
              <w:numPr>
                <w:ilvl w:val="0"/>
                <w:numId w:val="32"/>
              </w:numPr>
              <w:rPr>
                <w:lang w:val="fr-FR"/>
              </w:rPr>
            </w:pPr>
            <w:r w:rsidRPr="003B47E8">
              <w:rPr>
                <w:lang w:val="fr-FR"/>
              </w:rPr>
              <w:t>Rapports annuels PNUD</w:t>
            </w:r>
          </w:p>
          <w:p w14:paraId="2D4C0BCB" w14:textId="77777777" w:rsidR="00732F5D" w:rsidRPr="003B47E8" w:rsidRDefault="00732F5D" w:rsidP="001715ED">
            <w:pPr>
              <w:pStyle w:val="Paragraphedeliste"/>
              <w:numPr>
                <w:ilvl w:val="0"/>
                <w:numId w:val="0"/>
              </w:numPr>
              <w:spacing w:before="0" w:after="0"/>
              <w:ind w:left="720"/>
              <w:jc w:val="left"/>
              <w:rPr>
                <w:lang w:val="fr-FR"/>
              </w:rPr>
            </w:pPr>
            <w:r w:rsidRPr="003B47E8">
              <w:rPr>
                <w:lang w:val="fr-FR"/>
              </w:rPr>
              <w:t>Rapport annuel 2017</w:t>
            </w:r>
          </w:p>
          <w:p w14:paraId="596D293C" w14:textId="77777777" w:rsidR="00732F5D" w:rsidRPr="003B47E8" w:rsidRDefault="00732F5D" w:rsidP="001715ED">
            <w:pPr>
              <w:pStyle w:val="Paragraphedeliste"/>
              <w:numPr>
                <w:ilvl w:val="0"/>
                <w:numId w:val="0"/>
              </w:numPr>
              <w:spacing w:before="0" w:after="0"/>
              <w:ind w:left="720"/>
              <w:jc w:val="left"/>
              <w:rPr>
                <w:lang w:val="fr-FR"/>
              </w:rPr>
            </w:pPr>
            <w:r w:rsidRPr="003B47E8">
              <w:rPr>
                <w:lang w:val="fr-FR"/>
              </w:rPr>
              <w:t>Rapport annuel 2018 (version non approuvée)</w:t>
            </w:r>
          </w:p>
          <w:p w14:paraId="4BD3CF5E" w14:textId="77777777" w:rsidR="00732F5D" w:rsidRPr="003B47E8" w:rsidRDefault="00732F5D" w:rsidP="00732F5D">
            <w:pPr>
              <w:pStyle w:val="Paragraphedeliste"/>
              <w:numPr>
                <w:ilvl w:val="0"/>
                <w:numId w:val="32"/>
              </w:numPr>
              <w:rPr>
                <w:lang w:val="fr-FR"/>
              </w:rPr>
            </w:pPr>
            <w:r w:rsidRPr="003B47E8">
              <w:rPr>
                <w:lang w:val="fr-FR"/>
              </w:rPr>
              <w:t xml:space="preserve">Rapports trimestriels : </w:t>
            </w:r>
          </w:p>
          <w:p w14:paraId="33B78AC7" w14:textId="778FE1EA" w:rsidR="00732F5D" w:rsidRPr="001715ED" w:rsidRDefault="00732F5D" w:rsidP="00CA44AE">
            <w:pPr>
              <w:pStyle w:val="Paragraphedeliste"/>
              <w:numPr>
                <w:ilvl w:val="0"/>
                <w:numId w:val="0"/>
              </w:numPr>
              <w:spacing w:before="0" w:after="0"/>
              <w:ind w:left="720"/>
              <w:jc w:val="left"/>
              <w:rPr>
                <w:rFonts w:eastAsiaTheme="majorEastAsia" w:cstheme="majorBidi"/>
                <w:color w:val="243F60" w:themeColor="accent1" w:themeShade="7F"/>
                <w:lang w:val="fr-FR"/>
              </w:rPr>
            </w:pPr>
            <w:r w:rsidRPr="003B47E8">
              <w:rPr>
                <w:lang w:val="fr-FR"/>
              </w:rPr>
              <w:t>2019 Q1 </w:t>
            </w:r>
          </w:p>
        </w:tc>
      </w:tr>
      <w:tr w:rsidR="00732F5D" w:rsidRPr="003B47E8" w14:paraId="5168E71E" w14:textId="77777777" w:rsidTr="001715ED">
        <w:tc>
          <w:tcPr>
            <w:tcW w:w="8772" w:type="dxa"/>
          </w:tcPr>
          <w:p w14:paraId="61C15864" w14:textId="7CDEA238" w:rsidR="00732F5D" w:rsidRPr="003B47E8" w:rsidRDefault="00732F5D" w:rsidP="00732F5D">
            <w:pPr>
              <w:pStyle w:val="Corpsdetexte"/>
              <w:numPr>
                <w:ilvl w:val="0"/>
                <w:numId w:val="34"/>
              </w:numPr>
              <w:spacing w:before="0" w:after="0"/>
              <w:jc w:val="both"/>
              <w:rPr>
                <w:rFonts w:ascii="Corbel" w:hAnsi="Corbel"/>
                <w:szCs w:val="22"/>
                <w:lang w:val="fr-FR"/>
              </w:rPr>
            </w:pPr>
            <w:r w:rsidRPr="003B47E8">
              <w:rPr>
                <w:rFonts w:ascii="Corbel" w:hAnsi="Corbel"/>
                <w:szCs w:val="22"/>
                <w:lang w:val="fr-FR"/>
              </w:rPr>
              <w:t>Rapports d’audits</w:t>
            </w:r>
            <w:r w:rsidR="002C3B96">
              <w:rPr>
                <w:rFonts w:ascii="Corbel" w:hAnsi="Corbel"/>
                <w:szCs w:val="22"/>
                <w:lang w:val="fr-FR"/>
              </w:rPr>
              <w:t xml:space="preserve"> 2018</w:t>
            </w:r>
          </w:p>
        </w:tc>
      </w:tr>
      <w:tr w:rsidR="00732F5D" w:rsidRPr="00BE1549" w14:paraId="3C00E93A" w14:textId="77777777" w:rsidTr="001715ED">
        <w:tc>
          <w:tcPr>
            <w:tcW w:w="8772" w:type="dxa"/>
          </w:tcPr>
          <w:p w14:paraId="40774E3A" w14:textId="77777777" w:rsidR="00732F5D" w:rsidRPr="003B47E8" w:rsidRDefault="00732F5D" w:rsidP="00732F5D">
            <w:pPr>
              <w:pStyle w:val="Paragraphedeliste"/>
              <w:numPr>
                <w:ilvl w:val="0"/>
                <w:numId w:val="34"/>
              </w:numPr>
              <w:spacing w:after="0"/>
              <w:rPr>
                <w:lang w:val="fr-FR"/>
              </w:rPr>
            </w:pPr>
            <w:r w:rsidRPr="003B47E8">
              <w:rPr>
                <w:lang w:val="fr-FR"/>
              </w:rPr>
              <w:t>Outils de suivi finalisés par domaine d’intervention du GEF après approbation du Responsable et à mi-parcours (cadre de suivi, plan de suivi et METT)</w:t>
            </w:r>
          </w:p>
        </w:tc>
      </w:tr>
      <w:tr w:rsidR="00732F5D" w:rsidRPr="00BE1549" w14:paraId="43F012AE" w14:textId="77777777" w:rsidTr="001715ED">
        <w:tc>
          <w:tcPr>
            <w:tcW w:w="8772" w:type="dxa"/>
          </w:tcPr>
          <w:p w14:paraId="0A002DF7" w14:textId="77777777" w:rsidR="00732F5D" w:rsidRPr="003B47E8" w:rsidRDefault="00732F5D" w:rsidP="00732F5D">
            <w:pPr>
              <w:pStyle w:val="Paragraphedeliste"/>
              <w:numPr>
                <w:ilvl w:val="0"/>
                <w:numId w:val="34"/>
              </w:numPr>
              <w:spacing w:after="0"/>
              <w:rPr>
                <w:lang w:val="fr-FR"/>
              </w:rPr>
            </w:pPr>
            <w:r w:rsidRPr="003B47E8">
              <w:rPr>
                <w:lang w:val="fr-FR"/>
              </w:rPr>
              <w:t>Rapport de mission de contrôle (mission du Directeur National de Projet de juillet et octobre 2018)</w:t>
            </w:r>
          </w:p>
        </w:tc>
      </w:tr>
      <w:tr w:rsidR="00732F5D" w:rsidRPr="00BE1549" w14:paraId="40E70DE1" w14:textId="77777777" w:rsidTr="001715ED">
        <w:tc>
          <w:tcPr>
            <w:tcW w:w="8772" w:type="dxa"/>
          </w:tcPr>
          <w:p w14:paraId="6C096EA8" w14:textId="5CEC56BB" w:rsidR="00732F5D" w:rsidRPr="003B47E8" w:rsidRDefault="00732F5D" w:rsidP="00732F5D">
            <w:pPr>
              <w:pStyle w:val="Paragraphedeliste"/>
              <w:numPr>
                <w:ilvl w:val="0"/>
                <w:numId w:val="34"/>
              </w:numPr>
              <w:spacing w:after="0"/>
              <w:rPr>
                <w:lang w:val="fr-FR"/>
              </w:rPr>
            </w:pPr>
            <w:r w:rsidRPr="003B47E8">
              <w:rPr>
                <w:lang w:val="fr-FR"/>
              </w:rPr>
              <w:t>Rapports de suivi élaborés dans le cadre du projet : (Notes de passation</w:t>
            </w:r>
            <w:r w:rsidR="002C3B96">
              <w:rPr>
                <w:lang w:val="fr-FR"/>
              </w:rPr>
              <w:t xml:space="preserve"> de l’AAF d’avril 2019</w:t>
            </w:r>
            <w:r w:rsidRPr="003B47E8">
              <w:rPr>
                <w:lang w:val="fr-FR"/>
              </w:rPr>
              <w:t>, rapports de missions)</w:t>
            </w:r>
          </w:p>
        </w:tc>
      </w:tr>
      <w:tr w:rsidR="00732F5D" w:rsidRPr="00BE1549" w14:paraId="6743D2AA" w14:textId="77777777" w:rsidTr="001715ED">
        <w:tc>
          <w:tcPr>
            <w:tcW w:w="8772" w:type="dxa"/>
          </w:tcPr>
          <w:p w14:paraId="394355EA" w14:textId="77777777" w:rsidR="00732F5D" w:rsidRPr="003B47E8" w:rsidRDefault="00732F5D" w:rsidP="00732F5D">
            <w:pPr>
              <w:pStyle w:val="Paragraphedeliste"/>
              <w:numPr>
                <w:ilvl w:val="0"/>
                <w:numId w:val="34"/>
              </w:numPr>
              <w:spacing w:after="0"/>
              <w:rPr>
                <w:color w:val="0070C0"/>
                <w:lang w:val="fr-FR"/>
              </w:rPr>
            </w:pPr>
            <w:r w:rsidRPr="001715ED">
              <w:rPr>
                <w:lang w:val="fr-FR"/>
              </w:rPr>
              <w:t>Directives, manuels et systèmes opérationnels relatifs au projet (procédures NIM, PNUD, Protocoles d’accord)</w:t>
            </w:r>
          </w:p>
        </w:tc>
      </w:tr>
      <w:tr w:rsidR="00732F5D" w:rsidRPr="00BE1549" w14:paraId="7E7D734D" w14:textId="77777777" w:rsidTr="001715ED">
        <w:tc>
          <w:tcPr>
            <w:tcW w:w="8772" w:type="dxa"/>
          </w:tcPr>
          <w:p w14:paraId="2FF5A9BD" w14:textId="77777777" w:rsidR="00732F5D" w:rsidRPr="003B47E8" w:rsidRDefault="00732F5D" w:rsidP="00732F5D">
            <w:pPr>
              <w:pStyle w:val="Paragraphedeliste"/>
              <w:numPr>
                <w:ilvl w:val="0"/>
                <w:numId w:val="34"/>
              </w:numPr>
              <w:spacing w:after="0"/>
              <w:rPr>
                <w:lang w:val="fr-FR"/>
              </w:rPr>
            </w:pPr>
            <w:r w:rsidRPr="003B47E8">
              <w:rPr>
                <w:lang w:val="fr-FR"/>
              </w:rPr>
              <w:t xml:space="preserve">Documents programmatiques de pays du PNUD / </w:t>
            </w:r>
            <w:r>
              <w:rPr>
                <w:lang w:val="fr-FR"/>
              </w:rPr>
              <w:t>P</w:t>
            </w:r>
            <w:r w:rsidRPr="003A0F0B">
              <w:rPr>
                <w:lang w:val="fr-FR"/>
              </w:rPr>
              <w:t>lan cadre des Nations unies pour l'</w:t>
            </w:r>
            <w:r>
              <w:rPr>
                <w:lang w:val="fr-FR"/>
              </w:rPr>
              <w:t>A</w:t>
            </w:r>
            <w:r w:rsidRPr="003A0F0B">
              <w:rPr>
                <w:lang w:val="fr-FR"/>
              </w:rPr>
              <w:t xml:space="preserve">ssistance le </w:t>
            </w:r>
            <w:r>
              <w:rPr>
                <w:lang w:val="fr-FR"/>
              </w:rPr>
              <w:t>D</w:t>
            </w:r>
            <w:r w:rsidRPr="003A0F0B">
              <w:rPr>
                <w:lang w:val="fr-FR"/>
              </w:rPr>
              <w:t xml:space="preserve">éveloppement </w:t>
            </w:r>
            <w:r>
              <w:rPr>
                <w:lang w:val="fr-FR"/>
              </w:rPr>
              <w:t>(</w:t>
            </w:r>
            <w:r w:rsidRPr="003B47E8">
              <w:rPr>
                <w:lang w:val="fr-FR"/>
              </w:rPr>
              <w:t>PNUAD</w:t>
            </w:r>
            <w:r>
              <w:rPr>
                <w:lang w:val="fr-FR"/>
              </w:rPr>
              <w:t>)</w:t>
            </w:r>
          </w:p>
        </w:tc>
      </w:tr>
      <w:tr w:rsidR="00732F5D" w:rsidRPr="00BE1549" w14:paraId="507E9883" w14:textId="77777777" w:rsidTr="001715ED">
        <w:tc>
          <w:tcPr>
            <w:tcW w:w="8772" w:type="dxa"/>
          </w:tcPr>
          <w:p w14:paraId="2DBD414B" w14:textId="391661A7" w:rsidR="00732F5D" w:rsidRPr="003B47E8" w:rsidRDefault="00732F5D" w:rsidP="00732F5D">
            <w:pPr>
              <w:pStyle w:val="Paragraphedeliste"/>
              <w:numPr>
                <w:ilvl w:val="0"/>
                <w:numId w:val="34"/>
              </w:numPr>
              <w:spacing w:after="0"/>
              <w:rPr>
                <w:lang w:val="fr-FR"/>
              </w:rPr>
            </w:pPr>
            <w:r w:rsidRPr="003B47E8">
              <w:rPr>
                <w:lang w:val="fr-FR"/>
              </w:rPr>
              <w:t>Procès-verbaux des réunions du Comité de pilotage du projet APAA (COPIL du 12/12/2017 ; 25/05/2018 ; 24/07/2018 ; 11/</w:t>
            </w:r>
            <w:r w:rsidR="004E0307" w:rsidRPr="003B47E8">
              <w:rPr>
                <w:lang w:val="fr-FR"/>
              </w:rPr>
              <w:t>2018)</w:t>
            </w:r>
          </w:p>
        </w:tc>
      </w:tr>
      <w:tr w:rsidR="00732F5D" w:rsidRPr="00BE1549" w14:paraId="5975F862" w14:textId="77777777" w:rsidTr="001715ED">
        <w:tc>
          <w:tcPr>
            <w:tcW w:w="8772" w:type="dxa"/>
          </w:tcPr>
          <w:p w14:paraId="23ADB142" w14:textId="0BB76250" w:rsidR="00732F5D" w:rsidRPr="003B47E8" w:rsidRDefault="00732F5D" w:rsidP="00732F5D">
            <w:pPr>
              <w:pStyle w:val="Paragraphedeliste"/>
              <w:numPr>
                <w:ilvl w:val="0"/>
                <w:numId w:val="34"/>
              </w:numPr>
              <w:spacing w:after="0"/>
              <w:rPr>
                <w:lang w:val="fr-FR"/>
              </w:rPr>
            </w:pPr>
            <w:r w:rsidRPr="003B47E8">
              <w:rPr>
                <w:lang w:val="fr-FR"/>
              </w:rPr>
              <w:t xml:space="preserve">Outils de planification et de gestion créés par le projet (OPTBD, DOGME, PROSCB, PRD Atsimo Andrefana) </w:t>
            </w:r>
          </w:p>
        </w:tc>
      </w:tr>
      <w:tr w:rsidR="00732F5D" w:rsidRPr="00BE1549" w14:paraId="68C496DE" w14:textId="77777777" w:rsidTr="001715ED">
        <w:tc>
          <w:tcPr>
            <w:tcW w:w="8772" w:type="dxa"/>
          </w:tcPr>
          <w:p w14:paraId="1DC6A56A" w14:textId="77777777" w:rsidR="00732F5D" w:rsidRPr="003B47E8" w:rsidRDefault="00732F5D" w:rsidP="00732F5D">
            <w:pPr>
              <w:pStyle w:val="Paragraphedeliste"/>
              <w:numPr>
                <w:ilvl w:val="0"/>
                <w:numId w:val="34"/>
              </w:numPr>
              <w:spacing w:after="0"/>
              <w:rPr>
                <w:lang w:val="fr-FR"/>
              </w:rPr>
            </w:pPr>
            <w:r w:rsidRPr="003B47E8">
              <w:rPr>
                <w:lang w:val="fr-FR"/>
              </w:rPr>
              <w:t>Rapports techniques des ateliers de formation et de renforcement de capacités</w:t>
            </w:r>
          </w:p>
        </w:tc>
      </w:tr>
      <w:tr w:rsidR="002C3B96" w:rsidRPr="00BE1549" w14:paraId="593F0861" w14:textId="77777777" w:rsidTr="001715ED">
        <w:tc>
          <w:tcPr>
            <w:tcW w:w="8772" w:type="dxa"/>
          </w:tcPr>
          <w:p w14:paraId="0F62B824" w14:textId="2D3448BE" w:rsidR="002C3B96" w:rsidRDefault="002C3B96" w:rsidP="002C3B96">
            <w:pPr>
              <w:pStyle w:val="Paragraphedeliste"/>
              <w:numPr>
                <w:ilvl w:val="0"/>
                <w:numId w:val="34"/>
              </w:numPr>
              <w:spacing w:after="0"/>
              <w:rPr>
                <w:lang w:val="fr-FR"/>
              </w:rPr>
            </w:pPr>
            <w:r>
              <w:rPr>
                <w:lang w:val="fr-FR"/>
              </w:rPr>
              <w:t>Rapport de démarrage et rapports intermédiaires 1 ; 2 et 3 de création de l’OPT BD</w:t>
            </w:r>
          </w:p>
        </w:tc>
      </w:tr>
      <w:tr w:rsidR="002C3B96" w:rsidRPr="00BE1549" w14:paraId="356F08AB" w14:textId="77777777" w:rsidTr="001715ED">
        <w:tc>
          <w:tcPr>
            <w:tcW w:w="8772" w:type="dxa"/>
          </w:tcPr>
          <w:p w14:paraId="5D698DBA" w14:textId="0245C821" w:rsidR="002C3B96" w:rsidRDefault="002C3B96" w:rsidP="002C3B96">
            <w:pPr>
              <w:pStyle w:val="Paragraphedeliste"/>
              <w:numPr>
                <w:ilvl w:val="0"/>
                <w:numId w:val="34"/>
              </w:numPr>
              <w:spacing w:after="0"/>
              <w:rPr>
                <w:lang w:val="fr-FR"/>
              </w:rPr>
            </w:pPr>
            <w:r>
              <w:rPr>
                <w:lang w:val="fr-FR"/>
              </w:rPr>
              <w:t>Plan de Suivi et Evaluation révisé de 2018</w:t>
            </w:r>
          </w:p>
        </w:tc>
      </w:tr>
      <w:tr w:rsidR="002C3B96" w:rsidRPr="00BE1549" w14:paraId="34660157" w14:textId="77777777" w:rsidTr="001715ED">
        <w:tc>
          <w:tcPr>
            <w:tcW w:w="8772" w:type="dxa"/>
          </w:tcPr>
          <w:p w14:paraId="04A1206F" w14:textId="77777777" w:rsidR="002C3B96" w:rsidRPr="001715ED" w:rsidRDefault="002C3B96" w:rsidP="001715ED">
            <w:pPr>
              <w:pStyle w:val="Paragraphedeliste"/>
              <w:numPr>
                <w:ilvl w:val="0"/>
                <w:numId w:val="34"/>
              </w:numPr>
              <w:spacing w:after="0"/>
              <w:rPr>
                <w:lang w:val="fr-FR"/>
              </w:rPr>
            </w:pPr>
            <w:r>
              <w:rPr>
                <w:lang w:val="fr-FR"/>
              </w:rPr>
              <w:t>Cadre de Suivi et Evaluation mis à jour de Juin 2019</w:t>
            </w:r>
          </w:p>
        </w:tc>
      </w:tr>
      <w:tr w:rsidR="002C3B96" w:rsidRPr="00BE1549" w14:paraId="28BADFF1" w14:textId="77777777" w:rsidTr="001715ED">
        <w:tc>
          <w:tcPr>
            <w:tcW w:w="8772" w:type="dxa"/>
          </w:tcPr>
          <w:p w14:paraId="358775B1" w14:textId="766995A0" w:rsidR="002C3B96" w:rsidRDefault="002C3B96" w:rsidP="002C3B96">
            <w:pPr>
              <w:pStyle w:val="Paragraphedeliste"/>
              <w:numPr>
                <w:ilvl w:val="0"/>
                <w:numId w:val="34"/>
              </w:numPr>
              <w:spacing w:after="0"/>
              <w:rPr>
                <w:lang w:val="fr-FR"/>
              </w:rPr>
            </w:pPr>
            <w:r>
              <w:rPr>
                <w:lang w:val="fr-FR"/>
              </w:rPr>
              <w:lastRenderedPageBreak/>
              <w:t xml:space="preserve">Audit NIM et Plan d’action d’audit NIM d’avril 2019 </w:t>
            </w:r>
          </w:p>
        </w:tc>
      </w:tr>
      <w:tr w:rsidR="002C3B96" w:rsidRPr="00BE1549" w14:paraId="412C5DD1" w14:textId="77777777" w:rsidTr="001715ED">
        <w:tc>
          <w:tcPr>
            <w:tcW w:w="8772" w:type="dxa"/>
          </w:tcPr>
          <w:p w14:paraId="7E73F289" w14:textId="60B33BD2" w:rsidR="002C3B96" w:rsidRDefault="002C3B96" w:rsidP="002C3B96">
            <w:pPr>
              <w:pStyle w:val="Paragraphedeliste"/>
              <w:numPr>
                <w:ilvl w:val="0"/>
                <w:numId w:val="34"/>
              </w:numPr>
              <w:spacing w:after="0"/>
              <w:rPr>
                <w:lang w:val="fr-FR"/>
              </w:rPr>
            </w:pPr>
            <w:r>
              <w:rPr>
                <w:lang w:val="fr-FR"/>
              </w:rPr>
              <w:t xml:space="preserve">Rapports finaux de </w:t>
            </w:r>
            <w:proofErr w:type="spellStart"/>
            <w:r>
              <w:rPr>
                <w:lang w:val="fr-FR"/>
              </w:rPr>
              <w:t>microévaluation</w:t>
            </w:r>
            <w:proofErr w:type="spellEnd"/>
            <w:r>
              <w:rPr>
                <w:lang w:val="fr-FR"/>
              </w:rPr>
              <w:t xml:space="preserve"> du MEEF et de </w:t>
            </w:r>
            <w:proofErr w:type="spellStart"/>
            <w:r>
              <w:rPr>
                <w:lang w:val="fr-FR"/>
              </w:rPr>
              <w:t>Tany</w:t>
            </w:r>
            <w:proofErr w:type="spellEnd"/>
            <w:r>
              <w:rPr>
                <w:lang w:val="fr-FR"/>
              </w:rPr>
              <w:t xml:space="preserve"> </w:t>
            </w:r>
            <w:proofErr w:type="spellStart"/>
            <w:r>
              <w:rPr>
                <w:lang w:val="fr-FR"/>
              </w:rPr>
              <w:t>Meva</w:t>
            </w:r>
            <w:proofErr w:type="spellEnd"/>
            <w:r>
              <w:rPr>
                <w:lang w:val="fr-FR"/>
              </w:rPr>
              <w:t xml:space="preserve"> de 2015(Moore Stephens LLP)</w:t>
            </w:r>
          </w:p>
        </w:tc>
      </w:tr>
      <w:tr w:rsidR="002C3B96" w:rsidRPr="00BE1549" w14:paraId="27F010EE" w14:textId="77777777" w:rsidTr="001715ED">
        <w:tc>
          <w:tcPr>
            <w:tcW w:w="8772" w:type="dxa"/>
          </w:tcPr>
          <w:p w14:paraId="25A0E14D" w14:textId="78C78A62" w:rsidR="002C3B96" w:rsidRDefault="002C3B96" w:rsidP="002C3B96">
            <w:pPr>
              <w:pStyle w:val="Paragraphedeliste"/>
              <w:numPr>
                <w:ilvl w:val="0"/>
                <w:numId w:val="34"/>
              </w:numPr>
              <w:spacing w:after="0"/>
              <w:rPr>
                <w:lang w:val="fr-FR"/>
              </w:rPr>
            </w:pPr>
            <w:r>
              <w:rPr>
                <w:lang w:val="fr-FR"/>
              </w:rPr>
              <w:t xml:space="preserve">Décision ministérielle de création du </w:t>
            </w:r>
            <w:proofErr w:type="spellStart"/>
            <w:r>
              <w:rPr>
                <w:lang w:val="fr-FR"/>
              </w:rPr>
              <w:t>CoPil</w:t>
            </w:r>
            <w:proofErr w:type="spellEnd"/>
            <w:r>
              <w:rPr>
                <w:lang w:val="fr-FR"/>
              </w:rPr>
              <w:t xml:space="preserve"> de Mai 2018</w:t>
            </w:r>
          </w:p>
        </w:tc>
      </w:tr>
      <w:tr w:rsidR="002C3B96" w:rsidRPr="00732F5D" w14:paraId="2068F4A7" w14:textId="77777777" w:rsidTr="001715ED">
        <w:tc>
          <w:tcPr>
            <w:tcW w:w="8772" w:type="dxa"/>
          </w:tcPr>
          <w:p w14:paraId="2ACD48A7" w14:textId="0E199C28" w:rsidR="002C3B96" w:rsidRDefault="002C3B96" w:rsidP="002C3B96">
            <w:pPr>
              <w:pStyle w:val="Paragraphedeliste"/>
              <w:numPr>
                <w:ilvl w:val="0"/>
                <w:numId w:val="34"/>
              </w:numPr>
              <w:spacing w:after="0"/>
              <w:rPr>
                <w:lang w:val="fr-FR"/>
              </w:rPr>
            </w:pPr>
            <w:r>
              <w:rPr>
                <w:lang w:val="fr-FR"/>
              </w:rPr>
              <w:t xml:space="preserve">Organigramme du projet d’Avril 2019 </w:t>
            </w:r>
          </w:p>
        </w:tc>
      </w:tr>
      <w:tr w:rsidR="002C3B96" w:rsidRPr="00732F5D" w14:paraId="7571C629" w14:textId="77777777" w:rsidTr="001715ED">
        <w:tc>
          <w:tcPr>
            <w:tcW w:w="8772" w:type="dxa"/>
          </w:tcPr>
          <w:p w14:paraId="152988CC" w14:textId="77777777" w:rsidR="002C3B96" w:rsidRPr="00CA44AE" w:rsidRDefault="002C3B96" w:rsidP="00CA44AE">
            <w:pPr>
              <w:spacing w:after="0"/>
              <w:rPr>
                <w:lang w:val="fr-FR"/>
              </w:rPr>
            </w:pPr>
          </w:p>
        </w:tc>
      </w:tr>
    </w:tbl>
    <w:p w14:paraId="21859180" w14:textId="77777777" w:rsidR="00732F5D" w:rsidRDefault="00732F5D">
      <w:pPr>
        <w:spacing w:before="0" w:after="200"/>
        <w:jc w:val="left"/>
        <w:rPr>
          <w:lang w:val="fr-FR"/>
        </w:rPr>
      </w:pPr>
      <w:r>
        <w:rPr>
          <w:lang w:val="fr-FR"/>
        </w:rPr>
        <w:br w:type="page"/>
      </w:r>
    </w:p>
    <w:p w14:paraId="7703FA32" w14:textId="77777777" w:rsidR="00FA12ED" w:rsidRDefault="00FA12ED" w:rsidP="00561C23">
      <w:pPr>
        <w:pStyle w:val="Titre2"/>
        <w:rPr>
          <w:lang w:val="fr-FR"/>
        </w:rPr>
        <w:sectPr w:rsidR="00FA12ED" w:rsidSect="00FA12ED">
          <w:headerReference w:type="default" r:id="rId19"/>
          <w:footerReference w:type="default" r:id="rId20"/>
          <w:pgSz w:w="12240" w:h="15840"/>
          <w:pgMar w:top="1440" w:right="1440" w:bottom="1440" w:left="1440" w:header="576" w:footer="432" w:gutter="0"/>
          <w:cols w:space="720"/>
          <w:docGrid w:linePitch="360"/>
        </w:sectPr>
      </w:pPr>
    </w:p>
    <w:p w14:paraId="255242E7" w14:textId="31EBBD22" w:rsidR="00944544" w:rsidRDefault="00944544" w:rsidP="00561C23">
      <w:pPr>
        <w:pStyle w:val="Titre2"/>
        <w:rPr>
          <w:lang w:val="fr-FR"/>
        </w:rPr>
      </w:pPr>
      <w:bookmarkStart w:id="47" w:name="_Toc26804246"/>
      <w:bookmarkStart w:id="48" w:name="_Toc26804324"/>
      <w:bookmarkStart w:id="49" w:name="_Toc26804248"/>
      <w:bookmarkStart w:id="50" w:name="_Toc26804326"/>
      <w:bookmarkStart w:id="51" w:name="_Toc26804250"/>
      <w:bookmarkStart w:id="52" w:name="_Toc26804328"/>
      <w:bookmarkStart w:id="53" w:name="_Toc31122567"/>
      <w:bookmarkEnd w:id="47"/>
      <w:bookmarkEnd w:id="48"/>
      <w:bookmarkEnd w:id="49"/>
      <w:bookmarkEnd w:id="50"/>
      <w:bookmarkEnd w:id="51"/>
      <w:bookmarkEnd w:id="52"/>
      <w:r>
        <w:rPr>
          <w:lang w:val="fr-FR"/>
        </w:rPr>
        <w:lastRenderedPageBreak/>
        <w:t>An</w:t>
      </w:r>
      <w:r w:rsidR="00561C23">
        <w:rPr>
          <w:lang w:val="fr-FR"/>
        </w:rPr>
        <w:t>n</w:t>
      </w:r>
      <w:r>
        <w:rPr>
          <w:lang w:val="fr-FR"/>
        </w:rPr>
        <w:t>exe 3 : Liste des personnes rencontrées</w:t>
      </w:r>
      <w:bookmarkEnd w:id="53"/>
    </w:p>
    <w:p w14:paraId="680D0629" w14:textId="77777777" w:rsidR="00944544" w:rsidRPr="00C50F13" w:rsidRDefault="00944544" w:rsidP="00E35F73">
      <w:pPr>
        <w:spacing w:before="0" w:after="0" w:line="240" w:lineRule="auto"/>
        <w:rPr>
          <w:lang w:val="fr-FR"/>
        </w:rPr>
      </w:pPr>
    </w:p>
    <w:p w14:paraId="4F398957" w14:textId="77777777" w:rsidR="00E35F73" w:rsidRPr="00C50F13" w:rsidRDefault="00E35F73" w:rsidP="00E35F73">
      <w:pPr>
        <w:spacing w:before="0" w:after="0" w:line="240" w:lineRule="auto"/>
        <w:rPr>
          <w:lang w:val="fr-FR"/>
        </w:rPr>
      </w:pPr>
    </w:p>
    <w:tbl>
      <w:tblPr>
        <w:tblW w:w="12489" w:type="dxa"/>
        <w:tblInd w:w="93" w:type="dxa"/>
        <w:tblLayout w:type="fixed"/>
        <w:tblLook w:val="04A0" w:firstRow="1" w:lastRow="0" w:firstColumn="1" w:lastColumn="0" w:noHBand="0" w:noVBand="1"/>
      </w:tblPr>
      <w:tblGrid>
        <w:gridCol w:w="441"/>
        <w:gridCol w:w="2268"/>
        <w:gridCol w:w="567"/>
        <w:gridCol w:w="5528"/>
        <w:gridCol w:w="2126"/>
        <w:gridCol w:w="1559"/>
      </w:tblGrid>
      <w:tr w:rsidR="002F09A5" w:rsidRPr="00BE1549" w14:paraId="66772BAC" w14:textId="77777777" w:rsidTr="002B677E">
        <w:trPr>
          <w:trHeight w:val="280"/>
        </w:trPr>
        <w:tc>
          <w:tcPr>
            <w:tcW w:w="44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hideMark/>
          </w:tcPr>
          <w:p w14:paraId="055F2173" w14:textId="77777777" w:rsidR="002F09A5" w:rsidRPr="00CA44AE" w:rsidRDefault="002F09A5" w:rsidP="003A7E0D">
            <w:pPr>
              <w:spacing w:before="0" w:after="0" w:line="240" w:lineRule="auto"/>
              <w:jc w:val="center"/>
              <w:rPr>
                <w:rFonts w:eastAsia="Times New Roman" w:cs="Times New Roman"/>
                <w:b/>
                <w:bCs/>
                <w:color w:val="000000"/>
                <w:lang w:val="fr-FR"/>
              </w:rPr>
            </w:pPr>
            <w:r w:rsidRPr="00CA44AE">
              <w:rPr>
                <w:rFonts w:eastAsia="Times New Roman" w:cs="Times New Roman"/>
                <w:b/>
                <w:bCs/>
                <w:color w:val="000000"/>
                <w:lang w:val="fr-FR"/>
              </w:rPr>
              <w:t>N°</w:t>
            </w:r>
          </w:p>
        </w:tc>
        <w:tc>
          <w:tcPr>
            <w:tcW w:w="2268"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hideMark/>
          </w:tcPr>
          <w:p w14:paraId="2D92ECC7" w14:textId="77777777" w:rsidR="002F09A5" w:rsidRPr="00CA44AE" w:rsidRDefault="002F09A5" w:rsidP="003A7E0D">
            <w:pPr>
              <w:spacing w:before="0" w:after="0" w:line="240" w:lineRule="auto"/>
              <w:jc w:val="center"/>
              <w:rPr>
                <w:rFonts w:eastAsia="Times New Roman" w:cs="Times New Roman"/>
                <w:b/>
                <w:bCs/>
                <w:color w:val="000000"/>
                <w:lang w:val="fr-FR"/>
              </w:rPr>
            </w:pPr>
            <w:r w:rsidRPr="00CA44AE">
              <w:rPr>
                <w:rFonts w:eastAsia="Times New Roman" w:cs="Times New Roman"/>
                <w:b/>
                <w:bCs/>
                <w:color w:val="000000"/>
                <w:lang w:val="fr-FR"/>
              </w:rPr>
              <w:t>Nom et Prénom</w:t>
            </w:r>
          </w:p>
        </w:tc>
        <w:tc>
          <w:tcPr>
            <w:tcW w:w="567" w:type="dxa"/>
            <w:tcBorders>
              <w:top w:val="single" w:sz="4" w:space="0" w:color="auto"/>
              <w:left w:val="nil"/>
              <w:bottom w:val="single" w:sz="4" w:space="0" w:color="auto"/>
              <w:right w:val="single" w:sz="4" w:space="0" w:color="auto"/>
            </w:tcBorders>
            <w:shd w:val="clear" w:color="000000" w:fill="BFBFBF" w:themeFill="background1" w:themeFillShade="BF"/>
            <w:noWrap/>
            <w:hideMark/>
          </w:tcPr>
          <w:p w14:paraId="78926A60" w14:textId="77777777" w:rsidR="002F09A5" w:rsidRPr="00CA44AE" w:rsidRDefault="002F09A5" w:rsidP="00B94A4F">
            <w:pPr>
              <w:spacing w:before="0" w:after="0" w:line="240" w:lineRule="auto"/>
              <w:jc w:val="center"/>
              <w:rPr>
                <w:rFonts w:eastAsia="Times New Roman" w:cs="Times New Roman"/>
                <w:b/>
                <w:bCs/>
                <w:color w:val="000000"/>
                <w:lang w:val="fr-FR"/>
              </w:rPr>
            </w:pPr>
            <w:r w:rsidRPr="00CA44AE">
              <w:rPr>
                <w:rFonts w:eastAsia="Times New Roman" w:cs="Times New Roman"/>
                <w:b/>
                <w:bCs/>
                <w:color w:val="000000"/>
                <w:lang w:val="fr-FR"/>
              </w:rPr>
              <w:t>F/H</w:t>
            </w:r>
          </w:p>
        </w:tc>
        <w:tc>
          <w:tcPr>
            <w:tcW w:w="5528"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hideMark/>
          </w:tcPr>
          <w:p w14:paraId="2407EE25" w14:textId="77777777" w:rsidR="002F09A5" w:rsidRPr="00CA44AE" w:rsidRDefault="002F09A5" w:rsidP="00B94A4F">
            <w:pPr>
              <w:spacing w:before="0" w:after="0" w:line="240" w:lineRule="auto"/>
              <w:jc w:val="center"/>
              <w:rPr>
                <w:rFonts w:eastAsia="Times New Roman" w:cs="Times New Roman"/>
                <w:b/>
                <w:bCs/>
                <w:color w:val="000000"/>
                <w:lang w:val="fr-FR"/>
              </w:rPr>
            </w:pPr>
            <w:r w:rsidRPr="00CA44AE">
              <w:rPr>
                <w:rFonts w:eastAsia="Times New Roman" w:cs="Times New Roman"/>
                <w:b/>
                <w:bCs/>
                <w:color w:val="000000"/>
                <w:lang w:val="fr-FR"/>
              </w:rPr>
              <w:t>Institution et Fonction</w:t>
            </w:r>
          </w:p>
        </w:tc>
        <w:tc>
          <w:tcPr>
            <w:tcW w:w="2126"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hideMark/>
          </w:tcPr>
          <w:p w14:paraId="5F47D24A" w14:textId="77777777" w:rsidR="002F09A5" w:rsidRPr="00CA44AE" w:rsidRDefault="002F09A5" w:rsidP="00B94A4F">
            <w:pPr>
              <w:spacing w:before="0" w:after="0" w:line="240" w:lineRule="auto"/>
              <w:jc w:val="center"/>
              <w:rPr>
                <w:rFonts w:eastAsia="Times New Roman" w:cs="Times New Roman"/>
                <w:b/>
                <w:bCs/>
                <w:color w:val="000000"/>
                <w:lang w:val="fr-FR"/>
              </w:rPr>
            </w:pPr>
            <w:r w:rsidRPr="00CA44AE">
              <w:rPr>
                <w:rFonts w:eastAsia="Times New Roman" w:cs="Times New Roman"/>
                <w:b/>
                <w:bCs/>
                <w:color w:val="000000"/>
                <w:lang w:val="fr-FR"/>
              </w:rPr>
              <w:t>Fonction dans APAA</w:t>
            </w:r>
          </w:p>
        </w:tc>
        <w:tc>
          <w:tcPr>
            <w:tcW w:w="1559"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hideMark/>
          </w:tcPr>
          <w:p w14:paraId="03DA3D88" w14:textId="77777777" w:rsidR="002F09A5" w:rsidRPr="00CA44AE" w:rsidRDefault="002F09A5" w:rsidP="00B94A4F">
            <w:pPr>
              <w:spacing w:before="0" w:after="0" w:line="240" w:lineRule="auto"/>
              <w:jc w:val="center"/>
              <w:rPr>
                <w:rFonts w:eastAsia="Times New Roman" w:cs="Times New Roman"/>
                <w:b/>
                <w:bCs/>
                <w:color w:val="000000"/>
                <w:lang w:val="fr-FR"/>
              </w:rPr>
            </w:pPr>
            <w:r w:rsidRPr="00CA44AE">
              <w:rPr>
                <w:rFonts w:eastAsia="Times New Roman" w:cs="Times New Roman"/>
                <w:b/>
                <w:bCs/>
                <w:color w:val="000000"/>
                <w:lang w:val="fr-FR"/>
              </w:rPr>
              <w:t>Date et lieu de la rencontre</w:t>
            </w:r>
          </w:p>
        </w:tc>
      </w:tr>
      <w:tr w:rsidR="00FA12ED" w:rsidRPr="00BE1549" w14:paraId="6F413101" w14:textId="77777777" w:rsidTr="002B677E">
        <w:trPr>
          <w:trHeight w:val="1369"/>
        </w:trPr>
        <w:tc>
          <w:tcPr>
            <w:tcW w:w="441" w:type="dxa"/>
            <w:tcBorders>
              <w:top w:val="nil"/>
              <w:left w:val="single" w:sz="4" w:space="0" w:color="auto"/>
              <w:bottom w:val="single" w:sz="4" w:space="0" w:color="auto"/>
              <w:right w:val="single" w:sz="4" w:space="0" w:color="auto"/>
            </w:tcBorders>
            <w:shd w:val="clear" w:color="auto" w:fill="auto"/>
            <w:hideMark/>
          </w:tcPr>
          <w:p w14:paraId="1804FFCE"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1</w:t>
            </w:r>
          </w:p>
        </w:tc>
        <w:tc>
          <w:tcPr>
            <w:tcW w:w="2268" w:type="dxa"/>
            <w:tcBorders>
              <w:top w:val="nil"/>
              <w:left w:val="nil"/>
              <w:bottom w:val="single" w:sz="4" w:space="0" w:color="auto"/>
              <w:right w:val="single" w:sz="4" w:space="0" w:color="auto"/>
            </w:tcBorders>
            <w:shd w:val="clear" w:color="auto" w:fill="auto"/>
            <w:hideMark/>
          </w:tcPr>
          <w:p w14:paraId="12D63504"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RABEMANANJARA </w:t>
            </w:r>
            <w:proofErr w:type="spellStart"/>
            <w:r w:rsidRPr="00CA44AE">
              <w:rPr>
                <w:rFonts w:eastAsia="Times New Roman" w:cs="Times New Roman"/>
                <w:color w:val="000000"/>
                <w:lang w:val="fr-FR"/>
              </w:rPr>
              <w:t>Rivomalala</w:t>
            </w:r>
            <w:proofErr w:type="spellEnd"/>
            <w:r w:rsidRPr="00CA44AE">
              <w:rPr>
                <w:rFonts w:eastAsia="Times New Roman" w:cs="Times New Roman"/>
                <w:color w:val="000000"/>
                <w:lang w:val="fr-FR"/>
              </w:rPr>
              <w:t>, dit Rivo</w:t>
            </w:r>
          </w:p>
        </w:tc>
        <w:tc>
          <w:tcPr>
            <w:tcW w:w="567" w:type="dxa"/>
            <w:tcBorders>
              <w:top w:val="nil"/>
              <w:left w:val="nil"/>
              <w:bottom w:val="single" w:sz="4" w:space="0" w:color="auto"/>
              <w:right w:val="single" w:sz="4" w:space="0" w:color="auto"/>
            </w:tcBorders>
            <w:shd w:val="clear" w:color="auto" w:fill="auto"/>
            <w:hideMark/>
          </w:tcPr>
          <w:p w14:paraId="3EBC9041"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5528" w:type="dxa"/>
            <w:tcBorders>
              <w:top w:val="nil"/>
              <w:left w:val="nil"/>
              <w:bottom w:val="single" w:sz="4" w:space="0" w:color="auto"/>
              <w:right w:val="single" w:sz="4" w:space="0" w:color="auto"/>
            </w:tcBorders>
            <w:shd w:val="clear" w:color="auto" w:fill="auto"/>
            <w:hideMark/>
          </w:tcPr>
          <w:p w14:paraId="62F6D11F"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 xml:space="preserve">CAT (Cadre d'Appui Technique) </w:t>
            </w:r>
            <w:r w:rsidRPr="00CA44AE">
              <w:rPr>
                <w:rFonts w:eastAsia="Times New Roman" w:cs="Times New Roman"/>
                <w:color w:val="000000"/>
                <w:lang w:val="fr-FR"/>
              </w:rPr>
              <w:t>à la</w:t>
            </w:r>
            <w:r w:rsidRPr="00CA44AE">
              <w:rPr>
                <w:rFonts w:eastAsia="Times New Roman" w:cs="Times New Roman"/>
                <w:color w:val="000000"/>
                <w:lang w:val="fr-FR"/>
              </w:rPr>
              <w:br/>
              <w:t>DIDDD (Direction de l'Intégration du Développement Durable) de la DGDD (Direction Générale du Développement Durable)</w:t>
            </w:r>
            <w:r w:rsidRPr="00CA44AE">
              <w:rPr>
                <w:rFonts w:eastAsia="Times New Roman" w:cs="Times New Roman"/>
                <w:color w:val="000000"/>
                <w:lang w:val="fr-FR"/>
              </w:rPr>
              <w:br/>
              <w:t>MEDD</w:t>
            </w:r>
          </w:p>
        </w:tc>
        <w:tc>
          <w:tcPr>
            <w:tcW w:w="2126" w:type="dxa"/>
            <w:tcBorders>
              <w:top w:val="nil"/>
              <w:left w:val="nil"/>
              <w:bottom w:val="single" w:sz="4" w:space="0" w:color="auto"/>
              <w:right w:val="single" w:sz="4" w:space="0" w:color="auto"/>
            </w:tcBorders>
            <w:shd w:val="clear" w:color="auto" w:fill="auto"/>
            <w:hideMark/>
          </w:tcPr>
          <w:p w14:paraId="31C1855A"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Chef de file Composante 1 </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44C3C71"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05 </w:t>
            </w:r>
            <w:proofErr w:type="spellStart"/>
            <w:r w:rsidRPr="00CA44AE">
              <w:rPr>
                <w:rFonts w:eastAsia="Times New Roman" w:cs="Times New Roman"/>
                <w:color w:val="000000"/>
                <w:lang w:val="fr-FR"/>
              </w:rPr>
              <w:t>nov</w:t>
            </w:r>
            <w:proofErr w:type="spellEnd"/>
            <w:r w:rsidRPr="00CA44AE">
              <w:rPr>
                <w:rFonts w:eastAsia="Times New Roman" w:cs="Times New Roman"/>
                <w:color w:val="000000"/>
                <w:lang w:val="fr-FR"/>
              </w:rPr>
              <w:t xml:space="preserve"> 2019 à la DGDD (Ex-DGE)</w:t>
            </w:r>
          </w:p>
        </w:tc>
      </w:tr>
      <w:tr w:rsidR="00CA44AE" w:rsidRPr="00BE1549" w14:paraId="746392BE" w14:textId="77777777" w:rsidTr="002B677E">
        <w:trPr>
          <w:trHeight w:val="1275"/>
        </w:trPr>
        <w:tc>
          <w:tcPr>
            <w:tcW w:w="441" w:type="dxa"/>
            <w:tcBorders>
              <w:top w:val="nil"/>
              <w:left w:val="single" w:sz="4" w:space="0" w:color="auto"/>
              <w:bottom w:val="single" w:sz="4" w:space="0" w:color="auto"/>
              <w:right w:val="single" w:sz="4" w:space="0" w:color="auto"/>
            </w:tcBorders>
            <w:shd w:val="clear" w:color="auto" w:fill="auto"/>
            <w:hideMark/>
          </w:tcPr>
          <w:p w14:paraId="5B1A348B"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2</w:t>
            </w:r>
          </w:p>
        </w:tc>
        <w:tc>
          <w:tcPr>
            <w:tcW w:w="2268" w:type="dxa"/>
            <w:tcBorders>
              <w:top w:val="nil"/>
              <w:left w:val="nil"/>
              <w:bottom w:val="single" w:sz="4" w:space="0" w:color="auto"/>
              <w:right w:val="single" w:sz="4" w:space="0" w:color="auto"/>
            </w:tcBorders>
            <w:shd w:val="clear" w:color="auto" w:fill="auto"/>
            <w:hideMark/>
          </w:tcPr>
          <w:p w14:paraId="175EAAD7"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FIDIARINOSY Nandrianina Francel, dit Didi</w:t>
            </w:r>
          </w:p>
        </w:tc>
        <w:tc>
          <w:tcPr>
            <w:tcW w:w="567" w:type="dxa"/>
            <w:tcBorders>
              <w:top w:val="nil"/>
              <w:left w:val="nil"/>
              <w:bottom w:val="single" w:sz="4" w:space="0" w:color="auto"/>
              <w:right w:val="single" w:sz="4" w:space="0" w:color="auto"/>
            </w:tcBorders>
            <w:shd w:val="clear" w:color="auto" w:fill="auto"/>
            <w:hideMark/>
          </w:tcPr>
          <w:p w14:paraId="25CCB4A0"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5528" w:type="dxa"/>
            <w:tcBorders>
              <w:top w:val="nil"/>
              <w:left w:val="nil"/>
              <w:bottom w:val="single" w:sz="4" w:space="0" w:color="auto"/>
              <w:right w:val="single" w:sz="4" w:space="0" w:color="auto"/>
            </w:tcBorders>
            <w:shd w:val="clear" w:color="auto" w:fill="auto"/>
            <w:hideMark/>
          </w:tcPr>
          <w:p w14:paraId="393A32A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 xml:space="preserve">Chef de </w:t>
            </w:r>
            <w:proofErr w:type="gramStart"/>
            <w:r w:rsidRPr="00CA44AE">
              <w:rPr>
                <w:rFonts w:eastAsia="Times New Roman" w:cs="Times New Roman"/>
                <w:b/>
                <w:bCs/>
                <w:i/>
                <w:iCs/>
                <w:color w:val="000000"/>
                <w:lang w:val="fr-FR"/>
              </w:rPr>
              <w:t>Division  "</w:t>
            </w:r>
            <w:proofErr w:type="gramEnd"/>
            <w:r w:rsidRPr="00CA44AE">
              <w:rPr>
                <w:rFonts w:eastAsia="Times New Roman" w:cs="Times New Roman"/>
                <w:b/>
                <w:bCs/>
                <w:i/>
                <w:iCs/>
                <w:color w:val="000000"/>
                <w:lang w:val="fr-FR"/>
              </w:rPr>
              <w:t>Gestion intégrée des Bassins Versants"</w:t>
            </w:r>
            <w:r w:rsidRPr="00CA44AE">
              <w:rPr>
                <w:rFonts w:eastAsia="Times New Roman" w:cs="Times New Roman"/>
                <w:b/>
                <w:bCs/>
                <w:i/>
                <w:iCs/>
                <w:color w:val="000000"/>
                <w:lang w:val="fr-FR"/>
              </w:rPr>
              <w:br/>
            </w:r>
            <w:r w:rsidRPr="00CA44AE">
              <w:rPr>
                <w:rFonts w:eastAsia="Times New Roman" w:cs="Times New Roman"/>
                <w:color w:val="000000"/>
                <w:lang w:val="fr-FR"/>
              </w:rPr>
              <w:t>SBVCS/DGEF</w:t>
            </w:r>
            <w:r w:rsidRPr="00CA44AE">
              <w:rPr>
                <w:rFonts w:eastAsia="Times New Roman" w:cs="Times New Roman"/>
                <w:color w:val="000000"/>
                <w:lang w:val="fr-FR"/>
              </w:rPr>
              <w:br/>
              <w:t>DGF (Direction Générale des Forêts)/DGRNE</w:t>
            </w:r>
            <w:r w:rsidRPr="00CA44AE">
              <w:rPr>
                <w:rFonts w:eastAsia="Times New Roman" w:cs="Times New Roman"/>
                <w:color w:val="000000"/>
                <w:lang w:val="fr-FR"/>
              </w:rPr>
              <w:br/>
              <w:t>MEDD</w:t>
            </w:r>
          </w:p>
        </w:tc>
        <w:tc>
          <w:tcPr>
            <w:tcW w:w="2126" w:type="dxa"/>
            <w:vMerge w:val="restart"/>
            <w:tcBorders>
              <w:top w:val="nil"/>
              <w:left w:val="single" w:sz="4" w:space="0" w:color="auto"/>
              <w:bottom w:val="single" w:sz="4" w:space="0" w:color="auto"/>
              <w:right w:val="single" w:sz="4" w:space="0" w:color="auto"/>
            </w:tcBorders>
            <w:shd w:val="clear" w:color="auto" w:fill="auto"/>
            <w:hideMark/>
          </w:tcPr>
          <w:p w14:paraId="08B5B997"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Membre Equipe technique de la Composante 1 </w:t>
            </w:r>
          </w:p>
        </w:tc>
        <w:tc>
          <w:tcPr>
            <w:tcW w:w="1559" w:type="dxa"/>
            <w:vMerge/>
            <w:tcBorders>
              <w:top w:val="nil"/>
              <w:left w:val="single" w:sz="4" w:space="0" w:color="auto"/>
              <w:bottom w:val="single" w:sz="4" w:space="0" w:color="auto"/>
              <w:right w:val="single" w:sz="4" w:space="0" w:color="auto"/>
            </w:tcBorders>
            <w:vAlign w:val="center"/>
            <w:hideMark/>
          </w:tcPr>
          <w:p w14:paraId="1124A528"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4478B6BC" w14:textId="77777777" w:rsidTr="002B677E">
        <w:trPr>
          <w:trHeight w:val="1120"/>
        </w:trPr>
        <w:tc>
          <w:tcPr>
            <w:tcW w:w="441" w:type="dxa"/>
            <w:tcBorders>
              <w:top w:val="nil"/>
              <w:left w:val="single" w:sz="4" w:space="0" w:color="auto"/>
              <w:bottom w:val="single" w:sz="4" w:space="0" w:color="auto"/>
              <w:right w:val="single" w:sz="4" w:space="0" w:color="auto"/>
            </w:tcBorders>
            <w:shd w:val="clear" w:color="auto" w:fill="auto"/>
            <w:hideMark/>
          </w:tcPr>
          <w:p w14:paraId="548CE466"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3</w:t>
            </w:r>
          </w:p>
        </w:tc>
        <w:tc>
          <w:tcPr>
            <w:tcW w:w="2268" w:type="dxa"/>
            <w:tcBorders>
              <w:top w:val="nil"/>
              <w:left w:val="nil"/>
              <w:bottom w:val="single" w:sz="4" w:space="0" w:color="auto"/>
              <w:right w:val="single" w:sz="4" w:space="0" w:color="auto"/>
            </w:tcBorders>
            <w:shd w:val="clear" w:color="auto" w:fill="auto"/>
            <w:hideMark/>
          </w:tcPr>
          <w:p w14:paraId="3C230821"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RAKOTOARINIVO Marie Jean Baptiste, dit Jean </w:t>
            </w:r>
            <w:proofErr w:type="spellStart"/>
            <w:r w:rsidRPr="00CA44AE">
              <w:rPr>
                <w:rFonts w:eastAsia="Times New Roman" w:cs="Times New Roman"/>
                <w:color w:val="000000"/>
                <w:lang w:val="fr-FR"/>
              </w:rPr>
              <w:t>Bà</w:t>
            </w:r>
            <w:proofErr w:type="spellEnd"/>
          </w:p>
        </w:tc>
        <w:tc>
          <w:tcPr>
            <w:tcW w:w="567" w:type="dxa"/>
            <w:tcBorders>
              <w:top w:val="nil"/>
              <w:left w:val="nil"/>
              <w:bottom w:val="single" w:sz="4" w:space="0" w:color="auto"/>
              <w:right w:val="single" w:sz="4" w:space="0" w:color="auto"/>
            </w:tcBorders>
            <w:shd w:val="clear" w:color="auto" w:fill="auto"/>
            <w:hideMark/>
          </w:tcPr>
          <w:p w14:paraId="26FBA31F"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5528" w:type="dxa"/>
            <w:tcBorders>
              <w:top w:val="nil"/>
              <w:left w:val="nil"/>
              <w:bottom w:val="single" w:sz="4" w:space="0" w:color="auto"/>
              <w:right w:val="single" w:sz="4" w:space="0" w:color="auto"/>
            </w:tcBorders>
            <w:shd w:val="clear" w:color="auto" w:fill="auto"/>
            <w:hideMark/>
          </w:tcPr>
          <w:p w14:paraId="1EAD9A88"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color w:val="000000"/>
                <w:lang w:val="fr-FR"/>
              </w:rPr>
              <w:t>Collaborateur Technique</w:t>
            </w:r>
            <w:r w:rsidRPr="00CA44AE">
              <w:rPr>
                <w:rFonts w:eastAsia="Times New Roman" w:cs="Times New Roman"/>
                <w:b/>
                <w:bCs/>
                <w:color w:val="000000"/>
                <w:lang w:val="fr-FR"/>
              </w:rPr>
              <w:br/>
            </w:r>
            <w:r w:rsidRPr="00CA44AE">
              <w:rPr>
                <w:rFonts w:eastAsia="Times New Roman" w:cs="Times New Roman"/>
                <w:color w:val="000000"/>
                <w:lang w:val="fr-FR"/>
              </w:rPr>
              <w:t>DGF/DGRNE</w:t>
            </w:r>
            <w:r w:rsidRPr="00CA44AE">
              <w:rPr>
                <w:rFonts w:eastAsia="Times New Roman" w:cs="Times New Roman"/>
                <w:color w:val="000000"/>
                <w:lang w:val="fr-FR"/>
              </w:rPr>
              <w:br/>
              <w:t>MEDD</w:t>
            </w:r>
          </w:p>
        </w:tc>
        <w:tc>
          <w:tcPr>
            <w:tcW w:w="2126" w:type="dxa"/>
            <w:vMerge/>
            <w:tcBorders>
              <w:top w:val="nil"/>
              <w:left w:val="single" w:sz="4" w:space="0" w:color="auto"/>
              <w:bottom w:val="single" w:sz="4" w:space="0" w:color="auto"/>
              <w:right w:val="single" w:sz="4" w:space="0" w:color="auto"/>
            </w:tcBorders>
            <w:vAlign w:val="center"/>
            <w:hideMark/>
          </w:tcPr>
          <w:p w14:paraId="050E04B7" w14:textId="77777777" w:rsidR="002F09A5" w:rsidRPr="00CA44AE" w:rsidRDefault="002F09A5" w:rsidP="002F09A5">
            <w:pPr>
              <w:spacing w:before="0" w:after="0" w:line="240" w:lineRule="auto"/>
              <w:jc w:val="left"/>
              <w:rPr>
                <w:rFonts w:eastAsia="Times New Roman" w:cs="Times New Roman"/>
                <w:color w:val="000000"/>
                <w:lang w:val="fr-FR"/>
              </w:rPr>
            </w:pPr>
          </w:p>
        </w:tc>
        <w:tc>
          <w:tcPr>
            <w:tcW w:w="1559" w:type="dxa"/>
            <w:vMerge/>
            <w:tcBorders>
              <w:top w:val="nil"/>
              <w:left w:val="single" w:sz="4" w:space="0" w:color="auto"/>
              <w:bottom w:val="single" w:sz="4" w:space="0" w:color="auto"/>
              <w:right w:val="single" w:sz="4" w:space="0" w:color="auto"/>
            </w:tcBorders>
            <w:vAlign w:val="center"/>
            <w:hideMark/>
          </w:tcPr>
          <w:p w14:paraId="4974D822"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5E304859" w14:textId="77777777" w:rsidTr="002B677E">
        <w:trPr>
          <w:trHeight w:val="1120"/>
        </w:trPr>
        <w:tc>
          <w:tcPr>
            <w:tcW w:w="441" w:type="dxa"/>
            <w:tcBorders>
              <w:top w:val="nil"/>
              <w:left w:val="single" w:sz="4" w:space="0" w:color="auto"/>
              <w:bottom w:val="single" w:sz="4" w:space="0" w:color="auto"/>
              <w:right w:val="single" w:sz="4" w:space="0" w:color="auto"/>
            </w:tcBorders>
            <w:shd w:val="clear" w:color="auto" w:fill="auto"/>
            <w:hideMark/>
          </w:tcPr>
          <w:p w14:paraId="346CB7F2"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4</w:t>
            </w:r>
          </w:p>
        </w:tc>
        <w:tc>
          <w:tcPr>
            <w:tcW w:w="2268" w:type="dxa"/>
            <w:tcBorders>
              <w:top w:val="nil"/>
              <w:left w:val="nil"/>
              <w:bottom w:val="single" w:sz="4" w:space="0" w:color="auto"/>
              <w:right w:val="single" w:sz="4" w:space="0" w:color="auto"/>
            </w:tcBorders>
            <w:shd w:val="clear" w:color="auto" w:fill="auto"/>
            <w:hideMark/>
          </w:tcPr>
          <w:p w14:paraId="49D98FD6"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RABENANDRIANINA Rivosoa</w:t>
            </w:r>
          </w:p>
        </w:tc>
        <w:tc>
          <w:tcPr>
            <w:tcW w:w="567" w:type="dxa"/>
            <w:tcBorders>
              <w:top w:val="nil"/>
              <w:left w:val="nil"/>
              <w:bottom w:val="single" w:sz="4" w:space="0" w:color="auto"/>
              <w:right w:val="single" w:sz="4" w:space="0" w:color="auto"/>
            </w:tcBorders>
            <w:shd w:val="clear" w:color="auto" w:fill="auto"/>
            <w:hideMark/>
          </w:tcPr>
          <w:p w14:paraId="3A6FE52D"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5528" w:type="dxa"/>
            <w:tcBorders>
              <w:top w:val="nil"/>
              <w:left w:val="nil"/>
              <w:bottom w:val="single" w:sz="4" w:space="0" w:color="auto"/>
              <w:right w:val="single" w:sz="4" w:space="0" w:color="auto"/>
            </w:tcBorders>
            <w:shd w:val="clear" w:color="auto" w:fill="auto"/>
            <w:hideMark/>
          </w:tcPr>
          <w:p w14:paraId="71B7C06B"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Chef Service SIDE (Service de l'Intégration de la Dimension Environnementale)</w:t>
            </w:r>
            <w:r w:rsidRPr="00CA44AE">
              <w:rPr>
                <w:rFonts w:eastAsia="Times New Roman" w:cs="Times New Roman"/>
                <w:b/>
                <w:bCs/>
                <w:i/>
                <w:iCs/>
                <w:color w:val="000000"/>
                <w:lang w:val="fr-FR"/>
              </w:rPr>
              <w:br/>
            </w:r>
            <w:r w:rsidRPr="00CA44AE">
              <w:rPr>
                <w:rFonts w:eastAsia="Times New Roman" w:cs="Times New Roman"/>
                <w:color w:val="000000"/>
                <w:lang w:val="fr-FR"/>
              </w:rPr>
              <w:t>DIDDD/DGDD</w:t>
            </w:r>
            <w:r w:rsidRPr="00CA44AE">
              <w:rPr>
                <w:rFonts w:eastAsia="Times New Roman" w:cs="Times New Roman"/>
                <w:color w:val="000000"/>
                <w:lang w:val="fr-FR"/>
              </w:rPr>
              <w:br/>
              <w:t>MEDD</w:t>
            </w:r>
          </w:p>
        </w:tc>
        <w:tc>
          <w:tcPr>
            <w:tcW w:w="2126" w:type="dxa"/>
            <w:vMerge/>
            <w:tcBorders>
              <w:top w:val="nil"/>
              <w:left w:val="single" w:sz="4" w:space="0" w:color="auto"/>
              <w:bottom w:val="single" w:sz="4" w:space="0" w:color="auto"/>
              <w:right w:val="single" w:sz="4" w:space="0" w:color="auto"/>
            </w:tcBorders>
            <w:vAlign w:val="center"/>
            <w:hideMark/>
          </w:tcPr>
          <w:p w14:paraId="315DB73E" w14:textId="77777777" w:rsidR="002F09A5" w:rsidRPr="00CA44AE" w:rsidRDefault="002F09A5" w:rsidP="002F09A5">
            <w:pPr>
              <w:spacing w:before="0" w:after="0" w:line="240" w:lineRule="auto"/>
              <w:jc w:val="left"/>
              <w:rPr>
                <w:rFonts w:eastAsia="Times New Roman" w:cs="Times New Roman"/>
                <w:color w:val="000000"/>
                <w:lang w:val="fr-FR"/>
              </w:rPr>
            </w:pPr>
          </w:p>
        </w:tc>
        <w:tc>
          <w:tcPr>
            <w:tcW w:w="1559" w:type="dxa"/>
            <w:vMerge/>
            <w:tcBorders>
              <w:top w:val="nil"/>
              <w:left w:val="single" w:sz="4" w:space="0" w:color="auto"/>
              <w:bottom w:val="single" w:sz="4" w:space="0" w:color="auto"/>
              <w:right w:val="single" w:sz="4" w:space="0" w:color="auto"/>
            </w:tcBorders>
            <w:vAlign w:val="center"/>
            <w:hideMark/>
          </w:tcPr>
          <w:p w14:paraId="0E15DA9B"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2F1B84CC" w14:textId="77777777" w:rsidTr="002B677E">
        <w:trPr>
          <w:trHeight w:val="1120"/>
        </w:trPr>
        <w:tc>
          <w:tcPr>
            <w:tcW w:w="441" w:type="dxa"/>
            <w:tcBorders>
              <w:top w:val="nil"/>
              <w:left w:val="single" w:sz="4" w:space="0" w:color="auto"/>
              <w:bottom w:val="single" w:sz="4" w:space="0" w:color="auto"/>
              <w:right w:val="single" w:sz="4" w:space="0" w:color="auto"/>
            </w:tcBorders>
            <w:shd w:val="clear" w:color="auto" w:fill="auto"/>
            <w:hideMark/>
          </w:tcPr>
          <w:p w14:paraId="2651B33C"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5</w:t>
            </w:r>
          </w:p>
        </w:tc>
        <w:tc>
          <w:tcPr>
            <w:tcW w:w="2268" w:type="dxa"/>
            <w:tcBorders>
              <w:top w:val="nil"/>
              <w:left w:val="nil"/>
              <w:bottom w:val="single" w:sz="4" w:space="0" w:color="auto"/>
              <w:right w:val="single" w:sz="4" w:space="0" w:color="auto"/>
            </w:tcBorders>
            <w:shd w:val="clear" w:color="auto" w:fill="auto"/>
            <w:hideMark/>
          </w:tcPr>
          <w:p w14:paraId="2755B953"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RAKOTOVELO Noeline</w:t>
            </w:r>
          </w:p>
        </w:tc>
        <w:tc>
          <w:tcPr>
            <w:tcW w:w="567" w:type="dxa"/>
            <w:tcBorders>
              <w:top w:val="nil"/>
              <w:left w:val="nil"/>
              <w:bottom w:val="single" w:sz="4" w:space="0" w:color="auto"/>
              <w:right w:val="single" w:sz="4" w:space="0" w:color="auto"/>
            </w:tcBorders>
            <w:shd w:val="clear" w:color="auto" w:fill="auto"/>
            <w:hideMark/>
          </w:tcPr>
          <w:p w14:paraId="1EB3654B"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F</w:t>
            </w:r>
          </w:p>
        </w:tc>
        <w:tc>
          <w:tcPr>
            <w:tcW w:w="5528" w:type="dxa"/>
            <w:tcBorders>
              <w:top w:val="nil"/>
              <w:left w:val="nil"/>
              <w:bottom w:val="single" w:sz="4" w:space="0" w:color="auto"/>
              <w:right w:val="single" w:sz="4" w:space="0" w:color="auto"/>
            </w:tcBorders>
            <w:shd w:val="clear" w:color="auto" w:fill="auto"/>
            <w:hideMark/>
          </w:tcPr>
          <w:p w14:paraId="6341B44D"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Chef de Division "Cadres juridiques et Evaluation Environnementale Stratégique"</w:t>
            </w:r>
            <w:r w:rsidRPr="00CA44AE">
              <w:rPr>
                <w:rFonts w:eastAsia="Times New Roman" w:cs="Times New Roman"/>
                <w:b/>
                <w:bCs/>
                <w:i/>
                <w:iCs/>
                <w:color w:val="000000"/>
                <w:lang w:val="fr-FR"/>
              </w:rPr>
              <w:br/>
            </w:r>
            <w:r w:rsidRPr="00CA44AE">
              <w:rPr>
                <w:rFonts w:eastAsia="Times New Roman" w:cs="Times New Roman"/>
                <w:color w:val="000000"/>
                <w:lang w:val="fr-FR"/>
              </w:rPr>
              <w:t>SEE/DIDDD/DGDD</w:t>
            </w:r>
            <w:r w:rsidRPr="00CA44AE">
              <w:rPr>
                <w:rFonts w:eastAsia="Times New Roman" w:cs="Times New Roman"/>
                <w:color w:val="000000"/>
                <w:lang w:val="fr-FR"/>
              </w:rPr>
              <w:br/>
              <w:t>MEDD</w:t>
            </w:r>
          </w:p>
        </w:tc>
        <w:tc>
          <w:tcPr>
            <w:tcW w:w="2126" w:type="dxa"/>
            <w:vMerge/>
            <w:tcBorders>
              <w:top w:val="nil"/>
              <w:left w:val="single" w:sz="4" w:space="0" w:color="auto"/>
              <w:bottom w:val="single" w:sz="4" w:space="0" w:color="auto"/>
              <w:right w:val="single" w:sz="4" w:space="0" w:color="auto"/>
            </w:tcBorders>
            <w:vAlign w:val="center"/>
            <w:hideMark/>
          </w:tcPr>
          <w:p w14:paraId="6AAEE7CE" w14:textId="77777777" w:rsidR="002F09A5" w:rsidRPr="00CA44AE" w:rsidRDefault="002F09A5" w:rsidP="002F09A5">
            <w:pPr>
              <w:spacing w:before="0" w:after="0" w:line="240" w:lineRule="auto"/>
              <w:jc w:val="left"/>
              <w:rPr>
                <w:rFonts w:eastAsia="Times New Roman" w:cs="Times New Roman"/>
                <w:color w:val="000000"/>
                <w:lang w:val="fr-FR"/>
              </w:rPr>
            </w:pPr>
          </w:p>
        </w:tc>
        <w:tc>
          <w:tcPr>
            <w:tcW w:w="1559" w:type="dxa"/>
            <w:vMerge/>
            <w:tcBorders>
              <w:top w:val="nil"/>
              <w:left w:val="single" w:sz="4" w:space="0" w:color="auto"/>
              <w:bottom w:val="single" w:sz="4" w:space="0" w:color="auto"/>
              <w:right w:val="single" w:sz="4" w:space="0" w:color="auto"/>
            </w:tcBorders>
            <w:vAlign w:val="center"/>
            <w:hideMark/>
          </w:tcPr>
          <w:p w14:paraId="686B693E"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76149AE4" w14:textId="77777777" w:rsidTr="002B677E">
        <w:trPr>
          <w:trHeight w:val="280"/>
        </w:trPr>
        <w:tc>
          <w:tcPr>
            <w:tcW w:w="441" w:type="dxa"/>
            <w:tcBorders>
              <w:top w:val="nil"/>
              <w:left w:val="single" w:sz="4" w:space="0" w:color="auto"/>
              <w:bottom w:val="single" w:sz="4" w:space="0" w:color="auto"/>
              <w:right w:val="nil"/>
            </w:tcBorders>
            <w:shd w:val="clear" w:color="000000" w:fill="A6A6A6"/>
            <w:hideMark/>
          </w:tcPr>
          <w:p w14:paraId="5DD9499E"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268" w:type="dxa"/>
            <w:tcBorders>
              <w:top w:val="nil"/>
              <w:left w:val="nil"/>
              <w:bottom w:val="single" w:sz="4" w:space="0" w:color="auto"/>
              <w:right w:val="nil"/>
            </w:tcBorders>
            <w:shd w:val="clear" w:color="000000" w:fill="A6A6A6"/>
            <w:hideMark/>
          </w:tcPr>
          <w:p w14:paraId="73EA0D9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567" w:type="dxa"/>
            <w:tcBorders>
              <w:top w:val="nil"/>
              <w:left w:val="nil"/>
              <w:bottom w:val="single" w:sz="4" w:space="0" w:color="auto"/>
              <w:right w:val="nil"/>
            </w:tcBorders>
            <w:shd w:val="clear" w:color="000000" w:fill="A6A6A6"/>
            <w:hideMark/>
          </w:tcPr>
          <w:p w14:paraId="75180F80"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 </w:t>
            </w:r>
          </w:p>
        </w:tc>
        <w:tc>
          <w:tcPr>
            <w:tcW w:w="5528" w:type="dxa"/>
            <w:tcBorders>
              <w:top w:val="nil"/>
              <w:left w:val="nil"/>
              <w:bottom w:val="single" w:sz="4" w:space="0" w:color="auto"/>
              <w:right w:val="nil"/>
            </w:tcBorders>
            <w:shd w:val="clear" w:color="000000" w:fill="A6A6A6"/>
            <w:hideMark/>
          </w:tcPr>
          <w:p w14:paraId="3717A3CD"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126" w:type="dxa"/>
            <w:tcBorders>
              <w:top w:val="nil"/>
              <w:left w:val="nil"/>
              <w:bottom w:val="single" w:sz="4" w:space="0" w:color="auto"/>
              <w:right w:val="nil"/>
            </w:tcBorders>
            <w:shd w:val="clear" w:color="000000" w:fill="A6A6A6"/>
            <w:hideMark/>
          </w:tcPr>
          <w:p w14:paraId="20F3C48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1559" w:type="dxa"/>
            <w:tcBorders>
              <w:top w:val="nil"/>
              <w:left w:val="nil"/>
              <w:bottom w:val="single" w:sz="4" w:space="0" w:color="auto"/>
              <w:right w:val="single" w:sz="4" w:space="0" w:color="auto"/>
            </w:tcBorders>
            <w:shd w:val="clear" w:color="000000" w:fill="A6A6A6"/>
            <w:hideMark/>
          </w:tcPr>
          <w:p w14:paraId="4A129D2F"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r>
      <w:tr w:rsidR="002F09A5" w:rsidRPr="00CA44AE" w14:paraId="3999E342" w14:textId="77777777" w:rsidTr="002B677E">
        <w:trPr>
          <w:trHeight w:val="600"/>
        </w:trPr>
        <w:tc>
          <w:tcPr>
            <w:tcW w:w="441" w:type="dxa"/>
            <w:tcBorders>
              <w:top w:val="nil"/>
              <w:left w:val="single" w:sz="4" w:space="0" w:color="auto"/>
              <w:bottom w:val="single" w:sz="4" w:space="0" w:color="auto"/>
              <w:right w:val="single" w:sz="4" w:space="0" w:color="auto"/>
            </w:tcBorders>
            <w:shd w:val="clear" w:color="auto" w:fill="auto"/>
            <w:hideMark/>
          </w:tcPr>
          <w:p w14:paraId="71B35A0D"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1</w:t>
            </w:r>
          </w:p>
        </w:tc>
        <w:tc>
          <w:tcPr>
            <w:tcW w:w="2268" w:type="dxa"/>
            <w:tcBorders>
              <w:top w:val="nil"/>
              <w:left w:val="nil"/>
              <w:bottom w:val="single" w:sz="4" w:space="0" w:color="auto"/>
              <w:right w:val="single" w:sz="4" w:space="0" w:color="auto"/>
            </w:tcBorders>
            <w:shd w:val="clear" w:color="auto" w:fill="auto"/>
            <w:hideMark/>
          </w:tcPr>
          <w:p w14:paraId="0892A72D"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ANDRIAMPARANY Robinson</w:t>
            </w:r>
          </w:p>
        </w:tc>
        <w:tc>
          <w:tcPr>
            <w:tcW w:w="567" w:type="dxa"/>
            <w:tcBorders>
              <w:top w:val="nil"/>
              <w:left w:val="nil"/>
              <w:bottom w:val="single" w:sz="4" w:space="0" w:color="auto"/>
              <w:right w:val="single" w:sz="4" w:space="0" w:color="auto"/>
            </w:tcBorders>
            <w:shd w:val="clear" w:color="auto" w:fill="auto"/>
            <w:hideMark/>
          </w:tcPr>
          <w:p w14:paraId="7D2425F6"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6ED14C8B"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Responsable technique</w:t>
            </w:r>
            <w:r w:rsidRPr="00CA44AE">
              <w:rPr>
                <w:rFonts w:eastAsia="Times New Roman" w:cs="Times New Roman"/>
                <w:color w:val="000000"/>
                <w:lang w:val="fr-FR"/>
              </w:rPr>
              <w:t xml:space="preserve"> - SAGE, Tuléar</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6F23EE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09 </w:t>
            </w:r>
            <w:proofErr w:type="spellStart"/>
            <w:r w:rsidRPr="00CA44AE">
              <w:rPr>
                <w:rFonts w:eastAsia="Times New Roman" w:cs="Times New Roman"/>
                <w:color w:val="000000"/>
                <w:lang w:val="fr-FR"/>
              </w:rPr>
              <w:t>nov</w:t>
            </w:r>
            <w:proofErr w:type="spellEnd"/>
            <w:r w:rsidRPr="00CA44AE">
              <w:rPr>
                <w:rFonts w:eastAsia="Times New Roman" w:cs="Times New Roman"/>
                <w:color w:val="000000"/>
                <w:lang w:val="fr-FR"/>
              </w:rPr>
              <w:t xml:space="preserve"> 2019</w:t>
            </w:r>
            <w:r w:rsidRPr="00CA44AE">
              <w:rPr>
                <w:rFonts w:eastAsia="Times New Roman" w:cs="Times New Roman"/>
                <w:color w:val="000000"/>
                <w:lang w:val="fr-FR"/>
              </w:rPr>
              <w:br/>
              <w:t>Bureau APAA, Tuléar</w:t>
            </w:r>
          </w:p>
        </w:tc>
      </w:tr>
      <w:tr w:rsidR="002F09A5" w:rsidRPr="00BE1549" w14:paraId="509B9197" w14:textId="77777777" w:rsidTr="002B677E">
        <w:trPr>
          <w:trHeight w:val="600"/>
        </w:trPr>
        <w:tc>
          <w:tcPr>
            <w:tcW w:w="441" w:type="dxa"/>
            <w:tcBorders>
              <w:top w:val="nil"/>
              <w:left w:val="single" w:sz="4" w:space="0" w:color="auto"/>
              <w:bottom w:val="single" w:sz="4" w:space="0" w:color="auto"/>
              <w:right w:val="single" w:sz="4" w:space="0" w:color="auto"/>
            </w:tcBorders>
            <w:shd w:val="clear" w:color="auto" w:fill="auto"/>
            <w:hideMark/>
          </w:tcPr>
          <w:p w14:paraId="72DA95C9"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lastRenderedPageBreak/>
              <w:t>2</w:t>
            </w:r>
          </w:p>
        </w:tc>
        <w:tc>
          <w:tcPr>
            <w:tcW w:w="2268" w:type="dxa"/>
            <w:tcBorders>
              <w:top w:val="nil"/>
              <w:left w:val="nil"/>
              <w:bottom w:val="single" w:sz="4" w:space="0" w:color="auto"/>
              <w:right w:val="single" w:sz="4" w:space="0" w:color="auto"/>
            </w:tcBorders>
            <w:shd w:val="clear" w:color="auto" w:fill="auto"/>
            <w:hideMark/>
          </w:tcPr>
          <w:p w14:paraId="46B137E8"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RAKOTOARISON Hanitra</w:t>
            </w:r>
          </w:p>
        </w:tc>
        <w:tc>
          <w:tcPr>
            <w:tcW w:w="567" w:type="dxa"/>
            <w:tcBorders>
              <w:top w:val="nil"/>
              <w:left w:val="nil"/>
              <w:bottom w:val="single" w:sz="4" w:space="0" w:color="auto"/>
              <w:right w:val="single" w:sz="4" w:space="0" w:color="auto"/>
            </w:tcBorders>
            <w:shd w:val="clear" w:color="auto" w:fill="auto"/>
            <w:hideMark/>
          </w:tcPr>
          <w:p w14:paraId="17BA8ABD"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F</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6A6924C3"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Gestionnaire de Projets</w:t>
            </w:r>
            <w:r w:rsidRPr="00CA44AE">
              <w:rPr>
                <w:rFonts w:eastAsia="Times New Roman" w:cs="Times New Roman"/>
                <w:color w:val="000000"/>
                <w:lang w:val="fr-FR"/>
              </w:rPr>
              <w:t xml:space="preserve"> - Fondation </w:t>
            </w:r>
            <w:proofErr w:type="spellStart"/>
            <w:r w:rsidRPr="00CA44AE">
              <w:rPr>
                <w:rFonts w:eastAsia="Times New Roman" w:cs="Times New Roman"/>
                <w:color w:val="000000"/>
                <w:lang w:val="fr-FR"/>
              </w:rPr>
              <w:t>Tany</w:t>
            </w:r>
            <w:proofErr w:type="spellEnd"/>
            <w:r w:rsidRPr="00CA44AE">
              <w:rPr>
                <w:rFonts w:eastAsia="Times New Roman" w:cs="Times New Roman"/>
                <w:color w:val="000000"/>
                <w:lang w:val="fr-FR"/>
              </w:rPr>
              <w:t xml:space="preserve"> </w:t>
            </w:r>
            <w:proofErr w:type="spellStart"/>
            <w:r w:rsidRPr="00CA44AE">
              <w:rPr>
                <w:rFonts w:eastAsia="Times New Roman" w:cs="Times New Roman"/>
                <w:color w:val="000000"/>
                <w:lang w:val="fr-FR"/>
              </w:rPr>
              <w:t>Meva</w:t>
            </w:r>
            <w:proofErr w:type="spellEnd"/>
            <w:r w:rsidRPr="00CA44AE">
              <w:rPr>
                <w:rFonts w:eastAsia="Times New Roman" w:cs="Times New Roman"/>
                <w:color w:val="000000"/>
                <w:lang w:val="fr-FR"/>
              </w:rPr>
              <w:t>, Tuléar</w:t>
            </w:r>
          </w:p>
        </w:tc>
        <w:tc>
          <w:tcPr>
            <w:tcW w:w="1559" w:type="dxa"/>
            <w:vMerge/>
            <w:tcBorders>
              <w:top w:val="nil"/>
              <w:left w:val="single" w:sz="4" w:space="0" w:color="auto"/>
              <w:bottom w:val="single" w:sz="4" w:space="0" w:color="auto"/>
              <w:right w:val="single" w:sz="4" w:space="0" w:color="auto"/>
            </w:tcBorders>
            <w:vAlign w:val="center"/>
            <w:hideMark/>
          </w:tcPr>
          <w:p w14:paraId="36054329"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4C16C3F6" w14:textId="77777777" w:rsidTr="002B677E">
        <w:trPr>
          <w:trHeight w:val="645"/>
        </w:trPr>
        <w:tc>
          <w:tcPr>
            <w:tcW w:w="441" w:type="dxa"/>
            <w:tcBorders>
              <w:top w:val="nil"/>
              <w:left w:val="single" w:sz="4" w:space="0" w:color="auto"/>
              <w:bottom w:val="single" w:sz="4" w:space="0" w:color="auto"/>
              <w:right w:val="single" w:sz="4" w:space="0" w:color="auto"/>
            </w:tcBorders>
            <w:shd w:val="clear" w:color="auto" w:fill="auto"/>
            <w:hideMark/>
          </w:tcPr>
          <w:p w14:paraId="0B000E9F"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3</w:t>
            </w:r>
          </w:p>
        </w:tc>
        <w:tc>
          <w:tcPr>
            <w:tcW w:w="2268" w:type="dxa"/>
            <w:tcBorders>
              <w:top w:val="nil"/>
              <w:left w:val="nil"/>
              <w:bottom w:val="single" w:sz="4" w:space="0" w:color="auto"/>
              <w:right w:val="single" w:sz="4" w:space="0" w:color="auto"/>
            </w:tcBorders>
            <w:shd w:val="clear" w:color="auto" w:fill="auto"/>
            <w:hideMark/>
          </w:tcPr>
          <w:p w14:paraId="1C3D9CB8"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RAMONJIARISON Jean Germain</w:t>
            </w:r>
          </w:p>
        </w:tc>
        <w:tc>
          <w:tcPr>
            <w:tcW w:w="567" w:type="dxa"/>
            <w:tcBorders>
              <w:top w:val="nil"/>
              <w:left w:val="nil"/>
              <w:bottom w:val="single" w:sz="4" w:space="0" w:color="auto"/>
              <w:right w:val="single" w:sz="4" w:space="0" w:color="auto"/>
            </w:tcBorders>
            <w:shd w:val="clear" w:color="auto" w:fill="auto"/>
            <w:hideMark/>
          </w:tcPr>
          <w:p w14:paraId="02B1F6BC"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005341D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Spécialiste "Communautaire et Conservation"</w:t>
            </w:r>
            <w:r w:rsidRPr="00CA44AE">
              <w:rPr>
                <w:rFonts w:eastAsia="Times New Roman" w:cs="Times New Roman"/>
                <w:color w:val="000000"/>
                <w:lang w:val="fr-FR"/>
              </w:rPr>
              <w:br/>
              <w:t xml:space="preserve">Fondation </w:t>
            </w:r>
            <w:proofErr w:type="spellStart"/>
            <w:r w:rsidRPr="00CA44AE">
              <w:rPr>
                <w:rFonts w:eastAsia="Times New Roman" w:cs="Times New Roman"/>
                <w:color w:val="000000"/>
                <w:lang w:val="fr-FR"/>
              </w:rPr>
              <w:t>Tany</w:t>
            </w:r>
            <w:proofErr w:type="spellEnd"/>
            <w:r w:rsidRPr="00CA44AE">
              <w:rPr>
                <w:rFonts w:eastAsia="Times New Roman" w:cs="Times New Roman"/>
                <w:color w:val="000000"/>
                <w:lang w:val="fr-FR"/>
              </w:rPr>
              <w:t xml:space="preserve"> </w:t>
            </w:r>
            <w:proofErr w:type="spellStart"/>
            <w:r w:rsidRPr="00CA44AE">
              <w:rPr>
                <w:rFonts w:eastAsia="Times New Roman" w:cs="Times New Roman"/>
                <w:color w:val="000000"/>
                <w:lang w:val="fr-FR"/>
              </w:rPr>
              <w:t>Meva</w:t>
            </w:r>
            <w:proofErr w:type="spellEnd"/>
            <w:r w:rsidRPr="00CA44AE">
              <w:rPr>
                <w:rFonts w:eastAsia="Times New Roman" w:cs="Times New Roman"/>
                <w:color w:val="000000"/>
                <w:lang w:val="fr-FR"/>
              </w:rPr>
              <w:t>, Tuléar</w:t>
            </w:r>
          </w:p>
        </w:tc>
        <w:tc>
          <w:tcPr>
            <w:tcW w:w="1559" w:type="dxa"/>
            <w:vMerge/>
            <w:tcBorders>
              <w:top w:val="nil"/>
              <w:left w:val="single" w:sz="4" w:space="0" w:color="auto"/>
              <w:bottom w:val="single" w:sz="4" w:space="0" w:color="auto"/>
              <w:right w:val="single" w:sz="4" w:space="0" w:color="auto"/>
            </w:tcBorders>
            <w:vAlign w:val="center"/>
            <w:hideMark/>
          </w:tcPr>
          <w:p w14:paraId="09737532"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CA44AE" w14:paraId="78C1A7AC" w14:textId="77777777" w:rsidTr="002B677E">
        <w:trPr>
          <w:trHeight w:val="280"/>
        </w:trPr>
        <w:tc>
          <w:tcPr>
            <w:tcW w:w="441" w:type="dxa"/>
            <w:tcBorders>
              <w:top w:val="nil"/>
              <w:left w:val="single" w:sz="4" w:space="0" w:color="auto"/>
              <w:bottom w:val="single" w:sz="4" w:space="0" w:color="auto"/>
              <w:right w:val="single" w:sz="4" w:space="0" w:color="auto"/>
            </w:tcBorders>
            <w:shd w:val="clear" w:color="auto" w:fill="auto"/>
            <w:hideMark/>
          </w:tcPr>
          <w:p w14:paraId="6627BF78"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4</w:t>
            </w:r>
          </w:p>
        </w:tc>
        <w:tc>
          <w:tcPr>
            <w:tcW w:w="2268" w:type="dxa"/>
            <w:tcBorders>
              <w:top w:val="nil"/>
              <w:left w:val="nil"/>
              <w:bottom w:val="single" w:sz="4" w:space="0" w:color="auto"/>
              <w:right w:val="single" w:sz="4" w:space="0" w:color="auto"/>
            </w:tcBorders>
            <w:shd w:val="clear" w:color="auto" w:fill="auto"/>
            <w:hideMark/>
          </w:tcPr>
          <w:p w14:paraId="1DE95A4E"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NDALANA Marion</w:t>
            </w:r>
          </w:p>
        </w:tc>
        <w:tc>
          <w:tcPr>
            <w:tcW w:w="567" w:type="dxa"/>
            <w:tcBorders>
              <w:top w:val="nil"/>
              <w:left w:val="nil"/>
              <w:bottom w:val="single" w:sz="4" w:space="0" w:color="auto"/>
              <w:right w:val="single" w:sz="4" w:space="0" w:color="auto"/>
            </w:tcBorders>
            <w:shd w:val="clear" w:color="auto" w:fill="auto"/>
            <w:hideMark/>
          </w:tcPr>
          <w:p w14:paraId="1C3A118B"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7ABFC59A"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color w:val="000000"/>
                <w:lang w:val="fr-FR"/>
              </w:rPr>
              <w:t>Coordonnateur Régional</w:t>
            </w:r>
            <w:r w:rsidRPr="00CA44AE">
              <w:rPr>
                <w:rFonts w:eastAsia="Times New Roman" w:cs="Times New Roman"/>
                <w:color w:val="000000"/>
                <w:lang w:val="fr-FR"/>
              </w:rPr>
              <w:t xml:space="preserve"> - SAGE, Tuléar</w:t>
            </w:r>
          </w:p>
        </w:tc>
        <w:tc>
          <w:tcPr>
            <w:tcW w:w="1559" w:type="dxa"/>
            <w:vMerge/>
            <w:tcBorders>
              <w:top w:val="nil"/>
              <w:left w:val="single" w:sz="4" w:space="0" w:color="auto"/>
              <w:bottom w:val="single" w:sz="4" w:space="0" w:color="auto"/>
              <w:right w:val="single" w:sz="4" w:space="0" w:color="auto"/>
            </w:tcBorders>
            <w:vAlign w:val="center"/>
            <w:hideMark/>
          </w:tcPr>
          <w:p w14:paraId="32B6D97B"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CA44AE" w14:paraId="7ABD8099" w14:textId="77777777" w:rsidTr="002B677E">
        <w:trPr>
          <w:trHeight w:val="280"/>
        </w:trPr>
        <w:tc>
          <w:tcPr>
            <w:tcW w:w="441" w:type="dxa"/>
            <w:tcBorders>
              <w:top w:val="nil"/>
              <w:left w:val="single" w:sz="4" w:space="0" w:color="auto"/>
              <w:bottom w:val="single" w:sz="4" w:space="0" w:color="auto"/>
              <w:right w:val="nil"/>
            </w:tcBorders>
            <w:shd w:val="clear" w:color="000000" w:fill="A6A6A6"/>
            <w:hideMark/>
          </w:tcPr>
          <w:p w14:paraId="4CA960C1"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268" w:type="dxa"/>
            <w:tcBorders>
              <w:top w:val="nil"/>
              <w:left w:val="nil"/>
              <w:bottom w:val="single" w:sz="4" w:space="0" w:color="auto"/>
              <w:right w:val="nil"/>
            </w:tcBorders>
            <w:shd w:val="clear" w:color="000000" w:fill="A6A6A6"/>
            <w:hideMark/>
          </w:tcPr>
          <w:p w14:paraId="18F1A6DB"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567" w:type="dxa"/>
            <w:tcBorders>
              <w:top w:val="nil"/>
              <w:left w:val="nil"/>
              <w:bottom w:val="single" w:sz="4" w:space="0" w:color="auto"/>
              <w:right w:val="nil"/>
            </w:tcBorders>
            <w:shd w:val="clear" w:color="000000" w:fill="A6A6A6"/>
            <w:hideMark/>
          </w:tcPr>
          <w:p w14:paraId="099AD1C4"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 </w:t>
            </w:r>
          </w:p>
        </w:tc>
        <w:tc>
          <w:tcPr>
            <w:tcW w:w="5528" w:type="dxa"/>
            <w:tcBorders>
              <w:top w:val="nil"/>
              <w:left w:val="nil"/>
              <w:bottom w:val="single" w:sz="4" w:space="0" w:color="auto"/>
              <w:right w:val="nil"/>
            </w:tcBorders>
            <w:shd w:val="clear" w:color="000000" w:fill="A6A6A6"/>
            <w:hideMark/>
          </w:tcPr>
          <w:p w14:paraId="136DF42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126" w:type="dxa"/>
            <w:tcBorders>
              <w:top w:val="nil"/>
              <w:left w:val="nil"/>
              <w:bottom w:val="single" w:sz="4" w:space="0" w:color="auto"/>
              <w:right w:val="nil"/>
            </w:tcBorders>
            <w:shd w:val="clear" w:color="000000" w:fill="A6A6A6"/>
            <w:hideMark/>
          </w:tcPr>
          <w:p w14:paraId="7C3BDBC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1559" w:type="dxa"/>
            <w:tcBorders>
              <w:top w:val="nil"/>
              <w:left w:val="nil"/>
              <w:bottom w:val="single" w:sz="4" w:space="0" w:color="auto"/>
              <w:right w:val="single" w:sz="4" w:space="0" w:color="auto"/>
            </w:tcBorders>
            <w:shd w:val="clear" w:color="000000" w:fill="A6A6A6"/>
            <w:hideMark/>
          </w:tcPr>
          <w:p w14:paraId="5F025EC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r>
      <w:tr w:rsidR="002F09A5" w:rsidRPr="00CA44AE" w14:paraId="259AF77A" w14:textId="77777777" w:rsidTr="002B677E">
        <w:trPr>
          <w:trHeight w:val="600"/>
        </w:trPr>
        <w:tc>
          <w:tcPr>
            <w:tcW w:w="441" w:type="dxa"/>
            <w:tcBorders>
              <w:top w:val="nil"/>
              <w:left w:val="single" w:sz="4" w:space="0" w:color="auto"/>
              <w:bottom w:val="single" w:sz="4" w:space="0" w:color="auto"/>
              <w:right w:val="single" w:sz="4" w:space="0" w:color="auto"/>
            </w:tcBorders>
            <w:shd w:val="clear" w:color="auto" w:fill="auto"/>
            <w:hideMark/>
          </w:tcPr>
          <w:p w14:paraId="678518A7"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1</w:t>
            </w:r>
          </w:p>
        </w:tc>
        <w:tc>
          <w:tcPr>
            <w:tcW w:w="2268" w:type="dxa"/>
            <w:tcBorders>
              <w:top w:val="nil"/>
              <w:left w:val="nil"/>
              <w:bottom w:val="single" w:sz="4" w:space="0" w:color="auto"/>
              <w:right w:val="single" w:sz="4" w:space="0" w:color="auto"/>
            </w:tcBorders>
            <w:shd w:val="clear" w:color="auto" w:fill="auto"/>
            <w:hideMark/>
          </w:tcPr>
          <w:p w14:paraId="780FA9E3"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ANDRIAMAZAVA Alain</w:t>
            </w:r>
          </w:p>
        </w:tc>
        <w:tc>
          <w:tcPr>
            <w:tcW w:w="567" w:type="dxa"/>
            <w:tcBorders>
              <w:top w:val="nil"/>
              <w:left w:val="nil"/>
              <w:bottom w:val="single" w:sz="4" w:space="0" w:color="auto"/>
              <w:right w:val="single" w:sz="4" w:space="0" w:color="auto"/>
            </w:tcBorders>
            <w:shd w:val="clear" w:color="auto" w:fill="auto"/>
            <w:hideMark/>
          </w:tcPr>
          <w:p w14:paraId="0BF566E6"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60793BBA"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color w:val="000000"/>
                <w:lang w:val="fr-FR"/>
              </w:rPr>
              <w:t>Expert en Biodiversité et Environnement</w:t>
            </w:r>
            <w:r w:rsidRPr="00CA44AE">
              <w:rPr>
                <w:rFonts w:eastAsia="Times New Roman" w:cs="Times New Roman"/>
                <w:color w:val="000000"/>
                <w:lang w:val="fr-FR"/>
              </w:rPr>
              <w:br/>
              <w:t>APAA, Tuléar</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456CE00E"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09 </w:t>
            </w:r>
            <w:proofErr w:type="spellStart"/>
            <w:r w:rsidRPr="00CA44AE">
              <w:rPr>
                <w:rFonts w:eastAsia="Times New Roman" w:cs="Times New Roman"/>
                <w:color w:val="000000"/>
                <w:lang w:val="fr-FR"/>
              </w:rPr>
              <w:t>nov</w:t>
            </w:r>
            <w:proofErr w:type="spellEnd"/>
            <w:r w:rsidRPr="00CA44AE">
              <w:rPr>
                <w:rFonts w:eastAsia="Times New Roman" w:cs="Times New Roman"/>
                <w:color w:val="000000"/>
                <w:lang w:val="fr-FR"/>
              </w:rPr>
              <w:t xml:space="preserve"> 2019</w:t>
            </w:r>
            <w:r w:rsidRPr="00CA44AE">
              <w:rPr>
                <w:rFonts w:eastAsia="Times New Roman" w:cs="Times New Roman"/>
                <w:color w:val="000000"/>
                <w:lang w:val="fr-FR"/>
              </w:rPr>
              <w:br/>
              <w:t>Bureau APAA, Tuléar</w:t>
            </w:r>
          </w:p>
        </w:tc>
      </w:tr>
      <w:tr w:rsidR="002F09A5" w:rsidRPr="00CA44AE" w14:paraId="7156329C" w14:textId="77777777" w:rsidTr="002B677E">
        <w:trPr>
          <w:trHeight w:val="280"/>
        </w:trPr>
        <w:tc>
          <w:tcPr>
            <w:tcW w:w="441" w:type="dxa"/>
            <w:tcBorders>
              <w:top w:val="nil"/>
              <w:left w:val="single" w:sz="4" w:space="0" w:color="auto"/>
              <w:bottom w:val="single" w:sz="4" w:space="0" w:color="auto"/>
              <w:right w:val="single" w:sz="4" w:space="0" w:color="auto"/>
            </w:tcBorders>
            <w:shd w:val="clear" w:color="auto" w:fill="auto"/>
            <w:hideMark/>
          </w:tcPr>
          <w:p w14:paraId="2D490A0B"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2</w:t>
            </w:r>
          </w:p>
        </w:tc>
        <w:tc>
          <w:tcPr>
            <w:tcW w:w="2268" w:type="dxa"/>
            <w:tcBorders>
              <w:top w:val="nil"/>
              <w:left w:val="nil"/>
              <w:bottom w:val="single" w:sz="4" w:space="0" w:color="auto"/>
              <w:right w:val="single" w:sz="4" w:space="0" w:color="auto"/>
            </w:tcBorders>
            <w:shd w:val="clear" w:color="auto" w:fill="auto"/>
            <w:hideMark/>
          </w:tcPr>
          <w:p w14:paraId="66131FB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RANAIVOMANANA </w:t>
            </w:r>
            <w:proofErr w:type="spellStart"/>
            <w:r w:rsidRPr="00CA44AE">
              <w:rPr>
                <w:rFonts w:eastAsia="Times New Roman" w:cs="Times New Roman"/>
                <w:color w:val="000000"/>
                <w:lang w:val="fr-FR"/>
              </w:rPr>
              <w:t>Sedraniaina</w:t>
            </w:r>
            <w:proofErr w:type="spellEnd"/>
          </w:p>
        </w:tc>
        <w:tc>
          <w:tcPr>
            <w:tcW w:w="567" w:type="dxa"/>
            <w:tcBorders>
              <w:top w:val="nil"/>
              <w:left w:val="nil"/>
              <w:bottom w:val="single" w:sz="4" w:space="0" w:color="auto"/>
              <w:right w:val="single" w:sz="4" w:space="0" w:color="auto"/>
            </w:tcBorders>
            <w:shd w:val="clear" w:color="auto" w:fill="auto"/>
            <w:hideMark/>
          </w:tcPr>
          <w:p w14:paraId="06B5640A" w14:textId="77777777" w:rsidR="002F09A5" w:rsidRPr="004E0307" w:rsidRDefault="002F09A5" w:rsidP="002F09A5">
            <w:pPr>
              <w:spacing w:before="0" w:after="0" w:line="240" w:lineRule="auto"/>
              <w:jc w:val="center"/>
              <w:rPr>
                <w:rFonts w:eastAsia="Times New Roman" w:cs="Times New Roman"/>
                <w:color w:val="000000"/>
                <w:lang w:val="fr-FR"/>
              </w:rPr>
            </w:pPr>
            <w:r w:rsidRPr="004E0307">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77CB86F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color w:val="000000"/>
                <w:lang w:val="fr-FR"/>
              </w:rPr>
              <w:t>Expert SIG</w:t>
            </w:r>
            <w:r w:rsidRPr="00CA44AE">
              <w:rPr>
                <w:rFonts w:eastAsia="Times New Roman" w:cs="Times New Roman"/>
                <w:color w:val="000000"/>
                <w:lang w:val="fr-FR"/>
              </w:rPr>
              <w:br/>
              <w:t>APAA, Tuléar</w:t>
            </w:r>
          </w:p>
        </w:tc>
        <w:tc>
          <w:tcPr>
            <w:tcW w:w="1559" w:type="dxa"/>
            <w:vMerge/>
            <w:tcBorders>
              <w:top w:val="nil"/>
              <w:left w:val="single" w:sz="4" w:space="0" w:color="auto"/>
              <w:bottom w:val="single" w:sz="4" w:space="0" w:color="auto"/>
              <w:right w:val="single" w:sz="4" w:space="0" w:color="auto"/>
            </w:tcBorders>
            <w:vAlign w:val="center"/>
            <w:hideMark/>
          </w:tcPr>
          <w:p w14:paraId="54301EBE"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CA44AE" w14:paraId="36E19944" w14:textId="77777777" w:rsidTr="002B677E">
        <w:trPr>
          <w:trHeight w:val="585"/>
        </w:trPr>
        <w:tc>
          <w:tcPr>
            <w:tcW w:w="441" w:type="dxa"/>
            <w:tcBorders>
              <w:top w:val="nil"/>
              <w:left w:val="single" w:sz="4" w:space="0" w:color="auto"/>
              <w:bottom w:val="single" w:sz="4" w:space="0" w:color="auto"/>
              <w:right w:val="single" w:sz="4" w:space="0" w:color="auto"/>
            </w:tcBorders>
            <w:shd w:val="clear" w:color="auto" w:fill="auto"/>
            <w:hideMark/>
          </w:tcPr>
          <w:p w14:paraId="1C3C141E" w14:textId="77777777" w:rsidR="002F09A5" w:rsidRPr="00CA44AE" w:rsidRDefault="002F09A5" w:rsidP="002F09A5">
            <w:pPr>
              <w:spacing w:before="0" w:after="0" w:line="240" w:lineRule="auto"/>
              <w:jc w:val="right"/>
              <w:rPr>
                <w:rFonts w:eastAsia="Times New Roman" w:cs="Times New Roman"/>
                <w:b/>
                <w:bCs/>
                <w:i/>
                <w:iCs/>
                <w:color w:val="000000"/>
                <w:lang w:val="fr-FR"/>
              </w:rPr>
            </w:pPr>
            <w:r w:rsidRPr="00CA44AE">
              <w:rPr>
                <w:rFonts w:eastAsia="Times New Roman" w:cs="Times New Roman"/>
                <w:b/>
                <w:bCs/>
                <w:i/>
                <w:iCs/>
                <w:color w:val="000000"/>
                <w:lang w:val="fr-FR"/>
              </w:rPr>
              <w:t>3</w:t>
            </w:r>
          </w:p>
        </w:tc>
        <w:tc>
          <w:tcPr>
            <w:tcW w:w="2268" w:type="dxa"/>
            <w:tcBorders>
              <w:top w:val="nil"/>
              <w:left w:val="nil"/>
              <w:bottom w:val="single" w:sz="4" w:space="0" w:color="auto"/>
              <w:right w:val="single" w:sz="4" w:space="0" w:color="auto"/>
            </w:tcBorders>
            <w:shd w:val="clear" w:color="auto" w:fill="auto"/>
            <w:hideMark/>
          </w:tcPr>
          <w:p w14:paraId="47DC79AC" w14:textId="291E5990" w:rsidR="002F09A5" w:rsidRPr="002B677E" w:rsidRDefault="00971B89" w:rsidP="002F09A5">
            <w:pPr>
              <w:spacing w:before="0" w:after="0" w:line="240" w:lineRule="auto"/>
              <w:jc w:val="left"/>
              <w:rPr>
                <w:rFonts w:eastAsia="Times New Roman" w:cs="Times New Roman"/>
                <w:bCs/>
                <w:iCs/>
                <w:color w:val="000000"/>
                <w:lang w:val="fr-FR"/>
              </w:rPr>
            </w:pPr>
            <w:r w:rsidRPr="002B677E">
              <w:rPr>
                <w:rFonts w:eastAsia="Times New Roman" w:cs="Times New Roman"/>
                <w:bCs/>
                <w:iCs/>
                <w:color w:val="000000"/>
                <w:lang w:val="fr-FR"/>
              </w:rPr>
              <w:t>RABARISON</w:t>
            </w:r>
            <w:r w:rsidR="004E0307" w:rsidRPr="002B677E">
              <w:rPr>
                <w:rFonts w:eastAsia="Times New Roman" w:cs="Times New Roman"/>
                <w:bCs/>
                <w:iCs/>
                <w:color w:val="000000"/>
                <w:lang w:val="fr-FR"/>
              </w:rPr>
              <w:t xml:space="preserve"> </w:t>
            </w:r>
            <w:r w:rsidRPr="002B677E">
              <w:rPr>
                <w:rFonts w:eastAsia="Times New Roman" w:cs="Times New Roman"/>
                <w:bCs/>
                <w:iCs/>
                <w:color w:val="000000"/>
                <w:lang w:val="fr-FR"/>
              </w:rPr>
              <w:t xml:space="preserve">Tinha </w:t>
            </w:r>
          </w:p>
        </w:tc>
        <w:tc>
          <w:tcPr>
            <w:tcW w:w="567" w:type="dxa"/>
            <w:tcBorders>
              <w:top w:val="nil"/>
              <w:left w:val="nil"/>
              <w:bottom w:val="single" w:sz="4" w:space="0" w:color="auto"/>
              <w:right w:val="single" w:sz="4" w:space="0" w:color="auto"/>
            </w:tcBorders>
            <w:shd w:val="clear" w:color="auto" w:fill="auto"/>
            <w:hideMark/>
          </w:tcPr>
          <w:p w14:paraId="70348CDB" w14:textId="11C87824" w:rsidR="002F09A5" w:rsidRPr="002B677E" w:rsidRDefault="004E0307" w:rsidP="002F09A5">
            <w:pPr>
              <w:spacing w:before="0" w:after="0" w:line="240" w:lineRule="auto"/>
              <w:jc w:val="center"/>
              <w:rPr>
                <w:rFonts w:eastAsia="Times New Roman" w:cs="Times New Roman"/>
                <w:bCs/>
                <w:iCs/>
                <w:color w:val="000000"/>
                <w:lang w:val="fr-FR"/>
              </w:rPr>
            </w:pPr>
            <w:r w:rsidRPr="002B677E">
              <w:rPr>
                <w:rFonts w:eastAsia="Times New Roman" w:cs="Times New Roman"/>
                <w:bCs/>
                <w:iCs/>
                <w:color w:val="000000"/>
                <w:lang w:val="fr-FR"/>
              </w:rPr>
              <w:t>H</w:t>
            </w:r>
            <w:r w:rsidR="002F09A5" w:rsidRPr="002B677E">
              <w:rPr>
                <w:rFonts w:eastAsia="Times New Roman" w:cs="Times New Roman"/>
                <w:bCs/>
                <w:iCs/>
                <w:color w:val="000000"/>
                <w:lang w:val="fr-FR"/>
              </w:rPr>
              <w:t> </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2B0C9171"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color w:val="000000"/>
                <w:lang w:val="fr-FR"/>
              </w:rPr>
              <w:t xml:space="preserve">Communication et </w:t>
            </w:r>
            <w:proofErr w:type="spellStart"/>
            <w:r w:rsidRPr="00CA44AE">
              <w:rPr>
                <w:rFonts w:eastAsia="Times New Roman" w:cs="Times New Roman"/>
                <w:b/>
                <w:bCs/>
                <w:color w:val="000000"/>
                <w:lang w:val="fr-FR"/>
              </w:rPr>
              <w:t>Capacity</w:t>
            </w:r>
            <w:proofErr w:type="spellEnd"/>
            <w:r w:rsidRPr="00CA44AE">
              <w:rPr>
                <w:rFonts w:eastAsia="Times New Roman" w:cs="Times New Roman"/>
                <w:b/>
                <w:bCs/>
                <w:color w:val="000000"/>
                <w:lang w:val="fr-FR"/>
              </w:rPr>
              <w:t xml:space="preserve"> Building</w:t>
            </w:r>
            <w:r w:rsidRPr="00CA44AE">
              <w:rPr>
                <w:rFonts w:eastAsia="Times New Roman" w:cs="Times New Roman"/>
                <w:color w:val="000000"/>
                <w:lang w:val="fr-FR"/>
              </w:rPr>
              <w:br/>
              <w:t>APAA, Tuléar</w:t>
            </w:r>
          </w:p>
        </w:tc>
        <w:tc>
          <w:tcPr>
            <w:tcW w:w="1559" w:type="dxa"/>
            <w:vMerge/>
            <w:tcBorders>
              <w:top w:val="nil"/>
              <w:left w:val="single" w:sz="4" w:space="0" w:color="auto"/>
              <w:bottom w:val="single" w:sz="4" w:space="0" w:color="auto"/>
              <w:right w:val="single" w:sz="4" w:space="0" w:color="auto"/>
            </w:tcBorders>
            <w:vAlign w:val="center"/>
            <w:hideMark/>
          </w:tcPr>
          <w:p w14:paraId="007DF5A8"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CA44AE" w14:paraId="7CD24031" w14:textId="77777777" w:rsidTr="002B677E">
        <w:trPr>
          <w:trHeight w:val="560"/>
        </w:trPr>
        <w:tc>
          <w:tcPr>
            <w:tcW w:w="441" w:type="dxa"/>
            <w:tcBorders>
              <w:top w:val="nil"/>
              <w:left w:val="single" w:sz="4" w:space="0" w:color="auto"/>
              <w:bottom w:val="single" w:sz="4" w:space="0" w:color="auto"/>
              <w:right w:val="single" w:sz="4" w:space="0" w:color="auto"/>
            </w:tcBorders>
            <w:shd w:val="clear" w:color="auto" w:fill="auto"/>
            <w:hideMark/>
          </w:tcPr>
          <w:p w14:paraId="44E01345"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4</w:t>
            </w:r>
          </w:p>
        </w:tc>
        <w:tc>
          <w:tcPr>
            <w:tcW w:w="2268" w:type="dxa"/>
            <w:tcBorders>
              <w:top w:val="nil"/>
              <w:left w:val="nil"/>
              <w:bottom w:val="single" w:sz="4" w:space="0" w:color="auto"/>
              <w:right w:val="single" w:sz="4" w:space="0" w:color="auto"/>
            </w:tcBorders>
            <w:shd w:val="clear" w:color="auto" w:fill="auto"/>
            <w:hideMark/>
          </w:tcPr>
          <w:p w14:paraId="6350046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ANDRIANARIMANANA Manjakalaza</w:t>
            </w:r>
          </w:p>
        </w:tc>
        <w:tc>
          <w:tcPr>
            <w:tcW w:w="567" w:type="dxa"/>
            <w:tcBorders>
              <w:top w:val="nil"/>
              <w:left w:val="nil"/>
              <w:bottom w:val="single" w:sz="4" w:space="0" w:color="auto"/>
              <w:right w:val="single" w:sz="4" w:space="0" w:color="auto"/>
            </w:tcBorders>
            <w:shd w:val="clear" w:color="auto" w:fill="auto"/>
            <w:hideMark/>
          </w:tcPr>
          <w:p w14:paraId="0FC69295"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4FF20E7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i/>
                <w:iCs/>
                <w:color w:val="000000"/>
                <w:lang w:val="fr-FR"/>
              </w:rPr>
              <w:t>Coordonnateur Régional</w:t>
            </w:r>
            <w:r w:rsidRPr="00CA44AE">
              <w:rPr>
                <w:rFonts w:eastAsia="Times New Roman" w:cs="Times New Roman"/>
                <w:color w:val="000000"/>
                <w:lang w:val="fr-FR"/>
              </w:rPr>
              <w:br/>
              <w:t>APAA, Tuléar</w:t>
            </w:r>
          </w:p>
        </w:tc>
        <w:tc>
          <w:tcPr>
            <w:tcW w:w="1559" w:type="dxa"/>
            <w:vMerge/>
            <w:tcBorders>
              <w:top w:val="nil"/>
              <w:left w:val="single" w:sz="4" w:space="0" w:color="auto"/>
              <w:bottom w:val="single" w:sz="4" w:space="0" w:color="auto"/>
              <w:right w:val="single" w:sz="4" w:space="0" w:color="auto"/>
            </w:tcBorders>
            <w:vAlign w:val="center"/>
            <w:hideMark/>
          </w:tcPr>
          <w:p w14:paraId="3FE4831D"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2C7DBD42" w14:textId="77777777" w:rsidTr="002B677E">
        <w:trPr>
          <w:trHeight w:val="280"/>
        </w:trPr>
        <w:tc>
          <w:tcPr>
            <w:tcW w:w="441" w:type="dxa"/>
            <w:tcBorders>
              <w:top w:val="nil"/>
              <w:left w:val="single" w:sz="4" w:space="0" w:color="auto"/>
              <w:bottom w:val="single" w:sz="4" w:space="0" w:color="auto"/>
              <w:right w:val="single" w:sz="4" w:space="0" w:color="auto"/>
            </w:tcBorders>
            <w:shd w:val="clear" w:color="auto" w:fill="auto"/>
            <w:hideMark/>
          </w:tcPr>
          <w:p w14:paraId="16F71B6F"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5</w:t>
            </w:r>
          </w:p>
        </w:tc>
        <w:tc>
          <w:tcPr>
            <w:tcW w:w="2268" w:type="dxa"/>
            <w:tcBorders>
              <w:top w:val="nil"/>
              <w:left w:val="nil"/>
              <w:bottom w:val="single" w:sz="4" w:space="0" w:color="auto"/>
              <w:right w:val="single" w:sz="4" w:space="0" w:color="auto"/>
            </w:tcBorders>
            <w:shd w:val="clear" w:color="auto" w:fill="auto"/>
            <w:hideMark/>
          </w:tcPr>
          <w:p w14:paraId="20E429E6"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RAZANAMIARANA Elysabeth</w:t>
            </w:r>
          </w:p>
        </w:tc>
        <w:tc>
          <w:tcPr>
            <w:tcW w:w="567" w:type="dxa"/>
            <w:tcBorders>
              <w:top w:val="nil"/>
              <w:left w:val="nil"/>
              <w:bottom w:val="single" w:sz="4" w:space="0" w:color="auto"/>
              <w:right w:val="single" w:sz="4" w:space="0" w:color="auto"/>
            </w:tcBorders>
            <w:shd w:val="clear" w:color="auto" w:fill="auto"/>
            <w:hideMark/>
          </w:tcPr>
          <w:p w14:paraId="6C281559"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F</w:t>
            </w:r>
          </w:p>
        </w:tc>
        <w:tc>
          <w:tcPr>
            <w:tcW w:w="7654" w:type="dxa"/>
            <w:gridSpan w:val="2"/>
            <w:tcBorders>
              <w:top w:val="single" w:sz="4" w:space="0" w:color="auto"/>
              <w:left w:val="nil"/>
              <w:bottom w:val="single" w:sz="4" w:space="0" w:color="auto"/>
              <w:right w:val="single" w:sz="4" w:space="0" w:color="auto"/>
            </w:tcBorders>
            <w:shd w:val="clear" w:color="auto" w:fill="auto"/>
            <w:vAlign w:val="bottom"/>
            <w:hideMark/>
          </w:tcPr>
          <w:p w14:paraId="58C7EB6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b/>
                <w:bCs/>
                <w:color w:val="000000"/>
                <w:lang w:val="fr-FR"/>
              </w:rPr>
              <w:t>Responsable Administratif et Financier</w:t>
            </w:r>
            <w:r w:rsidRPr="00CA44AE">
              <w:rPr>
                <w:rFonts w:eastAsia="Times New Roman" w:cs="Times New Roman"/>
                <w:color w:val="000000"/>
                <w:lang w:val="fr-FR"/>
              </w:rPr>
              <w:br/>
              <w:t>APAA, Tuléar</w:t>
            </w:r>
          </w:p>
        </w:tc>
        <w:tc>
          <w:tcPr>
            <w:tcW w:w="1559" w:type="dxa"/>
            <w:vMerge/>
            <w:tcBorders>
              <w:top w:val="nil"/>
              <w:left w:val="single" w:sz="4" w:space="0" w:color="auto"/>
              <w:bottom w:val="single" w:sz="4" w:space="0" w:color="auto"/>
              <w:right w:val="single" w:sz="4" w:space="0" w:color="auto"/>
            </w:tcBorders>
            <w:vAlign w:val="center"/>
            <w:hideMark/>
          </w:tcPr>
          <w:p w14:paraId="155EC252"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355FB922" w14:textId="77777777" w:rsidTr="002B677E">
        <w:trPr>
          <w:trHeight w:val="280"/>
        </w:trPr>
        <w:tc>
          <w:tcPr>
            <w:tcW w:w="441" w:type="dxa"/>
            <w:tcBorders>
              <w:top w:val="nil"/>
              <w:left w:val="nil"/>
              <w:bottom w:val="nil"/>
              <w:right w:val="nil"/>
            </w:tcBorders>
            <w:shd w:val="clear" w:color="000000" w:fill="A6A6A6"/>
            <w:noWrap/>
            <w:vAlign w:val="bottom"/>
            <w:hideMark/>
          </w:tcPr>
          <w:p w14:paraId="264D3B5D"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268" w:type="dxa"/>
            <w:tcBorders>
              <w:top w:val="nil"/>
              <w:left w:val="nil"/>
              <w:bottom w:val="nil"/>
              <w:right w:val="nil"/>
            </w:tcBorders>
            <w:shd w:val="clear" w:color="000000" w:fill="A6A6A6"/>
            <w:noWrap/>
            <w:vAlign w:val="bottom"/>
            <w:hideMark/>
          </w:tcPr>
          <w:p w14:paraId="7BEB2E95"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567" w:type="dxa"/>
            <w:tcBorders>
              <w:top w:val="nil"/>
              <w:left w:val="nil"/>
              <w:bottom w:val="nil"/>
              <w:right w:val="nil"/>
            </w:tcBorders>
            <w:shd w:val="clear" w:color="000000" w:fill="A6A6A6"/>
            <w:noWrap/>
            <w:vAlign w:val="bottom"/>
            <w:hideMark/>
          </w:tcPr>
          <w:p w14:paraId="0866F521"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 </w:t>
            </w:r>
          </w:p>
        </w:tc>
        <w:tc>
          <w:tcPr>
            <w:tcW w:w="5528" w:type="dxa"/>
            <w:tcBorders>
              <w:top w:val="nil"/>
              <w:left w:val="nil"/>
              <w:bottom w:val="nil"/>
              <w:right w:val="nil"/>
            </w:tcBorders>
            <w:shd w:val="clear" w:color="000000" w:fill="A6A6A6"/>
            <w:noWrap/>
            <w:vAlign w:val="bottom"/>
            <w:hideMark/>
          </w:tcPr>
          <w:p w14:paraId="70D6B526"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126" w:type="dxa"/>
            <w:tcBorders>
              <w:top w:val="nil"/>
              <w:left w:val="nil"/>
              <w:bottom w:val="nil"/>
              <w:right w:val="nil"/>
            </w:tcBorders>
            <w:shd w:val="clear" w:color="000000" w:fill="A6A6A6"/>
            <w:noWrap/>
            <w:vAlign w:val="bottom"/>
            <w:hideMark/>
          </w:tcPr>
          <w:p w14:paraId="77F05B8D"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1559" w:type="dxa"/>
            <w:tcBorders>
              <w:top w:val="nil"/>
              <w:left w:val="nil"/>
              <w:bottom w:val="nil"/>
              <w:right w:val="nil"/>
            </w:tcBorders>
            <w:shd w:val="clear" w:color="000000" w:fill="A6A6A6"/>
            <w:noWrap/>
            <w:vAlign w:val="bottom"/>
            <w:hideMark/>
          </w:tcPr>
          <w:p w14:paraId="3EA0AED3"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r>
      <w:tr w:rsidR="002F09A5" w:rsidRPr="00CA44AE" w14:paraId="74EA087B" w14:textId="77777777" w:rsidTr="002B677E">
        <w:trPr>
          <w:trHeight w:val="280"/>
        </w:trPr>
        <w:tc>
          <w:tcPr>
            <w:tcW w:w="441" w:type="dxa"/>
            <w:tcBorders>
              <w:top w:val="single" w:sz="4" w:space="0" w:color="auto"/>
              <w:left w:val="single" w:sz="4" w:space="0" w:color="auto"/>
              <w:bottom w:val="single" w:sz="4" w:space="0" w:color="auto"/>
              <w:right w:val="single" w:sz="4" w:space="0" w:color="auto"/>
            </w:tcBorders>
            <w:shd w:val="clear" w:color="auto" w:fill="auto"/>
            <w:hideMark/>
          </w:tcPr>
          <w:p w14:paraId="344E1715"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1</w:t>
            </w:r>
          </w:p>
        </w:tc>
        <w:tc>
          <w:tcPr>
            <w:tcW w:w="2268" w:type="dxa"/>
            <w:tcBorders>
              <w:top w:val="single" w:sz="4" w:space="0" w:color="auto"/>
              <w:left w:val="nil"/>
              <w:bottom w:val="single" w:sz="4" w:space="0" w:color="auto"/>
              <w:right w:val="single" w:sz="4" w:space="0" w:color="auto"/>
            </w:tcBorders>
            <w:shd w:val="clear" w:color="auto" w:fill="auto"/>
            <w:hideMark/>
          </w:tcPr>
          <w:p w14:paraId="32D85047"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Focus Groupe Femmes</w:t>
            </w:r>
          </w:p>
        </w:tc>
        <w:tc>
          <w:tcPr>
            <w:tcW w:w="567" w:type="dxa"/>
            <w:tcBorders>
              <w:top w:val="single" w:sz="4" w:space="0" w:color="auto"/>
              <w:left w:val="nil"/>
              <w:bottom w:val="single" w:sz="4" w:space="0" w:color="auto"/>
              <w:right w:val="single" w:sz="4" w:space="0" w:color="auto"/>
            </w:tcBorders>
            <w:shd w:val="clear" w:color="auto" w:fill="auto"/>
            <w:noWrap/>
            <w:hideMark/>
          </w:tcPr>
          <w:p w14:paraId="2F8C90DB"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F</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4667B04D"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20 représentantes dont 09 &lt; 30 ans. Toutes Membres de l'APC</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B72245E"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07 </w:t>
            </w:r>
            <w:proofErr w:type="spellStart"/>
            <w:r w:rsidRPr="00CA44AE">
              <w:rPr>
                <w:rFonts w:eastAsia="Times New Roman" w:cs="Times New Roman"/>
                <w:color w:val="000000"/>
                <w:lang w:val="fr-FR"/>
              </w:rPr>
              <w:t>nov</w:t>
            </w:r>
            <w:proofErr w:type="spellEnd"/>
            <w:r w:rsidRPr="00CA44AE">
              <w:rPr>
                <w:rFonts w:eastAsia="Times New Roman" w:cs="Times New Roman"/>
                <w:color w:val="000000"/>
                <w:lang w:val="fr-FR"/>
              </w:rPr>
              <w:t xml:space="preserve"> 2019. Village MIJADO</w:t>
            </w:r>
          </w:p>
        </w:tc>
      </w:tr>
      <w:tr w:rsidR="002F09A5" w:rsidRPr="00BE1549" w14:paraId="4E7AB3F5" w14:textId="77777777" w:rsidTr="002B677E">
        <w:trPr>
          <w:trHeight w:val="900"/>
        </w:trPr>
        <w:tc>
          <w:tcPr>
            <w:tcW w:w="441" w:type="dxa"/>
            <w:tcBorders>
              <w:top w:val="nil"/>
              <w:left w:val="single" w:sz="4" w:space="0" w:color="auto"/>
              <w:bottom w:val="single" w:sz="4" w:space="0" w:color="auto"/>
              <w:right w:val="single" w:sz="4" w:space="0" w:color="auto"/>
            </w:tcBorders>
            <w:shd w:val="clear" w:color="auto" w:fill="auto"/>
            <w:hideMark/>
          </w:tcPr>
          <w:p w14:paraId="51544AD2"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2</w:t>
            </w:r>
          </w:p>
        </w:tc>
        <w:tc>
          <w:tcPr>
            <w:tcW w:w="2268" w:type="dxa"/>
            <w:tcBorders>
              <w:top w:val="nil"/>
              <w:left w:val="nil"/>
              <w:bottom w:val="single" w:sz="4" w:space="0" w:color="auto"/>
              <w:right w:val="single" w:sz="4" w:space="0" w:color="auto"/>
            </w:tcBorders>
            <w:shd w:val="clear" w:color="auto" w:fill="auto"/>
            <w:hideMark/>
          </w:tcPr>
          <w:p w14:paraId="29C7491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Focus Groupe Hommes</w:t>
            </w:r>
          </w:p>
        </w:tc>
        <w:tc>
          <w:tcPr>
            <w:tcW w:w="567" w:type="dxa"/>
            <w:tcBorders>
              <w:top w:val="nil"/>
              <w:left w:val="nil"/>
              <w:bottom w:val="single" w:sz="4" w:space="0" w:color="auto"/>
              <w:right w:val="single" w:sz="4" w:space="0" w:color="auto"/>
            </w:tcBorders>
            <w:shd w:val="clear" w:color="auto" w:fill="auto"/>
            <w:noWrap/>
            <w:vAlign w:val="bottom"/>
            <w:hideMark/>
          </w:tcPr>
          <w:p w14:paraId="5D4C8373"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H</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456E1EC6" w14:textId="7B9B50B4"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20 représentants dont 03 &lt; 30 ans. Toutes Membres de l'APC</w:t>
            </w:r>
            <w:r w:rsidRPr="00CA44AE">
              <w:rPr>
                <w:rFonts w:eastAsia="Times New Roman" w:cs="Times New Roman"/>
                <w:color w:val="000000"/>
                <w:lang w:val="fr-FR"/>
              </w:rPr>
              <w:br/>
            </w:r>
            <w:r w:rsidRPr="00CA44AE">
              <w:rPr>
                <w:rFonts w:eastAsia="Times New Roman" w:cs="Times New Roman"/>
                <w:b/>
                <w:bCs/>
                <w:i/>
                <w:iCs/>
                <w:color w:val="000000"/>
                <w:lang w:val="fr-FR"/>
              </w:rPr>
              <w:t xml:space="preserve">Membres de bureau </w:t>
            </w:r>
            <w:proofErr w:type="gramStart"/>
            <w:r w:rsidRPr="00CA44AE">
              <w:rPr>
                <w:rFonts w:eastAsia="Times New Roman" w:cs="Times New Roman"/>
                <w:b/>
                <w:bCs/>
                <w:i/>
                <w:iCs/>
                <w:color w:val="000000"/>
                <w:lang w:val="fr-FR"/>
              </w:rPr>
              <w:t>présents</w:t>
            </w:r>
            <w:r w:rsidRPr="00CA44AE">
              <w:rPr>
                <w:rFonts w:eastAsia="Times New Roman" w:cs="Times New Roman"/>
                <w:color w:val="000000"/>
                <w:lang w:val="fr-FR"/>
              </w:rPr>
              <w:t>:</w:t>
            </w:r>
            <w:proofErr w:type="gramEnd"/>
            <w:r w:rsidRPr="00CA44AE">
              <w:rPr>
                <w:rFonts w:eastAsia="Times New Roman" w:cs="Times New Roman"/>
                <w:color w:val="000000"/>
                <w:lang w:val="fr-FR"/>
              </w:rPr>
              <w:t xml:space="preserve"> Président APC, </w:t>
            </w:r>
            <w:r w:rsidR="00E158E6" w:rsidRPr="00CA44AE">
              <w:rPr>
                <w:rFonts w:eastAsia="Times New Roman" w:cs="Times New Roman"/>
                <w:color w:val="000000"/>
                <w:lang w:val="fr-FR"/>
              </w:rPr>
              <w:t>Vice-Président</w:t>
            </w:r>
            <w:r w:rsidRPr="00CA44AE">
              <w:rPr>
                <w:rFonts w:eastAsia="Times New Roman" w:cs="Times New Roman"/>
                <w:color w:val="000000"/>
                <w:lang w:val="fr-FR"/>
              </w:rPr>
              <w:t xml:space="preserve"> APC; Président VOI; Trésorier APC; 02 Secrétaires APC</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675C104" w14:textId="77777777" w:rsidR="002F09A5" w:rsidRPr="00CA44AE" w:rsidRDefault="002F09A5" w:rsidP="002F09A5">
            <w:pPr>
              <w:spacing w:before="0" w:after="0" w:line="240" w:lineRule="auto"/>
              <w:jc w:val="left"/>
              <w:rPr>
                <w:rFonts w:eastAsia="Times New Roman" w:cs="Times New Roman"/>
                <w:color w:val="000000"/>
                <w:lang w:val="fr-FR"/>
              </w:rPr>
            </w:pPr>
          </w:p>
        </w:tc>
      </w:tr>
      <w:tr w:rsidR="002F09A5" w:rsidRPr="00BE1549" w14:paraId="10CC8F0F" w14:textId="77777777" w:rsidTr="002B677E">
        <w:trPr>
          <w:trHeight w:val="280"/>
        </w:trPr>
        <w:tc>
          <w:tcPr>
            <w:tcW w:w="441" w:type="dxa"/>
            <w:tcBorders>
              <w:top w:val="nil"/>
              <w:left w:val="single" w:sz="4" w:space="0" w:color="auto"/>
              <w:bottom w:val="single" w:sz="4" w:space="0" w:color="auto"/>
              <w:right w:val="nil"/>
            </w:tcBorders>
            <w:shd w:val="clear" w:color="000000" w:fill="A6A6A6"/>
            <w:noWrap/>
            <w:vAlign w:val="bottom"/>
            <w:hideMark/>
          </w:tcPr>
          <w:p w14:paraId="5456A15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268" w:type="dxa"/>
            <w:tcBorders>
              <w:top w:val="nil"/>
              <w:left w:val="nil"/>
              <w:bottom w:val="single" w:sz="4" w:space="0" w:color="auto"/>
              <w:right w:val="nil"/>
            </w:tcBorders>
            <w:shd w:val="clear" w:color="000000" w:fill="A6A6A6"/>
            <w:noWrap/>
            <w:vAlign w:val="bottom"/>
            <w:hideMark/>
          </w:tcPr>
          <w:p w14:paraId="1A791AB8"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567" w:type="dxa"/>
            <w:tcBorders>
              <w:top w:val="nil"/>
              <w:left w:val="nil"/>
              <w:bottom w:val="single" w:sz="4" w:space="0" w:color="auto"/>
              <w:right w:val="nil"/>
            </w:tcBorders>
            <w:shd w:val="clear" w:color="000000" w:fill="A6A6A6"/>
            <w:noWrap/>
            <w:vAlign w:val="bottom"/>
            <w:hideMark/>
          </w:tcPr>
          <w:p w14:paraId="3302C595"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 </w:t>
            </w:r>
          </w:p>
        </w:tc>
        <w:tc>
          <w:tcPr>
            <w:tcW w:w="5528" w:type="dxa"/>
            <w:tcBorders>
              <w:top w:val="nil"/>
              <w:left w:val="nil"/>
              <w:bottom w:val="single" w:sz="4" w:space="0" w:color="auto"/>
              <w:right w:val="nil"/>
            </w:tcBorders>
            <w:shd w:val="clear" w:color="000000" w:fill="A6A6A6"/>
            <w:noWrap/>
            <w:vAlign w:val="bottom"/>
            <w:hideMark/>
          </w:tcPr>
          <w:p w14:paraId="0C62BC93"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126" w:type="dxa"/>
            <w:tcBorders>
              <w:top w:val="nil"/>
              <w:left w:val="nil"/>
              <w:bottom w:val="single" w:sz="4" w:space="0" w:color="auto"/>
              <w:right w:val="nil"/>
            </w:tcBorders>
            <w:shd w:val="clear" w:color="000000" w:fill="A6A6A6"/>
            <w:noWrap/>
            <w:vAlign w:val="bottom"/>
            <w:hideMark/>
          </w:tcPr>
          <w:p w14:paraId="42E905E7"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1559" w:type="dxa"/>
            <w:tcBorders>
              <w:top w:val="nil"/>
              <w:left w:val="nil"/>
              <w:bottom w:val="single" w:sz="4" w:space="0" w:color="auto"/>
              <w:right w:val="single" w:sz="4" w:space="0" w:color="auto"/>
            </w:tcBorders>
            <w:shd w:val="clear" w:color="000000" w:fill="A6A6A6"/>
            <w:noWrap/>
            <w:vAlign w:val="bottom"/>
            <w:hideMark/>
          </w:tcPr>
          <w:p w14:paraId="3EAD135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r>
      <w:tr w:rsidR="002F09A5" w:rsidRPr="00CA44AE" w14:paraId="3567878E" w14:textId="77777777" w:rsidTr="002B677E">
        <w:trPr>
          <w:trHeight w:val="1575"/>
        </w:trPr>
        <w:tc>
          <w:tcPr>
            <w:tcW w:w="441" w:type="dxa"/>
            <w:tcBorders>
              <w:top w:val="nil"/>
              <w:left w:val="single" w:sz="4" w:space="0" w:color="auto"/>
              <w:bottom w:val="single" w:sz="4" w:space="0" w:color="auto"/>
              <w:right w:val="single" w:sz="4" w:space="0" w:color="auto"/>
            </w:tcBorders>
            <w:shd w:val="clear" w:color="auto" w:fill="auto"/>
            <w:hideMark/>
          </w:tcPr>
          <w:p w14:paraId="1298F5BD" w14:textId="77777777" w:rsidR="002F09A5" w:rsidRPr="00CA44AE" w:rsidRDefault="002F09A5" w:rsidP="002F09A5">
            <w:pPr>
              <w:spacing w:before="0" w:after="0" w:line="240" w:lineRule="auto"/>
              <w:jc w:val="right"/>
              <w:rPr>
                <w:rFonts w:eastAsia="Times New Roman" w:cs="Times New Roman"/>
                <w:color w:val="000000"/>
                <w:lang w:val="fr-FR"/>
              </w:rPr>
            </w:pPr>
            <w:r w:rsidRPr="00CA44AE">
              <w:rPr>
                <w:rFonts w:eastAsia="Times New Roman" w:cs="Times New Roman"/>
                <w:color w:val="000000"/>
                <w:lang w:val="fr-FR"/>
              </w:rPr>
              <w:t>1</w:t>
            </w:r>
          </w:p>
        </w:tc>
        <w:tc>
          <w:tcPr>
            <w:tcW w:w="2268" w:type="dxa"/>
            <w:tcBorders>
              <w:top w:val="nil"/>
              <w:left w:val="nil"/>
              <w:bottom w:val="single" w:sz="4" w:space="0" w:color="auto"/>
              <w:right w:val="single" w:sz="4" w:space="0" w:color="auto"/>
            </w:tcBorders>
            <w:shd w:val="clear" w:color="auto" w:fill="auto"/>
            <w:hideMark/>
          </w:tcPr>
          <w:p w14:paraId="11180B7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Focus mixte</w:t>
            </w:r>
          </w:p>
        </w:tc>
        <w:tc>
          <w:tcPr>
            <w:tcW w:w="567" w:type="dxa"/>
            <w:tcBorders>
              <w:top w:val="nil"/>
              <w:left w:val="nil"/>
              <w:bottom w:val="single" w:sz="4" w:space="0" w:color="auto"/>
              <w:right w:val="single" w:sz="4" w:space="0" w:color="auto"/>
            </w:tcBorders>
            <w:shd w:val="clear" w:color="auto" w:fill="auto"/>
            <w:hideMark/>
          </w:tcPr>
          <w:p w14:paraId="627D53E2"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 </w:t>
            </w:r>
          </w:p>
        </w:tc>
        <w:tc>
          <w:tcPr>
            <w:tcW w:w="7654" w:type="dxa"/>
            <w:gridSpan w:val="2"/>
            <w:tcBorders>
              <w:top w:val="single" w:sz="4" w:space="0" w:color="auto"/>
              <w:left w:val="nil"/>
              <w:bottom w:val="single" w:sz="4" w:space="0" w:color="auto"/>
              <w:right w:val="single" w:sz="4" w:space="0" w:color="auto"/>
            </w:tcBorders>
            <w:shd w:val="clear" w:color="auto" w:fill="auto"/>
            <w:hideMark/>
          </w:tcPr>
          <w:p w14:paraId="7D07FC02" w14:textId="2479E1C1"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10 Femmes et 10 Hommes dont &lt; 30 ans, 04 hommes et 02 femmes</w:t>
            </w:r>
            <w:r w:rsidRPr="00CA44AE">
              <w:rPr>
                <w:rFonts w:eastAsia="Times New Roman" w:cs="Times New Roman"/>
                <w:color w:val="000000"/>
                <w:lang w:val="fr-FR"/>
              </w:rPr>
              <w:br/>
            </w:r>
            <w:r w:rsidRPr="00CA44AE">
              <w:rPr>
                <w:rFonts w:eastAsia="Times New Roman" w:cs="Times New Roman"/>
                <w:b/>
                <w:bCs/>
                <w:i/>
                <w:iCs/>
                <w:color w:val="000000"/>
                <w:lang w:val="fr-FR"/>
              </w:rPr>
              <w:t xml:space="preserve">Catégories socio-professionnels </w:t>
            </w:r>
            <w:proofErr w:type="gramStart"/>
            <w:r w:rsidRPr="00CA44AE">
              <w:rPr>
                <w:rFonts w:eastAsia="Times New Roman" w:cs="Times New Roman"/>
                <w:b/>
                <w:bCs/>
                <w:i/>
                <w:iCs/>
                <w:color w:val="000000"/>
                <w:lang w:val="fr-FR"/>
              </w:rPr>
              <w:t>représentées:</w:t>
            </w:r>
            <w:proofErr w:type="gramEnd"/>
            <w:r w:rsidRPr="00CA44AE">
              <w:rPr>
                <w:rFonts w:eastAsia="Times New Roman" w:cs="Times New Roman"/>
                <w:b/>
                <w:bCs/>
                <w:i/>
                <w:iCs/>
                <w:color w:val="000000"/>
                <w:lang w:val="fr-FR"/>
              </w:rPr>
              <w:br/>
            </w:r>
            <w:r w:rsidRPr="00CA44AE">
              <w:rPr>
                <w:rFonts w:eastAsia="Times New Roman" w:cs="Times New Roman"/>
                <w:color w:val="000000"/>
                <w:lang w:val="fr-FR"/>
              </w:rPr>
              <w:t xml:space="preserve">01 Président Fokontany, 01 Vice-Président Fokontany; 01 Présidente APC; 01 CLP; 01 </w:t>
            </w:r>
            <w:r w:rsidR="00FA12ED" w:rsidRPr="00FA12ED">
              <w:rPr>
                <w:rFonts w:eastAsia="Times New Roman" w:cs="Times New Roman"/>
                <w:color w:val="000000"/>
                <w:lang w:val="fr-FR"/>
              </w:rPr>
              <w:t>institutrice</w:t>
            </w:r>
            <w:r w:rsidRPr="00CA44AE">
              <w:rPr>
                <w:rFonts w:eastAsia="Times New Roman" w:cs="Times New Roman"/>
                <w:color w:val="000000"/>
                <w:lang w:val="fr-FR"/>
              </w:rPr>
              <w:t xml:space="preserve"> et 02 instituteurs; 13 agriculteurs</w:t>
            </w:r>
          </w:p>
        </w:tc>
        <w:tc>
          <w:tcPr>
            <w:tcW w:w="1559" w:type="dxa"/>
            <w:tcBorders>
              <w:top w:val="nil"/>
              <w:left w:val="nil"/>
              <w:bottom w:val="single" w:sz="4" w:space="0" w:color="auto"/>
              <w:right w:val="single" w:sz="4" w:space="0" w:color="auto"/>
            </w:tcBorders>
            <w:shd w:val="clear" w:color="auto" w:fill="auto"/>
            <w:hideMark/>
          </w:tcPr>
          <w:p w14:paraId="79D32CB8"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xml:space="preserve">08 </w:t>
            </w:r>
            <w:proofErr w:type="spellStart"/>
            <w:r w:rsidRPr="00CA44AE">
              <w:rPr>
                <w:rFonts w:eastAsia="Times New Roman" w:cs="Times New Roman"/>
                <w:color w:val="000000"/>
                <w:lang w:val="fr-FR"/>
              </w:rPr>
              <w:t>nov</w:t>
            </w:r>
            <w:proofErr w:type="spellEnd"/>
            <w:r w:rsidRPr="00CA44AE">
              <w:rPr>
                <w:rFonts w:eastAsia="Times New Roman" w:cs="Times New Roman"/>
                <w:color w:val="000000"/>
                <w:lang w:val="fr-FR"/>
              </w:rPr>
              <w:t xml:space="preserve"> 2019. Village ANJABETRONGO</w:t>
            </w:r>
          </w:p>
        </w:tc>
      </w:tr>
      <w:tr w:rsidR="002F09A5" w:rsidRPr="00CA44AE" w14:paraId="6FA353CA" w14:textId="77777777" w:rsidTr="002B677E">
        <w:trPr>
          <w:trHeight w:val="280"/>
        </w:trPr>
        <w:tc>
          <w:tcPr>
            <w:tcW w:w="441" w:type="dxa"/>
            <w:tcBorders>
              <w:top w:val="nil"/>
              <w:left w:val="single" w:sz="4" w:space="0" w:color="auto"/>
              <w:bottom w:val="single" w:sz="4" w:space="0" w:color="auto"/>
              <w:right w:val="nil"/>
            </w:tcBorders>
            <w:shd w:val="clear" w:color="000000" w:fill="A6A6A6"/>
            <w:noWrap/>
            <w:vAlign w:val="bottom"/>
            <w:hideMark/>
          </w:tcPr>
          <w:p w14:paraId="5FC81E0A"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268" w:type="dxa"/>
            <w:tcBorders>
              <w:top w:val="nil"/>
              <w:left w:val="nil"/>
              <w:bottom w:val="single" w:sz="4" w:space="0" w:color="auto"/>
              <w:right w:val="nil"/>
            </w:tcBorders>
            <w:shd w:val="clear" w:color="000000" w:fill="A6A6A6"/>
            <w:noWrap/>
            <w:vAlign w:val="bottom"/>
            <w:hideMark/>
          </w:tcPr>
          <w:p w14:paraId="1B353C1A" w14:textId="118CD4C4" w:rsidR="002F09A5" w:rsidRPr="00CA44AE" w:rsidRDefault="002F09A5" w:rsidP="002F09A5">
            <w:pPr>
              <w:spacing w:before="0" w:after="0" w:line="240" w:lineRule="auto"/>
              <w:jc w:val="left"/>
              <w:rPr>
                <w:rFonts w:eastAsia="Times New Roman" w:cs="Times New Roman"/>
                <w:color w:val="000000"/>
                <w:lang w:val="fr-FR"/>
              </w:rPr>
            </w:pPr>
          </w:p>
        </w:tc>
        <w:tc>
          <w:tcPr>
            <w:tcW w:w="567" w:type="dxa"/>
            <w:tcBorders>
              <w:top w:val="nil"/>
              <w:left w:val="nil"/>
              <w:bottom w:val="single" w:sz="4" w:space="0" w:color="auto"/>
              <w:right w:val="nil"/>
            </w:tcBorders>
            <w:shd w:val="clear" w:color="000000" w:fill="A6A6A6"/>
            <w:noWrap/>
            <w:vAlign w:val="bottom"/>
            <w:hideMark/>
          </w:tcPr>
          <w:p w14:paraId="644F7C72" w14:textId="77777777" w:rsidR="002F09A5" w:rsidRPr="00CA44AE" w:rsidRDefault="002F09A5" w:rsidP="002F09A5">
            <w:pPr>
              <w:spacing w:before="0" w:after="0" w:line="240" w:lineRule="auto"/>
              <w:jc w:val="center"/>
              <w:rPr>
                <w:rFonts w:eastAsia="Times New Roman" w:cs="Times New Roman"/>
                <w:color w:val="000000"/>
                <w:lang w:val="fr-FR"/>
              </w:rPr>
            </w:pPr>
            <w:r w:rsidRPr="00CA44AE">
              <w:rPr>
                <w:rFonts w:eastAsia="Times New Roman" w:cs="Times New Roman"/>
                <w:color w:val="000000"/>
                <w:lang w:val="fr-FR"/>
              </w:rPr>
              <w:t> </w:t>
            </w:r>
          </w:p>
        </w:tc>
        <w:tc>
          <w:tcPr>
            <w:tcW w:w="5528" w:type="dxa"/>
            <w:tcBorders>
              <w:top w:val="nil"/>
              <w:left w:val="nil"/>
              <w:bottom w:val="single" w:sz="4" w:space="0" w:color="auto"/>
              <w:right w:val="nil"/>
            </w:tcBorders>
            <w:shd w:val="clear" w:color="000000" w:fill="A6A6A6"/>
            <w:noWrap/>
            <w:vAlign w:val="bottom"/>
            <w:hideMark/>
          </w:tcPr>
          <w:p w14:paraId="58661AC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2126" w:type="dxa"/>
            <w:tcBorders>
              <w:top w:val="nil"/>
              <w:left w:val="nil"/>
              <w:bottom w:val="single" w:sz="4" w:space="0" w:color="auto"/>
              <w:right w:val="nil"/>
            </w:tcBorders>
            <w:shd w:val="clear" w:color="000000" w:fill="A6A6A6"/>
            <w:noWrap/>
            <w:vAlign w:val="bottom"/>
            <w:hideMark/>
          </w:tcPr>
          <w:p w14:paraId="601EE7D6"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c>
          <w:tcPr>
            <w:tcW w:w="1559" w:type="dxa"/>
            <w:tcBorders>
              <w:top w:val="nil"/>
              <w:left w:val="nil"/>
              <w:bottom w:val="single" w:sz="4" w:space="0" w:color="auto"/>
              <w:right w:val="single" w:sz="4" w:space="0" w:color="auto"/>
            </w:tcBorders>
            <w:shd w:val="clear" w:color="000000" w:fill="A6A6A6"/>
            <w:noWrap/>
            <w:vAlign w:val="bottom"/>
            <w:hideMark/>
          </w:tcPr>
          <w:p w14:paraId="5ACFC41C" w14:textId="77777777" w:rsidR="002F09A5" w:rsidRPr="00CA44AE" w:rsidRDefault="002F09A5" w:rsidP="002F09A5">
            <w:pPr>
              <w:spacing w:before="0" w:after="0" w:line="240" w:lineRule="auto"/>
              <w:jc w:val="left"/>
              <w:rPr>
                <w:rFonts w:eastAsia="Times New Roman" w:cs="Times New Roman"/>
                <w:color w:val="000000"/>
                <w:lang w:val="fr-FR"/>
              </w:rPr>
            </w:pPr>
            <w:r w:rsidRPr="00CA44AE">
              <w:rPr>
                <w:rFonts w:eastAsia="Times New Roman" w:cs="Times New Roman"/>
                <w:color w:val="000000"/>
                <w:lang w:val="fr-FR"/>
              </w:rPr>
              <w:t> </w:t>
            </w:r>
          </w:p>
        </w:tc>
      </w:tr>
    </w:tbl>
    <w:p w14:paraId="27981DBA" w14:textId="77777777" w:rsidR="00711071" w:rsidRPr="00C50F13" w:rsidRDefault="00711071" w:rsidP="000E13B7">
      <w:pPr>
        <w:pStyle w:val="Default"/>
        <w:rPr>
          <w:lang w:val="fr-FR"/>
        </w:rPr>
      </w:pPr>
    </w:p>
    <w:sectPr w:rsidR="00711071" w:rsidRPr="00C50F13" w:rsidSect="00CA44AE">
      <w:pgSz w:w="15840" w:h="12240" w:orient="landscape"/>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B0C87" w14:textId="77777777" w:rsidR="002B73C6" w:rsidRDefault="002B73C6" w:rsidP="00184393">
      <w:pPr>
        <w:spacing w:after="0" w:line="240" w:lineRule="auto"/>
      </w:pPr>
      <w:r>
        <w:separator/>
      </w:r>
    </w:p>
    <w:p w14:paraId="444C717B" w14:textId="77777777" w:rsidR="002B73C6" w:rsidRDefault="002B73C6"/>
  </w:endnote>
  <w:endnote w:type="continuationSeparator" w:id="0">
    <w:p w14:paraId="7A015771" w14:textId="77777777" w:rsidR="002B73C6" w:rsidRDefault="002B73C6" w:rsidP="00184393">
      <w:pPr>
        <w:spacing w:after="0" w:line="240" w:lineRule="auto"/>
      </w:pPr>
      <w:r>
        <w:continuationSeparator/>
      </w:r>
    </w:p>
    <w:p w14:paraId="208481A3" w14:textId="77777777" w:rsidR="002B73C6" w:rsidRDefault="002B73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hnschrift SemiBold Condensed">
    <w:panose1 w:val="020B0502040204020203"/>
    <w:charset w:val="00"/>
    <w:family w:val="swiss"/>
    <w:pitch w:val="variable"/>
    <w:sig w:usb0="A00002C7" w:usb1="00000002" w:usb2="00000000" w:usb3="00000000" w:csb0="0000019F" w:csb1="00000000"/>
  </w:font>
  <w:font w:name="Gill Sans MT">
    <w:charset w:val="00"/>
    <w:family w:val="swiss"/>
    <w:pitch w:val="variable"/>
    <w:sig w:usb0="00000003" w:usb1="00000000" w:usb2="00000000" w:usb3="00000000" w:csb0="00000003"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4644"/>
      <w:docPartObj>
        <w:docPartGallery w:val="Page Numbers (Bottom of Page)"/>
        <w:docPartUnique/>
      </w:docPartObj>
    </w:sdtPr>
    <w:sdtEndPr/>
    <w:sdtContent>
      <w:p w14:paraId="3DAD31F3" w14:textId="5C6E8431" w:rsidR="001572D7" w:rsidRDefault="001572D7" w:rsidP="00D3224F">
        <w:pPr>
          <w:pStyle w:val="Pieddepage"/>
          <w:spacing w:before="0"/>
          <w:jc w:val="center"/>
          <w:rPr>
            <w:noProof/>
          </w:rPr>
        </w:pPr>
        <w:r>
          <w:fldChar w:fldCharType="begin"/>
        </w:r>
        <w:r>
          <w:instrText xml:space="preserve"> PAGE   \* MERGEFORMAT </w:instrText>
        </w:r>
        <w:r>
          <w:fldChar w:fldCharType="separate"/>
        </w:r>
        <w:r>
          <w:rPr>
            <w:noProof/>
          </w:rPr>
          <w:t>iii</w:t>
        </w:r>
        <w:r>
          <w:rPr>
            <w:noProof/>
          </w:rPr>
          <w:fldChar w:fldCharType="end"/>
        </w:r>
      </w:p>
    </w:sdtContent>
  </w:sdt>
  <w:p w14:paraId="3861FC70" w14:textId="77777777" w:rsidR="001572D7" w:rsidRPr="00276807" w:rsidRDefault="001572D7" w:rsidP="00D3224F">
    <w:pPr>
      <w:pStyle w:val="Pieddepage"/>
      <w:spacing w:before="0"/>
      <w:jc w:val="center"/>
    </w:pPr>
    <w:r w:rsidRPr="00886A8C">
      <w:rPr>
        <w:noProof/>
        <w:lang w:val="en-US"/>
      </w:rPr>
      <w:drawing>
        <wp:inline distT="0" distB="0" distL="0" distR="0" wp14:anchorId="6512F218" wp14:editId="22DE7A62">
          <wp:extent cx="659765" cy="269875"/>
          <wp:effectExtent l="0" t="0" r="698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26987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0098373"/>
      <w:docPartObj>
        <w:docPartGallery w:val="Page Numbers (Bottom of Page)"/>
        <w:docPartUnique/>
      </w:docPartObj>
    </w:sdtPr>
    <w:sdtEndPr/>
    <w:sdtContent>
      <w:p w14:paraId="2B82A1E0" w14:textId="72C4AE5C" w:rsidR="001572D7" w:rsidRDefault="001572D7">
        <w:pPr>
          <w:pStyle w:val="Pieddepage"/>
          <w:jc w:val="center"/>
        </w:pPr>
        <w:r>
          <w:fldChar w:fldCharType="begin"/>
        </w:r>
        <w:r>
          <w:instrText xml:space="preserve"> PAGE   \* MERGEFORMAT </w:instrText>
        </w:r>
        <w:r>
          <w:fldChar w:fldCharType="separate"/>
        </w:r>
        <w:r>
          <w:rPr>
            <w:noProof/>
          </w:rPr>
          <w:t>9</w:t>
        </w:r>
        <w:r>
          <w:rPr>
            <w:noProof/>
          </w:rPr>
          <w:fldChar w:fldCharType="end"/>
        </w:r>
      </w:p>
    </w:sdtContent>
  </w:sdt>
  <w:p w14:paraId="4D88E571" w14:textId="77777777" w:rsidR="001572D7" w:rsidRPr="00276807" w:rsidRDefault="001572D7" w:rsidP="00BC63F6">
    <w:pPr>
      <w:pStyle w:val="Pieddepage"/>
      <w:spacing w:before="0"/>
      <w:jc w:val="center"/>
    </w:pPr>
    <w:r w:rsidRPr="00886A8C">
      <w:rPr>
        <w:noProof/>
        <w:lang w:val="en-US"/>
      </w:rPr>
      <w:drawing>
        <wp:inline distT="0" distB="0" distL="0" distR="0" wp14:anchorId="29719FE7" wp14:editId="071034C4">
          <wp:extent cx="659765" cy="269875"/>
          <wp:effectExtent l="0" t="0" r="698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26987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1010473"/>
      <w:docPartObj>
        <w:docPartGallery w:val="Page Numbers (Bottom of Page)"/>
        <w:docPartUnique/>
      </w:docPartObj>
    </w:sdtPr>
    <w:sdtEndPr/>
    <w:sdtContent>
      <w:p w14:paraId="2D9F2D1B" w14:textId="7478B65C" w:rsidR="001572D7" w:rsidRDefault="001572D7">
        <w:pPr>
          <w:pStyle w:val="Pieddepage"/>
          <w:jc w:val="center"/>
        </w:pPr>
        <w:r>
          <w:fldChar w:fldCharType="begin"/>
        </w:r>
        <w:r>
          <w:instrText xml:space="preserve"> PAGE   \* MERGEFORMAT </w:instrText>
        </w:r>
        <w:r>
          <w:fldChar w:fldCharType="separate"/>
        </w:r>
        <w:r>
          <w:rPr>
            <w:noProof/>
          </w:rPr>
          <w:t>53</w:t>
        </w:r>
        <w:r>
          <w:rPr>
            <w:noProof/>
          </w:rPr>
          <w:fldChar w:fldCharType="end"/>
        </w:r>
      </w:p>
    </w:sdtContent>
  </w:sdt>
  <w:p w14:paraId="4E92252C" w14:textId="77777777" w:rsidR="001572D7" w:rsidRPr="00276807" w:rsidRDefault="001572D7" w:rsidP="00BC63F6">
    <w:pPr>
      <w:pStyle w:val="Pieddepage"/>
      <w:spacing w:before="0"/>
      <w:jc w:val="center"/>
    </w:pPr>
    <w:r w:rsidRPr="00886A8C">
      <w:rPr>
        <w:noProof/>
        <w:lang w:val="en-US"/>
      </w:rPr>
      <w:drawing>
        <wp:inline distT="0" distB="0" distL="0" distR="0" wp14:anchorId="13C5007F" wp14:editId="07B0D1F2">
          <wp:extent cx="659765" cy="269875"/>
          <wp:effectExtent l="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269875"/>
                  </a:xfrm>
                  <a:prstGeom prst="rect">
                    <a:avLst/>
                  </a:prstGeom>
                  <a:noFill/>
                </pic:spPr>
              </pic:pic>
            </a:graphicData>
          </a:graphic>
        </wp:inline>
      </w:drawing>
    </w:r>
  </w:p>
  <w:p w14:paraId="57A8E3F2" w14:textId="77777777" w:rsidR="001572D7" w:rsidRDefault="001572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5047"/>
      <w:docPartObj>
        <w:docPartGallery w:val="Page Numbers (Bottom of Page)"/>
        <w:docPartUnique/>
      </w:docPartObj>
    </w:sdtPr>
    <w:sdtEndPr/>
    <w:sdtContent>
      <w:p w14:paraId="78EEF99A" w14:textId="421FAF19" w:rsidR="001572D7" w:rsidRDefault="001572D7">
        <w:pPr>
          <w:pStyle w:val="Pieddepage"/>
          <w:jc w:val="center"/>
        </w:pPr>
        <w:r>
          <w:fldChar w:fldCharType="begin"/>
        </w:r>
        <w:r>
          <w:instrText xml:space="preserve"> PAGE   \* MERGEFORMAT </w:instrText>
        </w:r>
        <w:r>
          <w:fldChar w:fldCharType="separate"/>
        </w:r>
        <w:r>
          <w:rPr>
            <w:noProof/>
          </w:rPr>
          <w:t>61</w:t>
        </w:r>
        <w:r>
          <w:rPr>
            <w:noProof/>
          </w:rPr>
          <w:fldChar w:fldCharType="end"/>
        </w:r>
      </w:p>
    </w:sdtContent>
  </w:sdt>
  <w:p w14:paraId="02EA893A" w14:textId="77777777" w:rsidR="001572D7" w:rsidRPr="00276807" w:rsidRDefault="001572D7" w:rsidP="00BC63F6">
    <w:pPr>
      <w:pStyle w:val="Pieddepage"/>
      <w:spacing w:befor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493431"/>
      <w:docPartObj>
        <w:docPartGallery w:val="Page Numbers (Bottom of Page)"/>
        <w:docPartUnique/>
      </w:docPartObj>
    </w:sdtPr>
    <w:sdtEndPr/>
    <w:sdtContent>
      <w:p w14:paraId="2B605DB9" w14:textId="3B75AF23" w:rsidR="001572D7" w:rsidRDefault="001572D7">
        <w:pPr>
          <w:pStyle w:val="Pieddepage"/>
          <w:jc w:val="center"/>
        </w:pPr>
        <w:r>
          <w:fldChar w:fldCharType="begin"/>
        </w:r>
        <w:r>
          <w:instrText>PAGE   \* MERGEFORMAT</w:instrText>
        </w:r>
        <w:r>
          <w:fldChar w:fldCharType="separate"/>
        </w:r>
        <w:r w:rsidRPr="00DE5713">
          <w:rPr>
            <w:noProof/>
            <w:lang w:val="fr-FR"/>
          </w:rPr>
          <w:t>65</w:t>
        </w:r>
        <w:r>
          <w:fldChar w:fldCharType="end"/>
        </w:r>
      </w:p>
    </w:sdtContent>
  </w:sdt>
  <w:p w14:paraId="30D2C042" w14:textId="77777777" w:rsidR="001572D7" w:rsidRPr="00CA44AE" w:rsidRDefault="001572D7" w:rsidP="00E35F73">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A2D5" w14:textId="77777777" w:rsidR="002B73C6" w:rsidRPr="005625CB" w:rsidRDefault="002B73C6" w:rsidP="00184393">
      <w:pPr>
        <w:spacing w:after="0" w:line="240" w:lineRule="auto"/>
        <w:rPr>
          <w:color w:val="133C66"/>
        </w:rPr>
      </w:pPr>
      <w:r w:rsidRPr="005625CB">
        <w:rPr>
          <w:color w:val="133C66"/>
        </w:rPr>
        <w:separator/>
      </w:r>
    </w:p>
  </w:footnote>
  <w:footnote w:type="continuationSeparator" w:id="0">
    <w:p w14:paraId="7D49FE2F" w14:textId="77777777" w:rsidR="002B73C6" w:rsidRPr="005625CB" w:rsidRDefault="002B73C6" w:rsidP="005625CB">
      <w:pPr>
        <w:spacing w:after="0" w:line="240" w:lineRule="auto"/>
        <w:rPr>
          <w:color w:val="133C66"/>
        </w:rPr>
      </w:pPr>
      <w:r w:rsidRPr="005625CB">
        <w:rPr>
          <w:color w:val="133C66"/>
        </w:rPr>
        <w:separator/>
      </w:r>
    </w:p>
    <w:p w14:paraId="1AA95C38" w14:textId="77777777" w:rsidR="002B73C6" w:rsidRDefault="002B73C6"/>
  </w:footnote>
  <w:footnote w:id="1">
    <w:p w14:paraId="72DE3FFD" w14:textId="77777777" w:rsidR="001572D7" w:rsidRPr="008F47A6" w:rsidRDefault="001572D7" w:rsidP="00F60DBD">
      <w:pPr>
        <w:pStyle w:val="Notedebasdepage"/>
        <w:rPr>
          <w:lang w:val="fr-FR"/>
        </w:rPr>
      </w:pPr>
      <w:r>
        <w:rPr>
          <w:rStyle w:val="Appelnotedebasdep"/>
        </w:rPr>
        <w:footnoteRef/>
      </w:r>
      <w:r w:rsidRPr="008F47A6">
        <w:rPr>
          <w:lang w:val="fr-FR"/>
        </w:rPr>
        <w:t xml:space="preserve"> Source : </w:t>
      </w:r>
      <w:hyperlink r:id="rId1" w:history="1">
        <w:r w:rsidRPr="008F47A6">
          <w:rPr>
            <w:rStyle w:val="Lienhypertexte"/>
            <w:lang w:val="fr-FR"/>
          </w:rPr>
          <w:t>http://web.undp.org/evaluation/documents/guidance/GEF/GEF-TE-Guide_FRE.pdf</w:t>
        </w:r>
      </w:hyperlink>
      <w:r w:rsidRPr="008F47A6">
        <w:rPr>
          <w:lang w:val="fr-FR"/>
        </w:rPr>
        <w:t xml:space="preserve"> </w:t>
      </w:r>
    </w:p>
  </w:footnote>
  <w:footnote w:id="2">
    <w:p w14:paraId="07811DB5" w14:textId="77777777" w:rsidR="001572D7" w:rsidRPr="00C50F13" w:rsidRDefault="001572D7" w:rsidP="007E745A">
      <w:pPr>
        <w:pStyle w:val="Notedebasdepage"/>
        <w:rPr>
          <w:lang w:val="fr-FR"/>
        </w:rPr>
      </w:pPr>
      <w:r>
        <w:rPr>
          <w:rStyle w:val="Appelnotedebasdep"/>
        </w:rPr>
        <w:footnoteRef/>
      </w:r>
      <w:r w:rsidRPr="00C50F13">
        <w:rPr>
          <w:lang w:val="fr-FR"/>
        </w:rPr>
        <w:t xml:space="preserve"> PNUD, FEM, Document de p</w:t>
      </w:r>
      <w:r>
        <w:rPr>
          <w:lang w:val="fr-FR"/>
        </w:rPr>
        <w:t xml:space="preserve">rojet « Approche </w:t>
      </w:r>
      <w:r w:rsidRPr="00CA1DD1">
        <w:rPr>
          <w:lang w:val="fr-FR"/>
        </w:rPr>
        <w:t>paysage pour la conservation et la gestion de la biodiversité menacée de Madagascar, axée sur le paysage forestier sec et épineux de la région Atsimo Andrefana, Madagasc</w:t>
      </w:r>
      <w:r>
        <w:rPr>
          <w:lang w:val="fr-FR"/>
        </w:rPr>
        <w:t>ar »2016</w:t>
      </w:r>
    </w:p>
  </w:footnote>
  <w:footnote w:id="3">
    <w:p w14:paraId="04B5196A" w14:textId="7F9D66BE" w:rsidR="001572D7" w:rsidRPr="003762E1" w:rsidRDefault="001572D7" w:rsidP="001C135A">
      <w:pPr>
        <w:pStyle w:val="Notedebasdepage"/>
        <w:rPr>
          <w:lang w:val="fr-FR"/>
        </w:rPr>
      </w:pPr>
      <w:r>
        <w:rPr>
          <w:rStyle w:val="Appelnotedebasdep"/>
        </w:rPr>
        <w:footnoteRef/>
      </w:r>
      <w:r w:rsidRPr="003762E1">
        <w:rPr>
          <w:lang w:val="fr-FR"/>
        </w:rPr>
        <w:t xml:space="preserve"> </w:t>
      </w:r>
      <w:r>
        <w:rPr>
          <w:lang w:val="fr-FR"/>
        </w:rPr>
        <w:t>Aujourd’hui MEDD.</w:t>
      </w:r>
    </w:p>
  </w:footnote>
  <w:footnote w:id="4">
    <w:p w14:paraId="461B236A" w14:textId="28AE42D6" w:rsidR="001572D7" w:rsidRPr="008F47A6" w:rsidRDefault="001572D7">
      <w:pPr>
        <w:pStyle w:val="Notedebasdepage"/>
        <w:rPr>
          <w:lang w:val="fr-FR"/>
        </w:rPr>
      </w:pPr>
      <w:r>
        <w:rPr>
          <w:rStyle w:val="Appelnotedebasdep"/>
        </w:rPr>
        <w:footnoteRef/>
      </w:r>
      <w:r w:rsidRPr="008F47A6">
        <w:rPr>
          <w:lang w:val="fr-FR"/>
        </w:rPr>
        <w:t xml:space="preserve"> </w:t>
      </w:r>
      <w:r>
        <w:rPr>
          <w:lang w:val="fr-FR"/>
        </w:rPr>
        <w:t>Annexe 5 Contexte et analyse du projet ; Annexe 6 Description des sites sélectionnés ; Annexe 7 Résumé des rapports techniques issus de la phase de développement préliminaire.</w:t>
      </w:r>
    </w:p>
  </w:footnote>
  <w:footnote w:id="5">
    <w:p w14:paraId="4379A36F" w14:textId="6B46AA0D" w:rsidR="001572D7" w:rsidRPr="008F47A6" w:rsidRDefault="001572D7">
      <w:pPr>
        <w:pStyle w:val="Notedebasdepage"/>
        <w:rPr>
          <w:lang w:val="fr-FR"/>
        </w:rPr>
      </w:pPr>
      <w:r>
        <w:rPr>
          <w:rStyle w:val="Appelnotedebasdep"/>
        </w:rPr>
        <w:footnoteRef/>
      </w:r>
      <w:r w:rsidRPr="008F47A6">
        <w:rPr>
          <w:lang w:val="fr-FR"/>
        </w:rPr>
        <w:t xml:space="preserve"> Rapport Initial, Création d’un </w:t>
      </w:r>
      <w:r>
        <w:rPr>
          <w:lang w:val="fr-FR"/>
        </w:rPr>
        <w:t xml:space="preserve">OPT BD Projet APAA, </w:t>
      </w:r>
      <w:r w:rsidRPr="008F47A6">
        <w:rPr>
          <w:lang w:val="fr-FR"/>
        </w:rPr>
        <w:t>Novembre 2018</w:t>
      </w:r>
      <w:r>
        <w:rPr>
          <w:lang w:val="fr-FR"/>
        </w:rPr>
        <w:t>.</w:t>
      </w:r>
    </w:p>
  </w:footnote>
  <w:footnote w:id="6">
    <w:p w14:paraId="007D033B" w14:textId="63203E80" w:rsidR="001572D7" w:rsidRPr="008F47A6" w:rsidRDefault="001572D7" w:rsidP="00CA44AE">
      <w:pPr>
        <w:pStyle w:val="Notedebasdepage"/>
        <w:rPr>
          <w:lang w:val="fr-FR"/>
        </w:rPr>
      </w:pPr>
      <w:r>
        <w:rPr>
          <w:rStyle w:val="Appelnotedebasdep"/>
        </w:rPr>
        <w:footnoteRef/>
      </w:r>
      <w:r w:rsidRPr="008F47A6">
        <w:rPr>
          <w:lang w:val="fr-FR"/>
        </w:rPr>
        <w:t xml:space="preserve"> </w:t>
      </w:r>
      <w:r>
        <w:rPr>
          <w:lang w:val="fr-FR"/>
        </w:rPr>
        <w:t>La fiche de présentation du projet d’Aout 2019 inclue en guise de Théorie du Changement ceci : « </w:t>
      </w:r>
      <w:r w:rsidRPr="008F47A6">
        <w:rPr>
          <w:i/>
          <w:iCs/>
          <w:lang w:val="fr-FR"/>
        </w:rPr>
        <w:t>SI l’utilisation des espaces au sein de la Région est bien coordonnée et concertée entre tous les décideurs et les exploitants, Et SI les communautés locales prennent en main la gestion rationnelle et la conservation des ressources naturelles au niveau local,</w:t>
      </w:r>
      <w:r>
        <w:rPr>
          <w:i/>
          <w:iCs/>
          <w:lang w:val="fr-FR"/>
        </w:rPr>
        <w:t xml:space="preserve"> </w:t>
      </w:r>
      <w:r w:rsidRPr="008F47A6">
        <w:rPr>
          <w:i/>
          <w:iCs/>
          <w:lang w:val="fr-FR"/>
        </w:rPr>
        <w:t>ALORS la valorisation du capital naturel pourra durablement contribuer au développement économique et social de la population CAR l’économie régionale et locale est essentiellement basée sur l’exploitation des ressources naturelles.</w:t>
      </w:r>
      <w:r>
        <w:rPr>
          <w:lang w:val="fr-FR"/>
        </w:rPr>
        <w:t xml:space="preserve"> » </w:t>
      </w:r>
    </w:p>
  </w:footnote>
  <w:footnote w:id="7">
    <w:p w14:paraId="64D9C068" w14:textId="585937C7" w:rsidR="001572D7" w:rsidRPr="008F47A6" w:rsidRDefault="001572D7" w:rsidP="008C09F6">
      <w:pPr>
        <w:pStyle w:val="Notedebasdepage"/>
        <w:rPr>
          <w:lang w:val="fr-FR"/>
        </w:rPr>
      </w:pPr>
      <w:r>
        <w:rPr>
          <w:rStyle w:val="Appelnotedebasdep"/>
        </w:rPr>
        <w:footnoteRef/>
      </w:r>
      <w:r w:rsidRPr="008F47A6">
        <w:rPr>
          <w:lang w:val="fr-FR"/>
        </w:rPr>
        <w:t xml:space="preserve"> Rapport Groupe 4, Mission d’avril 2018</w:t>
      </w:r>
      <w:r>
        <w:rPr>
          <w:lang w:val="fr-FR"/>
        </w:rPr>
        <w:t>.</w:t>
      </w:r>
    </w:p>
  </w:footnote>
  <w:footnote w:id="8">
    <w:p w14:paraId="046A7C5D" w14:textId="670A8FC3" w:rsidR="001572D7" w:rsidRPr="00CA44AE" w:rsidRDefault="001572D7">
      <w:pPr>
        <w:pStyle w:val="Notedebasdepage"/>
        <w:rPr>
          <w:lang w:val="fr-FR"/>
        </w:rPr>
      </w:pPr>
      <w:r>
        <w:rPr>
          <w:rStyle w:val="Appelnotedebasdep"/>
        </w:rPr>
        <w:footnoteRef/>
      </w:r>
      <w:r w:rsidRPr="00CA44AE">
        <w:rPr>
          <w:lang w:val="fr-FR"/>
        </w:rPr>
        <w:t xml:space="preserve"> </w:t>
      </w:r>
      <w:r>
        <w:rPr>
          <w:lang w:val="fr-FR"/>
        </w:rPr>
        <w:t>Qui correspond à la catégorie I de l’</w:t>
      </w:r>
      <w:r w:rsidRPr="008017A0">
        <w:rPr>
          <w:lang w:val="fr-FR"/>
        </w:rPr>
        <w:t>UICN</w:t>
      </w:r>
    </w:p>
  </w:footnote>
  <w:footnote w:id="9">
    <w:p w14:paraId="22A0C3F8" w14:textId="17200ED9" w:rsidR="001572D7" w:rsidRPr="00CA44AE" w:rsidRDefault="001572D7">
      <w:pPr>
        <w:pStyle w:val="Notedebasdepage"/>
        <w:rPr>
          <w:lang w:val="fr-FR"/>
        </w:rPr>
      </w:pPr>
      <w:r>
        <w:rPr>
          <w:rStyle w:val="Appelnotedebasdep"/>
        </w:rPr>
        <w:footnoteRef/>
      </w:r>
      <w:r w:rsidRPr="00CA44AE">
        <w:rPr>
          <w:lang w:val="fr-FR"/>
        </w:rPr>
        <w:t xml:space="preserve"> </w:t>
      </w:r>
      <w:r>
        <w:rPr>
          <w:lang w:val="fr-FR"/>
        </w:rPr>
        <w:t>Qui correspond à la catégorie II de l’</w:t>
      </w:r>
      <w:r w:rsidRPr="008017A0">
        <w:rPr>
          <w:lang w:val="fr-FR"/>
        </w:rPr>
        <w:t>UICN</w:t>
      </w:r>
    </w:p>
  </w:footnote>
  <w:footnote w:id="10">
    <w:p w14:paraId="207788AD" w14:textId="78173EAF" w:rsidR="001572D7" w:rsidRPr="00CA44AE" w:rsidRDefault="001572D7">
      <w:pPr>
        <w:pStyle w:val="Notedebasdepage"/>
        <w:rPr>
          <w:lang w:val="fr-FR"/>
        </w:rPr>
      </w:pPr>
      <w:r>
        <w:rPr>
          <w:rStyle w:val="Appelnotedebasdep"/>
        </w:rPr>
        <w:footnoteRef/>
      </w:r>
      <w:r w:rsidRPr="00CA44AE">
        <w:rPr>
          <w:lang w:val="fr-FR"/>
        </w:rPr>
        <w:t xml:space="preserve"> Qui correspond à la catégor</w:t>
      </w:r>
      <w:r>
        <w:rPr>
          <w:lang w:val="fr-FR"/>
        </w:rPr>
        <w:t>ie IV de l’</w:t>
      </w:r>
      <w:r w:rsidRPr="008017A0">
        <w:rPr>
          <w:lang w:val="fr-FR"/>
        </w:rPr>
        <w:t>UICN</w:t>
      </w:r>
    </w:p>
  </w:footnote>
  <w:footnote w:id="11">
    <w:p w14:paraId="509F3BC2" w14:textId="77777777" w:rsidR="001572D7" w:rsidRPr="008F5A64" w:rsidRDefault="001572D7" w:rsidP="00FF6C63">
      <w:pPr>
        <w:pStyle w:val="Notedebasdepage"/>
        <w:rPr>
          <w:lang w:val="fr-FR"/>
        </w:rPr>
      </w:pPr>
      <w:r>
        <w:rPr>
          <w:rStyle w:val="Appelnotedebasdep"/>
        </w:rPr>
        <w:footnoteRef/>
      </w:r>
      <w:r w:rsidRPr="008F5A64">
        <w:rPr>
          <w:lang w:val="fr-FR"/>
        </w:rPr>
        <w:t xml:space="preserve"> </w:t>
      </w:r>
      <w:r>
        <w:rPr>
          <w:lang w:val="fr-FR"/>
        </w:rPr>
        <w:t>Qui correspond également à la catégorie II de</w:t>
      </w:r>
      <w:r w:rsidRPr="003C0DC8">
        <w:rPr>
          <w:lang w:val="fr-FR"/>
        </w:rPr>
        <w:t xml:space="preserve"> </w:t>
      </w:r>
      <w:r>
        <w:rPr>
          <w:lang w:val="fr-FR"/>
        </w:rPr>
        <w:t>l’</w:t>
      </w:r>
      <w:r w:rsidRPr="008017A0">
        <w:rPr>
          <w:lang w:val="fr-FR"/>
        </w:rPr>
        <w:t>UICN</w:t>
      </w:r>
      <w:r>
        <w:rPr>
          <w:lang w:val="fr-FR"/>
        </w:rPr>
        <w:t xml:space="preserve"> </w:t>
      </w:r>
    </w:p>
  </w:footnote>
  <w:footnote w:id="12">
    <w:p w14:paraId="07C47120" w14:textId="77777777" w:rsidR="001572D7" w:rsidRPr="008F5A64" w:rsidRDefault="001572D7" w:rsidP="00FF6C63">
      <w:pPr>
        <w:pStyle w:val="Notedebasdepage"/>
        <w:rPr>
          <w:lang w:val="fr-FR"/>
        </w:rPr>
      </w:pPr>
      <w:r>
        <w:rPr>
          <w:rStyle w:val="Appelnotedebasdep"/>
        </w:rPr>
        <w:footnoteRef/>
      </w:r>
      <w:r w:rsidRPr="008F5A64">
        <w:rPr>
          <w:lang w:val="fr-FR"/>
        </w:rPr>
        <w:t xml:space="preserve"> </w:t>
      </w:r>
      <w:r>
        <w:rPr>
          <w:lang w:val="fr-FR"/>
        </w:rPr>
        <w:t>Qui correspond à la catégorie III de l’UICN</w:t>
      </w:r>
    </w:p>
  </w:footnote>
  <w:footnote w:id="13">
    <w:p w14:paraId="16347E77" w14:textId="77777777" w:rsidR="001572D7" w:rsidRPr="008F5A64" w:rsidRDefault="001572D7" w:rsidP="00FF6C63">
      <w:pPr>
        <w:pStyle w:val="Notedebasdepage"/>
        <w:rPr>
          <w:lang w:val="fr-FR"/>
        </w:rPr>
      </w:pPr>
      <w:r>
        <w:rPr>
          <w:rStyle w:val="Appelnotedebasdep"/>
        </w:rPr>
        <w:footnoteRef/>
      </w:r>
      <w:r w:rsidRPr="008F5A64">
        <w:rPr>
          <w:lang w:val="fr-FR"/>
        </w:rPr>
        <w:t xml:space="preserve"> </w:t>
      </w:r>
      <w:r>
        <w:rPr>
          <w:lang w:val="fr-FR"/>
        </w:rPr>
        <w:t>Qui correspond à la catégorie V de l’UICN</w:t>
      </w:r>
    </w:p>
  </w:footnote>
  <w:footnote w:id="14">
    <w:p w14:paraId="76E46AA7" w14:textId="77777777" w:rsidR="001572D7" w:rsidRPr="007E4C80" w:rsidRDefault="001572D7" w:rsidP="00FF6C63">
      <w:pPr>
        <w:pStyle w:val="Notedebasdepage"/>
        <w:rPr>
          <w:lang w:val="fr-FR"/>
        </w:rPr>
      </w:pPr>
      <w:r>
        <w:rPr>
          <w:rStyle w:val="Appelnotedebasdep"/>
        </w:rPr>
        <w:footnoteRef/>
      </w:r>
      <w:r w:rsidRPr="008F5A64">
        <w:rPr>
          <w:lang w:val="fr-FR"/>
        </w:rPr>
        <w:t xml:space="preserve"> </w:t>
      </w:r>
      <w:r>
        <w:rPr>
          <w:lang w:val="fr-FR"/>
        </w:rPr>
        <w:t>Qui correspond à la catégorie VI de l’UICN</w:t>
      </w:r>
    </w:p>
    <w:p w14:paraId="33DC7730" w14:textId="77777777" w:rsidR="001572D7" w:rsidRPr="008F5A64" w:rsidRDefault="001572D7" w:rsidP="00FF6C63">
      <w:pPr>
        <w:pStyle w:val="Notedebasdepage"/>
        <w:rPr>
          <w:lang w:val="fr-FR"/>
        </w:rPr>
      </w:pPr>
    </w:p>
  </w:footnote>
  <w:footnote w:id="15">
    <w:p w14:paraId="0906EE6F" w14:textId="5EBE661E" w:rsidR="001572D7" w:rsidRPr="008F47A6" w:rsidRDefault="001572D7">
      <w:pPr>
        <w:pStyle w:val="Notedebasdepage"/>
        <w:rPr>
          <w:lang w:val="fr-FR"/>
        </w:rPr>
      </w:pPr>
      <w:r>
        <w:rPr>
          <w:rStyle w:val="Appelnotedebasdep"/>
        </w:rPr>
        <w:footnoteRef/>
      </w:r>
      <w:r w:rsidRPr="008F47A6">
        <w:rPr>
          <w:lang w:val="fr-FR"/>
        </w:rPr>
        <w:t xml:space="preserve"> </w:t>
      </w:r>
      <w:r w:rsidRPr="00FB0A92">
        <w:rPr>
          <w:lang w:val="fr-FR"/>
        </w:rPr>
        <w:t>PAD, 2016</w:t>
      </w:r>
    </w:p>
  </w:footnote>
  <w:footnote w:id="16">
    <w:p w14:paraId="211194C0" w14:textId="77777777" w:rsidR="001572D7" w:rsidRPr="008F47A6" w:rsidRDefault="001572D7" w:rsidP="00DE1F0C">
      <w:pPr>
        <w:pStyle w:val="Notedebasdepage"/>
        <w:rPr>
          <w:lang w:val="fr-FR"/>
        </w:rPr>
      </w:pPr>
      <w:r>
        <w:rPr>
          <w:rStyle w:val="Appelnotedebasdep"/>
        </w:rPr>
        <w:footnoteRef/>
      </w:r>
      <w:r w:rsidRPr="008F47A6">
        <w:rPr>
          <w:lang w:val="fr-FR"/>
        </w:rPr>
        <w:t xml:space="preserve"> PAD, 2016</w:t>
      </w:r>
    </w:p>
  </w:footnote>
  <w:footnote w:id="17">
    <w:p w14:paraId="7E8616FC" w14:textId="77777777" w:rsidR="001572D7" w:rsidRPr="00867A56" w:rsidRDefault="001572D7" w:rsidP="00AB4B90">
      <w:pPr>
        <w:pStyle w:val="Notedebasdepage"/>
        <w:rPr>
          <w:lang w:val="fr-FR"/>
        </w:rPr>
      </w:pPr>
      <w:r>
        <w:rPr>
          <w:rStyle w:val="Appelnotedebasdep"/>
        </w:rPr>
        <w:footnoteRef/>
      </w:r>
      <w:r w:rsidRPr="00867A56">
        <w:rPr>
          <w:lang w:val="fr-FR"/>
        </w:rPr>
        <w:t xml:space="preserve"> </w:t>
      </w:r>
      <w:r>
        <w:rPr>
          <w:lang w:val="fr-FR"/>
        </w:rPr>
        <w:t>S</w:t>
      </w:r>
      <w:r w:rsidRPr="00587A8A">
        <w:rPr>
          <w:lang w:val="fr-FR"/>
        </w:rPr>
        <w:t>pécifique, Mesurable, Acceptable (et Ambitieux), Réaliste, Temporellement défini</w:t>
      </w:r>
    </w:p>
  </w:footnote>
  <w:footnote w:id="18">
    <w:p w14:paraId="4638ED5D" w14:textId="1CC0AC82" w:rsidR="001572D7" w:rsidRPr="00CA44AE" w:rsidRDefault="001572D7">
      <w:pPr>
        <w:pStyle w:val="Notedebasdepage"/>
        <w:rPr>
          <w:lang w:val="fr-FR"/>
        </w:rPr>
      </w:pPr>
      <w:r>
        <w:rPr>
          <w:rStyle w:val="Appelnotedebasdep"/>
        </w:rPr>
        <w:footnoteRef/>
      </w:r>
      <w:r w:rsidRPr="00CA44AE">
        <w:rPr>
          <w:lang w:val="fr-FR"/>
        </w:rPr>
        <w:t xml:space="preserve"> Telles que la</w:t>
      </w:r>
      <w:r>
        <w:rPr>
          <w:lang w:val="fr-FR"/>
        </w:rPr>
        <w:t xml:space="preserve"> Région, la DREDD, le MEDD, le BCMM, le DIRAT, l’ONE, les gestionnaires d’AP, entre autres. </w:t>
      </w:r>
    </w:p>
  </w:footnote>
  <w:footnote w:id="19">
    <w:p w14:paraId="36895578" w14:textId="77777777" w:rsidR="001572D7" w:rsidRPr="008F47A6" w:rsidRDefault="001572D7" w:rsidP="00D03907">
      <w:pPr>
        <w:pStyle w:val="Notedebasdepage"/>
        <w:rPr>
          <w:lang w:val="fr-FR"/>
        </w:rPr>
      </w:pPr>
      <w:r>
        <w:rPr>
          <w:rStyle w:val="Appelnotedebasdep"/>
        </w:rPr>
        <w:footnoteRef/>
      </w:r>
      <w:r w:rsidRPr="008F47A6">
        <w:rPr>
          <w:lang w:val="fr-FR"/>
        </w:rPr>
        <w:t xml:space="preserve"> </w:t>
      </w:r>
      <w:r>
        <w:rPr>
          <w:lang w:val="fr-FR"/>
        </w:rPr>
        <w:t>PIR, 2019 &amp; PIR, 2018</w:t>
      </w:r>
    </w:p>
  </w:footnote>
  <w:footnote w:id="20">
    <w:p w14:paraId="5EB15F95" w14:textId="1E3D149F" w:rsidR="001572D7" w:rsidRPr="008F47A6" w:rsidRDefault="001572D7">
      <w:pPr>
        <w:pStyle w:val="Notedebasdepage"/>
        <w:rPr>
          <w:lang w:val="fr-FR"/>
        </w:rPr>
      </w:pPr>
      <w:r>
        <w:rPr>
          <w:rStyle w:val="Appelnotedebasdep"/>
        </w:rPr>
        <w:footnoteRef/>
      </w:r>
      <w:r w:rsidRPr="008F47A6">
        <w:rPr>
          <w:lang w:val="fr-FR"/>
        </w:rPr>
        <w:t xml:space="preserve"> Rapport </w:t>
      </w:r>
      <w:r>
        <w:rPr>
          <w:lang w:val="fr-FR"/>
        </w:rPr>
        <w:t xml:space="preserve">Final </w:t>
      </w:r>
      <w:r w:rsidRPr="008F47A6">
        <w:rPr>
          <w:lang w:val="fr-FR"/>
        </w:rPr>
        <w:t>Assistant A</w:t>
      </w:r>
      <w:r>
        <w:rPr>
          <w:lang w:val="fr-FR"/>
        </w:rPr>
        <w:t>dministratif et Financier</w:t>
      </w:r>
    </w:p>
  </w:footnote>
  <w:footnote w:id="21">
    <w:p w14:paraId="00EF738D" w14:textId="6D9CFE4F" w:rsidR="001572D7" w:rsidRPr="008F47A6" w:rsidRDefault="001572D7">
      <w:pPr>
        <w:pStyle w:val="Notedebasdepage"/>
        <w:rPr>
          <w:lang w:val="fr-FR"/>
        </w:rPr>
      </w:pPr>
      <w:r>
        <w:rPr>
          <w:rStyle w:val="Appelnotedebasdep"/>
        </w:rPr>
        <w:footnoteRef/>
      </w:r>
      <w:r w:rsidRPr="008F47A6">
        <w:rPr>
          <w:lang w:val="fr-FR"/>
        </w:rPr>
        <w:t xml:space="preserve"> </w:t>
      </w:r>
      <w:r>
        <w:rPr>
          <w:lang w:val="fr-FR"/>
        </w:rPr>
        <w:t>Rapport MEEF, 2015</w:t>
      </w:r>
    </w:p>
  </w:footnote>
  <w:footnote w:id="22">
    <w:p w14:paraId="166E1839" w14:textId="77777777" w:rsidR="001572D7" w:rsidRPr="008F47A6" w:rsidRDefault="001572D7" w:rsidP="00210A25">
      <w:pPr>
        <w:pStyle w:val="Notedebasdepage"/>
        <w:rPr>
          <w:lang w:val="fr-FR"/>
        </w:rPr>
      </w:pPr>
      <w:r>
        <w:rPr>
          <w:rStyle w:val="Appelnotedebasdep"/>
        </w:rPr>
        <w:footnoteRef/>
      </w:r>
      <w:r w:rsidRPr="008F47A6">
        <w:rPr>
          <w:lang w:val="fr-FR"/>
        </w:rPr>
        <w:t xml:space="preserve"> </w:t>
      </w:r>
      <w:r>
        <w:rPr>
          <w:lang w:val="fr-FR"/>
        </w:rPr>
        <w:t>Rapport de démarrage, 2017</w:t>
      </w:r>
    </w:p>
  </w:footnote>
  <w:footnote w:id="23">
    <w:p w14:paraId="67381432" w14:textId="23474A73" w:rsidR="001572D7" w:rsidRPr="008F47A6" w:rsidRDefault="001572D7">
      <w:pPr>
        <w:pStyle w:val="Notedebasdepage"/>
        <w:rPr>
          <w:lang w:val="fr-FR"/>
        </w:rPr>
      </w:pPr>
      <w:r>
        <w:rPr>
          <w:rStyle w:val="Appelnotedebasdep"/>
        </w:rPr>
        <w:footnoteRef/>
      </w:r>
      <w:r w:rsidRPr="008F47A6">
        <w:rPr>
          <w:lang w:val="fr-FR"/>
        </w:rPr>
        <w:t xml:space="preserve"> </w:t>
      </w:r>
      <w:r w:rsidRPr="009B61D0">
        <w:rPr>
          <w:lang w:val="fr-FR"/>
        </w:rPr>
        <w:t xml:space="preserve">Daily </w:t>
      </w:r>
      <w:proofErr w:type="spellStart"/>
      <w:r w:rsidRPr="009B61D0">
        <w:rPr>
          <w:lang w:val="fr-FR"/>
        </w:rPr>
        <w:t>Subsistence</w:t>
      </w:r>
      <w:proofErr w:type="spellEnd"/>
      <w:r w:rsidRPr="009B61D0">
        <w:rPr>
          <w:lang w:val="fr-FR"/>
        </w:rPr>
        <w:t xml:space="preserve"> </w:t>
      </w:r>
      <w:proofErr w:type="spellStart"/>
      <w:r w:rsidRPr="009B61D0">
        <w:rPr>
          <w:lang w:val="fr-FR"/>
        </w:rPr>
        <w:t>Allowance</w:t>
      </w:r>
      <w:proofErr w:type="spellEnd"/>
      <w:r w:rsidRPr="009B61D0">
        <w:rPr>
          <w:lang w:val="fr-FR"/>
        </w:rPr>
        <w:t xml:space="preserve"> (DSA)</w:t>
      </w:r>
      <w:r>
        <w:rPr>
          <w:lang w:val="fr-FR"/>
        </w:rPr>
        <w:t xml:space="preserve"> en anglais</w:t>
      </w:r>
    </w:p>
  </w:footnote>
  <w:footnote w:id="24">
    <w:p w14:paraId="41E986FC" w14:textId="77777777" w:rsidR="001572D7" w:rsidRPr="008F47A6" w:rsidRDefault="001572D7" w:rsidP="00220410">
      <w:pPr>
        <w:pStyle w:val="Notedebasdepage"/>
        <w:rPr>
          <w:lang w:val="fr-FR"/>
        </w:rPr>
      </w:pPr>
      <w:r>
        <w:rPr>
          <w:rStyle w:val="Appelnotedebasdep"/>
        </w:rPr>
        <w:footnoteRef/>
      </w:r>
      <w:r w:rsidRPr="008F47A6">
        <w:rPr>
          <w:lang w:val="fr-FR"/>
        </w:rPr>
        <w:t xml:space="preserve"> </w:t>
      </w:r>
      <w:r>
        <w:rPr>
          <w:lang w:val="fr-FR"/>
        </w:rPr>
        <w:t>Rapport Annuel PNUD, 2017</w:t>
      </w:r>
    </w:p>
  </w:footnote>
  <w:footnote w:id="25">
    <w:p w14:paraId="78B4D257" w14:textId="24B5493F" w:rsidR="001572D7" w:rsidRPr="008F47A6" w:rsidRDefault="001572D7">
      <w:pPr>
        <w:pStyle w:val="Notedebasdepage"/>
        <w:rPr>
          <w:lang w:val="fr-FR"/>
        </w:rPr>
      </w:pPr>
      <w:r>
        <w:rPr>
          <w:rStyle w:val="Appelnotedebasdep"/>
        </w:rPr>
        <w:footnoteRef/>
      </w:r>
      <w:r w:rsidRPr="008F47A6">
        <w:rPr>
          <w:lang w:val="fr-FR"/>
        </w:rPr>
        <w:t xml:space="preserve"> </w:t>
      </w:r>
      <w:r>
        <w:rPr>
          <w:lang w:val="fr-FR"/>
        </w:rPr>
        <w:t xml:space="preserve">Rapport des ateliers de </w:t>
      </w:r>
      <w:proofErr w:type="spellStart"/>
      <w:r>
        <w:rPr>
          <w:lang w:val="fr-FR"/>
        </w:rPr>
        <w:t>Tulear</w:t>
      </w:r>
      <w:proofErr w:type="spellEnd"/>
    </w:p>
  </w:footnote>
  <w:footnote w:id="26">
    <w:p w14:paraId="5F1B81AC" w14:textId="77777777" w:rsidR="001572D7" w:rsidRPr="00510A78" w:rsidRDefault="001572D7" w:rsidP="00201810">
      <w:pPr>
        <w:pStyle w:val="Notedebasdepage"/>
        <w:rPr>
          <w:lang w:val="fr-FR"/>
        </w:rPr>
      </w:pPr>
      <w:r>
        <w:rPr>
          <w:rStyle w:val="Appelnotedebasdep"/>
        </w:rPr>
        <w:footnoteRef/>
      </w:r>
      <w:r w:rsidRPr="00510A78">
        <w:rPr>
          <w:lang w:val="fr-FR"/>
        </w:rPr>
        <w:t xml:space="preserve"> </w:t>
      </w:r>
      <w:r>
        <w:rPr>
          <w:lang w:val="fr-FR"/>
        </w:rPr>
        <w:t xml:space="preserve">Rapport des ateliers de </w:t>
      </w:r>
      <w:proofErr w:type="spellStart"/>
      <w:r>
        <w:rPr>
          <w:lang w:val="fr-FR"/>
        </w:rPr>
        <w:t>Tulear</w:t>
      </w:r>
      <w:proofErr w:type="spellEnd"/>
    </w:p>
  </w:footnote>
  <w:footnote w:id="27">
    <w:p w14:paraId="244A1E33" w14:textId="76D00B09" w:rsidR="001572D7" w:rsidRPr="008F47A6" w:rsidRDefault="001572D7">
      <w:pPr>
        <w:pStyle w:val="Notedebasdepage"/>
        <w:rPr>
          <w:lang w:val="fr-FR"/>
        </w:rPr>
      </w:pPr>
      <w:r>
        <w:rPr>
          <w:rStyle w:val="Appelnotedebasdep"/>
        </w:rPr>
        <w:footnoteRef/>
      </w:r>
      <w:r w:rsidRPr="008F47A6">
        <w:rPr>
          <w:lang w:val="fr-FR"/>
        </w:rPr>
        <w:t xml:space="preserve"> </w:t>
      </w:r>
      <w:r>
        <w:rPr>
          <w:lang w:val="fr-FR"/>
        </w:rPr>
        <w:t>Selon les observations de la mission</w:t>
      </w:r>
    </w:p>
  </w:footnote>
  <w:footnote w:id="28">
    <w:p w14:paraId="4061A901" w14:textId="13D4B7F6" w:rsidR="001572D7" w:rsidRPr="008F47A6" w:rsidRDefault="001572D7">
      <w:pPr>
        <w:pStyle w:val="Notedebasdepage"/>
        <w:rPr>
          <w:lang w:val="fr-FR"/>
        </w:rPr>
      </w:pPr>
      <w:r>
        <w:rPr>
          <w:rStyle w:val="Appelnotedebasdep"/>
        </w:rPr>
        <w:footnoteRef/>
      </w:r>
      <w:r w:rsidRPr="008F47A6">
        <w:rPr>
          <w:lang w:val="fr-FR"/>
        </w:rPr>
        <w:t xml:space="preserve"> </w:t>
      </w:r>
      <w:r>
        <w:rPr>
          <w:lang w:val="fr-FR"/>
        </w:rPr>
        <w:t>Rapport d’atelier de la CER APAA</w:t>
      </w:r>
    </w:p>
  </w:footnote>
  <w:footnote w:id="29">
    <w:p w14:paraId="690217D8" w14:textId="01EE4DE9" w:rsidR="001572D7" w:rsidRPr="008F47A6" w:rsidRDefault="001572D7">
      <w:pPr>
        <w:pStyle w:val="Notedebasdepage"/>
        <w:rPr>
          <w:lang w:val="fr-FR"/>
        </w:rPr>
      </w:pPr>
      <w:r>
        <w:rPr>
          <w:rStyle w:val="Appelnotedebasdep"/>
        </w:rPr>
        <w:footnoteRef/>
      </w:r>
      <w:r w:rsidRPr="008F47A6">
        <w:rPr>
          <w:lang w:val="fr-FR"/>
        </w:rPr>
        <w:t xml:space="preserve"> </w:t>
      </w:r>
      <w:r>
        <w:rPr>
          <w:lang w:val="fr-FR"/>
        </w:rPr>
        <w:t>Manuel de 2011</w:t>
      </w:r>
    </w:p>
  </w:footnote>
  <w:footnote w:id="30">
    <w:p w14:paraId="1113D85C" w14:textId="42FA04A8" w:rsidR="001572D7" w:rsidRPr="008F47A6" w:rsidRDefault="001572D7">
      <w:pPr>
        <w:pStyle w:val="Notedebasdepage"/>
        <w:rPr>
          <w:lang w:val="fr-FR"/>
        </w:rPr>
      </w:pPr>
      <w:r>
        <w:rPr>
          <w:rStyle w:val="Appelnotedebasdep"/>
        </w:rPr>
        <w:footnoteRef/>
      </w:r>
      <w:r w:rsidRPr="008F47A6">
        <w:rPr>
          <w:lang w:val="fr-FR"/>
        </w:rPr>
        <w:t xml:space="preserve"> </w:t>
      </w:r>
      <w:r>
        <w:rPr>
          <w:lang w:val="fr-FR"/>
        </w:rPr>
        <w:t>Rapport de démarrage, 2017</w:t>
      </w:r>
    </w:p>
  </w:footnote>
  <w:footnote w:id="31">
    <w:p w14:paraId="2BA0A325" w14:textId="261EA96C" w:rsidR="001572D7" w:rsidRPr="00CA44AE" w:rsidRDefault="001572D7">
      <w:pPr>
        <w:pStyle w:val="Notedebasdepage"/>
        <w:rPr>
          <w:lang w:val="fr-FR"/>
        </w:rPr>
      </w:pPr>
      <w:r>
        <w:rPr>
          <w:rStyle w:val="Appelnotedebasdep"/>
        </w:rPr>
        <w:footnoteRef/>
      </w:r>
      <w:r w:rsidRPr="00CA44AE">
        <w:rPr>
          <w:lang w:val="fr-FR"/>
        </w:rPr>
        <w:t xml:space="preserve"> </w:t>
      </w:r>
      <w:proofErr w:type="spellStart"/>
      <w:r>
        <w:rPr>
          <w:lang w:val="fr-FR"/>
        </w:rPr>
        <w:t>Harmonized</w:t>
      </w:r>
      <w:proofErr w:type="spellEnd"/>
      <w:r>
        <w:rPr>
          <w:lang w:val="fr-FR"/>
        </w:rPr>
        <w:t xml:space="preserve"> </w:t>
      </w:r>
      <w:proofErr w:type="spellStart"/>
      <w:r>
        <w:rPr>
          <w:lang w:val="fr-FR"/>
        </w:rPr>
        <w:t>Approach</w:t>
      </w:r>
      <w:proofErr w:type="spellEnd"/>
      <w:r>
        <w:rPr>
          <w:lang w:val="fr-FR"/>
        </w:rPr>
        <w:t xml:space="preserve"> of Currency Transfer par son acronyme anglais ; </w:t>
      </w:r>
      <w:r w:rsidRPr="008F47A6">
        <w:rPr>
          <w:lang w:val="fr-FR"/>
        </w:rPr>
        <w:t>Approche harmonisée des procédures de remises d’espèces aux partenaires</w:t>
      </w:r>
      <w:r>
        <w:rPr>
          <w:lang w:val="fr-FR"/>
        </w:rPr>
        <w:t xml:space="preserve"> </w:t>
      </w:r>
      <w:r w:rsidRPr="008F47A6">
        <w:rPr>
          <w:lang w:val="fr-FR"/>
        </w:rPr>
        <w:t>d’exécution</w:t>
      </w:r>
    </w:p>
  </w:footnote>
  <w:footnote w:id="32">
    <w:p w14:paraId="6F95D6FD" w14:textId="3E3BE534" w:rsidR="001572D7" w:rsidRPr="008F47A6" w:rsidRDefault="001572D7">
      <w:pPr>
        <w:pStyle w:val="Notedebasdepage"/>
        <w:rPr>
          <w:lang w:val="fr-FR"/>
        </w:rPr>
      </w:pPr>
      <w:r>
        <w:rPr>
          <w:rStyle w:val="Appelnotedebasdep"/>
        </w:rPr>
        <w:footnoteRef/>
      </w:r>
      <w:r w:rsidRPr="008F47A6">
        <w:rPr>
          <w:lang w:val="fr-FR"/>
        </w:rPr>
        <w:t xml:space="preserve"> </w:t>
      </w:r>
      <w:r>
        <w:rPr>
          <w:lang w:val="fr-FR"/>
        </w:rPr>
        <w:t>Rapport Annuel, 2017</w:t>
      </w:r>
    </w:p>
  </w:footnote>
  <w:footnote w:id="33">
    <w:p w14:paraId="7F00C935" w14:textId="0AB5F43A" w:rsidR="001572D7" w:rsidRPr="00CA44AE" w:rsidRDefault="001572D7">
      <w:pPr>
        <w:pStyle w:val="Notedebasdepage"/>
        <w:rPr>
          <w:lang w:val="fr-FR"/>
        </w:rPr>
      </w:pPr>
      <w:r>
        <w:rPr>
          <w:rStyle w:val="Appelnotedebasdep"/>
        </w:rPr>
        <w:footnoteRef/>
      </w:r>
      <w:r w:rsidRPr="00CA44AE">
        <w:rPr>
          <w:lang w:val="fr-FR"/>
        </w:rPr>
        <w:t xml:space="preserve"> R</w:t>
      </w:r>
      <w:r>
        <w:rPr>
          <w:lang w:val="fr-FR"/>
        </w:rPr>
        <w:t>apport d’audit NIM, 2018</w:t>
      </w:r>
    </w:p>
  </w:footnote>
  <w:footnote w:id="34">
    <w:p w14:paraId="3FEC6DB0" w14:textId="5422D428" w:rsidR="001572D7" w:rsidRPr="008F47A6" w:rsidRDefault="001572D7">
      <w:pPr>
        <w:pStyle w:val="Notedebasdepage"/>
        <w:rPr>
          <w:lang w:val="fr-FR"/>
        </w:rPr>
      </w:pPr>
      <w:r>
        <w:rPr>
          <w:rStyle w:val="Appelnotedebasdep"/>
        </w:rPr>
        <w:footnoteRef/>
      </w:r>
      <w:r w:rsidRPr="008F47A6">
        <w:rPr>
          <w:lang w:val="fr-FR"/>
        </w:rPr>
        <w:t xml:space="preserve"> </w:t>
      </w:r>
      <w:r>
        <w:rPr>
          <w:lang w:val="fr-FR"/>
        </w:rPr>
        <w:t>Rapport de démarrage, 2017 &amp; IR 2019</w:t>
      </w:r>
    </w:p>
  </w:footnote>
  <w:footnote w:id="35">
    <w:p w14:paraId="09893A26" w14:textId="6125B3B1" w:rsidR="001572D7" w:rsidRPr="008F47A6" w:rsidRDefault="001572D7">
      <w:pPr>
        <w:pStyle w:val="Notedebasdepage"/>
        <w:rPr>
          <w:lang w:val="fr-FR"/>
        </w:rPr>
      </w:pPr>
      <w:r>
        <w:rPr>
          <w:rStyle w:val="Appelnotedebasdep"/>
        </w:rPr>
        <w:footnoteRef/>
      </w:r>
      <w:r w:rsidRPr="008F47A6">
        <w:rPr>
          <w:lang w:val="fr-FR"/>
        </w:rPr>
        <w:t xml:space="preserve"> </w:t>
      </w:r>
      <w:r>
        <w:rPr>
          <w:lang w:val="fr-FR"/>
        </w:rPr>
        <w:t>qui ont un statut juridique reconnu par la loi malgache et sont développés par PAGE/GIZ</w:t>
      </w:r>
    </w:p>
  </w:footnote>
  <w:footnote w:id="36">
    <w:p w14:paraId="0433DCF4" w14:textId="203EF13E" w:rsidR="001572D7" w:rsidRPr="008F47A6" w:rsidRDefault="001572D7">
      <w:pPr>
        <w:pStyle w:val="Notedebasdepage"/>
        <w:rPr>
          <w:lang w:val="fr-FR"/>
        </w:rPr>
      </w:pPr>
      <w:r>
        <w:rPr>
          <w:rStyle w:val="Appelnotedebasdep"/>
        </w:rPr>
        <w:footnoteRef/>
      </w:r>
      <w:r w:rsidRPr="008F47A6">
        <w:rPr>
          <w:lang w:val="fr-FR"/>
        </w:rPr>
        <w:t xml:space="preserve"> </w:t>
      </w:r>
      <w:r>
        <w:rPr>
          <w:lang w:val="fr-FR"/>
        </w:rPr>
        <w:t xml:space="preserve">PV </w:t>
      </w:r>
      <w:proofErr w:type="spellStart"/>
      <w:r>
        <w:rPr>
          <w:lang w:val="fr-FR"/>
        </w:rPr>
        <w:t>CoPil</w:t>
      </w:r>
      <w:proofErr w:type="spellEnd"/>
      <w:r>
        <w:rPr>
          <w:lang w:val="fr-FR"/>
        </w:rPr>
        <w:t xml:space="preserve"> </w:t>
      </w:r>
      <w:proofErr w:type="spellStart"/>
      <w:r>
        <w:rPr>
          <w:lang w:val="fr-FR"/>
        </w:rPr>
        <w:t>Nov</w:t>
      </w:r>
      <w:proofErr w:type="spellEnd"/>
      <w:r>
        <w:rPr>
          <w:lang w:val="fr-FR"/>
        </w:rPr>
        <w:t xml:space="preserve"> 2018</w:t>
      </w:r>
    </w:p>
  </w:footnote>
  <w:footnote w:id="37">
    <w:p w14:paraId="71E29695" w14:textId="6E940D5A" w:rsidR="001572D7" w:rsidRPr="008F47A6" w:rsidRDefault="001572D7">
      <w:pPr>
        <w:pStyle w:val="Notedebasdepage"/>
        <w:rPr>
          <w:lang w:val="fr-FR"/>
        </w:rPr>
      </w:pPr>
      <w:r>
        <w:rPr>
          <w:rStyle w:val="Appelnotedebasdep"/>
        </w:rPr>
        <w:footnoteRef/>
      </w:r>
      <w:r w:rsidRPr="008F47A6">
        <w:rPr>
          <w:lang w:val="fr-FR"/>
        </w:rPr>
        <w:t xml:space="preserve"> </w:t>
      </w:r>
      <w:r>
        <w:rPr>
          <w:lang w:val="fr-FR"/>
        </w:rPr>
        <w:t>PIR, 2019</w:t>
      </w:r>
    </w:p>
  </w:footnote>
  <w:footnote w:id="38">
    <w:p w14:paraId="4153DCD6" w14:textId="23EE44DA" w:rsidR="001572D7" w:rsidRPr="008F47A6" w:rsidRDefault="001572D7">
      <w:pPr>
        <w:pStyle w:val="Notedebasdepage"/>
        <w:rPr>
          <w:lang w:val="fr-FR"/>
        </w:rPr>
      </w:pPr>
      <w:r>
        <w:rPr>
          <w:rStyle w:val="Appelnotedebasdep"/>
        </w:rPr>
        <w:footnoteRef/>
      </w:r>
      <w:r w:rsidRPr="008F47A6">
        <w:rPr>
          <w:lang w:val="fr-FR"/>
        </w:rPr>
        <w:t xml:space="preserve"> </w:t>
      </w:r>
      <w:r>
        <w:rPr>
          <w:lang w:val="fr-FR"/>
        </w:rPr>
        <w:t>Rapport de démarrage, 2017</w:t>
      </w:r>
    </w:p>
  </w:footnote>
  <w:footnote w:id="39">
    <w:p w14:paraId="70980FD1" w14:textId="1BCE9BA2" w:rsidR="001572D7" w:rsidRPr="00734D1E" w:rsidRDefault="001572D7">
      <w:pPr>
        <w:pStyle w:val="Notedebasdepage"/>
        <w:rPr>
          <w:lang w:val="fr-FR"/>
        </w:rPr>
      </w:pPr>
      <w:r>
        <w:rPr>
          <w:rStyle w:val="Appelnotedebasdep"/>
        </w:rPr>
        <w:footnoteRef/>
      </w:r>
      <w:r w:rsidRPr="00734D1E">
        <w:rPr>
          <w:lang w:val="fr-FR"/>
        </w:rPr>
        <w:t xml:space="preserve"> PIR 2018</w:t>
      </w:r>
    </w:p>
  </w:footnote>
  <w:footnote w:id="40">
    <w:p w14:paraId="3ABF9A9A" w14:textId="528334DF" w:rsidR="001572D7" w:rsidRPr="00734D1E" w:rsidRDefault="001572D7">
      <w:pPr>
        <w:pStyle w:val="Notedebasdepage"/>
        <w:rPr>
          <w:lang w:val="fr-FR"/>
        </w:rPr>
      </w:pPr>
      <w:r>
        <w:rPr>
          <w:rStyle w:val="Appelnotedebasdep"/>
        </w:rPr>
        <w:footnoteRef/>
      </w:r>
      <w:r w:rsidRPr="00734D1E">
        <w:rPr>
          <w:lang w:val="fr-FR"/>
        </w:rPr>
        <w:t xml:space="preserve"> Rapport de démarrage, 2017</w:t>
      </w:r>
    </w:p>
  </w:footnote>
  <w:footnote w:id="41">
    <w:p w14:paraId="2609FD86" w14:textId="4C7AFC63" w:rsidR="001572D7" w:rsidRPr="00CA44AE" w:rsidRDefault="001572D7">
      <w:pPr>
        <w:pStyle w:val="Notedebasdepage"/>
        <w:rPr>
          <w:lang w:val="fr-FR"/>
        </w:rPr>
      </w:pPr>
      <w:r>
        <w:rPr>
          <w:rStyle w:val="Appelnotedebasdep"/>
        </w:rPr>
        <w:footnoteRef/>
      </w:r>
      <w:r w:rsidRPr="00CA44AE">
        <w:rPr>
          <w:lang w:val="fr-FR"/>
        </w:rPr>
        <w:t xml:space="preserve"> </w:t>
      </w:r>
      <w:r w:rsidRPr="00017665">
        <w:rPr>
          <w:szCs w:val="16"/>
          <w:lang w:val="fr-FR"/>
        </w:rPr>
        <w:t>SO2 est le résultat en matière d’intégration dans le cadre de la Stratégie pour la b</w:t>
      </w:r>
      <w:r>
        <w:rPr>
          <w:szCs w:val="16"/>
          <w:lang w:val="fr-FR"/>
        </w:rPr>
        <w:t>iodiversité FEM 5</w:t>
      </w:r>
      <w:r w:rsidRPr="00017665">
        <w:rPr>
          <w:szCs w:val="16"/>
          <w:lang w:val="fr-FR"/>
        </w:rPr>
        <w:t>.</w:t>
      </w:r>
    </w:p>
  </w:footnote>
  <w:footnote w:id="42">
    <w:p w14:paraId="6CBEF06E" w14:textId="61A48F3F" w:rsidR="001572D7" w:rsidRPr="008F47A6" w:rsidRDefault="001572D7">
      <w:pPr>
        <w:pStyle w:val="Notedebasdepage"/>
        <w:rPr>
          <w:lang w:val="fr-FR"/>
        </w:rPr>
      </w:pPr>
      <w:r>
        <w:rPr>
          <w:rStyle w:val="Appelnotedebasdep"/>
        </w:rPr>
        <w:footnoteRef/>
      </w:r>
      <w:r w:rsidRPr="008F47A6">
        <w:rPr>
          <w:lang w:val="fr-FR"/>
        </w:rPr>
        <w:t xml:space="preserve"> </w:t>
      </w:r>
      <w:proofErr w:type="spellStart"/>
      <w:r>
        <w:rPr>
          <w:lang w:val="fr-FR"/>
        </w:rPr>
        <w:t>CoPil</w:t>
      </w:r>
      <w:proofErr w:type="spellEnd"/>
      <w:r>
        <w:rPr>
          <w:lang w:val="fr-FR"/>
        </w:rPr>
        <w:t xml:space="preserve">, </w:t>
      </w:r>
      <w:proofErr w:type="spellStart"/>
      <w:r>
        <w:rPr>
          <w:lang w:val="fr-FR"/>
        </w:rPr>
        <w:t>Nov</w:t>
      </w:r>
      <w:proofErr w:type="spellEnd"/>
      <w:r>
        <w:rPr>
          <w:lang w:val="fr-FR"/>
        </w:rPr>
        <w:t xml:space="preserve"> 2018</w:t>
      </w:r>
    </w:p>
  </w:footnote>
  <w:footnote w:id="43">
    <w:p w14:paraId="3E0D0467" w14:textId="7CDA4C4D" w:rsidR="001572D7" w:rsidRPr="00CA44AE" w:rsidRDefault="001572D7">
      <w:pPr>
        <w:pStyle w:val="Notedebasdepage"/>
        <w:rPr>
          <w:lang w:val="fr-FR"/>
        </w:rPr>
      </w:pPr>
      <w:r>
        <w:rPr>
          <w:rStyle w:val="Appelnotedebasdep"/>
        </w:rPr>
        <w:footnoteRef/>
      </w:r>
      <w:r w:rsidRPr="00CA44AE">
        <w:rPr>
          <w:lang w:val="fr-FR"/>
        </w:rPr>
        <w:t xml:space="preserve"> </w:t>
      </w:r>
      <w:r>
        <w:rPr>
          <w:lang w:val="fr-FR"/>
        </w:rPr>
        <w:t>Ancien MEDD</w:t>
      </w:r>
    </w:p>
  </w:footnote>
  <w:footnote w:id="44">
    <w:p w14:paraId="5009F939" w14:textId="77777777" w:rsidR="001572D7" w:rsidRPr="0045186A" w:rsidRDefault="001572D7" w:rsidP="00937DB3">
      <w:pPr>
        <w:pStyle w:val="Notedebasdepage"/>
        <w:rPr>
          <w:szCs w:val="16"/>
          <w:lang w:val="fr-FR"/>
        </w:rPr>
      </w:pPr>
      <w:r w:rsidRPr="00541096">
        <w:rPr>
          <w:rStyle w:val="Appelnotedebasdep"/>
          <w:szCs w:val="16"/>
        </w:rPr>
        <w:footnoteRef/>
      </w:r>
      <w:r w:rsidRPr="0045186A">
        <w:rPr>
          <w:szCs w:val="16"/>
          <w:lang w:val="fr-FR"/>
        </w:rPr>
        <w:t xml:space="preserve"> Actuellement dirigé par le Ministre rattaché à la Présidence chargée des mines et du pétrole et le ministère de tutelle de l’énergie et des hydrocarbures. </w:t>
      </w:r>
    </w:p>
  </w:footnote>
  <w:footnote w:id="45">
    <w:p w14:paraId="07E1810C" w14:textId="77777777" w:rsidR="001572D7" w:rsidRPr="00867A56" w:rsidRDefault="001572D7" w:rsidP="00ED628A">
      <w:pPr>
        <w:pStyle w:val="Notedebasdepage"/>
        <w:rPr>
          <w:lang w:val="fr-FR"/>
        </w:rPr>
      </w:pPr>
      <w:r>
        <w:rPr>
          <w:rStyle w:val="Appelnotedebasdep"/>
        </w:rPr>
        <w:footnoteRef/>
      </w:r>
      <w:r w:rsidRPr="00867A56">
        <w:rPr>
          <w:lang w:val="fr-FR"/>
        </w:rPr>
        <w:t xml:space="preserve"> </w:t>
      </w:r>
      <w:r w:rsidRPr="00ED628A">
        <w:rPr>
          <w:lang w:val="fr-FR"/>
        </w:rPr>
        <w:t>Rapport intermédiaire OPT BD Avril 2019</w:t>
      </w:r>
    </w:p>
  </w:footnote>
  <w:footnote w:id="46">
    <w:p w14:paraId="43E4526B" w14:textId="77777777" w:rsidR="001572D7" w:rsidRPr="00346FE6" w:rsidRDefault="001572D7" w:rsidP="003E7F78">
      <w:pPr>
        <w:pStyle w:val="Notedebasdepage"/>
        <w:rPr>
          <w:lang w:val="en-GB"/>
        </w:rPr>
      </w:pPr>
      <w:r>
        <w:rPr>
          <w:rStyle w:val="Appelnotedebasdep"/>
        </w:rPr>
        <w:footnoteRef/>
      </w:r>
      <w:r w:rsidRPr="00346FE6">
        <w:rPr>
          <w:lang w:val="en-GB"/>
        </w:rPr>
        <w:t xml:space="preserve"> Rapport Final AAF, 2019</w:t>
      </w:r>
    </w:p>
  </w:footnote>
  <w:footnote w:id="47">
    <w:p w14:paraId="19ECFF65" w14:textId="160FAE48" w:rsidR="001572D7" w:rsidRPr="00346FE6" w:rsidRDefault="001572D7">
      <w:pPr>
        <w:pStyle w:val="Notedebasdepage"/>
        <w:rPr>
          <w:lang w:val="en-GB"/>
        </w:rPr>
      </w:pPr>
      <w:r>
        <w:rPr>
          <w:rStyle w:val="Appelnotedebasdep"/>
        </w:rPr>
        <w:footnoteRef/>
      </w:r>
      <w:r w:rsidRPr="00346FE6">
        <w:rPr>
          <w:lang w:val="en-GB"/>
        </w:rPr>
        <w:t xml:space="preserve"> </w:t>
      </w:r>
      <w:proofErr w:type="spellStart"/>
      <w:r w:rsidRPr="00346FE6">
        <w:rPr>
          <w:lang w:val="en-GB"/>
        </w:rPr>
        <w:t>CoPil</w:t>
      </w:r>
      <w:proofErr w:type="spellEnd"/>
      <w:r w:rsidRPr="00346FE6">
        <w:rPr>
          <w:lang w:val="en-GB"/>
        </w:rPr>
        <w:t>, Nov 2018</w:t>
      </w:r>
    </w:p>
  </w:footnote>
  <w:footnote w:id="48">
    <w:p w14:paraId="291580A5" w14:textId="5EEEDF52" w:rsidR="001572D7" w:rsidRPr="008F47A6" w:rsidRDefault="001572D7">
      <w:pPr>
        <w:pStyle w:val="Notedebasdepage"/>
        <w:rPr>
          <w:lang w:val="fr-FR"/>
        </w:rPr>
      </w:pPr>
      <w:r>
        <w:rPr>
          <w:rStyle w:val="Appelnotedebasdep"/>
        </w:rPr>
        <w:footnoteRef/>
      </w:r>
      <w:r w:rsidRPr="008F47A6">
        <w:rPr>
          <w:lang w:val="fr-FR"/>
        </w:rPr>
        <w:t xml:space="preserve"> </w:t>
      </w:r>
      <w:proofErr w:type="spellStart"/>
      <w:r>
        <w:rPr>
          <w:lang w:val="fr-FR"/>
        </w:rPr>
        <w:t>CoPil</w:t>
      </w:r>
      <w:proofErr w:type="spellEnd"/>
      <w:r>
        <w:rPr>
          <w:lang w:val="fr-FR"/>
        </w:rPr>
        <w:t xml:space="preserve"> </w:t>
      </w:r>
      <w:proofErr w:type="spellStart"/>
      <w:r>
        <w:rPr>
          <w:lang w:val="fr-FR"/>
        </w:rPr>
        <w:t>Nov</w:t>
      </w:r>
      <w:proofErr w:type="spellEnd"/>
      <w:r>
        <w:rPr>
          <w:lang w:val="fr-FR"/>
        </w:rPr>
        <w:t xml:space="preserve">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CA852" w14:textId="08AC3C8B" w:rsidR="001572D7" w:rsidRPr="00C50F13" w:rsidRDefault="001572D7" w:rsidP="00400988">
    <w:pPr>
      <w:pStyle w:val="En-tte"/>
      <w:spacing w:before="0"/>
      <w:jc w:val="center"/>
      <w:rPr>
        <w:b/>
        <w:sz w:val="16"/>
        <w:szCs w:val="16"/>
        <w:lang w:val="fr-FR"/>
      </w:rPr>
    </w:pPr>
    <w:r w:rsidRPr="00C50F13">
      <w:rPr>
        <w:b/>
        <w:sz w:val="16"/>
        <w:szCs w:val="16"/>
        <w:lang w:val="fr-FR"/>
      </w:rPr>
      <w:t>“Approche paysage pour la bi</w:t>
    </w:r>
    <w:r>
      <w:rPr>
        <w:b/>
        <w:sz w:val="16"/>
        <w:szCs w:val="16"/>
        <w:lang w:val="fr-FR"/>
      </w:rPr>
      <w:t>odiversité menacée à Madagascar – Atsimo-Andrefana</w:t>
    </w:r>
    <w:r w:rsidRPr="00C50F13">
      <w:rPr>
        <w:b/>
        <w:sz w:val="16"/>
        <w:szCs w:val="16"/>
        <w:lang w:val="fr-FR"/>
      </w:rPr>
      <w:t>”</w:t>
    </w:r>
  </w:p>
  <w:p w14:paraId="18D21B72" w14:textId="529B53BF" w:rsidR="001572D7" w:rsidRPr="00C50F13" w:rsidRDefault="001572D7" w:rsidP="00400988">
    <w:pPr>
      <w:pStyle w:val="En-tte"/>
      <w:spacing w:before="0"/>
      <w:jc w:val="center"/>
      <w:rPr>
        <w:b/>
        <w:sz w:val="16"/>
        <w:szCs w:val="16"/>
        <w:lang w:val="fr-FR"/>
      </w:rPr>
    </w:pPr>
    <w:r w:rsidRPr="00C50F13">
      <w:rPr>
        <w:b/>
        <w:sz w:val="16"/>
        <w:szCs w:val="16"/>
        <w:lang w:val="fr-FR"/>
      </w:rPr>
      <w:t>Evaluation à m</w:t>
    </w:r>
    <w:r>
      <w:rPr>
        <w:b/>
        <w:sz w:val="16"/>
        <w:szCs w:val="16"/>
        <w:lang w:val="fr-FR"/>
      </w:rPr>
      <w:t>i-parcours</w:t>
    </w:r>
  </w:p>
  <w:p w14:paraId="4F73AD18" w14:textId="444BD208" w:rsidR="001572D7" w:rsidRPr="00C50F13" w:rsidRDefault="001572D7" w:rsidP="00400988">
    <w:pPr>
      <w:pStyle w:val="En-tte"/>
      <w:spacing w:before="0"/>
      <w:jc w:val="center"/>
      <w:rPr>
        <w:b/>
        <w:caps/>
        <w:sz w:val="16"/>
        <w:szCs w:val="16"/>
        <w:lang w:val="fr-FR"/>
      </w:rPr>
    </w:pPr>
    <w:r>
      <w:rPr>
        <w:b/>
        <w:caps/>
        <w:sz w:val="16"/>
        <w:szCs w:val="16"/>
        <w:lang w:val="fr-FR"/>
      </w:rPr>
      <w:t xml:space="preserve">Rapport </w:t>
    </w:r>
    <w:r w:rsidRPr="00CA44AE">
      <w:rPr>
        <w:b/>
        <w:caps/>
        <w:sz w:val="16"/>
        <w:szCs w:val="16"/>
        <w:lang w:val="fr-FR"/>
      </w:rPr>
      <w:t xml:space="preserve">D’EVALUATION </w:t>
    </w:r>
    <w:r>
      <w:rPr>
        <w:b/>
        <w:caps/>
        <w:sz w:val="16"/>
        <w:szCs w:val="16"/>
        <w:lang w:val="fr-FR"/>
      </w:rPr>
      <w:t>Final</w:t>
    </w:r>
    <w:r w:rsidRPr="007D56C9" w:rsidDel="007D56C9">
      <w:rPr>
        <w:b/>
        <w:sz w:val="16"/>
        <w:szCs w:val="16"/>
        <w:lang w:val="fr-F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BB39A" w14:textId="77777777" w:rsidR="001572D7" w:rsidRPr="00CB7210" w:rsidRDefault="001572D7" w:rsidP="00CB7210">
    <w:pPr>
      <w:pStyle w:val="En-tt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6FF0"/>
    <w:multiLevelType w:val="multilevel"/>
    <w:tmpl w:val="1D56DF3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8427F6A"/>
    <w:multiLevelType w:val="hybridMultilevel"/>
    <w:tmpl w:val="1CD0C3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86603E"/>
    <w:multiLevelType w:val="multilevel"/>
    <w:tmpl w:val="DC5AFBE2"/>
    <w:lvl w:ilvl="0">
      <w:start w:val="2"/>
      <w:numFmt w:val="decimal"/>
      <w:lvlText w:val="%1"/>
      <w:lvlJc w:val="left"/>
      <w:pPr>
        <w:ind w:left="360" w:hanging="360"/>
      </w:pPr>
      <w:rPr>
        <w:rFonts w:hint="default"/>
      </w:rPr>
    </w:lvl>
    <w:lvl w:ilvl="1">
      <w:start w:val="1"/>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3" w15:restartNumberingAfterBreak="0">
    <w:nsid w:val="126B4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E1FFA"/>
    <w:multiLevelType w:val="hybridMultilevel"/>
    <w:tmpl w:val="E8E2AA16"/>
    <w:lvl w:ilvl="0" w:tplc="51A47556">
      <w:start w:val="1"/>
      <w:numFmt w:val="bullet"/>
      <w:lvlText w:val=""/>
      <w:lvlJc w:val="left"/>
      <w:pPr>
        <w:ind w:left="720" w:hanging="360"/>
      </w:pPr>
      <w:rPr>
        <w:rFonts w:ascii="Symbol" w:hAnsi="Symbol"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41A36"/>
    <w:multiLevelType w:val="hybridMultilevel"/>
    <w:tmpl w:val="E390BEE8"/>
    <w:lvl w:ilvl="0" w:tplc="5B94CB00">
      <w:start w:val="1"/>
      <w:numFmt w:val="decimal"/>
      <w:pStyle w:val="EONumberedparagraph"/>
      <w:lvlText w:val="%1."/>
      <w:lvlJc w:val="left"/>
      <w:pPr>
        <w:ind w:left="360" w:hanging="360"/>
      </w:pPr>
    </w:lvl>
    <w:lvl w:ilvl="1" w:tplc="10090001">
      <w:start w:val="1"/>
      <w:numFmt w:val="bullet"/>
      <w:lvlText w:val=""/>
      <w:lvlJc w:val="left"/>
      <w:pPr>
        <w:ind w:left="-5725" w:hanging="360"/>
      </w:pPr>
      <w:rPr>
        <w:rFonts w:ascii="Symbol" w:hAnsi="Symbol" w:hint="default"/>
      </w:rPr>
    </w:lvl>
    <w:lvl w:ilvl="2" w:tplc="0C09001B">
      <w:start w:val="1"/>
      <w:numFmt w:val="lowerRoman"/>
      <w:lvlText w:val="%3."/>
      <w:lvlJc w:val="right"/>
      <w:pPr>
        <w:ind w:left="-5005" w:hanging="180"/>
      </w:pPr>
    </w:lvl>
    <w:lvl w:ilvl="3" w:tplc="0C09000F" w:tentative="1">
      <w:start w:val="1"/>
      <w:numFmt w:val="decimal"/>
      <w:lvlText w:val="%4."/>
      <w:lvlJc w:val="left"/>
      <w:pPr>
        <w:ind w:left="-4285" w:hanging="360"/>
      </w:pPr>
    </w:lvl>
    <w:lvl w:ilvl="4" w:tplc="0C090019" w:tentative="1">
      <w:start w:val="1"/>
      <w:numFmt w:val="lowerLetter"/>
      <w:lvlText w:val="%5."/>
      <w:lvlJc w:val="left"/>
      <w:pPr>
        <w:ind w:left="-3565" w:hanging="360"/>
      </w:pPr>
    </w:lvl>
    <w:lvl w:ilvl="5" w:tplc="0C09001B" w:tentative="1">
      <w:start w:val="1"/>
      <w:numFmt w:val="lowerRoman"/>
      <w:lvlText w:val="%6."/>
      <w:lvlJc w:val="right"/>
      <w:pPr>
        <w:ind w:left="-2845" w:hanging="180"/>
      </w:pPr>
    </w:lvl>
    <w:lvl w:ilvl="6" w:tplc="0C09000F" w:tentative="1">
      <w:start w:val="1"/>
      <w:numFmt w:val="decimal"/>
      <w:lvlText w:val="%7."/>
      <w:lvlJc w:val="left"/>
      <w:pPr>
        <w:ind w:left="-2125" w:hanging="360"/>
      </w:pPr>
    </w:lvl>
    <w:lvl w:ilvl="7" w:tplc="0C090019" w:tentative="1">
      <w:start w:val="1"/>
      <w:numFmt w:val="lowerLetter"/>
      <w:lvlText w:val="%8."/>
      <w:lvlJc w:val="left"/>
      <w:pPr>
        <w:ind w:left="-1405" w:hanging="360"/>
      </w:pPr>
    </w:lvl>
    <w:lvl w:ilvl="8" w:tplc="0C09001B" w:tentative="1">
      <w:start w:val="1"/>
      <w:numFmt w:val="lowerRoman"/>
      <w:lvlText w:val="%9."/>
      <w:lvlJc w:val="right"/>
      <w:pPr>
        <w:ind w:left="-685" w:hanging="180"/>
      </w:pPr>
    </w:lvl>
  </w:abstractNum>
  <w:abstractNum w:abstractNumId="6" w15:restartNumberingAfterBreak="0">
    <w:nsid w:val="1A100D65"/>
    <w:multiLevelType w:val="hybridMultilevel"/>
    <w:tmpl w:val="3EF499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B827154"/>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223C20"/>
    <w:multiLevelType w:val="hybridMultilevel"/>
    <w:tmpl w:val="B20C2A0E"/>
    <w:lvl w:ilvl="0" w:tplc="A6908586">
      <w:start w:val="1"/>
      <w:numFmt w:val="decimal"/>
      <w:pStyle w:val="ParasthisPRODOC"/>
      <w:lvlText w:val="%1."/>
      <w:lvlJc w:val="left"/>
      <w:pPr>
        <w:ind w:left="2771" w:hanging="360"/>
      </w:pPr>
      <w:rPr>
        <w:rFonts w:hint="default"/>
        <w:b w:val="0"/>
        <w:i w:val="0"/>
        <w:color w:val="808080"/>
      </w:rPr>
    </w:lvl>
    <w:lvl w:ilvl="1" w:tplc="6FE87FFE">
      <w:start w:val="1"/>
      <w:numFmt w:val="lowerLetter"/>
      <w:lvlText w:val="%2."/>
      <w:lvlJc w:val="left"/>
      <w:pPr>
        <w:ind w:left="-2954" w:hanging="360"/>
      </w:pPr>
      <w:rPr>
        <w:rFonts w:hint="default"/>
      </w:rPr>
    </w:lvl>
    <w:lvl w:ilvl="2" w:tplc="8BD28B62">
      <w:start w:val="1"/>
      <w:numFmt w:val="upperRoman"/>
      <w:lvlText w:val="%3)"/>
      <w:lvlJc w:val="left"/>
      <w:pPr>
        <w:ind w:left="-1694" w:hanging="720"/>
      </w:pPr>
      <w:rPr>
        <w:rFonts w:hint="default"/>
      </w:rPr>
    </w:lvl>
    <w:lvl w:ilvl="3" w:tplc="AEC41F70">
      <w:start w:val="1"/>
      <w:numFmt w:val="lowerRoman"/>
      <w:lvlText w:val="(%4)"/>
      <w:lvlJc w:val="left"/>
      <w:pPr>
        <w:ind w:left="-1154" w:hanging="720"/>
      </w:pPr>
      <w:rPr>
        <w:rFonts w:hint="default"/>
      </w:rPr>
    </w:lvl>
    <w:lvl w:ilvl="4" w:tplc="08090019" w:tentative="1">
      <w:start w:val="1"/>
      <w:numFmt w:val="lowerLetter"/>
      <w:lvlText w:val="%5."/>
      <w:lvlJc w:val="left"/>
      <w:pPr>
        <w:ind w:left="-794" w:hanging="360"/>
      </w:pPr>
    </w:lvl>
    <w:lvl w:ilvl="5" w:tplc="0809001B" w:tentative="1">
      <w:start w:val="1"/>
      <w:numFmt w:val="lowerRoman"/>
      <w:lvlText w:val="%6."/>
      <w:lvlJc w:val="right"/>
      <w:pPr>
        <w:ind w:left="-74" w:hanging="180"/>
      </w:pPr>
    </w:lvl>
    <w:lvl w:ilvl="6" w:tplc="0809000F" w:tentative="1">
      <w:start w:val="1"/>
      <w:numFmt w:val="decimal"/>
      <w:lvlText w:val="%7."/>
      <w:lvlJc w:val="left"/>
      <w:pPr>
        <w:ind w:left="646" w:hanging="360"/>
      </w:pPr>
    </w:lvl>
    <w:lvl w:ilvl="7" w:tplc="08090019" w:tentative="1">
      <w:start w:val="1"/>
      <w:numFmt w:val="lowerLetter"/>
      <w:lvlText w:val="%8."/>
      <w:lvlJc w:val="left"/>
      <w:pPr>
        <w:ind w:left="1366" w:hanging="360"/>
      </w:pPr>
    </w:lvl>
    <w:lvl w:ilvl="8" w:tplc="0809001B" w:tentative="1">
      <w:start w:val="1"/>
      <w:numFmt w:val="lowerRoman"/>
      <w:lvlText w:val="%9."/>
      <w:lvlJc w:val="right"/>
      <w:pPr>
        <w:ind w:left="2086" w:hanging="180"/>
      </w:pPr>
    </w:lvl>
  </w:abstractNum>
  <w:abstractNum w:abstractNumId="9" w15:restartNumberingAfterBreak="0">
    <w:nsid w:val="262C297E"/>
    <w:multiLevelType w:val="hybridMultilevel"/>
    <w:tmpl w:val="7B0CE6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AAD6614"/>
    <w:multiLevelType w:val="hybridMultilevel"/>
    <w:tmpl w:val="2DC08918"/>
    <w:lvl w:ilvl="0" w:tplc="B4084F86">
      <w:numFmt w:val="bullet"/>
      <w:lvlText w:val="-"/>
      <w:lvlJc w:val="left"/>
      <w:pPr>
        <w:ind w:left="720" w:hanging="360"/>
      </w:pPr>
      <w:rPr>
        <w:rFonts w:ascii="Corbel" w:eastAsiaTheme="minorEastAsia" w:hAnsi="Corbel"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DA58D9"/>
    <w:multiLevelType w:val="hybridMultilevel"/>
    <w:tmpl w:val="318C20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D82A4428">
      <w:numFmt w:val="bullet"/>
      <w:lvlText w:val="•"/>
      <w:lvlJc w:val="left"/>
      <w:pPr>
        <w:ind w:left="2520" w:hanging="720"/>
      </w:pPr>
      <w:rPr>
        <w:rFonts w:ascii="Corbel" w:eastAsiaTheme="minorHAnsi" w:hAnsi="Corbel" w:cstheme="minorBidi"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CE9279D"/>
    <w:multiLevelType w:val="hybridMultilevel"/>
    <w:tmpl w:val="E8A6D646"/>
    <w:lvl w:ilvl="0" w:tplc="74AEAC2E">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ED67ED7"/>
    <w:multiLevelType w:val="hybridMultilevel"/>
    <w:tmpl w:val="27728E0E"/>
    <w:lvl w:ilvl="0" w:tplc="0450B77E">
      <w:start w:val="1"/>
      <w:numFmt w:val="bullet"/>
      <w:pStyle w:val="Paragraphedeliste"/>
      <w:lvlText w:val=""/>
      <w:lvlJc w:val="left"/>
      <w:pPr>
        <w:ind w:left="720" w:hanging="360"/>
      </w:pPr>
      <w:rPr>
        <w:rFonts w:ascii="Symbol" w:hAnsi="Symbol" w:hint="default"/>
        <w:color w:val="4F81BD" w:themeColor="accent1"/>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F6A1EDF"/>
    <w:multiLevelType w:val="multilevel"/>
    <w:tmpl w:val="5882F962"/>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pStyle w:val="Titre4"/>
      <w:lvlText w:val="%1.%2.%3.%4."/>
      <w:lvlJc w:val="left"/>
      <w:pPr>
        <w:ind w:left="1728" w:hanging="648"/>
      </w:pPr>
      <w:rPr>
        <w:rFonts w:hint="default"/>
      </w:rPr>
    </w:lvl>
    <w:lvl w:ilvl="4">
      <w:start w:val="1"/>
      <w:numFmt w:val="decimal"/>
      <w:pStyle w:val="Titre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62366C"/>
    <w:multiLevelType w:val="hybridMultilevel"/>
    <w:tmpl w:val="77D22290"/>
    <w:lvl w:ilvl="0" w:tplc="EA404A2C">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40302416"/>
    <w:multiLevelType w:val="hybridMultilevel"/>
    <w:tmpl w:val="061483CC"/>
    <w:lvl w:ilvl="0" w:tplc="345C148E">
      <w:start w:val="1"/>
      <w:numFmt w:val="lowerRoman"/>
      <w:pStyle w:val="Bullet"/>
      <w:lvlText w:val="%1."/>
      <w:lvlJc w:val="left"/>
      <w:pPr>
        <w:tabs>
          <w:tab w:val="num" w:pos="1080"/>
        </w:tabs>
        <w:ind w:left="720" w:hanging="360"/>
      </w:pPr>
      <w:rPr>
        <w:rFonts w:hint="default"/>
      </w:rPr>
    </w:lvl>
    <w:lvl w:ilvl="1" w:tplc="ABCC33C4">
      <w:start w:val="1"/>
      <w:numFmt w:val="lowerLetter"/>
      <w:lvlText w:val="(%2)"/>
      <w:lvlJc w:val="right"/>
      <w:pPr>
        <w:tabs>
          <w:tab w:val="num" w:pos="1260"/>
        </w:tabs>
        <w:ind w:left="1260" w:hanging="180"/>
      </w:pPr>
      <w:rPr>
        <w:rFonts w:hint="default"/>
      </w:rPr>
    </w:lvl>
    <w:lvl w:ilvl="2" w:tplc="92B6D0D6">
      <w:start w:val="96"/>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0CC0500"/>
    <w:multiLevelType w:val="hybridMultilevel"/>
    <w:tmpl w:val="6D1E70F4"/>
    <w:lvl w:ilvl="0" w:tplc="4A086E98">
      <w:start w:val="12"/>
      <w:numFmt w:val="bullet"/>
      <w:lvlText w:val="-"/>
      <w:lvlJc w:val="left"/>
      <w:pPr>
        <w:ind w:left="720" w:hanging="360"/>
      </w:pPr>
      <w:rPr>
        <w:rFonts w:ascii="Garamond" w:eastAsia="PMingLiU"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B9565B"/>
    <w:multiLevelType w:val="hybridMultilevel"/>
    <w:tmpl w:val="07384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F1C6F"/>
    <w:multiLevelType w:val="hybridMultilevel"/>
    <w:tmpl w:val="FEFC9212"/>
    <w:lvl w:ilvl="0" w:tplc="51A47556">
      <w:start w:val="1"/>
      <w:numFmt w:val="bullet"/>
      <w:lvlText w:val=""/>
      <w:lvlJc w:val="left"/>
      <w:pPr>
        <w:ind w:left="720" w:hanging="360"/>
      </w:pPr>
      <w:rPr>
        <w:rFonts w:ascii="Symbol" w:hAnsi="Symbol" w:hint="default"/>
        <w:color w:val="2F549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10185"/>
    <w:multiLevelType w:val="hybridMultilevel"/>
    <w:tmpl w:val="D65063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15094C"/>
    <w:multiLevelType w:val="hybridMultilevel"/>
    <w:tmpl w:val="BBA4F3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E27500"/>
    <w:multiLevelType w:val="hybridMultilevel"/>
    <w:tmpl w:val="C20E32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63A439F"/>
    <w:multiLevelType w:val="hybridMultilevel"/>
    <w:tmpl w:val="EB96738E"/>
    <w:lvl w:ilvl="0" w:tplc="2CCC1298">
      <w:start w:val="4"/>
      <w:numFmt w:val="bullet"/>
      <w:lvlText w:val="-"/>
      <w:lvlJc w:val="left"/>
      <w:pPr>
        <w:ind w:left="1080" w:hanging="360"/>
      </w:pPr>
      <w:rPr>
        <w:rFonts w:ascii="Corbel" w:eastAsiaTheme="minorEastAsia" w:hAnsi="Corbe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4" w15:restartNumberingAfterBreak="0">
    <w:nsid w:val="5CE87F3C"/>
    <w:multiLevelType w:val="hybridMultilevel"/>
    <w:tmpl w:val="36A48E3E"/>
    <w:lvl w:ilvl="0" w:tplc="705AC954">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A161A"/>
    <w:multiLevelType w:val="hybridMultilevel"/>
    <w:tmpl w:val="3FB683D6"/>
    <w:lvl w:ilvl="0" w:tplc="F8DA72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70201"/>
    <w:multiLevelType w:val="hybridMultilevel"/>
    <w:tmpl w:val="2FB0C25E"/>
    <w:lvl w:ilvl="0" w:tplc="0C0C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C21AAE"/>
    <w:multiLevelType w:val="hybridMultilevel"/>
    <w:tmpl w:val="1EF62A04"/>
    <w:lvl w:ilvl="0" w:tplc="A1943600">
      <w:start w:val="1"/>
      <w:numFmt w:val="bullet"/>
      <w:lvlText w:val="-"/>
      <w:lvlJc w:val="left"/>
      <w:pPr>
        <w:ind w:left="720" w:hanging="360"/>
      </w:pPr>
      <w:rPr>
        <w:rFonts w:ascii="Corbel" w:eastAsiaTheme="minorEastAsia" w:hAnsi="Corbel" w:cstheme="minorBid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7E6E29"/>
    <w:multiLevelType w:val="hybridMultilevel"/>
    <w:tmpl w:val="CADAB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53A132D"/>
    <w:multiLevelType w:val="hybridMultilevel"/>
    <w:tmpl w:val="8E8AB4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8437B0B"/>
    <w:multiLevelType w:val="hybridMultilevel"/>
    <w:tmpl w:val="AF5A9A1A"/>
    <w:lvl w:ilvl="0" w:tplc="69182E18">
      <w:start w:val="1"/>
      <w:numFmt w:val="decimal"/>
      <w:lvlText w:val="(%1)"/>
      <w:lvlJc w:val="left"/>
      <w:pPr>
        <w:ind w:left="720" w:hanging="360"/>
      </w:pPr>
      <w:rPr>
        <w:rFonts w:hint="default"/>
      </w:rPr>
    </w:lvl>
    <w:lvl w:ilvl="1" w:tplc="7DE662FC">
      <w:start w:val="4"/>
      <w:numFmt w:val="bullet"/>
      <w:lvlText w:val="•"/>
      <w:lvlJc w:val="left"/>
      <w:pPr>
        <w:ind w:left="1800" w:hanging="720"/>
      </w:pPr>
      <w:rPr>
        <w:rFonts w:ascii="Times New Roman" w:eastAsia="PMingLiU"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C3B3C"/>
    <w:multiLevelType w:val="hybridMultilevel"/>
    <w:tmpl w:val="349EFE7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AB12F1B"/>
    <w:multiLevelType w:val="hybridMultilevel"/>
    <w:tmpl w:val="BB4E3B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F87CF2"/>
    <w:multiLevelType w:val="hybridMultilevel"/>
    <w:tmpl w:val="37808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EA4CD2"/>
    <w:multiLevelType w:val="hybridMultilevel"/>
    <w:tmpl w:val="B7D84AF6"/>
    <w:lvl w:ilvl="0" w:tplc="8B56C754">
      <w:start w:val="1"/>
      <w:numFmt w:val="bullet"/>
      <w:lvlText w:val="-"/>
      <w:lvlJc w:val="left"/>
      <w:pPr>
        <w:ind w:left="360" w:hanging="360"/>
      </w:pPr>
      <w:rPr>
        <w:rFonts w:ascii="Times New Roman" w:hAnsi="Times New Roman" w:cs="Times New Roman" w:hint="default"/>
      </w:rPr>
    </w:lvl>
    <w:lvl w:ilvl="1" w:tplc="84AAF268" w:tentative="1">
      <w:start w:val="1"/>
      <w:numFmt w:val="bullet"/>
      <w:lvlText w:val="o"/>
      <w:lvlJc w:val="left"/>
      <w:pPr>
        <w:ind w:left="1080" w:hanging="360"/>
      </w:pPr>
      <w:rPr>
        <w:rFonts w:ascii="Courier New" w:hAnsi="Courier New" w:cs="Courier New" w:hint="default"/>
      </w:rPr>
    </w:lvl>
    <w:lvl w:ilvl="2" w:tplc="04C42A66" w:tentative="1">
      <w:start w:val="1"/>
      <w:numFmt w:val="bullet"/>
      <w:lvlText w:val=""/>
      <w:lvlJc w:val="left"/>
      <w:pPr>
        <w:ind w:left="1800" w:hanging="360"/>
      </w:pPr>
      <w:rPr>
        <w:rFonts w:ascii="Wingdings" w:hAnsi="Wingdings" w:hint="default"/>
      </w:rPr>
    </w:lvl>
    <w:lvl w:ilvl="3" w:tplc="03CCF608" w:tentative="1">
      <w:start w:val="1"/>
      <w:numFmt w:val="bullet"/>
      <w:lvlText w:val=""/>
      <w:lvlJc w:val="left"/>
      <w:pPr>
        <w:ind w:left="2520" w:hanging="360"/>
      </w:pPr>
      <w:rPr>
        <w:rFonts w:ascii="Symbol" w:hAnsi="Symbol" w:hint="default"/>
      </w:rPr>
    </w:lvl>
    <w:lvl w:ilvl="4" w:tplc="3FC61C66" w:tentative="1">
      <w:start w:val="1"/>
      <w:numFmt w:val="bullet"/>
      <w:lvlText w:val="o"/>
      <w:lvlJc w:val="left"/>
      <w:pPr>
        <w:ind w:left="3240" w:hanging="360"/>
      </w:pPr>
      <w:rPr>
        <w:rFonts w:ascii="Courier New" w:hAnsi="Courier New" w:cs="Courier New" w:hint="default"/>
      </w:rPr>
    </w:lvl>
    <w:lvl w:ilvl="5" w:tplc="C24C8996" w:tentative="1">
      <w:start w:val="1"/>
      <w:numFmt w:val="bullet"/>
      <w:lvlText w:val=""/>
      <w:lvlJc w:val="left"/>
      <w:pPr>
        <w:ind w:left="3960" w:hanging="360"/>
      </w:pPr>
      <w:rPr>
        <w:rFonts w:ascii="Wingdings" w:hAnsi="Wingdings" w:hint="default"/>
      </w:rPr>
    </w:lvl>
    <w:lvl w:ilvl="6" w:tplc="E3E8D62E" w:tentative="1">
      <w:start w:val="1"/>
      <w:numFmt w:val="bullet"/>
      <w:lvlText w:val=""/>
      <w:lvlJc w:val="left"/>
      <w:pPr>
        <w:ind w:left="4680" w:hanging="360"/>
      </w:pPr>
      <w:rPr>
        <w:rFonts w:ascii="Symbol" w:hAnsi="Symbol" w:hint="default"/>
      </w:rPr>
    </w:lvl>
    <w:lvl w:ilvl="7" w:tplc="1F1E43F2" w:tentative="1">
      <w:start w:val="1"/>
      <w:numFmt w:val="bullet"/>
      <w:lvlText w:val="o"/>
      <w:lvlJc w:val="left"/>
      <w:pPr>
        <w:ind w:left="5400" w:hanging="360"/>
      </w:pPr>
      <w:rPr>
        <w:rFonts w:ascii="Courier New" w:hAnsi="Courier New" w:cs="Courier New" w:hint="default"/>
      </w:rPr>
    </w:lvl>
    <w:lvl w:ilvl="8" w:tplc="17D0D906"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6"/>
  </w:num>
  <w:num w:numId="4">
    <w:abstractNumId w:val="19"/>
  </w:num>
  <w:num w:numId="5">
    <w:abstractNumId w:val="28"/>
  </w:num>
  <w:num w:numId="6">
    <w:abstractNumId w:val="24"/>
  </w:num>
  <w:num w:numId="7">
    <w:abstractNumId w:val="12"/>
  </w:num>
  <w:num w:numId="8">
    <w:abstractNumId w:val="33"/>
  </w:num>
  <w:num w:numId="9">
    <w:abstractNumId w:val="8"/>
  </w:num>
  <w:num w:numId="10">
    <w:abstractNumId w:val="26"/>
  </w:num>
  <w:num w:numId="11">
    <w:abstractNumId w:val="30"/>
  </w:num>
  <w:num w:numId="12">
    <w:abstractNumId w:val="4"/>
  </w:num>
  <w:num w:numId="13">
    <w:abstractNumId w:val="10"/>
  </w:num>
  <w:num w:numId="14">
    <w:abstractNumId w:val="27"/>
  </w:num>
  <w:num w:numId="15">
    <w:abstractNumId w:val="27"/>
  </w:num>
  <w:num w:numId="16">
    <w:abstractNumId w:val="0"/>
  </w:num>
  <w:num w:numId="17">
    <w:abstractNumId w:val="21"/>
  </w:num>
  <w:num w:numId="18">
    <w:abstractNumId w:val="22"/>
  </w:num>
  <w:num w:numId="19">
    <w:abstractNumId w:val="23"/>
  </w:num>
  <w:num w:numId="20">
    <w:abstractNumId w:val="13"/>
  </w:num>
  <w:num w:numId="21">
    <w:abstractNumId w:val="13"/>
  </w:num>
  <w:num w:numId="22">
    <w:abstractNumId w:val="18"/>
  </w:num>
  <w:num w:numId="23">
    <w:abstractNumId w:val="25"/>
  </w:num>
  <w:num w:numId="24">
    <w:abstractNumId w:val="34"/>
  </w:num>
  <w:num w:numId="25">
    <w:abstractNumId w:val="17"/>
  </w:num>
  <w:num w:numId="26">
    <w:abstractNumId w:val="3"/>
  </w:num>
  <w:num w:numId="27">
    <w:abstractNumId w:val="2"/>
  </w:num>
  <w:num w:numId="28">
    <w:abstractNumId w:val="6"/>
  </w:num>
  <w:num w:numId="29">
    <w:abstractNumId w:val="29"/>
  </w:num>
  <w:num w:numId="30">
    <w:abstractNumId w:val="20"/>
  </w:num>
  <w:num w:numId="31">
    <w:abstractNumId w:val="32"/>
  </w:num>
  <w:num w:numId="32">
    <w:abstractNumId w:val="15"/>
  </w:num>
  <w:num w:numId="33">
    <w:abstractNumId w:val="31"/>
  </w:num>
  <w:num w:numId="34">
    <w:abstractNumId w:val="9"/>
  </w:num>
  <w:num w:numId="35">
    <w:abstractNumId w:val="1"/>
  </w:num>
  <w:num w:numId="36">
    <w:abstractNumId w:val="7"/>
  </w:num>
  <w:num w:numId="37">
    <w:abstractNumId w:val="11"/>
  </w:num>
  <w:num w:numId="38">
    <w:abstractNumId w:val="13"/>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2F2"/>
    <w:rsid w:val="00002719"/>
    <w:rsid w:val="0000299B"/>
    <w:rsid w:val="00005AB2"/>
    <w:rsid w:val="000066C4"/>
    <w:rsid w:val="00007EF2"/>
    <w:rsid w:val="0001245D"/>
    <w:rsid w:val="0001573B"/>
    <w:rsid w:val="000166B9"/>
    <w:rsid w:val="00017802"/>
    <w:rsid w:val="00021258"/>
    <w:rsid w:val="000225B5"/>
    <w:rsid w:val="000226C4"/>
    <w:rsid w:val="00024187"/>
    <w:rsid w:val="00030D4A"/>
    <w:rsid w:val="00033D8C"/>
    <w:rsid w:val="00034AA9"/>
    <w:rsid w:val="000360B4"/>
    <w:rsid w:val="00037CF6"/>
    <w:rsid w:val="00040773"/>
    <w:rsid w:val="00041F43"/>
    <w:rsid w:val="0004416B"/>
    <w:rsid w:val="0004463B"/>
    <w:rsid w:val="00052D4E"/>
    <w:rsid w:val="00052DA1"/>
    <w:rsid w:val="00053BB9"/>
    <w:rsid w:val="00054A0C"/>
    <w:rsid w:val="00071636"/>
    <w:rsid w:val="000725E1"/>
    <w:rsid w:val="000727FC"/>
    <w:rsid w:val="000858AB"/>
    <w:rsid w:val="00085EB8"/>
    <w:rsid w:val="00091B53"/>
    <w:rsid w:val="00097DA2"/>
    <w:rsid w:val="000A1638"/>
    <w:rsid w:val="000A3781"/>
    <w:rsid w:val="000B15A6"/>
    <w:rsid w:val="000B1C7C"/>
    <w:rsid w:val="000B79B8"/>
    <w:rsid w:val="000C1C0F"/>
    <w:rsid w:val="000C3FA8"/>
    <w:rsid w:val="000D120A"/>
    <w:rsid w:val="000D3ACF"/>
    <w:rsid w:val="000D3EC3"/>
    <w:rsid w:val="000D44A3"/>
    <w:rsid w:val="000D4AB9"/>
    <w:rsid w:val="000D7C0E"/>
    <w:rsid w:val="000E0C43"/>
    <w:rsid w:val="000E0CDC"/>
    <w:rsid w:val="000E12B3"/>
    <w:rsid w:val="000E13B7"/>
    <w:rsid w:val="000E26B4"/>
    <w:rsid w:val="000E306E"/>
    <w:rsid w:val="000E3B51"/>
    <w:rsid w:val="000F1D01"/>
    <w:rsid w:val="000F424C"/>
    <w:rsid w:val="000F49E7"/>
    <w:rsid w:val="0010057A"/>
    <w:rsid w:val="00100FDA"/>
    <w:rsid w:val="00105EA5"/>
    <w:rsid w:val="00106B69"/>
    <w:rsid w:val="00113FE1"/>
    <w:rsid w:val="001148F9"/>
    <w:rsid w:val="001165F1"/>
    <w:rsid w:val="0012003B"/>
    <w:rsid w:val="00120262"/>
    <w:rsid w:val="00121EB0"/>
    <w:rsid w:val="00122487"/>
    <w:rsid w:val="00123C7F"/>
    <w:rsid w:val="00132CE0"/>
    <w:rsid w:val="00140C3C"/>
    <w:rsid w:val="00141540"/>
    <w:rsid w:val="00142919"/>
    <w:rsid w:val="00144705"/>
    <w:rsid w:val="00145B0E"/>
    <w:rsid w:val="0014700F"/>
    <w:rsid w:val="00151E01"/>
    <w:rsid w:val="001526A3"/>
    <w:rsid w:val="00152E64"/>
    <w:rsid w:val="00154CD8"/>
    <w:rsid w:val="001572D7"/>
    <w:rsid w:val="00160CD9"/>
    <w:rsid w:val="001706A2"/>
    <w:rsid w:val="001715ED"/>
    <w:rsid w:val="00171BF7"/>
    <w:rsid w:val="00172433"/>
    <w:rsid w:val="00173737"/>
    <w:rsid w:val="0017466F"/>
    <w:rsid w:val="00174D73"/>
    <w:rsid w:val="00176C3F"/>
    <w:rsid w:val="00176F76"/>
    <w:rsid w:val="00177B9F"/>
    <w:rsid w:val="0018086F"/>
    <w:rsid w:val="001811EF"/>
    <w:rsid w:val="001817C7"/>
    <w:rsid w:val="00184393"/>
    <w:rsid w:val="00184B37"/>
    <w:rsid w:val="00185283"/>
    <w:rsid w:val="00191EF7"/>
    <w:rsid w:val="0019231F"/>
    <w:rsid w:val="0019436D"/>
    <w:rsid w:val="00194F3F"/>
    <w:rsid w:val="001A061C"/>
    <w:rsid w:val="001A0744"/>
    <w:rsid w:val="001A094A"/>
    <w:rsid w:val="001A144A"/>
    <w:rsid w:val="001A23B9"/>
    <w:rsid w:val="001A348E"/>
    <w:rsid w:val="001A58D1"/>
    <w:rsid w:val="001A6A3F"/>
    <w:rsid w:val="001A7C9A"/>
    <w:rsid w:val="001B0D4E"/>
    <w:rsid w:val="001B1F40"/>
    <w:rsid w:val="001B2DEF"/>
    <w:rsid w:val="001B472F"/>
    <w:rsid w:val="001B6D20"/>
    <w:rsid w:val="001C0515"/>
    <w:rsid w:val="001C135A"/>
    <w:rsid w:val="001C1B3E"/>
    <w:rsid w:val="001C23BE"/>
    <w:rsid w:val="001C770B"/>
    <w:rsid w:val="001D0467"/>
    <w:rsid w:val="001D1B60"/>
    <w:rsid w:val="001D2F32"/>
    <w:rsid w:val="001D5460"/>
    <w:rsid w:val="001D6055"/>
    <w:rsid w:val="001E0AF1"/>
    <w:rsid w:val="001E221E"/>
    <w:rsid w:val="001E2A53"/>
    <w:rsid w:val="001E3813"/>
    <w:rsid w:val="001E4400"/>
    <w:rsid w:val="001E55E7"/>
    <w:rsid w:val="001E6E25"/>
    <w:rsid w:val="001E7049"/>
    <w:rsid w:val="001F0288"/>
    <w:rsid w:val="001F2F64"/>
    <w:rsid w:val="001F4E3C"/>
    <w:rsid w:val="001F5038"/>
    <w:rsid w:val="002012F2"/>
    <w:rsid w:val="00201549"/>
    <w:rsid w:val="00201810"/>
    <w:rsid w:val="00201A8A"/>
    <w:rsid w:val="00202CC0"/>
    <w:rsid w:val="00210A25"/>
    <w:rsid w:val="00213DAA"/>
    <w:rsid w:val="00216B61"/>
    <w:rsid w:val="0021776F"/>
    <w:rsid w:val="00220396"/>
    <w:rsid w:val="00220410"/>
    <w:rsid w:val="00220662"/>
    <w:rsid w:val="0022070F"/>
    <w:rsid w:val="00224A79"/>
    <w:rsid w:val="002264FB"/>
    <w:rsid w:val="002301C6"/>
    <w:rsid w:val="002305E4"/>
    <w:rsid w:val="00230F3F"/>
    <w:rsid w:val="00234E33"/>
    <w:rsid w:val="00240E47"/>
    <w:rsid w:val="00245016"/>
    <w:rsid w:val="00247803"/>
    <w:rsid w:val="00247B53"/>
    <w:rsid w:val="00250428"/>
    <w:rsid w:val="00251321"/>
    <w:rsid w:val="00252921"/>
    <w:rsid w:val="00253F80"/>
    <w:rsid w:val="00254260"/>
    <w:rsid w:val="00255C99"/>
    <w:rsid w:val="00262E85"/>
    <w:rsid w:val="00265526"/>
    <w:rsid w:val="002655EE"/>
    <w:rsid w:val="002670F4"/>
    <w:rsid w:val="002715D3"/>
    <w:rsid w:val="002720A5"/>
    <w:rsid w:val="00273DC0"/>
    <w:rsid w:val="00275A8E"/>
    <w:rsid w:val="00276807"/>
    <w:rsid w:val="00276E31"/>
    <w:rsid w:val="002778A7"/>
    <w:rsid w:val="00280EDB"/>
    <w:rsid w:val="00285865"/>
    <w:rsid w:val="00290A96"/>
    <w:rsid w:val="00295261"/>
    <w:rsid w:val="00295FE7"/>
    <w:rsid w:val="002A1067"/>
    <w:rsid w:val="002A141F"/>
    <w:rsid w:val="002A636E"/>
    <w:rsid w:val="002A7027"/>
    <w:rsid w:val="002B063B"/>
    <w:rsid w:val="002B0FC3"/>
    <w:rsid w:val="002B1790"/>
    <w:rsid w:val="002B2BFB"/>
    <w:rsid w:val="002B37DE"/>
    <w:rsid w:val="002B41A3"/>
    <w:rsid w:val="002B677E"/>
    <w:rsid w:val="002B73C6"/>
    <w:rsid w:val="002C0F63"/>
    <w:rsid w:val="002C2907"/>
    <w:rsid w:val="002C3B96"/>
    <w:rsid w:val="002C3C0A"/>
    <w:rsid w:val="002C66CE"/>
    <w:rsid w:val="002D3759"/>
    <w:rsid w:val="002D7DD5"/>
    <w:rsid w:val="002D7FAB"/>
    <w:rsid w:val="002E0808"/>
    <w:rsid w:val="002E0F96"/>
    <w:rsid w:val="002E6F51"/>
    <w:rsid w:val="002F09A5"/>
    <w:rsid w:val="002F1A36"/>
    <w:rsid w:val="002F538C"/>
    <w:rsid w:val="002F646D"/>
    <w:rsid w:val="002F7657"/>
    <w:rsid w:val="00300315"/>
    <w:rsid w:val="00305CE4"/>
    <w:rsid w:val="00307CC4"/>
    <w:rsid w:val="00307FCC"/>
    <w:rsid w:val="003116AD"/>
    <w:rsid w:val="00311A7C"/>
    <w:rsid w:val="00317413"/>
    <w:rsid w:val="00320F2A"/>
    <w:rsid w:val="003234EA"/>
    <w:rsid w:val="00323A25"/>
    <w:rsid w:val="00326C4C"/>
    <w:rsid w:val="003270CB"/>
    <w:rsid w:val="003302F5"/>
    <w:rsid w:val="003304D6"/>
    <w:rsid w:val="00330865"/>
    <w:rsid w:val="0033124F"/>
    <w:rsid w:val="0033303B"/>
    <w:rsid w:val="00333378"/>
    <w:rsid w:val="00333DD7"/>
    <w:rsid w:val="00337061"/>
    <w:rsid w:val="00337AD5"/>
    <w:rsid w:val="00340FAC"/>
    <w:rsid w:val="00341638"/>
    <w:rsid w:val="00341716"/>
    <w:rsid w:val="00343D35"/>
    <w:rsid w:val="00346FE6"/>
    <w:rsid w:val="003472D2"/>
    <w:rsid w:val="0034778E"/>
    <w:rsid w:val="00351DE7"/>
    <w:rsid w:val="00353AA6"/>
    <w:rsid w:val="00354B99"/>
    <w:rsid w:val="003561A4"/>
    <w:rsid w:val="00356878"/>
    <w:rsid w:val="00365580"/>
    <w:rsid w:val="003676F7"/>
    <w:rsid w:val="003705F3"/>
    <w:rsid w:val="00372365"/>
    <w:rsid w:val="003749E3"/>
    <w:rsid w:val="00375E72"/>
    <w:rsid w:val="003772E9"/>
    <w:rsid w:val="00380B5C"/>
    <w:rsid w:val="00390B82"/>
    <w:rsid w:val="00393571"/>
    <w:rsid w:val="00396847"/>
    <w:rsid w:val="00396DCB"/>
    <w:rsid w:val="003A0896"/>
    <w:rsid w:val="003A0F0B"/>
    <w:rsid w:val="003A205C"/>
    <w:rsid w:val="003A41BA"/>
    <w:rsid w:val="003A623B"/>
    <w:rsid w:val="003A6C1C"/>
    <w:rsid w:val="003A7E0D"/>
    <w:rsid w:val="003B15C3"/>
    <w:rsid w:val="003B2B63"/>
    <w:rsid w:val="003B47E8"/>
    <w:rsid w:val="003B47EC"/>
    <w:rsid w:val="003B48A8"/>
    <w:rsid w:val="003B7C27"/>
    <w:rsid w:val="003C067C"/>
    <w:rsid w:val="003C09A3"/>
    <w:rsid w:val="003C0DC8"/>
    <w:rsid w:val="003C3812"/>
    <w:rsid w:val="003C4967"/>
    <w:rsid w:val="003D75D9"/>
    <w:rsid w:val="003D7A00"/>
    <w:rsid w:val="003E18BB"/>
    <w:rsid w:val="003E3202"/>
    <w:rsid w:val="003E43B9"/>
    <w:rsid w:val="003E5899"/>
    <w:rsid w:val="003E7F78"/>
    <w:rsid w:val="003F068C"/>
    <w:rsid w:val="003F4F6B"/>
    <w:rsid w:val="00400988"/>
    <w:rsid w:val="00412306"/>
    <w:rsid w:val="00413904"/>
    <w:rsid w:val="0041448F"/>
    <w:rsid w:val="004229C4"/>
    <w:rsid w:val="00423B96"/>
    <w:rsid w:val="0043664F"/>
    <w:rsid w:val="00443A52"/>
    <w:rsid w:val="00443AC8"/>
    <w:rsid w:val="004440C0"/>
    <w:rsid w:val="0045186F"/>
    <w:rsid w:val="00454656"/>
    <w:rsid w:val="00454C64"/>
    <w:rsid w:val="004559BB"/>
    <w:rsid w:val="00460BE4"/>
    <w:rsid w:val="004631B0"/>
    <w:rsid w:val="00466EDE"/>
    <w:rsid w:val="004678DA"/>
    <w:rsid w:val="0047047F"/>
    <w:rsid w:val="00473477"/>
    <w:rsid w:val="00476482"/>
    <w:rsid w:val="004826B2"/>
    <w:rsid w:val="00483AFF"/>
    <w:rsid w:val="00485702"/>
    <w:rsid w:val="00486320"/>
    <w:rsid w:val="00490585"/>
    <w:rsid w:val="00490D2E"/>
    <w:rsid w:val="00492378"/>
    <w:rsid w:val="004A0453"/>
    <w:rsid w:val="004A0F9E"/>
    <w:rsid w:val="004A2C1F"/>
    <w:rsid w:val="004A4926"/>
    <w:rsid w:val="004A6428"/>
    <w:rsid w:val="004B21F2"/>
    <w:rsid w:val="004B2E47"/>
    <w:rsid w:val="004B30EA"/>
    <w:rsid w:val="004B49CD"/>
    <w:rsid w:val="004B534B"/>
    <w:rsid w:val="004B7549"/>
    <w:rsid w:val="004C2DB1"/>
    <w:rsid w:val="004C4716"/>
    <w:rsid w:val="004D3C92"/>
    <w:rsid w:val="004D3FC3"/>
    <w:rsid w:val="004D4F3E"/>
    <w:rsid w:val="004D737A"/>
    <w:rsid w:val="004E0307"/>
    <w:rsid w:val="004E2205"/>
    <w:rsid w:val="004E2D80"/>
    <w:rsid w:val="004E4AA9"/>
    <w:rsid w:val="004E5C43"/>
    <w:rsid w:val="004F045B"/>
    <w:rsid w:val="004F0CE2"/>
    <w:rsid w:val="004F0FD8"/>
    <w:rsid w:val="004F1E56"/>
    <w:rsid w:val="004F55B6"/>
    <w:rsid w:val="005014BA"/>
    <w:rsid w:val="0050277A"/>
    <w:rsid w:val="00503077"/>
    <w:rsid w:val="0050372A"/>
    <w:rsid w:val="0050523F"/>
    <w:rsid w:val="00506050"/>
    <w:rsid w:val="00506B62"/>
    <w:rsid w:val="0050717B"/>
    <w:rsid w:val="005104C8"/>
    <w:rsid w:val="00510614"/>
    <w:rsid w:val="00515B4C"/>
    <w:rsid w:val="005167A6"/>
    <w:rsid w:val="005221F2"/>
    <w:rsid w:val="005227AF"/>
    <w:rsid w:val="00525259"/>
    <w:rsid w:val="00525793"/>
    <w:rsid w:val="00526412"/>
    <w:rsid w:val="00530430"/>
    <w:rsid w:val="00533A0A"/>
    <w:rsid w:val="00534D61"/>
    <w:rsid w:val="00534E17"/>
    <w:rsid w:val="00536064"/>
    <w:rsid w:val="00536929"/>
    <w:rsid w:val="00537848"/>
    <w:rsid w:val="00543AF9"/>
    <w:rsid w:val="0054490C"/>
    <w:rsid w:val="00551837"/>
    <w:rsid w:val="00552332"/>
    <w:rsid w:val="005525C3"/>
    <w:rsid w:val="00555AB3"/>
    <w:rsid w:val="00556AB8"/>
    <w:rsid w:val="005579D7"/>
    <w:rsid w:val="00560B1B"/>
    <w:rsid w:val="00561C23"/>
    <w:rsid w:val="005625CB"/>
    <w:rsid w:val="00565313"/>
    <w:rsid w:val="005665C0"/>
    <w:rsid w:val="0056795D"/>
    <w:rsid w:val="00571607"/>
    <w:rsid w:val="0057326B"/>
    <w:rsid w:val="005749F5"/>
    <w:rsid w:val="00576062"/>
    <w:rsid w:val="005801A7"/>
    <w:rsid w:val="005826D2"/>
    <w:rsid w:val="00582B5D"/>
    <w:rsid w:val="005836F1"/>
    <w:rsid w:val="005842C8"/>
    <w:rsid w:val="00585104"/>
    <w:rsid w:val="005851E9"/>
    <w:rsid w:val="00587A8A"/>
    <w:rsid w:val="005901BD"/>
    <w:rsid w:val="00596200"/>
    <w:rsid w:val="00596637"/>
    <w:rsid w:val="00596989"/>
    <w:rsid w:val="00596C84"/>
    <w:rsid w:val="005A2A85"/>
    <w:rsid w:val="005A31C1"/>
    <w:rsid w:val="005B24C6"/>
    <w:rsid w:val="005B4793"/>
    <w:rsid w:val="005B4DD6"/>
    <w:rsid w:val="005B4E68"/>
    <w:rsid w:val="005B5DD6"/>
    <w:rsid w:val="005C08B1"/>
    <w:rsid w:val="005C1CF2"/>
    <w:rsid w:val="005C36AA"/>
    <w:rsid w:val="005C550F"/>
    <w:rsid w:val="005C7D61"/>
    <w:rsid w:val="005D0500"/>
    <w:rsid w:val="005D18D4"/>
    <w:rsid w:val="005D758B"/>
    <w:rsid w:val="005E55D7"/>
    <w:rsid w:val="005F0EBE"/>
    <w:rsid w:val="005F4BF7"/>
    <w:rsid w:val="00610BDC"/>
    <w:rsid w:val="00612910"/>
    <w:rsid w:val="006152B0"/>
    <w:rsid w:val="0062508B"/>
    <w:rsid w:val="00633A42"/>
    <w:rsid w:val="00634E97"/>
    <w:rsid w:val="00635354"/>
    <w:rsid w:val="00645BF8"/>
    <w:rsid w:val="006548F1"/>
    <w:rsid w:val="00660D8F"/>
    <w:rsid w:val="00663D0E"/>
    <w:rsid w:val="00667640"/>
    <w:rsid w:val="00670EBD"/>
    <w:rsid w:val="0067152C"/>
    <w:rsid w:val="00671EA7"/>
    <w:rsid w:val="00672D1D"/>
    <w:rsid w:val="006773A0"/>
    <w:rsid w:val="00680579"/>
    <w:rsid w:val="00683BF1"/>
    <w:rsid w:val="0068631B"/>
    <w:rsid w:val="00687A19"/>
    <w:rsid w:val="00687B9C"/>
    <w:rsid w:val="00693136"/>
    <w:rsid w:val="00693418"/>
    <w:rsid w:val="006936AC"/>
    <w:rsid w:val="00694F99"/>
    <w:rsid w:val="006950ED"/>
    <w:rsid w:val="00696A73"/>
    <w:rsid w:val="00696DB3"/>
    <w:rsid w:val="00696E70"/>
    <w:rsid w:val="006A2395"/>
    <w:rsid w:val="006A3BAC"/>
    <w:rsid w:val="006A5662"/>
    <w:rsid w:val="006B11E5"/>
    <w:rsid w:val="006B1B85"/>
    <w:rsid w:val="006B24FE"/>
    <w:rsid w:val="006B3729"/>
    <w:rsid w:val="006B7B35"/>
    <w:rsid w:val="006C3AB9"/>
    <w:rsid w:val="006C5AB5"/>
    <w:rsid w:val="006D377D"/>
    <w:rsid w:val="006D557C"/>
    <w:rsid w:val="006D7D77"/>
    <w:rsid w:val="006E4641"/>
    <w:rsid w:val="006E59F3"/>
    <w:rsid w:val="006E7975"/>
    <w:rsid w:val="006F2D67"/>
    <w:rsid w:val="006F6E82"/>
    <w:rsid w:val="006F7BAC"/>
    <w:rsid w:val="006F7EDE"/>
    <w:rsid w:val="00700CBC"/>
    <w:rsid w:val="00700CF6"/>
    <w:rsid w:val="007019D9"/>
    <w:rsid w:val="00704420"/>
    <w:rsid w:val="00705B81"/>
    <w:rsid w:val="007066BA"/>
    <w:rsid w:val="007074B6"/>
    <w:rsid w:val="00711071"/>
    <w:rsid w:val="007138C4"/>
    <w:rsid w:val="00717ECD"/>
    <w:rsid w:val="007204B3"/>
    <w:rsid w:val="0072122B"/>
    <w:rsid w:val="007236B6"/>
    <w:rsid w:val="00723A34"/>
    <w:rsid w:val="00727905"/>
    <w:rsid w:val="00730A6C"/>
    <w:rsid w:val="00732F5D"/>
    <w:rsid w:val="00734D1E"/>
    <w:rsid w:val="00736451"/>
    <w:rsid w:val="00743631"/>
    <w:rsid w:val="00743BD0"/>
    <w:rsid w:val="00744069"/>
    <w:rsid w:val="00745776"/>
    <w:rsid w:val="00750A2F"/>
    <w:rsid w:val="00754F2B"/>
    <w:rsid w:val="00756909"/>
    <w:rsid w:val="00757509"/>
    <w:rsid w:val="00766695"/>
    <w:rsid w:val="00766C3B"/>
    <w:rsid w:val="007800ED"/>
    <w:rsid w:val="00782311"/>
    <w:rsid w:val="00785DC6"/>
    <w:rsid w:val="007861F3"/>
    <w:rsid w:val="007869BC"/>
    <w:rsid w:val="00792418"/>
    <w:rsid w:val="0079494B"/>
    <w:rsid w:val="00796494"/>
    <w:rsid w:val="007A282E"/>
    <w:rsid w:val="007A563F"/>
    <w:rsid w:val="007A7C0E"/>
    <w:rsid w:val="007B12A5"/>
    <w:rsid w:val="007B15D7"/>
    <w:rsid w:val="007B4270"/>
    <w:rsid w:val="007B4561"/>
    <w:rsid w:val="007B4602"/>
    <w:rsid w:val="007C040C"/>
    <w:rsid w:val="007C2574"/>
    <w:rsid w:val="007C3A65"/>
    <w:rsid w:val="007D0A0C"/>
    <w:rsid w:val="007D160D"/>
    <w:rsid w:val="007D47E6"/>
    <w:rsid w:val="007D56C9"/>
    <w:rsid w:val="007E1D7A"/>
    <w:rsid w:val="007E3749"/>
    <w:rsid w:val="007E43A9"/>
    <w:rsid w:val="007E5A85"/>
    <w:rsid w:val="007E745A"/>
    <w:rsid w:val="007E78D4"/>
    <w:rsid w:val="007F1468"/>
    <w:rsid w:val="007F2E77"/>
    <w:rsid w:val="007F3A73"/>
    <w:rsid w:val="007F77CB"/>
    <w:rsid w:val="00801010"/>
    <w:rsid w:val="00801272"/>
    <w:rsid w:val="008017A0"/>
    <w:rsid w:val="00803365"/>
    <w:rsid w:val="00804BCB"/>
    <w:rsid w:val="00805CA6"/>
    <w:rsid w:val="00805EEC"/>
    <w:rsid w:val="00807FB5"/>
    <w:rsid w:val="00810A99"/>
    <w:rsid w:val="00810B8B"/>
    <w:rsid w:val="00815827"/>
    <w:rsid w:val="00815BC8"/>
    <w:rsid w:val="00820FD8"/>
    <w:rsid w:val="00823CD6"/>
    <w:rsid w:val="0082510D"/>
    <w:rsid w:val="00825512"/>
    <w:rsid w:val="00826461"/>
    <w:rsid w:val="00832166"/>
    <w:rsid w:val="00832DA1"/>
    <w:rsid w:val="00851659"/>
    <w:rsid w:val="00853BC8"/>
    <w:rsid w:val="00856034"/>
    <w:rsid w:val="00860A86"/>
    <w:rsid w:val="008637BE"/>
    <w:rsid w:val="008640CA"/>
    <w:rsid w:val="00867386"/>
    <w:rsid w:val="008713C6"/>
    <w:rsid w:val="0087335E"/>
    <w:rsid w:val="00874F99"/>
    <w:rsid w:val="00877469"/>
    <w:rsid w:val="008777E7"/>
    <w:rsid w:val="00877EA2"/>
    <w:rsid w:val="008801E8"/>
    <w:rsid w:val="008818B2"/>
    <w:rsid w:val="00882B33"/>
    <w:rsid w:val="00884F11"/>
    <w:rsid w:val="00886199"/>
    <w:rsid w:val="00886A8C"/>
    <w:rsid w:val="00891308"/>
    <w:rsid w:val="00891620"/>
    <w:rsid w:val="00895593"/>
    <w:rsid w:val="00895F06"/>
    <w:rsid w:val="008964CE"/>
    <w:rsid w:val="008A0ADD"/>
    <w:rsid w:val="008A1D38"/>
    <w:rsid w:val="008A49AE"/>
    <w:rsid w:val="008A6918"/>
    <w:rsid w:val="008B0C19"/>
    <w:rsid w:val="008B3147"/>
    <w:rsid w:val="008B3850"/>
    <w:rsid w:val="008C09F6"/>
    <w:rsid w:val="008C5AF3"/>
    <w:rsid w:val="008C73D7"/>
    <w:rsid w:val="008D09D3"/>
    <w:rsid w:val="008D5340"/>
    <w:rsid w:val="008E1920"/>
    <w:rsid w:val="008E1EFC"/>
    <w:rsid w:val="008E1F7E"/>
    <w:rsid w:val="008E3E90"/>
    <w:rsid w:val="008E5AA4"/>
    <w:rsid w:val="008E656A"/>
    <w:rsid w:val="008E6AFA"/>
    <w:rsid w:val="008F2807"/>
    <w:rsid w:val="008F3CB7"/>
    <w:rsid w:val="008F47A6"/>
    <w:rsid w:val="008F7079"/>
    <w:rsid w:val="00904455"/>
    <w:rsid w:val="00905908"/>
    <w:rsid w:val="0090748E"/>
    <w:rsid w:val="00907DDD"/>
    <w:rsid w:val="00911067"/>
    <w:rsid w:val="0091282F"/>
    <w:rsid w:val="0091286C"/>
    <w:rsid w:val="009151F3"/>
    <w:rsid w:val="00921865"/>
    <w:rsid w:val="00923739"/>
    <w:rsid w:val="00923A58"/>
    <w:rsid w:val="0092726B"/>
    <w:rsid w:val="009301E0"/>
    <w:rsid w:val="00930DE5"/>
    <w:rsid w:val="009313B0"/>
    <w:rsid w:val="009340AF"/>
    <w:rsid w:val="00934EC2"/>
    <w:rsid w:val="00937AA0"/>
    <w:rsid w:val="00937DB3"/>
    <w:rsid w:val="009404B4"/>
    <w:rsid w:val="00943483"/>
    <w:rsid w:val="00944544"/>
    <w:rsid w:val="00945180"/>
    <w:rsid w:val="0095022C"/>
    <w:rsid w:val="00950605"/>
    <w:rsid w:val="0095265A"/>
    <w:rsid w:val="00955090"/>
    <w:rsid w:val="00965024"/>
    <w:rsid w:val="00965749"/>
    <w:rsid w:val="0096653B"/>
    <w:rsid w:val="00966B3B"/>
    <w:rsid w:val="00970DAE"/>
    <w:rsid w:val="00971B89"/>
    <w:rsid w:val="00975E60"/>
    <w:rsid w:val="00977DC6"/>
    <w:rsid w:val="00986C0F"/>
    <w:rsid w:val="0099012B"/>
    <w:rsid w:val="0099020D"/>
    <w:rsid w:val="009927A8"/>
    <w:rsid w:val="00993911"/>
    <w:rsid w:val="0099693F"/>
    <w:rsid w:val="009A575A"/>
    <w:rsid w:val="009A575B"/>
    <w:rsid w:val="009A59FC"/>
    <w:rsid w:val="009B2756"/>
    <w:rsid w:val="009B61D0"/>
    <w:rsid w:val="009C2A42"/>
    <w:rsid w:val="009C41BC"/>
    <w:rsid w:val="009C4202"/>
    <w:rsid w:val="009C47BD"/>
    <w:rsid w:val="009C5FF9"/>
    <w:rsid w:val="009D3172"/>
    <w:rsid w:val="009D3796"/>
    <w:rsid w:val="009D6084"/>
    <w:rsid w:val="009D645B"/>
    <w:rsid w:val="009E1897"/>
    <w:rsid w:val="009F2B48"/>
    <w:rsid w:val="009F2CF7"/>
    <w:rsid w:val="009F61AF"/>
    <w:rsid w:val="009F6293"/>
    <w:rsid w:val="00A018BC"/>
    <w:rsid w:val="00A027E3"/>
    <w:rsid w:val="00A02F63"/>
    <w:rsid w:val="00A1069C"/>
    <w:rsid w:val="00A13E2D"/>
    <w:rsid w:val="00A16DB3"/>
    <w:rsid w:val="00A21582"/>
    <w:rsid w:val="00A22809"/>
    <w:rsid w:val="00A228D9"/>
    <w:rsid w:val="00A31B41"/>
    <w:rsid w:val="00A31E4E"/>
    <w:rsid w:val="00A352DC"/>
    <w:rsid w:val="00A35486"/>
    <w:rsid w:val="00A37CC0"/>
    <w:rsid w:val="00A4078B"/>
    <w:rsid w:val="00A41015"/>
    <w:rsid w:val="00A41CEB"/>
    <w:rsid w:val="00A45973"/>
    <w:rsid w:val="00A46A10"/>
    <w:rsid w:val="00A558CB"/>
    <w:rsid w:val="00A56A0D"/>
    <w:rsid w:val="00A576EC"/>
    <w:rsid w:val="00A61533"/>
    <w:rsid w:val="00A61E64"/>
    <w:rsid w:val="00A64A1F"/>
    <w:rsid w:val="00A6703D"/>
    <w:rsid w:val="00A70257"/>
    <w:rsid w:val="00A70B8E"/>
    <w:rsid w:val="00A713E9"/>
    <w:rsid w:val="00A71F14"/>
    <w:rsid w:val="00A72B53"/>
    <w:rsid w:val="00A7483C"/>
    <w:rsid w:val="00A7610B"/>
    <w:rsid w:val="00A761B1"/>
    <w:rsid w:val="00A83BD3"/>
    <w:rsid w:val="00A84355"/>
    <w:rsid w:val="00A847D0"/>
    <w:rsid w:val="00A84EC7"/>
    <w:rsid w:val="00A87405"/>
    <w:rsid w:val="00A8795C"/>
    <w:rsid w:val="00A91024"/>
    <w:rsid w:val="00A97650"/>
    <w:rsid w:val="00A97CE0"/>
    <w:rsid w:val="00A97E4D"/>
    <w:rsid w:val="00AA0DC8"/>
    <w:rsid w:val="00AA74D1"/>
    <w:rsid w:val="00AB081F"/>
    <w:rsid w:val="00AB3B29"/>
    <w:rsid w:val="00AB4B90"/>
    <w:rsid w:val="00AC1CF7"/>
    <w:rsid w:val="00AC28C8"/>
    <w:rsid w:val="00AC2EF9"/>
    <w:rsid w:val="00AC7B29"/>
    <w:rsid w:val="00AD152B"/>
    <w:rsid w:val="00AD3FBD"/>
    <w:rsid w:val="00AD491C"/>
    <w:rsid w:val="00AD78D9"/>
    <w:rsid w:val="00AE05F9"/>
    <w:rsid w:val="00AE2D4F"/>
    <w:rsid w:val="00AE4C59"/>
    <w:rsid w:val="00AE5915"/>
    <w:rsid w:val="00AE6D3B"/>
    <w:rsid w:val="00AF02D6"/>
    <w:rsid w:val="00AF3AF6"/>
    <w:rsid w:val="00AF6174"/>
    <w:rsid w:val="00AF70FE"/>
    <w:rsid w:val="00B02664"/>
    <w:rsid w:val="00B04A9E"/>
    <w:rsid w:val="00B04BFD"/>
    <w:rsid w:val="00B06987"/>
    <w:rsid w:val="00B125E5"/>
    <w:rsid w:val="00B15374"/>
    <w:rsid w:val="00B15B37"/>
    <w:rsid w:val="00B20CAB"/>
    <w:rsid w:val="00B22F9F"/>
    <w:rsid w:val="00B254CD"/>
    <w:rsid w:val="00B25E53"/>
    <w:rsid w:val="00B268D3"/>
    <w:rsid w:val="00B315E6"/>
    <w:rsid w:val="00B31BCE"/>
    <w:rsid w:val="00B32A9A"/>
    <w:rsid w:val="00B32DA2"/>
    <w:rsid w:val="00B33677"/>
    <w:rsid w:val="00B33CA3"/>
    <w:rsid w:val="00B41010"/>
    <w:rsid w:val="00B419AE"/>
    <w:rsid w:val="00B43A67"/>
    <w:rsid w:val="00B45142"/>
    <w:rsid w:val="00B534E2"/>
    <w:rsid w:val="00B57C51"/>
    <w:rsid w:val="00B65217"/>
    <w:rsid w:val="00B6674E"/>
    <w:rsid w:val="00B679F6"/>
    <w:rsid w:val="00B727DB"/>
    <w:rsid w:val="00B72A05"/>
    <w:rsid w:val="00B76253"/>
    <w:rsid w:val="00B7659C"/>
    <w:rsid w:val="00B77B8F"/>
    <w:rsid w:val="00B80033"/>
    <w:rsid w:val="00B83C8F"/>
    <w:rsid w:val="00B84F01"/>
    <w:rsid w:val="00B866CE"/>
    <w:rsid w:val="00B94A4F"/>
    <w:rsid w:val="00B951C8"/>
    <w:rsid w:val="00BA07C9"/>
    <w:rsid w:val="00BA0CA6"/>
    <w:rsid w:val="00BA16DA"/>
    <w:rsid w:val="00BA2811"/>
    <w:rsid w:val="00BA5BE5"/>
    <w:rsid w:val="00BB15B3"/>
    <w:rsid w:val="00BB6C0B"/>
    <w:rsid w:val="00BC5055"/>
    <w:rsid w:val="00BC5D8E"/>
    <w:rsid w:val="00BC63F6"/>
    <w:rsid w:val="00BC6CB1"/>
    <w:rsid w:val="00BD010C"/>
    <w:rsid w:val="00BD2CE2"/>
    <w:rsid w:val="00BD2E12"/>
    <w:rsid w:val="00BD464D"/>
    <w:rsid w:val="00BD608F"/>
    <w:rsid w:val="00BD69D0"/>
    <w:rsid w:val="00BE016D"/>
    <w:rsid w:val="00BE1549"/>
    <w:rsid w:val="00BE51D0"/>
    <w:rsid w:val="00BE5BFB"/>
    <w:rsid w:val="00BE7BBA"/>
    <w:rsid w:val="00BF0B20"/>
    <w:rsid w:val="00BF1B21"/>
    <w:rsid w:val="00BF2B3E"/>
    <w:rsid w:val="00BF6945"/>
    <w:rsid w:val="00C04A7D"/>
    <w:rsid w:val="00C101E0"/>
    <w:rsid w:val="00C151D1"/>
    <w:rsid w:val="00C17D70"/>
    <w:rsid w:val="00C20D61"/>
    <w:rsid w:val="00C23422"/>
    <w:rsid w:val="00C30657"/>
    <w:rsid w:val="00C378E0"/>
    <w:rsid w:val="00C420A0"/>
    <w:rsid w:val="00C436F8"/>
    <w:rsid w:val="00C4432B"/>
    <w:rsid w:val="00C4565D"/>
    <w:rsid w:val="00C46BFC"/>
    <w:rsid w:val="00C46DAD"/>
    <w:rsid w:val="00C50F13"/>
    <w:rsid w:val="00C51907"/>
    <w:rsid w:val="00C52333"/>
    <w:rsid w:val="00C53645"/>
    <w:rsid w:val="00C547FD"/>
    <w:rsid w:val="00C549F3"/>
    <w:rsid w:val="00C556E1"/>
    <w:rsid w:val="00C56556"/>
    <w:rsid w:val="00C605FF"/>
    <w:rsid w:val="00C60819"/>
    <w:rsid w:val="00C611DF"/>
    <w:rsid w:val="00C624C8"/>
    <w:rsid w:val="00C6391C"/>
    <w:rsid w:val="00C65666"/>
    <w:rsid w:val="00C70FCC"/>
    <w:rsid w:val="00C71BE2"/>
    <w:rsid w:val="00C721FE"/>
    <w:rsid w:val="00C72320"/>
    <w:rsid w:val="00C73C75"/>
    <w:rsid w:val="00C77C9B"/>
    <w:rsid w:val="00C80BA7"/>
    <w:rsid w:val="00C81D51"/>
    <w:rsid w:val="00C81ECF"/>
    <w:rsid w:val="00C829CE"/>
    <w:rsid w:val="00C8324A"/>
    <w:rsid w:val="00C85023"/>
    <w:rsid w:val="00C8703F"/>
    <w:rsid w:val="00C87135"/>
    <w:rsid w:val="00C87326"/>
    <w:rsid w:val="00C93B23"/>
    <w:rsid w:val="00CA0113"/>
    <w:rsid w:val="00CA0E08"/>
    <w:rsid w:val="00CA1DD1"/>
    <w:rsid w:val="00CA2194"/>
    <w:rsid w:val="00CA24EF"/>
    <w:rsid w:val="00CA2A96"/>
    <w:rsid w:val="00CA44AE"/>
    <w:rsid w:val="00CB1666"/>
    <w:rsid w:val="00CB1B03"/>
    <w:rsid w:val="00CB537F"/>
    <w:rsid w:val="00CB7210"/>
    <w:rsid w:val="00CB7397"/>
    <w:rsid w:val="00CC02B8"/>
    <w:rsid w:val="00CC1A98"/>
    <w:rsid w:val="00CC36E3"/>
    <w:rsid w:val="00CC3C35"/>
    <w:rsid w:val="00CC4105"/>
    <w:rsid w:val="00CC5CC7"/>
    <w:rsid w:val="00CD052B"/>
    <w:rsid w:val="00CD2CB3"/>
    <w:rsid w:val="00CD3E05"/>
    <w:rsid w:val="00CD628C"/>
    <w:rsid w:val="00CE0A54"/>
    <w:rsid w:val="00CE6B95"/>
    <w:rsid w:val="00CF3AFF"/>
    <w:rsid w:val="00CF4F17"/>
    <w:rsid w:val="00CF51CD"/>
    <w:rsid w:val="00CF534A"/>
    <w:rsid w:val="00D02D99"/>
    <w:rsid w:val="00D03907"/>
    <w:rsid w:val="00D06495"/>
    <w:rsid w:val="00D07C8B"/>
    <w:rsid w:val="00D120B3"/>
    <w:rsid w:val="00D1282C"/>
    <w:rsid w:val="00D130FC"/>
    <w:rsid w:val="00D17312"/>
    <w:rsid w:val="00D214BE"/>
    <w:rsid w:val="00D22DB0"/>
    <w:rsid w:val="00D2397A"/>
    <w:rsid w:val="00D253E4"/>
    <w:rsid w:val="00D3224F"/>
    <w:rsid w:val="00D40878"/>
    <w:rsid w:val="00D46748"/>
    <w:rsid w:val="00D5173B"/>
    <w:rsid w:val="00D525D5"/>
    <w:rsid w:val="00D5733A"/>
    <w:rsid w:val="00D60AFC"/>
    <w:rsid w:val="00D62068"/>
    <w:rsid w:val="00D65F8E"/>
    <w:rsid w:val="00D66C1C"/>
    <w:rsid w:val="00D71B5D"/>
    <w:rsid w:val="00D725D8"/>
    <w:rsid w:val="00D75587"/>
    <w:rsid w:val="00D75BEA"/>
    <w:rsid w:val="00D76344"/>
    <w:rsid w:val="00D765CD"/>
    <w:rsid w:val="00D77054"/>
    <w:rsid w:val="00D833DC"/>
    <w:rsid w:val="00D84524"/>
    <w:rsid w:val="00D85DDD"/>
    <w:rsid w:val="00D873A3"/>
    <w:rsid w:val="00D904D6"/>
    <w:rsid w:val="00D91893"/>
    <w:rsid w:val="00D94765"/>
    <w:rsid w:val="00D9606D"/>
    <w:rsid w:val="00DA0184"/>
    <w:rsid w:val="00DA3117"/>
    <w:rsid w:val="00DB30AA"/>
    <w:rsid w:val="00DB7C07"/>
    <w:rsid w:val="00DC1775"/>
    <w:rsid w:val="00DC2B02"/>
    <w:rsid w:val="00DC4EAA"/>
    <w:rsid w:val="00DC5044"/>
    <w:rsid w:val="00DC73F8"/>
    <w:rsid w:val="00DC746E"/>
    <w:rsid w:val="00DD36EF"/>
    <w:rsid w:val="00DD51E7"/>
    <w:rsid w:val="00DD582B"/>
    <w:rsid w:val="00DD63FA"/>
    <w:rsid w:val="00DE1F0C"/>
    <w:rsid w:val="00DE52BA"/>
    <w:rsid w:val="00DE54BB"/>
    <w:rsid w:val="00DE5713"/>
    <w:rsid w:val="00DE6148"/>
    <w:rsid w:val="00DF1022"/>
    <w:rsid w:val="00DF2FDD"/>
    <w:rsid w:val="00DF38D8"/>
    <w:rsid w:val="00DF3E88"/>
    <w:rsid w:val="00E01159"/>
    <w:rsid w:val="00E02462"/>
    <w:rsid w:val="00E10E2D"/>
    <w:rsid w:val="00E11224"/>
    <w:rsid w:val="00E120D2"/>
    <w:rsid w:val="00E132B3"/>
    <w:rsid w:val="00E13C6B"/>
    <w:rsid w:val="00E158E6"/>
    <w:rsid w:val="00E17D29"/>
    <w:rsid w:val="00E22A39"/>
    <w:rsid w:val="00E2388C"/>
    <w:rsid w:val="00E24621"/>
    <w:rsid w:val="00E25099"/>
    <w:rsid w:val="00E3004F"/>
    <w:rsid w:val="00E33926"/>
    <w:rsid w:val="00E3534A"/>
    <w:rsid w:val="00E355D5"/>
    <w:rsid w:val="00E35F73"/>
    <w:rsid w:val="00E42113"/>
    <w:rsid w:val="00E42D7F"/>
    <w:rsid w:val="00E44286"/>
    <w:rsid w:val="00E44590"/>
    <w:rsid w:val="00E45627"/>
    <w:rsid w:val="00E45809"/>
    <w:rsid w:val="00E51476"/>
    <w:rsid w:val="00E53C5A"/>
    <w:rsid w:val="00E557FF"/>
    <w:rsid w:val="00E56704"/>
    <w:rsid w:val="00E56AC3"/>
    <w:rsid w:val="00E615D9"/>
    <w:rsid w:val="00E63401"/>
    <w:rsid w:val="00E63B60"/>
    <w:rsid w:val="00E677D9"/>
    <w:rsid w:val="00E70F01"/>
    <w:rsid w:val="00E7346B"/>
    <w:rsid w:val="00E74D69"/>
    <w:rsid w:val="00E75B47"/>
    <w:rsid w:val="00E77FB7"/>
    <w:rsid w:val="00E808A5"/>
    <w:rsid w:val="00E81F59"/>
    <w:rsid w:val="00E8291A"/>
    <w:rsid w:val="00E8319A"/>
    <w:rsid w:val="00E83E12"/>
    <w:rsid w:val="00E845DA"/>
    <w:rsid w:val="00E86095"/>
    <w:rsid w:val="00E9057F"/>
    <w:rsid w:val="00E94982"/>
    <w:rsid w:val="00E94F81"/>
    <w:rsid w:val="00EA4420"/>
    <w:rsid w:val="00EA5498"/>
    <w:rsid w:val="00EB06ED"/>
    <w:rsid w:val="00EB09B7"/>
    <w:rsid w:val="00EB3A06"/>
    <w:rsid w:val="00EB4F1D"/>
    <w:rsid w:val="00EC347A"/>
    <w:rsid w:val="00EC4B77"/>
    <w:rsid w:val="00EC6DBA"/>
    <w:rsid w:val="00ED1960"/>
    <w:rsid w:val="00ED4337"/>
    <w:rsid w:val="00ED5A1F"/>
    <w:rsid w:val="00ED628A"/>
    <w:rsid w:val="00ED6A3C"/>
    <w:rsid w:val="00ED6F70"/>
    <w:rsid w:val="00EE3F99"/>
    <w:rsid w:val="00EE4EB4"/>
    <w:rsid w:val="00EE50C6"/>
    <w:rsid w:val="00EE5295"/>
    <w:rsid w:val="00EF14CA"/>
    <w:rsid w:val="00EF1A83"/>
    <w:rsid w:val="00EF1D5D"/>
    <w:rsid w:val="00EF365F"/>
    <w:rsid w:val="00F002D2"/>
    <w:rsid w:val="00F016A7"/>
    <w:rsid w:val="00F0498A"/>
    <w:rsid w:val="00F04CAF"/>
    <w:rsid w:val="00F05E98"/>
    <w:rsid w:val="00F06158"/>
    <w:rsid w:val="00F066F0"/>
    <w:rsid w:val="00F072F8"/>
    <w:rsid w:val="00F10DDD"/>
    <w:rsid w:val="00F129B2"/>
    <w:rsid w:val="00F13619"/>
    <w:rsid w:val="00F14363"/>
    <w:rsid w:val="00F15BAC"/>
    <w:rsid w:val="00F205E9"/>
    <w:rsid w:val="00F2679B"/>
    <w:rsid w:val="00F27195"/>
    <w:rsid w:val="00F3104A"/>
    <w:rsid w:val="00F33309"/>
    <w:rsid w:val="00F37143"/>
    <w:rsid w:val="00F37658"/>
    <w:rsid w:val="00F40EEF"/>
    <w:rsid w:val="00F42330"/>
    <w:rsid w:val="00F506ED"/>
    <w:rsid w:val="00F51A08"/>
    <w:rsid w:val="00F51C44"/>
    <w:rsid w:val="00F56F56"/>
    <w:rsid w:val="00F60DBD"/>
    <w:rsid w:val="00F61595"/>
    <w:rsid w:val="00F6184C"/>
    <w:rsid w:val="00F631D1"/>
    <w:rsid w:val="00F64A29"/>
    <w:rsid w:val="00F654F4"/>
    <w:rsid w:val="00F66085"/>
    <w:rsid w:val="00F66ABC"/>
    <w:rsid w:val="00F80224"/>
    <w:rsid w:val="00F8079F"/>
    <w:rsid w:val="00F819B8"/>
    <w:rsid w:val="00F81CF5"/>
    <w:rsid w:val="00F84345"/>
    <w:rsid w:val="00F87330"/>
    <w:rsid w:val="00F90CBC"/>
    <w:rsid w:val="00F972C4"/>
    <w:rsid w:val="00FA12ED"/>
    <w:rsid w:val="00FA18BC"/>
    <w:rsid w:val="00FA5C4D"/>
    <w:rsid w:val="00FA6E30"/>
    <w:rsid w:val="00FB0A92"/>
    <w:rsid w:val="00FB2F65"/>
    <w:rsid w:val="00FB4BD8"/>
    <w:rsid w:val="00FB4E3F"/>
    <w:rsid w:val="00FB5916"/>
    <w:rsid w:val="00FC2520"/>
    <w:rsid w:val="00FC266D"/>
    <w:rsid w:val="00FC4AED"/>
    <w:rsid w:val="00FC5178"/>
    <w:rsid w:val="00FC562A"/>
    <w:rsid w:val="00FC75C6"/>
    <w:rsid w:val="00FD1CE3"/>
    <w:rsid w:val="00FD1DF1"/>
    <w:rsid w:val="00FD4D51"/>
    <w:rsid w:val="00FD5762"/>
    <w:rsid w:val="00FD5EE0"/>
    <w:rsid w:val="00FD63E8"/>
    <w:rsid w:val="00FD6CFF"/>
    <w:rsid w:val="00FE1C3A"/>
    <w:rsid w:val="00FE2409"/>
    <w:rsid w:val="00FE2B09"/>
    <w:rsid w:val="00FE4ACE"/>
    <w:rsid w:val="00FE72EF"/>
    <w:rsid w:val="00FF0896"/>
    <w:rsid w:val="00FF4E1E"/>
    <w:rsid w:val="00FF5823"/>
    <w:rsid w:val="00FF63EF"/>
    <w:rsid w:val="00FF6C6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9364A"/>
  <w15:docId w15:val="{2BD7B645-120C-4215-8C0F-CEA049EA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E12"/>
    <w:pPr>
      <w:spacing w:before="120" w:after="180"/>
      <w:jc w:val="both"/>
    </w:pPr>
    <w:rPr>
      <w:rFonts w:ascii="Corbel" w:hAnsi="Corbel"/>
      <w:lang w:val="en-CA"/>
    </w:rPr>
  </w:style>
  <w:style w:type="paragraph" w:styleId="Titre1">
    <w:name w:val="heading 1"/>
    <w:next w:val="Normal"/>
    <w:link w:val="Titre1Car"/>
    <w:uiPriority w:val="9"/>
    <w:qFormat/>
    <w:rsid w:val="007869BC"/>
    <w:pPr>
      <w:keepNext/>
      <w:keepLines/>
      <w:numPr>
        <w:numId w:val="2"/>
      </w:numPr>
      <w:pBdr>
        <w:bottom w:val="single" w:sz="24" w:space="1" w:color="E36C0A"/>
      </w:pBdr>
      <w:spacing w:after="100" w:afterAutospacing="1" w:line="240" w:lineRule="auto"/>
      <w:outlineLvl w:val="0"/>
    </w:pPr>
    <w:rPr>
      <w:rFonts w:ascii="Corbel" w:eastAsiaTheme="majorEastAsia" w:hAnsi="Corbel" w:cstheme="majorBidi"/>
      <w:b/>
      <w:bCs/>
      <w:color w:val="133C66"/>
      <w:sz w:val="48"/>
      <w:szCs w:val="28"/>
      <w:lang w:val="fr-CA"/>
    </w:rPr>
  </w:style>
  <w:style w:type="paragraph" w:styleId="Titre2">
    <w:name w:val="heading 2"/>
    <w:basedOn w:val="Titre1"/>
    <w:next w:val="Normal"/>
    <w:link w:val="Titre2Car"/>
    <w:uiPriority w:val="9"/>
    <w:unhideWhenUsed/>
    <w:qFormat/>
    <w:rsid w:val="007E43A9"/>
    <w:pPr>
      <w:numPr>
        <w:ilvl w:val="1"/>
      </w:numPr>
      <w:pBdr>
        <w:bottom w:val="single" w:sz="12" w:space="1" w:color="E36C0A"/>
      </w:pBdr>
      <w:spacing w:before="400" w:after="240" w:afterAutospacing="0"/>
      <w:outlineLvl w:val="1"/>
    </w:pPr>
    <w:rPr>
      <w:bCs w:val="0"/>
      <w:color w:val="2F5496"/>
      <w:sz w:val="40"/>
      <w:szCs w:val="26"/>
      <w:lang w:val="en-CA"/>
    </w:rPr>
  </w:style>
  <w:style w:type="paragraph" w:styleId="Titre3">
    <w:name w:val="heading 3"/>
    <w:basedOn w:val="Normal"/>
    <w:next w:val="Normal"/>
    <w:link w:val="Titre3Car"/>
    <w:uiPriority w:val="9"/>
    <w:unhideWhenUsed/>
    <w:qFormat/>
    <w:rsid w:val="00105EA5"/>
    <w:pPr>
      <w:keepNext/>
      <w:keepLines/>
      <w:numPr>
        <w:ilvl w:val="2"/>
        <w:numId w:val="2"/>
      </w:numPr>
      <w:spacing w:before="400" w:after="0"/>
      <w:outlineLvl w:val="2"/>
    </w:pPr>
    <w:rPr>
      <w:rFonts w:eastAsiaTheme="majorEastAsia" w:cstheme="majorBidi"/>
      <w:b/>
      <w:bCs/>
      <w:color w:val="E36C0A"/>
      <w:sz w:val="32"/>
    </w:rPr>
  </w:style>
  <w:style w:type="paragraph" w:styleId="Titre4">
    <w:name w:val="heading 4"/>
    <w:basedOn w:val="Titre3"/>
    <w:next w:val="Normal"/>
    <w:link w:val="Titre4Car"/>
    <w:uiPriority w:val="9"/>
    <w:unhideWhenUsed/>
    <w:qFormat/>
    <w:rsid w:val="007869BC"/>
    <w:pPr>
      <w:numPr>
        <w:ilvl w:val="3"/>
      </w:numPr>
      <w:outlineLvl w:val="3"/>
    </w:pPr>
    <w:rPr>
      <w:b w:val="0"/>
      <w:bCs w:val="0"/>
      <w:iCs/>
      <w:sz w:val="28"/>
    </w:rPr>
  </w:style>
  <w:style w:type="paragraph" w:styleId="Titre5">
    <w:name w:val="heading 5"/>
    <w:basedOn w:val="Titre4"/>
    <w:next w:val="Normal"/>
    <w:link w:val="Titre5Car"/>
    <w:uiPriority w:val="9"/>
    <w:unhideWhenUsed/>
    <w:qFormat/>
    <w:rsid w:val="007869BC"/>
    <w:pPr>
      <w:numPr>
        <w:ilvl w:val="4"/>
      </w:numPr>
      <w:outlineLvl w:val="4"/>
    </w:pPr>
    <w:rPr>
      <w:i/>
      <w:sz w:val="26"/>
    </w:rPr>
  </w:style>
  <w:style w:type="paragraph" w:styleId="Titre6">
    <w:name w:val="heading 6"/>
    <w:basedOn w:val="Normal"/>
    <w:next w:val="Normal"/>
    <w:link w:val="Titre6Car"/>
    <w:uiPriority w:val="9"/>
    <w:unhideWhenUsed/>
    <w:qFormat/>
    <w:rsid w:val="00937AA0"/>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unhideWhenUsed/>
    <w:qFormat/>
    <w:rsid w:val="00937AA0"/>
    <w:pPr>
      <w:keepNext/>
      <w:outlineLvl w:val="6"/>
    </w:pPr>
    <w:rPr>
      <w:b/>
      <w:u w:val="single"/>
      <w:lang w:val="fr-CA"/>
    </w:rPr>
  </w:style>
  <w:style w:type="paragraph" w:styleId="Titre8">
    <w:name w:val="heading 8"/>
    <w:basedOn w:val="Normal"/>
    <w:next w:val="Normal"/>
    <w:link w:val="Titre8Car"/>
    <w:uiPriority w:val="9"/>
    <w:unhideWhenUsed/>
    <w:qFormat/>
    <w:rsid w:val="00937AA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37AA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869BC"/>
    <w:rPr>
      <w:rFonts w:ascii="Corbel" w:eastAsiaTheme="majorEastAsia" w:hAnsi="Corbel" w:cstheme="majorBidi"/>
      <w:b/>
      <w:bCs/>
      <w:color w:val="133C66"/>
      <w:sz w:val="48"/>
      <w:szCs w:val="28"/>
      <w:lang w:val="fr-CA"/>
    </w:rPr>
  </w:style>
  <w:style w:type="character" w:customStyle="1" w:styleId="Titre2Car">
    <w:name w:val="Titre 2 Car"/>
    <w:basedOn w:val="Policepardfaut"/>
    <w:link w:val="Titre2"/>
    <w:uiPriority w:val="9"/>
    <w:rsid w:val="007E43A9"/>
    <w:rPr>
      <w:rFonts w:ascii="Corbel" w:eastAsiaTheme="majorEastAsia" w:hAnsi="Corbel" w:cstheme="majorBidi"/>
      <w:b/>
      <w:color w:val="2F5496"/>
      <w:sz w:val="40"/>
      <w:szCs w:val="26"/>
      <w:lang w:val="en-CA"/>
    </w:rPr>
  </w:style>
  <w:style w:type="character" w:customStyle="1" w:styleId="Titre3Car">
    <w:name w:val="Titre 3 Car"/>
    <w:basedOn w:val="Policepardfaut"/>
    <w:link w:val="Titre3"/>
    <w:uiPriority w:val="9"/>
    <w:rsid w:val="00105EA5"/>
    <w:rPr>
      <w:rFonts w:ascii="Corbel" w:eastAsiaTheme="majorEastAsia" w:hAnsi="Corbel" w:cstheme="majorBidi"/>
      <w:b/>
      <w:bCs/>
      <w:color w:val="E36C0A"/>
      <w:sz w:val="32"/>
      <w:lang w:val="en-CA"/>
    </w:rPr>
  </w:style>
  <w:style w:type="character" w:customStyle="1" w:styleId="Titre4Car">
    <w:name w:val="Titre 4 Car"/>
    <w:basedOn w:val="Policepardfaut"/>
    <w:link w:val="Titre4"/>
    <w:uiPriority w:val="9"/>
    <w:rsid w:val="007869BC"/>
    <w:rPr>
      <w:rFonts w:ascii="Corbel" w:eastAsiaTheme="majorEastAsia" w:hAnsi="Corbel" w:cstheme="majorBidi"/>
      <w:iCs/>
      <w:color w:val="E36C0A"/>
      <w:sz w:val="28"/>
      <w:lang w:val="en-CA"/>
    </w:rPr>
  </w:style>
  <w:style w:type="character" w:customStyle="1" w:styleId="Titre5Car">
    <w:name w:val="Titre 5 Car"/>
    <w:basedOn w:val="Policepardfaut"/>
    <w:link w:val="Titre5"/>
    <w:uiPriority w:val="9"/>
    <w:rsid w:val="007869BC"/>
    <w:rPr>
      <w:rFonts w:ascii="Corbel" w:eastAsiaTheme="majorEastAsia" w:hAnsi="Corbel" w:cstheme="majorBidi"/>
      <w:i/>
      <w:iCs/>
      <w:color w:val="E36C0A"/>
      <w:sz w:val="26"/>
      <w:lang w:val="en-CA"/>
    </w:rPr>
  </w:style>
  <w:style w:type="character" w:customStyle="1" w:styleId="Titre6Car">
    <w:name w:val="Titre 6 Car"/>
    <w:basedOn w:val="Policepardfaut"/>
    <w:link w:val="Titre6"/>
    <w:uiPriority w:val="9"/>
    <w:rsid w:val="00937AA0"/>
    <w:rPr>
      <w:rFonts w:asciiTheme="majorHAnsi" w:eastAsiaTheme="majorEastAsia" w:hAnsiTheme="majorHAnsi" w:cstheme="majorBidi"/>
      <w:color w:val="243F60" w:themeColor="accent1" w:themeShade="7F"/>
      <w:lang w:val="en-CA"/>
    </w:rPr>
  </w:style>
  <w:style w:type="character" w:customStyle="1" w:styleId="Titre7Car">
    <w:name w:val="Titre 7 Car"/>
    <w:basedOn w:val="Policepardfaut"/>
    <w:link w:val="Titre7"/>
    <w:uiPriority w:val="9"/>
    <w:rsid w:val="00937AA0"/>
    <w:rPr>
      <w:rFonts w:ascii="Corbel" w:hAnsi="Corbel"/>
      <w:b/>
      <w:u w:val="single"/>
      <w:lang w:val="fr-CA"/>
    </w:rPr>
  </w:style>
  <w:style w:type="character" w:customStyle="1" w:styleId="Titre8Car">
    <w:name w:val="Titre 8 Car"/>
    <w:basedOn w:val="Policepardfaut"/>
    <w:link w:val="Titre8"/>
    <w:uiPriority w:val="9"/>
    <w:rsid w:val="00937AA0"/>
    <w:rPr>
      <w:rFonts w:asciiTheme="majorHAnsi" w:eastAsiaTheme="majorEastAsia" w:hAnsiTheme="majorHAnsi" w:cstheme="majorBidi"/>
      <w:color w:val="272727" w:themeColor="text1" w:themeTint="D8"/>
      <w:sz w:val="21"/>
      <w:szCs w:val="21"/>
      <w:lang w:val="en-CA"/>
    </w:rPr>
  </w:style>
  <w:style w:type="paragraph" w:styleId="Sansinterligne">
    <w:name w:val="No Spacing"/>
    <w:basedOn w:val="Normal"/>
    <w:uiPriority w:val="1"/>
    <w:qFormat/>
    <w:rsid w:val="007869BC"/>
    <w:pPr>
      <w:spacing w:after="0" w:line="240" w:lineRule="auto"/>
    </w:pPr>
  </w:style>
  <w:style w:type="paragraph" w:styleId="Titre">
    <w:name w:val="Title"/>
    <w:basedOn w:val="Normal"/>
    <w:next w:val="Normal"/>
    <w:link w:val="TitreCar"/>
    <w:uiPriority w:val="10"/>
    <w:qFormat/>
    <w:rsid w:val="007869BC"/>
    <w:pPr>
      <w:pBdr>
        <w:bottom w:val="single" w:sz="24" w:space="4" w:color="E36C0A"/>
      </w:pBdr>
      <w:spacing w:after="100" w:afterAutospacing="1" w:line="240" w:lineRule="auto"/>
      <w:contextualSpacing/>
      <w:jc w:val="center"/>
    </w:pPr>
    <w:rPr>
      <w:rFonts w:eastAsiaTheme="majorEastAsia" w:cstheme="majorBidi"/>
      <w:b/>
      <w:color w:val="17365D" w:themeColor="text2" w:themeShade="BF"/>
      <w:spacing w:val="5"/>
      <w:kern w:val="28"/>
      <w:sz w:val="48"/>
      <w:szCs w:val="52"/>
    </w:rPr>
  </w:style>
  <w:style w:type="character" w:customStyle="1" w:styleId="TitreCar">
    <w:name w:val="Titre Car"/>
    <w:basedOn w:val="Policepardfaut"/>
    <w:link w:val="Titre"/>
    <w:uiPriority w:val="10"/>
    <w:rsid w:val="007869BC"/>
    <w:rPr>
      <w:rFonts w:ascii="Corbel" w:eastAsiaTheme="majorEastAsia" w:hAnsi="Corbel" w:cstheme="majorBidi"/>
      <w:b/>
      <w:color w:val="17365D" w:themeColor="text2" w:themeShade="BF"/>
      <w:spacing w:val="5"/>
      <w:kern w:val="28"/>
      <w:sz w:val="48"/>
      <w:szCs w:val="52"/>
      <w:lang w:val="en-CA"/>
    </w:rPr>
  </w:style>
  <w:style w:type="paragraph" w:styleId="Paragraphedeliste">
    <w:name w:val="List Paragraph"/>
    <w:aliases w:val="List Paragraph (bulleted list),Bullet 1 List,Bullets,List Paragraph1"/>
    <w:basedOn w:val="Normal"/>
    <w:link w:val="ParagraphedelisteCar"/>
    <w:uiPriority w:val="34"/>
    <w:qFormat/>
    <w:rsid w:val="007869BC"/>
    <w:pPr>
      <w:numPr>
        <w:numId w:val="1"/>
      </w:numPr>
      <w:contextualSpacing/>
    </w:pPr>
    <w:rPr>
      <w:lang w:val="fr-CA"/>
    </w:rPr>
  </w:style>
  <w:style w:type="character" w:customStyle="1" w:styleId="ParagraphedelisteCar">
    <w:name w:val="Paragraphe de liste Car"/>
    <w:aliases w:val="List Paragraph (bulleted list) Car,Bullet 1 List Car,Bullets Car,List Paragraph1 Car"/>
    <w:link w:val="Paragraphedeliste"/>
    <w:uiPriority w:val="99"/>
    <w:locked/>
    <w:rsid w:val="007869BC"/>
    <w:rPr>
      <w:rFonts w:ascii="Corbel" w:hAnsi="Corbel"/>
      <w:lang w:val="fr-CA"/>
    </w:rPr>
  </w:style>
  <w:style w:type="paragraph" w:styleId="En-tte">
    <w:name w:val="header"/>
    <w:basedOn w:val="Normal"/>
    <w:link w:val="En-tteCar"/>
    <w:uiPriority w:val="99"/>
    <w:unhideWhenUsed/>
    <w:rsid w:val="00341638"/>
    <w:pPr>
      <w:tabs>
        <w:tab w:val="center" w:pos="4680"/>
        <w:tab w:val="right" w:pos="9360"/>
      </w:tabs>
      <w:spacing w:after="0" w:line="240" w:lineRule="auto"/>
    </w:pPr>
  </w:style>
  <w:style w:type="character" w:customStyle="1" w:styleId="En-tteCar">
    <w:name w:val="En-tête Car"/>
    <w:basedOn w:val="Policepardfaut"/>
    <w:link w:val="En-tte"/>
    <w:uiPriority w:val="99"/>
    <w:rsid w:val="00341638"/>
    <w:rPr>
      <w:rFonts w:ascii="Corbel" w:hAnsi="Corbel"/>
      <w:lang w:val="en-CA"/>
    </w:rPr>
  </w:style>
  <w:style w:type="paragraph" w:styleId="Pieddepage">
    <w:name w:val="footer"/>
    <w:basedOn w:val="Normal"/>
    <w:link w:val="PieddepageCar"/>
    <w:uiPriority w:val="99"/>
    <w:unhideWhenUsed/>
    <w:rsid w:val="00341638"/>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341638"/>
    <w:rPr>
      <w:rFonts w:ascii="Corbel" w:hAnsi="Corbel"/>
      <w:lang w:val="en-CA"/>
    </w:rPr>
  </w:style>
  <w:style w:type="paragraph" w:styleId="Corpsdetexte">
    <w:name w:val="Body Text"/>
    <w:aliases w:val="heading3,Body Text - Level 2,b,Body,bt,body text,BodyText,body,text,t,book,bullet,bullets,Concepto,ELI PD text,Concepto Char,bt Char,Body Text - Level 2 Char,heading3 Char,ELI PD text Char,Body Char,body text Char"/>
    <w:basedOn w:val="Normal"/>
    <w:link w:val="CorpsdetexteCar"/>
    <w:uiPriority w:val="99"/>
    <w:rsid w:val="00341638"/>
    <w:pPr>
      <w:overflowPunct w:val="0"/>
      <w:autoSpaceDE w:val="0"/>
      <w:autoSpaceDN w:val="0"/>
      <w:adjustRightInd w:val="0"/>
      <w:spacing w:before="100"/>
      <w:jc w:val="center"/>
      <w:textAlignment w:val="baseline"/>
    </w:pPr>
    <w:rPr>
      <w:rFonts w:ascii="Calibri" w:eastAsia="Corbel" w:hAnsi="Calibri" w:cs="Times New Roman"/>
      <w:szCs w:val="20"/>
      <w:lang w:val="fr-CA" w:eastAsia="fr-FR"/>
    </w:rPr>
  </w:style>
  <w:style w:type="character" w:customStyle="1" w:styleId="CorpsdetexteCar">
    <w:name w:val="Corps de texte Car"/>
    <w:aliases w:val="heading3 Car,Body Text - Level 2 Car,b Car,Body Car,bt Car,body text Car,BodyText Car,body Car,text Car,t Car,book Car,bullet Car,bullets Car,Concepto Car,ELI PD text Car,Concepto Char Car,bt Char Car,Body Text - Level 2 Char Car"/>
    <w:basedOn w:val="Policepardfaut"/>
    <w:link w:val="Corpsdetexte"/>
    <w:uiPriority w:val="99"/>
    <w:rsid w:val="00341638"/>
    <w:rPr>
      <w:rFonts w:ascii="Calibri" w:eastAsia="Corbel" w:hAnsi="Calibri" w:cs="Times New Roman"/>
      <w:szCs w:val="20"/>
      <w:lang w:val="fr-CA" w:eastAsia="fr-FR"/>
    </w:rPr>
  </w:style>
  <w:style w:type="paragraph" w:styleId="En-ttedetabledesmatires">
    <w:name w:val="TOC Heading"/>
    <w:basedOn w:val="Titre1"/>
    <w:next w:val="Normal"/>
    <w:uiPriority w:val="39"/>
    <w:semiHidden/>
    <w:unhideWhenUsed/>
    <w:qFormat/>
    <w:rsid w:val="007869BC"/>
    <w:pPr>
      <w:numPr>
        <w:numId w:val="0"/>
      </w:numPr>
      <w:pBdr>
        <w:bottom w:val="none" w:sz="0" w:space="0" w:color="auto"/>
      </w:pBdr>
      <w:spacing w:before="480" w:after="0" w:afterAutospacing="0"/>
      <w:outlineLvl w:val="9"/>
    </w:pPr>
    <w:rPr>
      <w:rFonts w:asciiTheme="majorHAnsi" w:hAnsiTheme="majorHAnsi"/>
      <w:smallCaps/>
      <w:color w:val="365F91" w:themeColor="accent1" w:themeShade="BF"/>
      <w:sz w:val="28"/>
    </w:rPr>
  </w:style>
  <w:style w:type="paragraph" w:styleId="TM1">
    <w:name w:val="toc 1"/>
    <w:basedOn w:val="Normal"/>
    <w:next w:val="Normal"/>
    <w:autoRedefine/>
    <w:uiPriority w:val="39"/>
    <w:unhideWhenUsed/>
    <w:rsid w:val="00A22809"/>
    <w:pPr>
      <w:tabs>
        <w:tab w:val="left" w:pos="412"/>
        <w:tab w:val="right" w:leader="dot" w:pos="9360"/>
      </w:tabs>
      <w:spacing w:after="100"/>
    </w:pPr>
    <w:rPr>
      <w:b/>
      <w:color w:val="133C66"/>
    </w:rPr>
  </w:style>
  <w:style w:type="paragraph" w:styleId="Textedebulles">
    <w:name w:val="Balloon Text"/>
    <w:basedOn w:val="Normal"/>
    <w:link w:val="TextedebullesCar"/>
    <w:uiPriority w:val="99"/>
    <w:semiHidden/>
    <w:unhideWhenUsed/>
    <w:rsid w:val="003416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1638"/>
    <w:rPr>
      <w:rFonts w:ascii="Tahoma" w:hAnsi="Tahoma" w:cs="Tahoma"/>
      <w:sz w:val="16"/>
      <w:szCs w:val="16"/>
      <w:lang w:val="en-CA"/>
    </w:rPr>
  </w:style>
  <w:style w:type="character" w:styleId="Lienhypertexte">
    <w:name w:val="Hyperlink"/>
    <w:basedOn w:val="Policepardfaut"/>
    <w:uiPriority w:val="99"/>
    <w:unhideWhenUsed/>
    <w:rsid w:val="00341638"/>
    <w:rPr>
      <w:color w:val="0000FF" w:themeColor="hyperlink"/>
      <w:u w:val="single"/>
    </w:rPr>
  </w:style>
  <w:style w:type="paragraph" w:styleId="TM2">
    <w:name w:val="toc 2"/>
    <w:basedOn w:val="Normal"/>
    <w:next w:val="Normal"/>
    <w:autoRedefine/>
    <w:uiPriority w:val="39"/>
    <w:unhideWhenUsed/>
    <w:rsid w:val="0082510D"/>
    <w:pPr>
      <w:tabs>
        <w:tab w:val="left" w:pos="1312"/>
        <w:tab w:val="right" w:leader="dot" w:pos="9350"/>
      </w:tabs>
      <w:spacing w:after="100"/>
      <w:ind w:left="720"/>
    </w:pPr>
    <w:rPr>
      <w:b/>
      <w:color w:val="133C66"/>
    </w:rPr>
  </w:style>
  <w:style w:type="table" w:styleId="Grilledutableau">
    <w:name w:val="Table Grid"/>
    <w:basedOn w:val="TableauNormal"/>
    <w:uiPriority w:val="39"/>
    <w:rsid w:val="00341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auNormal"/>
    <w:uiPriority w:val="60"/>
    <w:rsid w:val="0034163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auNormal"/>
    <w:uiPriority w:val="60"/>
    <w:rsid w:val="0034163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Baastel">
    <w:name w:val="Table Baastel"/>
    <w:basedOn w:val="TableauNormal"/>
    <w:uiPriority w:val="99"/>
    <w:qFormat/>
    <w:rsid w:val="00341638"/>
    <w:pPr>
      <w:spacing w:after="0" w:line="240" w:lineRule="auto"/>
    </w:pPr>
    <w:rPr>
      <w:rFonts w:ascii="Corbel" w:hAnsi="Corbel"/>
      <w:color w:val="133C66"/>
    </w:rPr>
    <w:tblPr>
      <w:tblStyleRowBandSize w:val="1"/>
      <w:tblStyleColBandSize w:val="1"/>
      <w:tblBorders>
        <w:top w:val="single" w:sz="4" w:space="0" w:color="133C66"/>
        <w:bottom w:val="single" w:sz="4" w:space="0" w:color="133C66"/>
        <w:insideH w:val="single" w:sz="4" w:space="0" w:color="133C66"/>
      </w:tblBorders>
    </w:tblPr>
    <w:tcPr>
      <w:vAlign w:val="center"/>
    </w:tcPr>
    <w:tblStylePr w:type="firstRow">
      <w:pPr>
        <w:wordWrap/>
        <w:spacing w:beforeLines="0" w:beforeAutospacing="0" w:afterLines="0" w:afterAutospacing="0"/>
        <w:jc w:val="left"/>
      </w:pPr>
      <w:rPr>
        <w:rFonts w:ascii="Bahnschrift SemiBold Condensed" w:hAnsi="Bahnschrift SemiBold Condensed"/>
        <w:b/>
        <w:color w:val="E36C0A"/>
        <w:sz w:val="22"/>
      </w:rPr>
      <w:tblPr/>
      <w:tcPr>
        <w:tcBorders>
          <w:top w:val="single" w:sz="2" w:space="0" w:color="133C66"/>
          <w:bottom w:val="single" w:sz="2" w:space="0" w:color="133C66"/>
        </w:tcBorders>
        <w:shd w:val="clear" w:color="auto" w:fill="F2F2F2" w:themeFill="background1" w:themeFillShade="F2"/>
      </w:tcPr>
    </w:tblStylePr>
    <w:tblStylePr w:type="lastRow">
      <w:pPr>
        <w:jc w:val="left"/>
      </w:pPr>
      <w:rPr>
        <w:rFonts w:ascii="Bahnschrift SemiBold Condensed" w:hAnsi="Bahnschrift SemiBold Condensed"/>
        <w:b/>
        <w:color w:val="E36C0A"/>
        <w:sz w:val="22"/>
      </w:rPr>
      <w:tblPr/>
      <w:tcPr>
        <w:tcBorders>
          <w:top w:val="single" w:sz="2" w:space="0" w:color="133C66"/>
          <w:bottom w:val="single" w:sz="2" w:space="0" w:color="133C66"/>
        </w:tcBorders>
      </w:tcPr>
    </w:tblStylePr>
  </w:style>
  <w:style w:type="paragraph" w:styleId="Lgende">
    <w:name w:val="caption"/>
    <w:aliases w:val="Baastel Caption"/>
    <w:basedOn w:val="Normal"/>
    <w:next w:val="Normal"/>
    <w:unhideWhenUsed/>
    <w:qFormat/>
    <w:rsid w:val="007869BC"/>
    <w:pPr>
      <w:spacing w:before="240" w:line="240" w:lineRule="auto"/>
      <w:jc w:val="center"/>
    </w:pPr>
    <w:rPr>
      <w:b/>
      <w:bCs/>
      <w:color w:val="2F5496"/>
      <w:szCs w:val="18"/>
    </w:rPr>
  </w:style>
  <w:style w:type="paragraph" w:styleId="Explorateurdedocuments">
    <w:name w:val="Document Map"/>
    <w:basedOn w:val="Normal"/>
    <w:link w:val="ExplorateurdedocumentsCar"/>
    <w:uiPriority w:val="99"/>
    <w:semiHidden/>
    <w:unhideWhenUsed/>
    <w:rsid w:val="00341638"/>
    <w:pPr>
      <w:spacing w:before="0"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41638"/>
    <w:rPr>
      <w:rFonts w:ascii="Tahoma" w:hAnsi="Tahoma" w:cs="Tahoma"/>
      <w:sz w:val="16"/>
      <w:szCs w:val="16"/>
      <w:lang w:val="en-CA"/>
    </w:rPr>
  </w:style>
  <w:style w:type="paragraph" w:styleId="Notedebasdepage">
    <w:name w:val="footnote text"/>
    <w:aliases w:val=" Footnote,Footnote,single space,Footnote Text Char Char Char Char,Footnote Text Char Char,Footnote Text Char2,Footnote Text Char1 Char1,Footnote Text Char Char Char,Footnote Text Char2 Char Char Char,Footnote Text Char1,Geneva 9,f,ft"/>
    <w:basedOn w:val="Normal"/>
    <w:link w:val="NotedebasdepageCar"/>
    <w:unhideWhenUsed/>
    <w:qFormat/>
    <w:rsid w:val="007869BC"/>
    <w:pPr>
      <w:spacing w:before="0" w:after="0" w:line="240" w:lineRule="auto"/>
    </w:pPr>
    <w:rPr>
      <w:sz w:val="18"/>
      <w:szCs w:val="20"/>
    </w:rPr>
  </w:style>
  <w:style w:type="character" w:customStyle="1" w:styleId="NotedebasdepageCar">
    <w:name w:val="Note de bas de page Car"/>
    <w:aliases w:val=" Footnote Car,Footnote Car,single space Car,Footnote Text Char Char Char Char Car,Footnote Text Char Char Car,Footnote Text Char2 Car,Footnote Text Char1 Char1 Car,Footnote Text Char Char Char Car,Footnote Text Char1 Car,f Car"/>
    <w:basedOn w:val="Policepardfaut"/>
    <w:link w:val="Notedebasdepage"/>
    <w:rsid w:val="007869BC"/>
    <w:rPr>
      <w:rFonts w:ascii="Corbel" w:hAnsi="Corbel"/>
      <w:sz w:val="18"/>
      <w:szCs w:val="20"/>
      <w:lang w:val="en-CA"/>
    </w:rPr>
  </w:style>
  <w:style w:type="character" w:styleId="Appelnotedebasdep">
    <w:name w:val="footnote reference"/>
    <w:aliases w:val="16 Point,Superscript 6 Point,Superscript 6 Point + 11 pt,ftref,fr,Footnote Ref in FtNote,Style 24,o,SUPERS,4_G,E FNZ,-E Fußnotenzeichen,Footnote#,BVI fnr,Footnote Reference Number,BVI fnr Car Car,BVI fnr Car,note bp,Ref"/>
    <w:basedOn w:val="Policepardfaut"/>
    <w:link w:val="BVIfnrCarattereCharCharCharCarattereCharCharCharCharCharChar1CharCharCharCarattereChar"/>
    <w:unhideWhenUsed/>
    <w:qFormat/>
    <w:rsid w:val="00341638"/>
    <w:rPr>
      <w:vertAlign w:val="superscript"/>
    </w:rPr>
  </w:style>
  <w:style w:type="paragraph" w:styleId="TM3">
    <w:name w:val="toc 3"/>
    <w:basedOn w:val="Normal"/>
    <w:next w:val="Normal"/>
    <w:autoRedefine/>
    <w:uiPriority w:val="39"/>
    <w:unhideWhenUsed/>
    <w:rsid w:val="00341638"/>
    <w:pPr>
      <w:spacing w:after="100"/>
      <w:ind w:left="1440"/>
    </w:pPr>
    <w:rPr>
      <w:i/>
      <w:color w:val="1F497D" w:themeColor="text2"/>
    </w:rPr>
  </w:style>
  <w:style w:type="paragraph" w:customStyle="1" w:styleId="wwwbaastelcom">
    <w:name w:val="www.baastel.com"/>
    <w:basedOn w:val="Paragraphedeliste"/>
    <w:link w:val="wwwbaastelcomChar"/>
    <w:qFormat/>
    <w:rsid w:val="007869BC"/>
    <w:pPr>
      <w:numPr>
        <w:numId w:val="0"/>
      </w:numPr>
      <w:ind w:left="357"/>
      <w:jc w:val="center"/>
    </w:pPr>
    <w:rPr>
      <w:color w:val="A9CBEB"/>
      <w:sz w:val="32"/>
    </w:rPr>
  </w:style>
  <w:style w:type="character" w:customStyle="1" w:styleId="wwwbaastelcomChar">
    <w:name w:val="www.baastel.com Char"/>
    <w:basedOn w:val="ParagraphedelisteCar"/>
    <w:link w:val="wwwbaastelcom"/>
    <w:rsid w:val="007869BC"/>
    <w:rPr>
      <w:rFonts w:ascii="Corbel" w:hAnsi="Corbel"/>
      <w:color w:val="A9CBEB"/>
      <w:sz w:val="32"/>
      <w:lang w:val="fr-CA"/>
    </w:rPr>
  </w:style>
  <w:style w:type="paragraph" w:styleId="Sous-titre">
    <w:name w:val="Subtitle"/>
    <w:basedOn w:val="Normal"/>
    <w:next w:val="Normal"/>
    <w:link w:val="Sous-titreCar"/>
    <w:uiPriority w:val="11"/>
    <w:qFormat/>
    <w:rsid w:val="007869BC"/>
    <w:pPr>
      <w:numPr>
        <w:ilvl w:val="1"/>
      </w:numPr>
      <w:spacing w:after="160"/>
    </w:pPr>
    <w:rPr>
      <w:rFonts w:asciiTheme="minorHAnsi" w:hAnsiTheme="minorHAnsi"/>
      <w:color w:val="5A5A5A" w:themeColor="text1" w:themeTint="A5"/>
      <w:spacing w:val="15"/>
    </w:rPr>
  </w:style>
  <w:style w:type="character" w:customStyle="1" w:styleId="Sous-titreCar">
    <w:name w:val="Sous-titre Car"/>
    <w:basedOn w:val="Policepardfaut"/>
    <w:link w:val="Sous-titre"/>
    <w:uiPriority w:val="11"/>
    <w:rsid w:val="007869BC"/>
    <w:rPr>
      <w:color w:val="5A5A5A" w:themeColor="text1" w:themeTint="A5"/>
      <w:spacing w:val="15"/>
      <w:lang w:val="en-CA"/>
    </w:rPr>
  </w:style>
  <w:style w:type="table" w:customStyle="1" w:styleId="TableBaastel2">
    <w:name w:val="Table Baastel 2"/>
    <w:basedOn w:val="TableauNormal"/>
    <w:uiPriority w:val="99"/>
    <w:rsid w:val="00341638"/>
    <w:pPr>
      <w:spacing w:after="0" w:line="240" w:lineRule="auto"/>
    </w:pPr>
    <w:rPr>
      <w:rFonts w:ascii="Corbel" w:hAnsi="Corbel"/>
      <w:color w:val="133C66"/>
    </w:rPr>
    <w:tblPr>
      <w:tblBorders>
        <w:top w:val="single" w:sz="4" w:space="0" w:color="133C66"/>
        <w:left w:val="single" w:sz="4" w:space="0" w:color="133C66"/>
        <w:bottom w:val="single" w:sz="4" w:space="0" w:color="133C66"/>
        <w:right w:val="single" w:sz="4" w:space="0" w:color="133C66"/>
        <w:insideH w:val="single" w:sz="4" w:space="0" w:color="133C66"/>
        <w:insideV w:val="single" w:sz="4" w:space="0" w:color="133C66"/>
      </w:tblBorders>
    </w:tblPr>
    <w:tcPr>
      <w:shd w:val="clear" w:color="auto" w:fill="auto"/>
      <w:vAlign w:val="center"/>
    </w:tcPr>
    <w:tblStylePr w:type="firstRow">
      <w:pPr>
        <w:jc w:val="left"/>
      </w:pPr>
      <w:rPr>
        <w:rFonts w:ascii="Bahnschrift SemiBold Condensed" w:hAnsi="Bahnschrift SemiBold Condensed"/>
        <w:b/>
        <w:color w:val="E36C0A" w:themeColor="accent6" w:themeShade="BF"/>
        <w:sz w:val="22"/>
      </w:rPr>
      <w:tblPr/>
      <w:tcPr>
        <w:shd w:val="clear" w:color="auto" w:fill="F2F2F2" w:themeFill="background1" w:themeFillShade="F2"/>
      </w:tcPr>
    </w:tblStylePr>
    <w:tblStylePr w:type="lastRow">
      <w:rPr>
        <w:rFonts w:ascii="Bahnschrift SemiBold Condensed" w:hAnsi="Bahnschrift SemiBold Condensed"/>
        <w:b/>
        <w:color w:val="E36C0A" w:themeColor="accent6" w:themeShade="BF"/>
        <w:sz w:val="22"/>
      </w:rPr>
      <w:tblPr/>
      <w:tcPr>
        <w:shd w:val="clear" w:color="auto" w:fill="F2F2F2" w:themeFill="background1" w:themeFillShade="F2"/>
      </w:tcPr>
    </w:tblStylePr>
  </w:style>
  <w:style w:type="table" w:customStyle="1" w:styleId="TableGridLight1">
    <w:name w:val="Table Grid Light1"/>
    <w:basedOn w:val="TableauNormal"/>
    <w:uiPriority w:val="40"/>
    <w:rsid w:val="0034163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341638"/>
    <w:pPr>
      <w:autoSpaceDE w:val="0"/>
      <w:autoSpaceDN w:val="0"/>
      <w:spacing w:before="0" w:after="0" w:line="240" w:lineRule="auto"/>
      <w:jc w:val="left"/>
    </w:pPr>
    <w:rPr>
      <w:rFonts w:eastAsiaTheme="minorHAnsi" w:cs="Times New Roman"/>
      <w:color w:val="000000"/>
      <w:sz w:val="24"/>
      <w:szCs w:val="24"/>
      <w:lang w:val="fr-BE" w:eastAsia="fr-BE"/>
    </w:rPr>
  </w:style>
  <w:style w:type="character" w:styleId="Marquedecommentaire">
    <w:name w:val="annotation reference"/>
    <w:basedOn w:val="Policepardfaut"/>
    <w:uiPriority w:val="99"/>
    <w:unhideWhenUsed/>
    <w:rsid w:val="007B4270"/>
    <w:rPr>
      <w:sz w:val="16"/>
      <w:szCs w:val="16"/>
    </w:rPr>
  </w:style>
  <w:style w:type="paragraph" w:styleId="Commentaire">
    <w:name w:val="annotation text"/>
    <w:basedOn w:val="Normal"/>
    <w:link w:val="CommentaireCar"/>
    <w:uiPriority w:val="99"/>
    <w:unhideWhenUsed/>
    <w:rsid w:val="007B4270"/>
    <w:pPr>
      <w:spacing w:line="240" w:lineRule="auto"/>
    </w:pPr>
    <w:rPr>
      <w:sz w:val="20"/>
      <w:szCs w:val="20"/>
    </w:rPr>
  </w:style>
  <w:style w:type="character" w:customStyle="1" w:styleId="CommentaireCar">
    <w:name w:val="Commentaire Car"/>
    <w:basedOn w:val="Policepardfaut"/>
    <w:link w:val="Commentaire"/>
    <w:uiPriority w:val="99"/>
    <w:rsid w:val="007B4270"/>
    <w:rPr>
      <w:rFonts w:ascii="Corbel" w:hAnsi="Corbel"/>
      <w:sz w:val="20"/>
      <w:szCs w:val="20"/>
      <w:lang w:val="en-CA"/>
    </w:rPr>
  </w:style>
  <w:style w:type="paragraph" w:styleId="Objetducommentaire">
    <w:name w:val="annotation subject"/>
    <w:basedOn w:val="Commentaire"/>
    <w:next w:val="Commentaire"/>
    <w:link w:val="ObjetducommentaireCar"/>
    <w:uiPriority w:val="99"/>
    <w:semiHidden/>
    <w:unhideWhenUsed/>
    <w:rsid w:val="007B4270"/>
    <w:rPr>
      <w:b/>
      <w:bCs/>
    </w:rPr>
  </w:style>
  <w:style w:type="character" w:customStyle="1" w:styleId="ObjetducommentaireCar">
    <w:name w:val="Objet du commentaire Car"/>
    <w:basedOn w:val="CommentaireCar"/>
    <w:link w:val="Objetducommentaire"/>
    <w:uiPriority w:val="99"/>
    <w:semiHidden/>
    <w:rsid w:val="007B4270"/>
    <w:rPr>
      <w:rFonts w:ascii="Corbel" w:hAnsi="Corbel"/>
      <w:b/>
      <w:bCs/>
      <w:sz w:val="20"/>
      <w:szCs w:val="20"/>
      <w:lang w:val="en-CA"/>
    </w:rPr>
  </w:style>
  <w:style w:type="character" w:customStyle="1" w:styleId="UnresolvedMention1">
    <w:name w:val="Unresolved Mention1"/>
    <w:basedOn w:val="Policepardfaut"/>
    <w:uiPriority w:val="99"/>
    <w:semiHidden/>
    <w:unhideWhenUsed/>
    <w:rsid w:val="0056795D"/>
    <w:rPr>
      <w:color w:val="605E5C"/>
      <w:shd w:val="clear" w:color="auto" w:fill="E1DFDD"/>
    </w:rPr>
  </w:style>
  <w:style w:type="character" w:customStyle="1" w:styleId="UnresolvedMention2">
    <w:name w:val="Unresolved Mention2"/>
    <w:basedOn w:val="Policepardfaut"/>
    <w:uiPriority w:val="99"/>
    <w:semiHidden/>
    <w:unhideWhenUsed/>
    <w:rsid w:val="00B80033"/>
    <w:rPr>
      <w:color w:val="605E5C"/>
      <w:shd w:val="clear" w:color="auto" w:fill="E1DFDD"/>
    </w:rPr>
  </w:style>
  <w:style w:type="character" w:styleId="Lienhypertextesuivivisit">
    <w:name w:val="FollowedHyperlink"/>
    <w:basedOn w:val="Policepardfaut"/>
    <w:uiPriority w:val="99"/>
    <w:semiHidden/>
    <w:unhideWhenUsed/>
    <w:rsid w:val="00B80033"/>
    <w:rPr>
      <w:color w:val="800080" w:themeColor="followedHyperlink"/>
      <w:u w:val="single"/>
    </w:rPr>
  </w:style>
  <w:style w:type="table" w:customStyle="1" w:styleId="TableGrid1">
    <w:name w:val="Table Grid1"/>
    <w:basedOn w:val="TableauNormal"/>
    <w:next w:val="Grilledutableau"/>
    <w:uiPriority w:val="39"/>
    <w:rsid w:val="00FF5823"/>
    <w:pPr>
      <w:spacing w:after="0" w:line="240" w:lineRule="auto"/>
    </w:pPr>
    <w:rPr>
      <w:rFonts w:eastAsia="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58">
    <w:name w:val="CM58"/>
    <w:basedOn w:val="Normal"/>
    <w:next w:val="Normal"/>
    <w:uiPriority w:val="99"/>
    <w:rsid w:val="00B315E6"/>
    <w:pPr>
      <w:widowControl w:val="0"/>
      <w:autoSpaceDE w:val="0"/>
      <w:autoSpaceDN w:val="0"/>
      <w:adjustRightInd w:val="0"/>
      <w:spacing w:before="0" w:after="0" w:line="240" w:lineRule="atLeast"/>
      <w:jc w:val="left"/>
    </w:pPr>
    <w:rPr>
      <w:rFonts w:ascii="Gill Sans MT" w:eastAsia="Times New Roman" w:hAnsi="Gill Sans MT" w:cs="Times New Roman"/>
      <w:sz w:val="24"/>
      <w:szCs w:val="24"/>
      <w:lang w:val="en-ZA" w:eastAsia="en-ZA"/>
    </w:rPr>
  </w:style>
  <w:style w:type="table" w:customStyle="1" w:styleId="Grilledutableau1">
    <w:name w:val="Grille du tableau1"/>
    <w:basedOn w:val="TableauNormal"/>
    <w:next w:val="Grilledutableau"/>
    <w:uiPriority w:val="39"/>
    <w:rsid w:val="003B47E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uiPriority w:val="99"/>
    <w:unhideWhenUsed/>
    <w:rsid w:val="00937AA0"/>
    <w:pPr>
      <w:spacing w:after="120" w:line="480" w:lineRule="auto"/>
    </w:pPr>
  </w:style>
  <w:style w:type="character" w:customStyle="1" w:styleId="Corpsdetexte2Car">
    <w:name w:val="Corps de texte 2 Car"/>
    <w:basedOn w:val="Policepardfaut"/>
    <w:link w:val="Corpsdetexte2"/>
    <w:uiPriority w:val="99"/>
    <w:rsid w:val="00937AA0"/>
    <w:rPr>
      <w:rFonts w:ascii="Corbel" w:hAnsi="Corbel"/>
      <w:lang w:val="en-CA"/>
    </w:rPr>
  </w:style>
  <w:style w:type="paragraph" w:styleId="Corpsdetexte3">
    <w:name w:val="Body Text 3"/>
    <w:basedOn w:val="Normal"/>
    <w:link w:val="Corpsdetexte3Car"/>
    <w:uiPriority w:val="99"/>
    <w:unhideWhenUsed/>
    <w:rsid w:val="00937AA0"/>
    <w:pPr>
      <w:spacing w:after="120"/>
    </w:pPr>
    <w:rPr>
      <w:sz w:val="16"/>
      <w:szCs w:val="16"/>
    </w:rPr>
  </w:style>
  <w:style w:type="character" w:customStyle="1" w:styleId="Corpsdetexte3Car">
    <w:name w:val="Corps de texte 3 Car"/>
    <w:basedOn w:val="Policepardfaut"/>
    <w:link w:val="Corpsdetexte3"/>
    <w:uiPriority w:val="99"/>
    <w:rsid w:val="00937AA0"/>
    <w:rPr>
      <w:rFonts w:ascii="Corbel" w:hAnsi="Corbel"/>
      <w:sz w:val="16"/>
      <w:szCs w:val="16"/>
      <w:lang w:val="en-CA"/>
    </w:rPr>
  </w:style>
  <w:style w:type="character" w:customStyle="1" w:styleId="Titre9Car">
    <w:name w:val="Titre 9 Car"/>
    <w:basedOn w:val="Policepardfaut"/>
    <w:link w:val="Titre9"/>
    <w:uiPriority w:val="9"/>
    <w:semiHidden/>
    <w:rsid w:val="00937AA0"/>
    <w:rPr>
      <w:rFonts w:asciiTheme="majorHAnsi" w:eastAsiaTheme="majorEastAsia" w:hAnsiTheme="majorHAnsi" w:cstheme="majorBidi"/>
      <w:i/>
      <w:iCs/>
      <w:color w:val="272727" w:themeColor="text1" w:themeTint="D8"/>
      <w:sz w:val="21"/>
      <w:szCs w:val="21"/>
      <w:lang w:val="en-CA"/>
    </w:rPr>
  </w:style>
  <w:style w:type="paragraph" w:styleId="Rvision">
    <w:name w:val="Revision"/>
    <w:hidden/>
    <w:uiPriority w:val="99"/>
    <w:semiHidden/>
    <w:rsid w:val="00937AA0"/>
    <w:pPr>
      <w:spacing w:after="0" w:line="240" w:lineRule="auto"/>
    </w:pPr>
    <w:rPr>
      <w:rFonts w:ascii="Corbel" w:hAnsi="Corbel"/>
      <w:lang w:val="en-CA"/>
    </w:rPr>
  </w:style>
  <w:style w:type="paragraph" w:customStyle="1" w:styleId="Bullet">
    <w:name w:val="Bullet"/>
    <w:basedOn w:val="Normal"/>
    <w:rsid w:val="00937AA0"/>
    <w:pPr>
      <w:numPr>
        <w:numId w:val="3"/>
      </w:numPr>
      <w:spacing w:before="0" w:after="120" w:line="240" w:lineRule="auto"/>
    </w:pPr>
    <w:rPr>
      <w:rFonts w:ascii="Times New Roman" w:eastAsia="Times New Roman" w:hAnsi="Times New Roman" w:cs="Times New Roman"/>
      <w:szCs w:val="20"/>
      <w:lang w:val="en-US"/>
    </w:rPr>
  </w:style>
  <w:style w:type="character" w:styleId="Accentuationintense">
    <w:name w:val="Intense Emphasis"/>
    <w:basedOn w:val="Policepardfaut"/>
    <w:uiPriority w:val="21"/>
    <w:qFormat/>
    <w:rsid w:val="00937AA0"/>
    <w:rPr>
      <w:i/>
      <w:iCs/>
      <w:color w:val="4F81BD" w:themeColor="accent1"/>
    </w:rPr>
  </w:style>
  <w:style w:type="character" w:styleId="Rfrenceintense">
    <w:name w:val="Intense Reference"/>
    <w:basedOn w:val="Policepardfaut"/>
    <w:uiPriority w:val="32"/>
    <w:qFormat/>
    <w:rsid w:val="00937AA0"/>
    <w:rPr>
      <w:b/>
      <w:bCs/>
      <w:smallCaps/>
      <w:color w:val="4F81BD" w:themeColor="accent1"/>
      <w:spacing w:val="5"/>
    </w:rPr>
  </w:style>
  <w:style w:type="table" w:customStyle="1" w:styleId="TableBaastel1">
    <w:name w:val="Table Baastel1"/>
    <w:basedOn w:val="TableauNormal"/>
    <w:uiPriority w:val="99"/>
    <w:qFormat/>
    <w:rsid w:val="00937AA0"/>
    <w:pPr>
      <w:spacing w:after="0" w:line="240" w:lineRule="auto"/>
    </w:pPr>
    <w:rPr>
      <w:rFonts w:ascii="Corbel" w:hAnsi="Corbel"/>
      <w:color w:val="133C66"/>
      <w:sz w:val="20"/>
    </w:rPr>
    <w:tblPr>
      <w:tblBorders>
        <w:top w:val="single" w:sz="8" w:space="0" w:color="133C66"/>
        <w:bottom w:val="single" w:sz="12" w:space="0" w:color="133C66"/>
        <w:insideH w:val="single" w:sz="8" w:space="0" w:color="133C66"/>
      </w:tblBorders>
    </w:tblPr>
    <w:tblStylePr w:type="firstRow">
      <w:pPr>
        <w:wordWrap/>
        <w:spacing w:beforeLines="0" w:beforeAutospacing="0" w:afterLines="0" w:afterAutospacing="0"/>
      </w:pPr>
      <w:rPr>
        <w:rFonts w:ascii="Garamond" w:hAnsi="Garamond"/>
        <w:b/>
        <w:color w:val="E36C0A"/>
        <w:sz w:val="20"/>
      </w:rPr>
      <w:tblPr/>
      <w:tcPr>
        <w:tcBorders>
          <w:top w:val="single" w:sz="12" w:space="0" w:color="133C66"/>
          <w:bottom w:val="single" w:sz="12" w:space="0" w:color="133C66"/>
        </w:tcBorders>
        <w:shd w:val="clear" w:color="auto" w:fill="F2F2F2" w:themeFill="background1" w:themeFillShade="F2"/>
        <w:vAlign w:val="center"/>
      </w:tcPr>
    </w:tblStylePr>
    <w:tblStylePr w:type="lastRow">
      <w:rPr>
        <w:rFonts w:ascii="Garamond" w:hAnsi="Garamond"/>
        <w:b/>
        <w:color w:val="E36C0A"/>
        <w:sz w:val="20"/>
      </w:rPr>
      <w:tblPr/>
      <w:tcPr>
        <w:tcBorders>
          <w:top w:val="single" w:sz="12" w:space="0" w:color="133C66"/>
          <w:bottom w:val="single" w:sz="12" w:space="0" w:color="133C66"/>
        </w:tcBorders>
      </w:tcPr>
    </w:tblStylePr>
  </w:style>
  <w:style w:type="paragraph" w:styleId="Textebrut">
    <w:name w:val="Plain Text"/>
    <w:basedOn w:val="Normal"/>
    <w:link w:val="TextebrutCar"/>
    <w:uiPriority w:val="99"/>
    <w:rsid w:val="00937AA0"/>
    <w:pPr>
      <w:spacing w:before="0" w:after="0" w:line="240" w:lineRule="auto"/>
      <w:jc w:val="left"/>
    </w:pPr>
    <w:rPr>
      <w:rFonts w:ascii="Courier New" w:eastAsia="Times New Roman" w:hAnsi="Courier New" w:cs="Courier New"/>
      <w:sz w:val="20"/>
      <w:szCs w:val="20"/>
      <w:lang w:val="en-GB"/>
    </w:rPr>
  </w:style>
  <w:style w:type="character" w:customStyle="1" w:styleId="TextebrutCar">
    <w:name w:val="Texte brut Car"/>
    <w:basedOn w:val="Policepardfaut"/>
    <w:link w:val="Textebrut"/>
    <w:uiPriority w:val="99"/>
    <w:rsid w:val="00937AA0"/>
    <w:rPr>
      <w:rFonts w:ascii="Courier New" w:eastAsia="Times New Roman" w:hAnsi="Courier New" w:cs="Courier New"/>
      <w:sz w:val="20"/>
      <w:szCs w:val="20"/>
      <w:lang w:val="en-GB"/>
    </w:rPr>
  </w:style>
  <w:style w:type="table" w:customStyle="1" w:styleId="TableBaastel11">
    <w:name w:val="Table Baastel11"/>
    <w:basedOn w:val="TableauNormal"/>
    <w:uiPriority w:val="99"/>
    <w:qFormat/>
    <w:rsid w:val="00937AA0"/>
    <w:pPr>
      <w:spacing w:after="0" w:line="240" w:lineRule="auto"/>
    </w:pPr>
    <w:rPr>
      <w:rFonts w:ascii="Corbel" w:hAnsi="Corbel"/>
      <w:color w:val="133C66"/>
      <w:sz w:val="20"/>
    </w:rPr>
    <w:tblPr>
      <w:tblBorders>
        <w:top w:val="single" w:sz="8" w:space="0" w:color="133C66"/>
        <w:bottom w:val="single" w:sz="12" w:space="0" w:color="133C66"/>
        <w:insideH w:val="single" w:sz="8" w:space="0" w:color="133C66"/>
      </w:tblBorders>
    </w:tblPr>
    <w:tblStylePr w:type="firstRow">
      <w:pPr>
        <w:wordWrap/>
        <w:spacing w:beforeLines="0" w:beforeAutospacing="0" w:afterLines="0" w:afterAutospacing="0"/>
      </w:pPr>
      <w:rPr>
        <w:rFonts w:ascii="Garamond" w:hAnsi="Garamond"/>
        <w:b/>
        <w:color w:val="E36C0A"/>
        <w:sz w:val="20"/>
      </w:rPr>
      <w:tblPr/>
      <w:tcPr>
        <w:tcBorders>
          <w:top w:val="single" w:sz="12" w:space="0" w:color="133C66"/>
          <w:bottom w:val="single" w:sz="12" w:space="0" w:color="133C66"/>
        </w:tcBorders>
        <w:shd w:val="clear" w:color="auto" w:fill="F2F2F2" w:themeFill="background1" w:themeFillShade="F2"/>
        <w:vAlign w:val="center"/>
      </w:tcPr>
    </w:tblStylePr>
    <w:tblStylePr w:type="lastRow">
      <w:rPr>
        <w:rFonts w:ascii="Garamond" w:hAnsi="Garamond"/>
        <w:b/>
        <w:color w:val="E36C0A"/>
        <w:sz w:val="20"/>
      </w:rPr>
      <w:tblPr/>
      <w:tcPr>
        <w:tcBorders>
          <w:top w:val="single" w:sz="12" w:space="0" w:color="133C66"/>
          <w:bottom w:val="single" w:sz="12" w:space="0" w:color="133C66"/>
        </w:tcBorders>
      </w:tcPr>
    </w:tblStylePr>
  </w:style>
  <w:style w:type="paragraph" w:customStyle="1" w:styleId="yiv7568000187msoplaintext">
    <w:name w:val="yiv7568000187msoplaintext"/>
    <w:basedOn w:val="Normal"/>
    <w:rsid w:val="00937AA0"/>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paragraph" w:styleId="Tabledesillustrations">
    <w:name w:val="table of figures"/>
    <w:basedOn w:val="Normal"/>
    <w:next w:val="Normal"/>
    <w:uiPriority w:val="99"/>
    <w:unhideWhenUsed/>
    <w:rsid w:val="00937AA0"/>
    <w:pPr>
      <w:spacing w:after="0"/>
    </w:pPr>
  </w:style>
  <w:style w:type="paragraph" w:customStyle="1" w:styleId="ParasthisPRODOC">
    <w:name w:val="Paras_thisPRODOC"/>
    <w:basedOn w:val="Normal"/>
    <w:qFormat/>
    <w:rsid w:val="00E81F59"/>
    <w:pPr>
      <w:numPr>
        <w:numId w:val="9"/>
      </w:numPr>
      <w:spacing w:after="0" w:line="240" w:lineRule="auto"/>
      <w:ind w:left="0" w:hanging="567"/>
    </w:pPr>
    <w:rPr>
      <w:rFonts w:ascii="Times New Roman" w:eastAsia="PMingLiU" w:hAnsi="Times New Roman" w:cs="Times New Roman"/>
      <w:szCs w:val="24"/>
      <w:lang w:val="en-GB" w:eastAsia="fr-CA"/>
    </w:rPr>
  </w:style>
  <w:style w:type="paragraph" w:customStyle="1" w:styleId="ColorfulList-Accent11">
    <w:name w:val="Colorful List - Accent 11"/>
    <w:basedOn w:val="Normal"/>
    <w:link w:val="ColorfulList-Accent1Char"/>
    <w:uiPriority w:val="34"/>
    <w:qFormat/>
    <w:rsid w:val="00525259"/>
    <w:pPr>
      <w:spacing w:before="0" w:after="0" w:line="240" w:lineRule="auto"/>
      <w:ind w:left="720"/>
    </w:pPr>
    <w:rPr>
      <w:rFonts w:ascii="Times New Roman" w:eastAsia="PMingLiU" w:hAnsi="Times New Roman" w:cs="Times New Roman"/>
      <w:szCs w:val="24"/>
      <w:lang w:val="en-GB" w:eastAsia="fr-CA"/>
    </w:rPr>
  </w:style>
  <w:style w:type="character" w:customStyle="1" w:styleId="ColorfulList-Accent1Char">
    <w:name w:val="Colorful List - Accent 1 Char"/>
    <w:link w:val="ColorfulList-Accent11"/>
    <w:uiPriority w:val="34"/>
    <w:locked/>
    <w:rsid w:val="00525259"/>
    <w:rPr>
      <w:rFonts w:ascii="Times New Roman" w:eastAsia="PMingLiU" w:hAnsi="Times New Roman" w:cs="Times New Roman"/>
      <w:szCs w:val="24"/>
      <w:lang w:val="en-GB" w:eastAsia="fr-CA"/>
    </w:rPr>
  </w:style>
  <w:style w:type="paragraph" w:styleId="NormalWeb">
    <w:name w:val="Normal (Web)"/>
    <w:aliases w:val=" webb,webb"/>
    <w:basedOn w:val="Normal"/>
    <w:uiPriority w:val="99"/>
    <w:rsid w:val="00C611DF"/>
    <w:pPr>
      <w:spacing w:before="100" w:beforeAutospacing="1" w:after="100" w:afterAutospacing="1" w:line="240" w:lineRule="auto"/>
      <w:jc w:val="left"/>
    </w:pPr>
    <w:rPr>
      <w:rFonts w:ascii="Arial Unicode MS" w:eastAsia="Arial Unicode MS" w:hAnsi="Arial Unicode MS" w:cs="Arial Unicode MS"/>
      <w:color w:val="000000"/>
      <w:sz w:val="24"/>
      <w:szCs w:val="24"/>
      <w:lang w:val="en-US" w:bidi="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Appelnotedebasdep"/>
    <w:uiPriority w:val="99"/>
    <w:rsid w:val="00884F11"/>
    <w:pPr>
      <w:spacing w:after="160" w:line="240" w:lineRule="exact"/>
    </w:pPr>
    <w:rPr>
      <w:rFonts w:asciiTheme="minorHAnsi" w:hAnsiTheme="minorHAnsi"/>
      <w:vertAlign w:val="superscript"/>
      <w:lang w:val="en-US"/>
    </w:rPr>
  </w:style>
  <w:style w:type="paragraph" w:customStyle="1" w:styleId="volissue">
    <w:name w:val="volissue"/>
    <w:basedOn w:val="Normal"/>
    <w:rsid w:val="00007EF2"/>
    <w:pPr>
      <w:spacing w:before="100" w:beforeAutospacing="1" w:after="100" w:afterAutospacing="1" w:line="240" w:lineRule="auto"/>
      <w:jc w:val="left"/>
    </w:pPr>
    <w:rPr>
      <w:rFonts w:ascii="Times" w:eastAsia="Times New Roman" w:hAnsi="Times" w:cs="Times New Roman"/>
      <w:sz w:val="20"/>
      <w:szCs w:val="20"/>
      <w:lang w:val="en-GB"/>
    </w:rPr>
  </w:style>
  <w:style w:type="paragraph" w:customStyle="1" w:styleId="EONumberedparagraph">
    <w:name w:val="EO Numbered paragraph"/>
    <w:basedOn w:val="Normal"/>
    <w:link w:val="EONumberedparagraphChar"/>
    <w:qFormat/>
    <w:rsid w:val="00F60DBD"/>
    <w:pPr>
      <w:numPr>
        <w:numId w:val="39"/>
      </w:numPr>
      <w:tabs>
        <w:tab w:val="left" w:pos="567"/>
      </w:tabs>
      <w:spacing w:before="0" w:after="120" w:line="240" w:lineRule="auto"/>
    </w:pPr>
    <w:rPr>
      <w:rFonts w:ascii="Roboto" w:eastAsia="Times New Roman" w:hAnsi="Roboto" w:cs="Arial"/>
      <w:lang w:val="en-GB"/>
    </w:rPr>
  </w:style>
  <w:style w:type="character" w:customStyle="1" w:styleId="EONumberedparagraphChar">
    <w:name w:val="EO Numbered paragraph Char"/>
    <w:link w:val="EONumberedparagraph"/>
    <w:rsid w:val="00F60DBD"/>
    <w:rPr>
      <w:rFonts w:ascii="Roboto" w:eastAsia="Times New Roman" w:hAnsi="Roboto"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6350">
      <w:bodyDiv w:val="1"/>
      <w:marLeft w:val="0"/>
      <w:marRight w:val="0"/>
      <w:marTop w:val="0"/>
      <w:marBottom w:val="0"/>
      <w:divBdr>
        <w:top w:val="none" w:sz="0" w:space="0" w:color="auto"/>
        <w:left w:val="none" w:sz="0" w:space="0" w:color="auto"/>
        <w:bottom w:val="none" w:sz="0" w:space="0" w:color="auto"/>
        <w:right w:val="none" w:sz="0" w:space="0" w:color="auto"/>
      </w:divBdr>
    </w:div>
    <w:div w:id="42099902">
      <w:bodyDiv w:val="1"/>
      <w:marLeft w:val="0"/>
      <w:marRight w:val="0"/>
      <w:marTop w:val="0"/>
      <w:marBottom w:val="0"/>
      <w:divBdr>
        <w:top w:val="none" w:sz="0" w:space="0" w:color="auto"/>
        <w:left w:val="none" w:sz="0" w:space="0" w:color="auto"/>
        <w:bottom w:val="none" w:sz="0" w:space="0" w:color="auto"/>
        <w:right w:val="none" w:sz="0" w:space="0" w:color="auto"/>
      </w:divBdr>
    </w:div>
    <w:div w:id="285282001">
      <w:bodyDiv w:val="1"/>
      <w:marLeft w:val="0"/>
      <w:marRight w:val="0"/>
      <w:marTop w:val="0"/>
      <w:marBottom w:val="0"/>
      <w:divBdr>
        <w:top w:val="none" w:sz="0" w:space="0" w:color="auto"/>
        <w:left w:val="none" w:sz="0" w:space="0" w:color="auto"/>
        <w:bottom w:val="none" w:sz="0" w:space="0" w:color="auto"/>
        <w:right w:val="none" w:sz="0" w:space="0" w:color="auto"/>
      </w:divBdr>
    </w:div>
    <w:div w:id="388769963">
      <w:bodyDiv w:val="1"/>
      <w:marLeft w:val="0"/>
      <w:marRight w:val="0"/>
      <w:marTop w:val="0"/>
      <w:marBottom w:val="0"/>
      <w:divBdr>
        <w:top w:val="none" w:sz="0" w:space="0" w:color="auto"/>
        <w:left w:val="none" w:sz="0" w:space="0" w:color="auto"/>
        <w:bottom w:val="none" w:sz="0" w:space="0" w:color="auto"/>
        <w:right w:val="none" w:sz="0" w:space="0" w:color="auto"/>
      </w:divBdr>
    </w:div>
    <w:div w:id="419496841">
      <w:bodyDiv w:val="1"/>
      <w:marLeft w:val="0"/>
      <w:marRight w:val="0"/>
      <w:marTop w:val="0"/>
      <w:marBottom w:val="0"/>
      <w:divBdr>
        <w:top w:val="none" w:sz="0" w:space="0" w:color="auto"/>
        <w:left w:val="none" w:sz="0" w:space="0" w:color="auto"/>
        <w:bottom w:val="none" w:sz="0" w:space="0" w:color="auto"/>
        <w:right w:val="none" w:sz="0" w:space="0" w:color="auto"/>
      </w:divBdr>
      <w:divsChild>
        <w:div w:id="1275477034">
          <w:marLeft w:val="0"/>
          <w:marRight w:val="0"/>
          <w:marTop w:val="0"/>
          <w:marBottom w:val="0"/>
          <w:divBdr>
            <w:top w:val="none" w:sz="0" w:space="0" w:color="auto"/>
            <w:left w:val="none" w:sz="0" w:space="0" w:color="auto"/>
            <w:bottom w:val="none" w:sz="0" w:space="0" w:color="auto"/>
            <w:right w:val="none" w:sz="0" w:space="0" w:color="auto"/>
          </w:divBdr>
          <w:divsChild>
            <w:div w:id="1147825161">
              <w:marLeft w:val="0"/>
              <w:marRight w:val="0"/>
              <w:marTop w:val="0"/>
              <w:marBottom w:val="0"/>
              <w:divBdr>
                <w:top w:val="none" w:sz="0" w:space="0" w:color="auto"/>
                <w:left w:val="none" w:sz="0" w:space="0" w:color="auto"/>
                <w:bottom w:val="none" w:sz="0" w:space="0" w:color="auto"/>
                <w:right w:val="none" w:sz="0" w:space="0" w:color="auto"/>
              </w:divBdr>
              <w:divsChild>
                <w:div w:id="953680671">
                  <w:marLeft w:val="0"/>
                  <w:marRight w:val="0"/>
                  <w:marTop w:val="0"/>
                  <w:marBottom w:val="0"/>
                  <w:divBdr>
                    <w:top w:val="none" w:sz="0" w:space="0" w:color="auto"/>
                    <w:left w:val="none" w:sz="0" w:space="0" w:color="auto"/>
                    <w:bottom w:val="none" w:sz="0" w:space="0" w:color="auto"/>
                    <w:right w:val="none" w:sz="0" w:space="0" w:color="auto"/>
                  </w:divBdr>
                  <w:divsChild>
                    <w:div w:id="1019549512">
                      <w:marLeft w:val="0"/>
                      <w:marRight w:val="0"/>
                      <w:marTop w:val="0"/>
                      <w:marBottom w:val="0"/>
                      <w:divBdr>
                        <w:top w:val="none" w:sz="0" w:space="0" w:color="auto"/>
                        <w:left w:val="none" w:sz="0" w:space="0" w:color="auto"/>
                        <w:bottom w:val="none" w:sz="0" w:space="0" w:color="auto"/>
                        <w:right w:val="none" w:sz="0" w:space="0" w:color="auto"/>
                      </w:divBdr>
                      <w:divsChild>
                        <w:div w:id="1855193203">
                          <w:marLeft w:val="0"/>
                          <w:marRight w:val="0"/>
                          <w:marTop w:val="0"/>
                          <w:marBottom w:val="0"/>
                          <w:divBdr>
                            <w:top w:val="none" w:sz="0" w:space="0" w:color="auto"/>
                            <w:left w:val="none" w:sz="0" w:space="0" w:color="auto"/>
                            <w:bottom w:val="none" w:sz="0" w:space="0" w:color="auto"/>
                            <w:right w:val="none" w:sz="0" w:space="0" w:color="auto"/>
                          </w:divBdr>
                          <w:divsChild>
                            <w:div w:id="1780567522">
                              <w:marLeft w:val="0"/>
                              <w:marRight w:val="300"/>
                              <w:marTop w:val="180"/>
                              <w:marBottom w:val="0"/>
                              <w:divBdr>
                                <w:top w:val="none" w:sz="0" w:space="0" w:color="auto"/>
                                <w:left w:val="none" w:sz="0" w:space="0" w:color="auto"/>
                                <w:bottom w:val="none" w:sz="0" w:space="0" w:color="auto"/>
                                <w:right w:val="none" w:sz="0" w:space="0" w:color="auto"/>
                              </w:divBdr>
                              <w:divsChild>
                                <w:div w:id="10541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030525">
          <w:marLeft w:val="0"/>
          <w:marRight w:val="0"/>
          <w:marTop w:val="0"/>
          <w:marBottom w:val="0"/>
          <w:divBdr>
            <w:top w:val="none" w:sz="0" w:space="0" w:color="auto"/>
            <w:left w:val="none" w:sz="0" w:space="0" w:color="auto"/>
            <w:bottom w:val="none" w:sz="0" w:space="0" w:color="auto"/>
            <w:right w:val="none" w:sz="0" w:space="0" w:color="auto"/>
          </w:divBdr>
          <w:divsChild>
            <w:div w:id="426073060">
              <w:marLeft w:val="0"/>
              <w:marRight w:val="0"/>
              <w:marTop w:val="0"/>
              <w:marBottom w:val="0"/>
              <w:divBdr>
                <w:top w:val="none" w:sz="0" w:space="0" w:color="auto"/>
                <w:left w:val="none" w:sz="0" w:space="0" w:color="auto"/>
                <w:bottom w:val="none" w:sz="0" w:space="0" w:color="auto"/>
                <w:right w:val="none" w:sz="0" w:space="0" w:color="auto"/>
              </w:divBdr>
              <w:divsChild>
                <w:div w:id="60830350">
                  <w:marLeft w:val="0"/>
                  <w:marRight w:val="0"/>
                  <w:marTop w:val="0"/>
                  <w:marBottom w:val="0"/>
                  <w:divBdr>
                    <w:top w:val="none" w:sz="0" w:space="0" w:color="auto"/>
                    <w:left w:val="none" w:sz="0" w:space="0" w:color="auto"/>
                    <w:bottom w:val="none" w:sz="0" w:space="0" w:color="auto"/>
                    <w:right w:val="none" w:sz="0" w:space="0" w:color="auto"/>
                  </w:divBdr>
                  <w:divsChild>
                    <w:div w:id="2139257785">
                      <w:marLeft w:val="0"/>
                      <w:marRight w:val="0"/>
                      <w:marTop w:val="0"/>
                      <w:marBottom w:val="0"/>
                      <w:divBdr>
                        <w:top w:val="none" w:sz="0" w:space="0" w:color="auto"/>
                        <w:left w:val="none" w:sz="0" w:space="0" w:color="auto"/>
                        <w:bottom w:val="none" w:sz="0" w:space="0" w:color="auto"/>
                        <w:right w:val="none" w:sz="0" w:space="0" w:color="auto"/>
                      </w:divBdr>
                      <w:divsChild>
                        <w:div w:id="9808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744362">
      <w:bodyDiv w:val="1"/>
      <w:marLeft w:val="0"/>
      <w:marRight w:val="0"/>
      <w:marTop w:val="0"/>
      <w:marBottom w:val="0"/>
      <w:divBdr>
        <w:top w:val="none" w:sz="0" w:space="0" w:color="auto"/>
        <w:left w:val="none" w:sz="0" w:space="0" w:color="auto"/>
        <w:bottom w:val="none" w:sz="0" w:space="0" w:color="auto"/>
        <w:right w:val="none" w:sz="0" w:space="0" w:color="auto"/>
      </w:divBdr>
    </w:div>
    <w:div w:id="901331221">
      <w:bodyDiv w:val="1"/>
      <w:marLeft w:val="0"/>
      <w:marRight w:val="0"/>
      <w:marTop w:val="0"/>
      <w:marBottom w:val="0"/>
      <w:divBdr>
        <w:top w:val="none" w:sz="0" w:space="0" w:color="auto"/>
        <w:left w:val="none" w:sz="0" w:space="0" w:color="auto"/>
        <w:bottom w:val="none" w:sz="0" w:space="0" w:color="auto"/>
        <w:right w:val="none" w:sz="0" w:space="0" w:color="auto"/>
      </w:divBdr>
    </w:div>
    <w:div w:id="950629786">
      <w:bodyDiv w:val="1"/>
      <w:marLeft w:val="0"/>
      <w:marRight w:val="0"/>
      <w:marTop w:val="0"/>
      <w:marBottom w:val="0"/>
      <w:divBdr>
        <w:top w:val="none" w:sz="0" w:space="0" w:color="auto"/>
        <w:left w:val="none" w:sz="0" w:space="0" w:color="auto"/>
        <w:bottom w:val="none" w:sz="0" w:space="0" w:color="auto"/>
        <w:right w:val="none" w:sz="0" w:space="0" w:color="auto"/>
      </w:divBdr>
    </w:div>
    <w:div w:id="967467353">
      <w:bodyDiv w:val="1"/>
      <w:marLeft w:val="0"/>
      <w:marRight w:val="0"/>
      <w:marTop w:val="0"/>
      <w:marBottom w:val="0"/>
      <w:divBdr>
        <w:top w:val="none" w:sz="0" w:space="0" w:color="auto"/>
        <w:left w:val="none" w:sz="0" w:space="0" w:color="auto"/>
        <w:bottom w:val="none" w:sz="0" w:space="0" w:color="auto"/>
        <w:right w:val="none" w:sz="0" w:space="0" w:color="auto"/>
      </w:divBdr>
    </w:div>
    <w:div w:id="1079714881">
      <w:bodyDiv w:val="1"/>
      <w:marLeft w:val="0"/>
      <w:marRight w:val="0"/>
      <w:marTop w:val="0"/>
      <w:marBottom w:val="0"/>
      <w:divBdr>
        <w:top w:val="none" w:sz="0" w:space="0" w:color="auto"/>
        <w:left w:val="none" w:sz="0" w:space="0" w:color="auto"/>
        <w:bottom w:val="none" w:sz="0" w:space="0" w:color="auto"/>
        <w:right w:val="none" w:sz="0" w:space="0" w:color="auto"/>
      </w:divBdr>
    </w:div>
    <w:div w:id="1126780273">
      <w:bodyDiv w:val="1"/>
      <w:marLeft w:val="0"/>
      <w:marRight w:val="0"/>
      <w:marTop w:val="0"/>
      <w:marBottom w:val="0"/>
      <w:divBdr>
        <w:top w:val="none" w:sz="0" w:space="0" w:color="auto"/>
        <w:left w:val="none" w:sz="0" w:space="0" w:color="auto"/>
        <w:bottom w:val="none" w:sz="0" w:space="0" w:color="auto"/>
        <w:right w:val="none" w:sz="0" w:space="0" w:color="auto"/>
      </w:divBdr>
    </w:div>
    <w:div w:id="1132677095">
      <w:bodyDiv w:val="1"/>
      <w:marLeft w:val="0"/>
      <w:marRight w:val="0"/>
      <w:marTop w:val="0"/>
      <w:marBottom w:val="0"/>
      <w:divBdr>
        <w:top w:val="none" w:sz="0" w:space="0" w:color="auto"/>
        <w:left w:val="none" w:sz="0" w:space="0" w:color="auto"/>
        <w:bottom w:val="none" w:sz="0" w:space="0" w:color="auto"/>
        <w:right w:val="none" w:sz="0" w:space="0" w:color="auto"/>
      </w:divBdr>
    </w:div>
    <w:div w:id="1227455452">
      <w:bodyDiv w:val="1"/>
      <w:marLeft w:val="0"/>
      <w:marRight w:val="0"/>
      <w:marTop w:val="0"/>
      <w:marBottom w:val="0"/>
      <w:divBdr>
        <w:top w:val="none" w:sz="0" w:space="0" w:color="auto"/>
        <w:left w:val="none" w:sz="0" w:space="0" w:color="auto"/>
        <w:bottom w:val="none" w:sz="0" w:space="0" w:color="auto"/>
        <w:right w:val="none" w:sz="0" w:space="0" w:color="auto"/>
      </w:divBdr>
    </w:div>
    <w:div w:id="1231580910">
      <w:bodyDiv w:val="1"/>
      <w:marLeft w:val="0"/>
      <w:marRight w:val="0"/>
      <w:marTop w:val="0"/>
      <w:marBottom w:val="0"/>
      <w:divBdr>
        <w:top w:val="none" w:sz="0" w:space="0" w:color="auto"/>
        <w:left w:val="none" w:sz="0" w:space="0" w:color="auto"/>
        <w:bottom w:val="none" w:sz="0" w:space="0" w:color="auto"/>
        <w:right w:val="none" w:sz="0" w:space="0" w:color="auto"/>
      </w:divBdr>
      <w:divsChild>
        <w:div w:id="483085946">
          <w:marLeft w:val="0"/>
          <w:marRight w:val="0"/>
          <w:marTop w:val="0"/>
          <w:marBottom w:val="0"/>
          <w:divBdr>
            <w:top w:val="none" w:sz="0" w:space="0" w:color="auto"/>
            <w:left w:val="none" w:sz="0" w:space="0" w:color="auto"/>
            <w:bottom w:val="none" w:sz="0" w:space="0" w:color="auto"/>
            <w:right w:val="none" w:sz="0" w:space="0" w:color="auto"/>
          </w:divBdr>
          <w:divsChild>
            <w:div w:id="1318000018">
              <w:marLeft w:val="0"/>
              <w:marRight w:val="0"/>
              <w:marTop w:val="0"/>
              <w:marBottom w:val="0"/>
              <w:divBdr>
                <w:top w:val="none" w:sz="0" w:space="0" w:color="auto"/>
                <w:left w:val="none" w:sz="0" w:space="0" w:color="auto"/>
                <w:bottom w:val="none" w:sz="0" w:space="0" w:color="auto"/>
                <w:right w:val="none" w:sz="0" w:space="0" w:color="auto"/>
              </w:divBdr>
              <w:divsChild>
                <w:div w:id="1213614197">
                  <w:marLeft w:val="0"/>
                  <w:marRight w:val="0"/>
                  <w:marTop w:val="0"/>
                  <w:marBottom w:val="0"/>
                  <w:divBdr>
                    <w:top w:val="none" w:sz="0" w:space="0" w:color="auto"/>
                    <w:left w:val="none" w:sz="0" w:space="0" w:color="auto"/>
                    <w:bottom w:val="none" w:sz="0" w:space="0" w:color="auto"/>
                    <w:right w:val="none" w:sz="0" w:space="0" w:color="auto"/>
                  </w:divBdr>
                  <w:divsChild>
                    <w:div w:id="1199052887">
                      <w:marLeft w:val="0"/>
                      <w:marRight w:val="0"/>
                      <w:marTop w:val="0"/>
                      <w:marBottom w:val="0"/>
                      <w:divBdr>
                        <w:top w:val="none" w:sz="0" w:space="0" w:color="auto"/>
                        <w:left w:val="none" w:sz="0" w:space="0" w:color="auto"/>
                        <w:bottom w:val="none" w:sz="0" w:space="0" w:color="auto"/>
                        <w:right w:val="none" w:sz="0" w:space="0" w:color="auto"/>
                      </w:divBdr>
                      <w:divsChild>
                        <w:div w:id="9636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457430">
          <w:marLeft w:val="0"/>
          <w:marRight w:val="0"/>
          <w:marTop w:val="0"/>
          <w:marBottom w:val="0"/>
          <w:divBdr>
            <w:top w:val="none" w:sz="0" w:space="0" w:color="auto"/>
            <w:left w:val="none" w:sz="0" w:space="0" w:color="auto"/>
            <w:bottom w:val="none" w:sz="0" w:space="0" w:color="auto"/>
            <w:right w:val="none" w:sz="0" w:space="0" w:color="auto"/>
          </w:divBdr>
          <w:divsChild>
            <w:div w:id="1618171320">
              <w:marLeft w:val="0"/>
              <w:marRight w:val="0"/>
              <w:marTop w:val="0"/>
              <w:marBottom w:val="0"/>
              <w:divBdr>
                <w:top w:val="none" w:sz="0" w:space="0" w:color="auto"/>
                <w:left w:val="none" w:sz="0" w:space="0" w:color="auto"/>
                <w:bottom w:val="none" w:sz="0" w:space="0" w:color="auto"/>
                <w:right w:val="none" w:sz="0" w:space="0" w:color="auto"/>
              </w:divBdr>
              <w:divsChild>
                <w:div w:id="526408956">
                  <w:marLeft w:val="0"/>
                  <w:marRight w:val="0"/>
                  <w:marTop w:val="0"/>
                  <w:marBottom w:val="0"/>
                  <w:divBdr>
                    <w:top w:val="none" w:sz="0" w:space="0" w:color="auto"/>
                    <w:left w:val="none" w:sz="0" w:space="0" w:color="auto"/>
                    <w:bottom w:val="none" w:sz="0" w:space="0" w:color="auto"/>
                    <w:right w:val="none" w:sz="0" w:space="0" w:color="auto"/>
                  </w:divBdr>
                  <w:divsChild>
                    <w:div w:id="1514103756">
                      <w:marLeft w:val="0"/>
                      <w:marRight w:val="0"/>
                      <w:marTop w:val="0"/>
                      <w:marBottom w:val="0"/>
                      <w:divBdr>
                        <w:top w:val="none" w:sz="0" w:space="0" w:color="auto"/>
                        <w:left w:val="none" w:sz="0" w:space="0" w:color="auto"/>
                        <w:bottom w:val="none" w:sz="0" w:space="0" w:color="auto"/>
                        <w:right w:val="none" w:sz="0" w:space="0" w:color="auto"/>
                      </w:divBdr>
                      <w:divsChild>
                        <w:div w:id="1754085796">
                          <w:marLeft w:val="0"/>
                          <w:marRight w:val="0"/>
                          <w:marTop w:val="0"/>
                          <w:marBottom w:val="0"/>
                          <w:divBdr>
                            <w:top w:val="none" w:sz="0" w:space="0" w:color="auto"/>
                            <w:left w:val="none" w:sz="0" w:space="0" w:color="auto"/>
                            <w:bottom w:val="none" w:sz="0" w:space="0" w:color="auto"/>
                            <w:right w:val="none" w:sz="0" w:space="0" w:color="auto"/>
                          </w:divBdr>
                          <w:divsChild>
                            <w:div w:id="1244295379">
                              <w:marLeft w:val="0"/>
                              <w:marRight w:val="300"/>
                              <w:marTop w:val="180"/>
                              <w:marBottom w:val="0"/>
                              <w:divBdr>
                                <w:top w:val="none" w:sz="0" w:space="0" w:color="auto"/>
                                <w:left w:val="none" w:sz="0" w:space="0" w:color="auto"/>
                                <w:bottom w:val="none" w:sz="0" w:space="0" w:color="auto"/>
                                <w:right w:val="none" w:sz="0" w:space="0" w:color="auto"/>
                              </w:divBdr>
                              <w:divsChild>
                                <w:div w:id="11166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363026">
      <w:bodyDiv w:val="1"/>
      <w:marLeft w:val="0"/>
      <w:marRight w:val="0"/>
      <w:marTop w:val="0"/>
      <w:marBottom w:val="0"/>
      <w:divBdr>
        <w:top w:val="none" w:sz="0" w:space="0" w:color="auto"/>
        <w:left w:val="none" w:sz="0" w:space="0" w:color="auto"/>
        <w:bottom w:val="none" w:sz="0" w:space="0" w:color="auto"/>
        <w:right w:val="none" w:sz="0" w:space="0" w:color="auto"/>
      </w:divBdr>
    </w:div>
    <w:div w:id="1541355719">
      <w:bodyDiv w:val="1"/>
      <w:marLeft w:val="0"/>
      <w:marRight w:val="0"/>
      <w:marTop w:val="0"/>
      <w:marBottom w:val="0"/>
      <w:divBdr>
        <w:top w:val="none" w:sz="0" w:space="0" w:color="auto"/>
        <w:left w:val="none" w:sz="0" w:space="0" w:color="auto"/>
        <w:bottom w:val="none" w:sz="0" w:space="0" w:color="auto"/>
        <w:right w:val="none" w:sz="0" w:space="0" w:color="auto"/>
      </w:divBdr>
    </w:div>
    <w:div w:id="1616136003">
      <w:bodyDiv w:val="1"/>
      <w:marLeft w:val="0"/>
      <w:marRight w:val="0"/>
      <w:marTop w:val="0"/>
      <w:marBottom w:val="0"/>
      <w:divBdr>
        <w:top w:val="none" w:sz="0" w:space="0" w:color="auto"/>
        <w:left w:val="none" w:sz="0" w:space="0" w:color="auto"/>
        <w:bottom w:val="none" w:sz="0" w:space="0" w:color="auto"/>
        <w:right w:val="none" w:sz="0" w:space="0" w:color="auto"/>
      </w:divBdr>
    </w:div>
    <w:div w:id="1616402689">
      <w:bodyDiv w:val="1"/>
      <w:marLeft w:val="0"/>
      <w:marRight w:val="0"/>
      <w:marTop w:val="0"/>
      <w:marBottom w:val="0"/>
      <w:divBdr>
        <w:top w:val="none" w:sz="0" w:space="0" w:color="auto"/>
        <w:left w:val="none" w:sz="0" w:space="0" w:color="auto"/>
        <w:bottom w:val="none" w:sz="0" w:space="0" w:color="auto"/>
        <w:right w:val="none" w:sz="0" w:space="0" w:color="auto"/>
      </w:divBdr>
      <w:divsChild>
        <w:div w:id="1638603473">
          <w:marLeft w:val="0"/>
          <w:marRight w:val="0"/>
          <w:marTop w:val="0"/>
          <w:marBottom w:val="0"/>
          <w:divBdr>
            <w:top w:val="none" w:sz="0" w:space="0" w:color="auto"/>
            <w:left w:val="none" w:sz="0" w:space="0" w:color="auto"/>
            <w:bottom w:val="none" w:sz="0" w:space="0" w:color="auto"/>
            <w:right w:val="none" w:sz="0" w:space="0" w:color="auto"/>
          </w:divBdr>
          <w:divsChild>
            <w:div w:id="51275215">
              <w:marLeft w:val="0"/>
              <w:marRight w:val="0"/>
              <w:marTop w:val="0"/>
              <w:marBottom w:val="0"/>
              <w:divBdr>
                <w:top w:val="none" w:sz="0" w:space="0" w:color="auto"/>
                <w:left w:val="none" w:sz="0" w:space="0" w:color="auto"/>
                <w:bottom w:val="none" w:sz="0" w:space="0" w:color="auto"/>
                <w:right w:val="none" w:sz="0" w:space="0" w:color="auto"/>
              </w:divBdr>
              <w:divsChild>
                <w:div w:id="414979484">
                  <w:marLeft w:val="0"/>
                  <w:marRight w:val="0"/>
                  <w:marTop w:val="0"/>
                  <w:marBottom w:val="0"/>
                  <w:divBdr>
                    <w:top w:val="none" w:sz="0" w:space="0" w:color="auto"/>
                    <w:left w:val="none" w:sz="0" w:space="0" w:color="auto"/>
                    <w:bottom w:val="none" w:sz="0" w:space="0" w:color="auto"/>
                    <w:right w:val="none" w:sz="0" w:space="0" w:color="auto"/>
                  </w:divBdr>
                  <w:divsChild>
                    <w:div w:id="1573202100">
                      <w:marLeft w:val="0"/>
                      <w:marRight w:val="0"/>
                      <w:marTop w:val="0"/>
                      <w:marBottom w:val="0"/>
                      <w:divBdr>
                        <w:top w:val="none" w:sz="0" w:space="0" w:color="auto"/>
                        <w:left w:val="none" w:sz="0" w:space="0" w:color="auto"/>
                        <w:bottom w:val="none" w:sz="0" w:space="0" w:color="auto"/>
                        <w:right w:val="none" w:sz="0" w:space="0" w:color="auto"/>
                      </w:divBdr>
                      <w:divsChild>
                        <w:div w:id="18092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25038">
          <w:marLeft w:val="0"/>
          <w:marRight w:val="0"/>
          <w:marTop w:val="0"/>
          <w:marBottom w:val="0"/>
          <w:divBdr>
            <w:top w:val="none" w:sz="0" w:space="0" w:color="auto"/>
            <w:left w:val="none" w:sz="0" w:space="0" w:color="auto"/>
            <w:bottom w:val="none" w:sz="0" w:space="0" w:color="auto"/>
            <w:right w:val="none" w:sz="0" w:space="0" w:color="auto"/>
          </w:divBdr>
          <w:divsChild>
            <w:div w:id="1892106308">
              <w:marLeft w:val="0"/>
              <w:marRight w:val="0"/>
              <w:marTop w:val="0"/>
              <w:marBottom w:val="0"/>
              <w:divBdr>
                <w:top w:val="none" w:sz="0" w:space="0" w:color="auto"/>
                <w:left w:val="none" w:sz="0" w:space="0" w:color="auto"/>
                <w:bottom w:val="none" w:sz="0" w:space="0" w:color="auto"/>
                <w:right w:val="none" w:sz="0" w:space="0" w:color="auto"/>
              </w:divBdr>
              <w:divsChild>
                <w:div w:id="659699182">
                  <w:marLeft w:val="0"/>
                  <w:marRight w:val="0"/>
                  <w:marTop w:val="0"/>
                  <w:marBottom w:val="0"/>
                  <w:divBdr>
                    <w:top w:val="none" w:sz="0" w:space="0" w:color="auto"/>
                    <w:left w:val="none" w:sz="0" w:space="0" w:color="auto"/>
                    <w:bottom w:val="none" w:sz="0" w:space="0" w:color="auto"/>
                    <w:right w:val="none" w:sz="0" w:space="0" w:color="auto"/>
                  </w:divBdr>
                  <w:divsChild>
                    <w:div w:id="1429618640">
                      <w:marLeft w:val="0"/>
                      <w:marRight w:val="0"/>
                      <w:marTop w:val="0"/>
                      <w:marBottom w:val="0"/>
                      <w:divBdr>
                        <w:top w:val="none" w:sz="0" w:space="0" w:color="auto"/>
                        <w:left w:val="none" w:sz="0" w:space="0" w:color="auto"/>
                        <w:bottom w:val="none" w:sz="0" w:space="0" w:color="auto"/>
                        <w:right w:val="none" w:sz="0" w:space="0" w:color="auto"/>
                      </w:divBdr>
                      <w:divsChild>
                        <w:div w:id="1688214018">
                          <w:marLeft w:val="0"/>
                          <w:marRight w:val="0"/>
                          <w:marTop w:val="0"/>
                          <w:marBottom w:val="0"/>
                          <w:divBdr>
                            <w:top w:val="none" w:sz="0" w:space="0" w:color="auto"/>
                            <w:left w:val="none" w:sz="0" w:space="0" w:color="auto"/>
                            <w:bottom w:val="none" w:sz="0" w:space="0" w:color="auto"/>
                            <w:right w:val="none" w:sz="0" w:space="0" w:color="auto"/>
                          </w:divBdr>
                          <w:divsChild>
                            <w:div w:id="619799021">
                              <w:marLeft w:val="0"/>
                              <w:marRight w:val="300"/>
                              <w:marTop w:val="180"/>
                              <w:marBottom w:val="0"/>
                              <w:divBdr>
                                <w:top w:val="none" w:sz="0" w:space="0" w:color="auto"/>
                                <w:left w:val="none" w:sz="0" w:space="0" w:color="auto"/>
                                <w:bottom w:val="none" w:sz="0" w:space="0" w:color="auto"/>
                                <w:right w:val="none" w:sz="0" w:space="0" w:color="auto"/>
                              </w:divBdr>
                              <w:divsChild>
                                <w:div w:id="4739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793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eb.undp.org/evaluation/documents/guidance/GEF/GEF-TE-Guide_F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garita%20Gonzales\Dropbox%20(Baastel)\Templates%20-%20Mod&#232;les\Charte_Graphique\Charte%20EN%20Baastel%20Canada%20aou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F86A907D59094999DBEA4792783075" ma:contentTypeVersion="11" ma:contentTypeDescription="Create a new document." ma:contentTypeScope="" ma:versionID="0ea3720cb8acce87dab20c2e6f2231a5">
  <xsd:schema xmlns:xsd="http://www.w3.org/2001/XMLSchema" xmlns:xs="http://www.w3.org/2001/XMLSchema" xmlns:p="http://schemas.microsoft.com/office/2006/metadata/properties" xmlns:ns3="4ce0b7d6-c3d7-49d6-b2dd-fe100245c354" xmlns:ns4="47c1c183-667c-4feb-b234-e94e6c93f77d" targetNamespace="http://schemas.microsoft.com/office/2006/metadata/properties" ma:root="true" ma:fieldsID="344a18e6fb939fc52a3c873067754192" ns3:_="" ns4:_="">
    <xsd:import namespace="4ce0b7d6-c3d7-49d6-b2dd-fe100245c354"/>
    <xsd:import namespace="47c1c183-667c-4feb-b234-e94e6c93f7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0b7d6-c3d7-49d6-b2dd-fe100245c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1c183-667c-4feb-b234-e94e6c93f7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618FB-C2EF-4BB9-9978-6E87D3C56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0b7d6-c3d7-49d6-b2dd-fe100245c354"/>
    <ds:schemaRef ds:uri="47c1c183-667c-4feb-b234-e94e6c93f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5F5BF-36C4-441D-9E4D-68703953342A}">
  <ds:schemaRefs>
    <ds:schemaRef ds:uri="http://schemas.microsoft.com/sharepoint/v3/contenttype/forms"/>
  </ds:schemaRefs>
</ds:datastoreItem>
</file>

<file path=customXml/itemProps3.xml><?xml version="1.0" encoding="utf-8"?>
<ds:datastoreItem xmlns:ds="http://schemas.openxmlformats.org/officeDocument/2006/customXml" ds:itemID="{59391F2B-A402-46A6-94A9-73DD695228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D39CF8-8C63-4B83-B358-63D37D9EF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 EN Baastel Canada aout 2017</Template>
  <TotalTime>2</TotalTime>
  <Pages>74</Pages>
  <Words>25484</Words>
  <Characters>145264</Characters>
  <Application>Microsoft Office Word</Application>
  <DocSecurity>0</DocSecurity>
  <Lines>1210</Lines>
  <Paragraphs>340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Le groupe conseil baastel</Company>
  <LinksUpToDate>false</LinksUpToDate>
  <CharactersWithSpaces>170408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Drunet</dc:creator>
  <cp:keywords/>
  <dc:description/>
  <cp:lastModifiedBy>Manjakalaza Andrianarimanana</cp:lastModifiedBy>
  <cp:revision>3</cp:revision>
  <cp:lastPrinted>2019-10-03T13:16:00Z</cp:lastPrinted>
  <dcterms:created xsi:type="dcterms:W3CDTF">2020-01-29T05:53:00Z</dcterms:created>
  <dcterms:modified xsi:type="dcterms:W3CDTF">2020-01-31T08:29:00Z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0x01010072F86A907D59094999DBEA4792783075</vt:lpwstr>
  </property>
</Properties>
</file>